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864" w:rsidRPr="009F229A" w:rsidRDefault="00354276" w:rsidP="009F229A">
      <w:pPr>
        <w:pStyle w:val="TechnicalBlock"/>
        <w:ind w:left="-1134" w:right="-1134"/>
      </w:pPr>
      <w:bookmarkStart w:id="0" w:name="DW_BM_COVERPAGE"/>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8717/22.&#10;Subject Codes: EF 126 ECOFIN 389 CODEC 679.&#10;Heading: NOTE.&#10;Originator: General Secretariat of the Council.&#10;Recipient: Permanent Representatives Committee.&#10;Subject: Regulation on Markets on crypto-assets and amending Directive (EU) 2019/1937 (MiCA) - Preparation of the trilogue.&#10;Commission Document Number: Not Set.&#10;Preceeding Document Number: Not Set.&#10;Location: Brussels.&#10;Date: 12 May 2022.&#10;Interinstitutional Files: 2020/0265 (COD).&#10;Institutional Framework: Council of the European Union.&#10;Language: EN.&#10;Distribution Code: LIMITE.&#10;GUID: 4903758007291686008_0" style="width:568.5pt;height:338.5pt">
            <v:imagedata r:id="rId8" o:title=""/>
          </v:shape>
        </w:pict>
      </w:r>
      <w:bookmarkEnd w:id="0"/>
    </w:p>
    <w:p w:rsidR="00674EB1" w:rsidRPr="00107863" w:rsidRDefault="00674EB1" w:rsidP="00674EB1">
      <w:pPr>
        <w:pStyle w:val="NormalWeb"/>
        <w:numPr>
          <w:ilvl w:val="0"/>
          <w:numId w:val="22"/>
        </w:numPr>
        <w:shd w:val="clear" w:color="auto" w:fill="FFFFFF" w:themeFill="background1"/>
        <w:spacing w:before="120" w:beforeAutospacing="0" w:after="120" w:afterAutospacing="0" w:line="360" w:lineRule="auto"/>
        <w:jc w:val="both"/>
        <w:rPr>
          <w:rFonts w:asciiTheme="majorBidi" w:hAnsiTheme="majorBidi" w:cstheme="majorBidi"/>
          <w:b/>
          <w:bCs/>
          <w:u w:val="single"/>
        </w:rPr>
      </w:pPr>
      <w:r w:rsidRPr="00107863">
        <w:rPr>
          <w:rFonts w:asciiTheme="majorBidi" w:hAnsiTheme="majorBidi" w:cstheme="majorBidi"/>
          <w:b/>
          <w:bCs/>
          <w:u w:val="single"/>
        </w:rPr>
        <w:t>Introduction</w:t>
      </w:r>
    </w:p>
    <w:p w:rsidR="00107863" w:rsidRPr="00107863" w:rsidRDefault="00107863" w:rsidP="00107863">
      <w:pPr>
        <w:pStyle w:val="NormalWeb"/>
        <w:numPr>
          <w:ilvl w:val="0"/>
          <w:numId w:val="21"/>
        </w:numPr>
        <w:shd w:val="clear" w:color="auto" w:fill="FFFFFF" w:themeFill="background1"/>
        <w:spacing w:before="120" w:beforeAutospacing="0" w:after="120" w:afterAutospacing="0" w:line="360" w:lineRule="auto"/>
        <w:ind w:left="567" w:hanging="567"/>
        <w:jc w:val="both"/>
        <w:rPr>
          <w:rFonts w:asciiTheme="majorBidi" w:hAnsiTheme="majorBidi" w:cstheme="majorBidi"/>
        </w:rPr>
      </w:pPr>
      <w:r w:rsidRPr="00107863">
        <w:rPr>
          <w:rFonts w:asciiTheme="majorBidi" w:hAnsiTheme="majorBidi" w:cstheme="majorBidi"/>
        </w:rPr>
        <w:t>On September 24, 2020, the Commission presented its "Digital Finance Package," including the proposed Regulation on Markets in Crypto-Assets. The Council approved its negotiating mandate in Coreper on November 24, 2021, as outlined in ST 14061/21 + ADD1. The European Parliament approved a negotiating mandate on March 23, 2022.</w:t>
      </w:r>
    </w:p>
    <w:p w:rsidR="00107863" w:rsidRPr="00107863" w:rsidRDefault="00107863" w:rsidP="00107863">
      <w:pPr>
        <w:pStyle w:val="NormalWeb"/>
        <w:numPr>
          <w:ilvl w:val="0"/>
          <w:numId w:val="21"/>
        </w:numPr>
        <w:shd w:val="clear" w:color="auto" w:fill="FFFFFF" w:themeFill="background1"/>
        <w:spacing w:before="120" w:beforeAutospacing="0" w:after="240" w:afterAutospacing="0" w:line="360" w:lineRule="auto"/>
        <w:ind w:left="567" w:hanging="567"/>
        <w:jc w:val="both"/>
        <w:rPr>
          <w:rFonts w:asciiTheme="majorBidi" w:hAnsiTheme="majorBidi" w:cstheme="majorBidi"/>
        </w:rPr>
      </w:pPr>
      <w:r w:rsidRPr="00107863">
        <w:rPr>
          <w:rFonts w:asciiTheme="majorBidi" w:hAnsiTheme="majorBidi" w:cstheme="majorBidi"/>
        </w:rPr>
        <w:t xml:space="preserve">A </w:t>
      </w:r>
      <w:r w:rsidRPr="00107863">
        <w:rPr>
          <w:rFonts w:asciiTheme="majorBidi" w:hAnsiTheme="majorBidi" w:cstheme="majorBidi"/>
          <w:u w:val="single"/>
        </w:rPr>
        <w:t>first political trilogue</w:t>
      </w:r>
      <w:r w:rsidRPr="00107863">
        <w:rPr>
          <w:rFonts w:asciiTheme="majorBidi" w:hAnsiTheme="majorBidi" w:cstheme="majorBidi"/>
        </w:rPr>
        <w:t xml:space="preserve"> took place on March 31, 2022. A first exchange of views on the main provisions of the text was held. Several objectives are shared by both colegislators, but important differences still need to be bridged. Teams were asked to work on building a technical compromis</w:t>
      </w:r>
      <w:r>
        <w:rPr>
          <w:rFonts w:asciiTheme="majorBidi" w:hAnsiTheme="majorBidi" w:cstheme="majorBidi"/>
        </w:rPr>
        <w:t>e on several parts of the text.</w:t>
      </w:r>
    </w:p>
    <w:p w:rsidR="00107863" w:rsidRPr="00107863" w:rsidRDefault="00C749A7" w:rsidP="00107863">
      <w:pPr>
        <w:pStyle w:val="NormalWeb"/>
        <w:shd w:val="clear" w:color="auto" w:fill="FFFFFF" w:themeFill="background1"/>
        <w:spacing w:before="120" w:beforeAutospacing="0" w:after="120" w:afterAutospacing="0" w:line="360" w:lineRule="auto"/>
        <w:jc w:val="both"/>
        <w:rPr>
          <w:rFonts w:asciiTheme="majorBidi" w:hAnsiTheme="majorBidi" w:cstheme="majorBidi"/>
        </w:rPr>
      </w:pPr>
      <w:r>
        <w:rPr>
          <w:b/>
          <w:bCs/>
        </w:rPr>
        <w:br w:type="page"/>
      </w:r>
      <w:r w:rsidR="00107863" w:rsidRPr="00107863">
        <w:rPr>
          <w:b/>
          <w:bCs/>
        </w:rPr>
        <w:lastRenderedPageBreak/>
        <w:t>II.</w:t>
      </w:r>
      <w:r w:rsidR="00107863" w:rsidRPr="00107863">
        <w:tab/>
      </w:r>
      <w:r w:rsidR="00107863" w:rsidRPr="00107863">
        <w:rPr>
          <w:b/>
          <w:bCs/>
          <w:u w:val="single"/>
        </w:rPr>
        <w:t>Preparation of the second political trilogue</w:t>
      </w:r>
    </w:p>
    <w:p w:rsidR="00107863" w:rsidRPr="00107863" w:rsidRDefault="00107863" w:rsidP="00107863">
      <w:pPr>
        <w:pStyle w:val="NormalWeb"/>
        <w:numPr>
          <w:ilvl w:val="0"/>
          <w:numId w:val="21"/>
        </w:numPr>
        <w:shd w:val="clear" w:color="auto" w:fill="FFFFFF" w:themeFill="background1"/>
        <w:spacing w:before="120" w:beforeAutospacing="0" w:after="120" w:afterAutospacing="0" w:line="360" w:lineRule="auto"/>
        <w:ind w:left="567" w:hanging="567"/>
        <w:jc w:val="both"/>
        <w:rPr>
          <w:rFonts w:asciiTheme="majorBidi" w:hAnsiTheme="majorBidi" w:cstheme="majorBidi"/>
        </w:rPr>
      </w:pPr>
      <w:r w:rsidRPr="00107863">
        <w:rPr>
          <w:rFonts w:asciiTheme="majorBidi" w:hAnsiTheme="majorBidi" w:cstheme="majorBidi"/>
        </w:rPr>
        <w:t xml:space="preserve">The </w:t>
      </w:r>
      <w:r w:rsidRPr="00107863">
        <w:rPr>
          <w:rFonts w:asciiTheme="majorBidi" w:hAnsiTheme="majorBidi" w:cstheme="majorBidi"/>
          <w:u w:val="single"/>
        </w:rPr>
        <w:t>second political trilogue</w:t>
      </w:r>
      <w:r w:rsidRPr="00107863">
        <w:rPr>
          <w:rFonts w:asciiTheme="majorBidi" w:hAnsiTheme="majorBidi" w:cstheme="majorBidi"/>
        </w:rPr>
        <w:t xml:space="preserve">, which </w:t>
      </w:r>
      <w:r>
        <w:rPr>
          <w:rFonts w:asciiTheme="majorBidi" w:hAnsiTheme="majorBidi" w:cstheme="majorBidi"/>
        </w:rPr>
        <w:t>will</w:t>
      </w:r>
      <w:r w:rsidRPr="00107863">
        <w:rPr>
          <w:rFonts w:asciiTheme="majorBidi" w:hAnsiTheme="majorBidi" w:cstheme="majorBidi"/>
        </w:rPr>
        <w:t xml:space="preserve"> be held on May 18 in the European Parliament’s premises, will be the opportunity to take stock of the work done at technical level and to come back on </w:t>
      </w:r>
      <w:r>
        <w:rPr>
          <w:rFonts w:asciiTheme="majorBidi" w:hAnsiTheme="majorBidi" w:cstheme="majorBidi"/>
        </w:rPr>
        <w:t>the main provisions of the text.</w:t>
      </w:r>
    </w:p>
    <w:p w:rsidR="00107863" w:rsidRPr="00107863" w:rsidRDefault="00107863" w:rsidP="00107863">
      <w:pPr>
        <w:pStyle w:val="NormalWeb"/>
        <w:numPr>
          <w:ilvl w:val="0"/>
          <w:numId w:val="21"/>
        </w:numPr>
        <w:shd w:val="clear" w:color="auto" w:fill="FFFFFF" w:themeFill="background1"/>
        <w:spacing w:before="120" w:beforeAutospacing="0" w:after="120" w:afterAutospacing="0" w:line="360" w:lineRule="auto"/>
        <w:ind w:left="567" w:hanging="567"/>
        <w:jc w:val="both"/>
        <w:rPr>
          <w:rFonts w:asciiTheme="majorBidi" w:hAnsiTheme="majorBidi" w:cstheme="majorBidi"/>
        </w:rPr>
      </w:pPr>
      <w:r w:rsidRPr="00107863">
        <w:rPr>
          <w:rFonts w:asciiTheme="majorBidi" w:hAnsiTheme="majorBidi" w:cstheme="majorBidi"/>
        </w:rPr>
        <w:t>A first discussion to prepare the second political trilogue was held on May 6 in a Council Working Party.</w:t>
      </w:r>
    </w:p>
    <w:p w:rsidR="00107863" w:rsidRPr="00107863" w:rsidRDefault="00107863" w:rsidP="00107863">
      <w:pPr>
        <w:pStyle w:val="NormalWeb"/>
        <w:numPr>
          <w:ilvl w:val="0"/>
          <w:numId w:val="21"/>
        </w:numPr>
        <w:shd w:val="clear" w:color="auto" w:fill="FFFFFF" w:themeFill="background1"/>
        <w:spacing w:before="120" w:beforeAutospacing="0" w:after="60" w:afterAutospacing="0" w:line="360" w:lineRule="auto"/>
        <w:ind w:left="567" w:hanging="567"/>
        <w:jc w:val="both"/>
        <w:rPr>
          <w:rFonts w:asciiTheme="majorBidi" w:hAnsiTheme="majorBidi" w:cstheme="majorBidi"/>
        </w:rPr>
      </w:pPr>
      <w:r w:rsidRPr="00107863">
        <w:rPr>
          <w:rFonts w:asciiTheme="majorBidi" w:hAnsiTheme="majorBidi" w:cstheme="majorBidi"/>
        </w:rPr>
        <w:t xml:space="preserve">Regarding the </w:t>
      </w:r>
      <w:r w:rsidRPr="00107863">
        <w:rPr>
          <w:rFonts w:asciiTheme="majorBidi" w:hAnsiTheme="majorBidi" w:cstheme="majorBidi"/>
          <w:u w:val="single"/>
        </w:rPr>
        <w:t>scope</w:t>
      </w:r>
      <w:r w:rsidRPr="00107863">
        <w:rPr>
          <w:rFonts w:asciiTheme="majorBidi" w:hAnsiTheme="majorBidi" w:cstheme="majorBidi"/>
        </w:rPr>
        <w:t xml:space="preserve"> of the Regulation, the Presidency could :</w:t>
      </w:r>
    </w:p>
    <w:p w:rsidR="00107863" w:rsidRPr="00107863" w:rsidRDefault="00107863" w:rsidP="00107863">
      <w:pPr>
        <w:pStyle w:val="NormalWeb"/>
        <w:numPr>
          <w:ilvl w:val="0"/>
          <w:numId w:val="23"/>
        </w:numPr>
        <w:shd w:val="clear" w:color="auto" w:fill="FFFFFF" w:themeFill="background1"/>
        <w:spacing w:before="60" w:beforeAutospacing="0" w:after="60" w:afterAutospacing="0" w:line="360" w:lineRule="auto"/>
        <w:jc w:val="both"/>
        <w:rPr>
          <w:rFonts w:asciiTheme="majorBidi" w:hAnsiTheme="majorBidi" w:cstheme="majorBidi"/>
        </w:rPr>
      </w:pPr>
      <w:r w:rsidRPr="00107863">
        <w:rPr>
          <w:rFonts w:asciiTheme="majorBidi" w:hAnsiTheme="majorBidi" w:cstheme="majorBidi"/>
        </w:rPr>
        <w:t xml:space="preserve">promote the flexible approach chosen by the Council to define, via European Supervisory Authorities’ guidelines setting a standardised test, crypto-assets which do not fall under MiCA, like financial instruments or pension products ;  </w:t>
      </w:r>
    </w:p>
    <w:p w:rsidR="00107863" w:rsidRPr="00107863" w:rsidRDefault="00107863" w:rsidP="00107863">
      <w:pPr>
        <w:pStyle w:val="NormalWeb"/>
        <w:numPr>
          <w:ilvl w:val="0"/>
          <w:numId w:val="23"/>
        </w:numPr>
        <w:shd w:val="clear" w:color="auto" w:fill="FFFFFF" w:themeFill="background1"/>
        <w:spacing w:before="40" w:beforeAutospacing="0" w:after="60" w:afterAutospacing="0" w:line="360" w:lineRule="auto"/>
        <w:jc w:val="both"/>
        <w:rPr>
          <w:rFonts w:asciiTheme="majorBidi" w:hAnsiTheme="majorBidi" w:cstheme="majorBidi"/>
        </w:rPr>
      </w:pPr>
      <w:r w:rsidRPr="00107863">
        <w:rPr>
          <w:rFonts w:asciiTheme="majorBidi" w:hAnsiTheme="majorBidi" w:cstheme="majorBidi"/>
        </w:rPr>
        <w:t xml:space="preserve">insist on excluding </w:t>
      </w:r>
      <w:r>
        <w:rPr>
          <w:rFonts w:asciiTheme="majorBidi" w:hAnsiTheme="majorBidi" w:cstheme="majorBidi"/>
        </w:rPr>
        <w:t>non-</w:t>
      </w:r>
      <w:r w:rsidRPr="00107863">
        <w:rPr>
          <w:rFonts w:asciiTheme="majorBidi" w:hAnsiTheme="majorBidi" w:cstheme="majorBidi"/>
        </w:rPr>
        <w:t>fungible tokens (« NFT »), a category of assets which includes diverse goods such as collectible arts, and on designing a proper regulatory treatment via the review clause or a dedicated piece of legislation ;</w:t>
      </w:r>
    </w:p>
    <w:p w:rsidR="00107863" w:rsidRPr="00107863" w:rsidRDefault="00107863" w:rsidP="00107863">
      <w:pPr>
        <w:pStyle w:val="NormalWeb"/>
        <w:numPr>
          <w:ilvl w:val="0"/>
          <w:numId w:val="23"/>
        </w:numPr>
        <w:shd w:val="clear" w:color="auto" w:fill="FFFFFF" w:themeFill="background1"/>
        <w:spacing w:before="40" w:beforeAutospacing="0" w:after="60" w:afterAutospacing="0" w:line="360" w:lineRule="auto"/>
        <w:jc w:val="both"/>
        <w:rPr>
          <w:rFonts w:asciiTheme="majorBidi" w:hAnsiTheme="majorBidi" w:cstheme="majorBidi"/>
        </w:rPr>
      </w:pPr>
      <w:r w:rsidRPr="00107863">
        <w:rPr>
          <w:rFonts w:asciiTheme="majorBidi" w:hAnsiTheme="majorBidi" w:cstheme="majorBidi"/>
        </w:rPr>
        <w:t xml:space="preserve">reaffirm the preference of the Council for letting the Commission specify in delegated acts technical elements of the definitions in order to adapt more easily to future developments in the crypto ecosystem ; </w:t>
      </w:r>
    </w:p>
    <w:p w:rsidR="00107863" w:rsidRPr="00107863" w:rsidRDefault="00107863" w:rsidP="00107863">
      <w:pPr>
        <w:pStyle w:val="NormalWeb"/>
        <w:numPr>
          <w:ilvl w:val="0"/>
          <w:numId w:val="23"/>
        </w:numPr>
        <w:shd w:val="clear" w:color="auto" w:fill="FFFFFF" w:themeFill="background1"/>
        <w:spacing w:before="60" w:beforeAutospacing="0" w:after="60" w:afterAutospacing="0" w:line="360" w:lineRule="auto"/>
        <w:jc w:val="both"/>
        <w:rPr>
          <w:rFonts w:asciiTheme="majorBidi" w:hAnsiTheme="majorBidi" w:cstheme="majorBidi"/>
        </w:rPr>
      </w:pPr>
      <w:r w:rsidRPr="00107863">
        <w:rPr>
          <w:rFonts w:asciiTheme="majorBidi" w:hAnsiTheme="majorBidi" w:cstheme="majorBidi"/>
        </w:rPr>
        <w:t>deal with Decentralized Finance in the review clause, as advocated by the European Commission in a note sent to both co-legislators, in order to gain sufficient expertise on this emerging field and to test new supervisory tools.</w:t>
      </w:r>
    </w:p>
    <w:p w:rsidR="00107863" w:rsidRPr="00107863" w:rsidRDefault="00C749A7" w:rsidP="00107863">
      <w:pPr>
        <w:pStyle w:val="NormalWeb"/>
        <w:numPr>
          <w:ilvl w:val="0"/>
          <w:numId w:val="21"/>
        </w:numPr>
        <w:shd w:val="clear" w:color="auto" w:fill="FFFFFF" w:themeFill="background1"/>
        <w:spacing w:before="120" w:beforeAutospacing="0" w:after="120" w:afterAutospacing="0" w:line="360" w:lineRule="auto"/>
        <w:ind w:left="567" w:hanging="567"/>
        <w:jc w:val="both"/>
        <w:rPr>
          <w:rFonts w:asciiTheme="majorBidi" w:hAnsiTheme="majorBidi" w:cstheme="majorBidi"/>
        </w:rPr>
      </w:pPr>
      <w:r>
        <w:rPr>
          <w:rFonts w:asciiTheme="majorBidi" w:hAnsiTheme="majorBidi" w:cstheme="majorBidi"/>
        </w:rPr>
        <w:br w:type="page"/>
      </w:r>
      <w:r w:rsidR="00107863" w:rsidRPr="00107863">
        <w:rPr>
          <w:rFonts w:asciiTheme="majorBidi" w:hAnsiTheme="majorBidi" w:cstheme="majorBidi"/>
        </w:rPr>
        <w:lastRenderedPageBreak/>
        <w:t xml:space="preserve">With regard to </w:t>
      </w:r>
      <w:r w:rsidR="00107863" w:rsidRPr="00107863">
        <w:rPr>
          <w:rFonts w:asciiTheme="majorBidi" w:hAnsiTheme="majorBidi" w:cstheme="majorBidi"/>
          <w:u w:val="single"/>
        </w:rPr>
        <w:t>crypto-assets which are not deemed stable</w:t>
      </w:r>
      <w:r w:rsidR="00107863" w:rsidRPr="00107863">
        <w:rPr>
          <w:rFonts w:asciiTheme="majorBidi" w:hAnsiTheme="majorBidi" w:cstheme="majorBidi"/>
        </w:rPr>
        <w:t xml:space="preserve"> (« stablecoins »), the Presidency could underline the risks of allowing an issuer of crypto-assets to require a supervisory authority a pre-approval of the white paper accompanying an issuance of crypto-assets. The Presidency could nevertheless support the idea of granting the national competent authorities the power to require amendments or additional elements to the white paper, ex ante or ex post. Besides, the European Parliament would like to strengthen consumer protection by adding provisions to avoid conflict of interests when drafting the white paper, while the Presidency does not believe in their added value and could express scepticism.</w:t>
      </w:r>
    </w:p>
    <w:p w:rsidR="00107863" w:rsidRPr="00107863" w:rsidRDefault="00107863" w:rsidP="00107863">
      <w:pPr>
        <w:pStyle w:val="NormalWeb"/>
        <w:numPr>
          <w:ilvl w:val="0"/>
          <w:numId w:val="21"/>
        </w:numPr>
        <w:shd w:val="clear" w:color="auto" w:fill="FFFFFF" w:themeFill="background1"/>
        <w:spacing w:before="120" w:beforeAutospacing="0" w:after="60" w:afterAutospacing="0" w:line="360" w:lineRule="auto"/>
        <w:ind w:left="567" w:hanging="567"/>
        <w:jc w:val="both"/>
        <w:rPr>
          <w:rFonts w:asciiTheme="majorBidi" w:hAnsiTheme="majorBidi" w:cstheme="majorBidi"/>
        </w:rPr>
      </w:pPr>
      <w:r w:rsidRPr="00107863">
        <w:rPr>
          <w:rFonts w:asciiTheme="majorBidi" w:hAnsiTheme="majorBidi" w:cstheme="majorBidi"/>
        </w:rPr>
        <w:t xml:space="preserve">On the major issue of crypto-assets deemed stable and </w:t>
      </w:r>
      <w:r w:rsidRPr="00107863">
        <w:rPr>
          <w:color w:val="000000"/>
        </w:rPr>
        <w:t xml:space="preserve">referring to the value of several fiat currencies, commodities or other crypto-assets </w:t>
      </w:r>
      <w:r w:rsidRPr="00107863">
        <w:rPr>
          <w:rFonts w:asciiTheme="majorBidi" w:hAnsiTheme="majorBidi" w:cstheme="majorBidi"/>
        </w:rPr>
        <w:t>(« asset-referenced tokens » or « </w:t>
      </w:r>
      <w:r w:rsidRPr="00107863">
        <w:rPr>
          <w:rFonts w:asciiTheme="majorBidi" w:hAnsiTheme="majorBidi" w:cstheme="majorBidi"/>
          <w:u w:val="single"/>
        </w:rPr>
        <w:t>ART</w:t>
      </w:r>
      <w:r w:rsidRPr="00107863">
        <w:rPr>
          <w:rFonts w:asciiTheme="majorBidi" w:hAnsiTheme="majorBidi" w:cstheme="majorBidi"/>
        </w:rPr>
        <w:t xml:space="preserve"> »), the Presidency could : </w:t>
      </w:r>
    </w:p>
    <w:p w:rsidR="00107863" w:rsidRPr="00107863" w:rsidRDefault="00107863" w:rsidP="00107863">
      <w:pPr>
        <w:pStyle w:val="NormalWeb"/>
        <w:numPr>
          <w:ilvl w:val="0"/>
          <w:numId w:val="24"/>
        </w:numPr>
        <w:shd w:val="clear" w:color="auto" w:fill="FFFFFF" w:themeFill="background1"/>
        <w:spacing w:before="60" w:beforeAutospacing="0" w:after="60" w:afterAutospacing="0" w:line="360" w:lineRule="auto"/>
        <w:jc w:val="both"/>
        <w:rPr>
          <w:rFonts w:asciiTheme="majorBidi" w:hAnsiTheme="majorBidi" w:cstheme="majorBidi"/>
        </w:rPr>
      </w:pPr>
      <w:r w:rsidRPr="00107863">
        <w:rPr>
          <w:rFonts w:asciiTheme="majorBidi" w:hAnsiTheme="majorBidi" w:cstheme="majorBidi"/>
        </w:rPr>
        <w:t>defend the criteria chosen by the Council to qualify an ART as significant, in particular the deletion of the criteria related to cross-border activity, as well as the specification in level 1 of the quantitative criteria ;</w:t>
      </w:r>
    </w:p>
    <w:p w:rsidR="00107863" w:rsidRPr="00107863" w:rsidRDefault="00107863" w:rsidP="00107863">
      <w:pPr>
        <w:pStyle w:val="NormalWeb"/>
        <w:numPr>
          <w:ilvl w:val="0"/>
          <w:numId w:val="24"/>
        </w:numPr>
        <w:shd w:val="clear" w:color="auto" w:fill="FFFFFF" w:themeFill="background1"/>
        <w:spacing w:before="60" w:beforeAutospacing="0" w:after="60" w:afterAutospacing="0" w:line="360" w:lineRule="auto"/>
        <w:jc w:val="both"/>
        <w:rPr>
          <w:rFonts w:asciiTheme="majorBidi" w:hAnsiTheme="majorBidi" w:cstheme="majorBidi"/>
        </w:rPr>
      </w:pPr>
      <w:r w:rsidRPr="00107863">
        <w:rPr>
          <w:rFonts w:asciiTheme="majorBidi" w:hAnsiTheme="majorBidi" w:cstheme="majorBidi"/>
        </w:rPr>
        <w:t>ask the European Parliament for clarifications on some provisions included in its negotiating mandate (delay for the redemption of ART, calculation methodology of own funds of ART issuers) ;</w:t>
      </w:r>
    </w:p>
    <w:p w:rsidR="00107863" w:rsidRPr="00107863" w:rsidRDefault="00C749A7" w:rsidP="00107863">
      <w:pPr>
        <w:pStyle w:val="NormalWeb"/>
        <w:numPr>
          <w:ilvl w:val="0"/>
          <w:numId w:val="24"/>
        </w:numPr>
        <w:shd w:val="clear" w:color="auto" w:fill="FFFFFF" w:themeFill="background1"/>
        <w:spacing w:before="60" w:beforeAutospacing="0" w:after="60" w:afterAutospacing="0" w:line="360" w:lineRule="auto"/>
        <w:jc w:val="both"/>
        <w:rPr>
          <w:rFonts w:asciiTheme="majorBidi" w:hAnsiTheme="majorBidi" w:cstheme="majorBidi"/>
        </w:rPr>
      </w:pPr>
      <w:r>
        <w:rPr>
          <w:rFonts w:asciiTheme="majorBidi" w:hAnsiTheme="majorBidi" w:cstheme="majorBidi"/>
        </w:rPr>
        <w:br w:type="page"/>
      </w:r>
      <w:r w:rsidR="00107863" w:rsidRPr="00107863">
        <w:rPr>
          <w:rFonts w:asciiTheme="majorBidi" w:hAnsiTheme="majorBidi" w:cstheme="majorBidi"/>
        </w:rPr>
        <w:t xml:space="preserve">insist on the appropriateness of the approach chosen by the Council to identify and regulate more tightly ART used as means of payment, while underlining the risks of the approach chosen by the European Parliament even if both approaches share the same objective ; </w:t>
      </w:r>
    </w:p>
    <w:p w:rsidR="00107863" w:rsidRPr="00107863" w:rsidRDefault="00107863" w:rsidP="00107863">
      <w:pPr>
        <w:pStyle w:val="NormalWeb"/>
        <w:numPr>
          <w:ilvl w:val="0"/>
          <w:numId w:val="24"/>
        </w:numPr>
        <w:shd w:val="clear" w:color="auto" w:fill="FFFFFF" w:themeFill="background1"/>
        <w:spacing w:before="60" w:beforeAutospacing="0" w:after="120" w:afterAutospacing="0" w:line="360" w:lineRule="auto"/>
        <w:jc w:val="both"/>
        <w:rPr>
          <w:rFonts w:asciiTheme="majorBidi" w:hAnsiTheme="majorBidi" w:cstheme="majorBidi"/>
        </w:rPr>
      </w:pPr>
      <w:r w:rsidRPr="00107863">
        <w:rPr>
          <w:rFonts w:asciiTheme="majorBidi" w:hAnsiTheme="majorBidi" w:cstheme="majorBidi"/>
        </w:rPr>
        <w:t>show flexibility on the liquidity requirement applying to significant ART to have a proportion of assets in the reserve stored in bank deposits ;</w:t>
      </w:r>
    </w:p>
    <w:p w:rsidR="00107863" w:rsidRPr="00107863" w:rsidRDefault="00107863" w:rsidP="00107863">
      <w:pPr>
        <w:pStyle w:val="NormalWeb"/>
        <w:numPr>
          <w:ilvl w:val="0"/>
          <w:numId w:val="24"/>
        </w:numPr>
        <w:shd w:val="clear" w:color="auto" w:fill="FFFFFF" w:themeFill="background1"/>
        <w:spacing w:before="60" w:beforeAutospacing="0" w:after="120" w:afterAutospacing="0" w:line="360" w:lineRule="auto"/>
        <w:jc w:val="both"/>
        <w:rPr>
          <w:rFonts w:asciiTheme="majorBidi" w:hAnsiTheme="majorBidi" w:cstheme="majorBidi"/>
        </w:rPr>
      </w:pPr>
      <w:r w:rsidRPr="00107863">
        <w:rPr>
          <w:rFonts w:asciiTheme="majorBidi" w:hAnsiTheme="majorBidi" w:cstheme="majorBidi"/>
        </w:rPr>
        <w:t xml:space="preserve">defend the discretion given by the Council to national supervisors to increase own fund requirements, notably depending on the outcome of </w:t>
      </w:r>
      <w:r w:rsidRPr="00107863">
        <w:rPr>
          <w:rFonts w:asciiTheme="majorBidi" w:hAnsiTheme="majorBidi" w:cstheme="majorBidi"/>
          <w:i/>
          <w:iCs/>
        </w:rPr>
        <w:t>stress-tests</w:t>
      </w:r>
      <w:r w:rsidRPr="00107863">
        <w:rPr>
          <w:rFonts w:asciiTheme="majorBidi" w:hAnsiTheme="majorBidi" w:cstheme="majorBidi"/>
        </w:rPr>
        <w:t xml:space="preserve">. </w:t>
      </w:r>
    </w:p>
    <w:p w:rsidR="00107863" w:rsidRPr="00107863" w:rsidRDefault="00107863" w:rsidP="00107863">
      <w:pPr>
        <w:pStyle w:val="NormalWeb"/>
        <w:numPr>
          <w:ilvl w:val="0"/>
          <w:numId w:val="21"/>
        </w:numPr>
        <w:shd w:val="clear" w:color="auto" w:fill="FFFFFF" w:themeFill="background1"/>
        <w:spacing w:before="120" w:beforeAutospacing="0" w:after="60" w:afterAutospacing="0" w:line="360" w:lineRule="auto"/>
        <w:ind w:left="567" w:hanging="567"/>
        <w:jc w:val="both"/>
        <w:rPr>
          <w:rFonts w:asciiTheme="majorBidi" w:hAnsiTheme="majorBidi" w:cstheme="majorBidi"/>
        </w:rPr>
      </w:pPr>
      <w:r w:rsidRPr="00107863">
        <w:rPr>
          <w:rFonts w:asciiTheme="majorBidi" w:hAnsiTheme="majorBidi" w:cstheme="majorBidi"/>
        </w:rPr>
        <w:t>Regarding crypto-assets deemed stable referring to a single official currency (« e-money tokens » or « </w:t>
      </w:r>
      <w:r w:rsidRPr="00107863">
        <w:rPr>
          <w:rFonts w:asciiTheme="majorBidi" w:hAnsiTheme="majorBidi" w:cstheme="majorBidi"/>
          <w:u w:val="single"/>
        </w:rPr>
        <w:t>EMT</w:t>
      </w:r>
      <w:r w:rsidRPr="00107863">
        <w:rPr>
          <w:rFonts w:asciiTheme="majorBidi" w:hAnsiTheme="majorBidi" w:cstheme="majorBidi"/>
        </w:rPr>
        <w:t xml:space="preserve"> »), the Presidency could : </w:t>
      </w:r>
    </w:p>
    <w:p w:rsidR="00107863" w:rsidRPr="00107863" w:rsidRDefault="00107863" w:rsidP="00107863">
      <w:pPr>
        <w:pStyle w:val="NormalWeb"/>
        <w:numPr>
          <w:ilvl w:val="0"/>
          <w:numId w:val="26"/>
        </w:numPr>
        <w:shd w:val="clear" w:color="auto" w:fill="FFFFFF" w:themeFill="background1"/>
        <w:spacing w:before="60" w:beforeAutospacing="0" w:after="60" w:afterAutospacing="0" w:line="360" w:lineRule="auto"/>
        <w:jc w:val="both"/>
        <w:rPr>
          <w:rFonts w:asciiTheme="majorBidi" w:hAnsiTheme="majorBidi" w:cstheme="majorBidi"/>
        </w:rPr>
      </w:pPr>
      <w:r w:rsidRPr="00107863">
        <w:rPr>
          <w:rFonts w:asciiTheme="majorBidi" w:hAnsiTheme="majorBidi" w:cstheme="majorBidi"/>
        </w:rPr>
        <w:t>underline the downsides of granting the ECB the power to authorize issuers of EMT, while the Council already grants a veto power to the ECB (or national central banks for non euro-area Member States) ;</w:t>
      </w:r>
    </w:p>
    <w:p w:rsidR="00107863" w:rsidRPr="00107863" w:rsidRDefault="00107863" w:rsidP="00107863">
      <w:pPr>
        <w:pStyle w:val="NormalWeb"/>
        <w:numPr>
          <w:ilvl w:val="0"/>
          <w:numId w:val="26"/>
        </w:numPr>
        <w:shd w:val="clear" w:color="auto" w:fill="FFFFFF" w:themeFill="background1"/>
        <w:spacing w:before="60" w:beforeAutospacing="0" w:after="120" w:afterAutospacing="0" w:line="360" w:lineRule="auto"/>
        <w:jc w:val="both"/>
        <w:rPr>
          <w:rFonts w:asciiTheme="majorBidi" w:hAnsiTheme="majorBidi" w:cstheme="majorBidi"/>
        </w:rPr>
      </w:pPr>
      <w:r w:rsidRPr="00107863">
        <w:rPr>
          <w:rFonts w:asciiTheme="majorBidi" w:hAnsiTheme="majorBidi" w:cstheme="majorBidi"/>
        </w:rPr>
        <w:t>ask the EP for clarifications with regard to some provisions included in its negotiating mandate (redemption deadlines, obligation to fulfil redemption request of a holder of EMT enlarged to encompass third party entities that has been in contractual arrangements with the issuer, such as custodians) ;</w:t>
      </w:r>
    </w:p>
    <w:p w:rsidR="00107863" w:rsidRPr="00107863" w:rsidRDefault="00C749A7" w:rsidP="00107863">
      <w:pPr>
        <w:pStyle w:val="NormalWeb"/>
        <w:numPr>
          <w:ilvl w:val="0"/>
          <w:numId w:val="21"/>
        </w:numPr>
        <w:shd w:val="clear" w:color="auto" w:fill="FFFFFF" w:themeFill="background1"/>
        <w:spacing w:before="120" w:beforeAutospacing="0" w:after="60" w:afterAutospacing="0" w:line="360" w:lineRule="auto"/>
        <w:ind w:left="567" w:hanging="567"/>
        <w:jc w:val="both"/>
        <w:rPr>
          <w:rFonts w:asciiTheme="majorBidi" w:hAnsiTheme="majorBidi" w:cstheme="majorBidi"/>
        </w:rPr>
      </w:pPr>
      <w:r>
        <w:rPr>
          <w:rFonts w:asciiTheme="majorBidi" w:hAnsiTheme="majorBidi" w:cstheme="majorBidi"/>
        </w:rPr>
        <w:br w:type="page"/>
      </w:r>
      <w:r w:rsidR="00107863" w:rsidRPr="00107863">
        <w:rPr>
          <w:rFonts w:asciiTheme="majorBidi" w:hAnsiTheme="majorBidi" w:cstheme="majorBidi"/>
        </w:rPr>
        <w:t>The co-legislators made different choices on the supervisory framework. The Presidency could:</w:t>
      </w:r>
    </w:p>
    <w:p w:rsidR="00107863" w:rsidRPr="00107863" w:rsidRDefault="00107863" w:rsidP="00107863">
      <w:pPr>
        <w:pStyle w:val="NormalWeb"/>
        <w:numPr>
          <w:ilvl w:val="0"/>
          <w:numId w:val="25"/>
        </w:numPr>
        <w:shd w:val="clear" w:color="auto" w:fill="FFFFFF" w:themeFill="background1"/>
        <w:spacing w:before="60" w:beforeAutospacing="0" w:after="60" w:afterAutospacing="0" w:line="360" w:lineRule="auto"/>
        <w:jc w:val="both"/>
        <w:rPr>
          <w:rFonts w:asciiTheme="majorBidi" w:hAnsiTheme="majorBidi" w:cstheme="majorBidi"/>
        </w:rPr>
      </w:pPr>
      <w:r w:rsidRPr="00107863">
        <w:rPr>
          <w:rFonts w:asciiTheme="majorBidi" w:hAnsiTheme="majorBidi" w:cstheme="majorBidi"/>
        </w:rPr>
        <w:t>oppose a supervision by ESMA of the biggest crypto-asset service providers (CASP), and promote an alignment in this regard with the EU legislation applying to equivalent entities in the sphere of traditional finance (for instance trading venues);</w:t>
      </w:r>
    </w:p>
    <w:p w:rsidR="00107863" w:rsidRPr="00107863" w:rsidRDefault="00107863" w:rsidP="00107863">
      <w:pPr>
        <w:pStyle w:val="NormalWeb"/>
        <w:numPr>
          <w:ilvl w:val="0"/>
          <w:numId w:val="25"/>
        </w:numPr>
        <w:shd w:val="clear" w:color="auto" w:fill="FFFFFF" w:themeFill="background1"/>
        <w:spacing w:before="60" w:beforeAutospacing="0" w:after="60" w:afterAutospacing="0" w:line="360" w:lineRule="auto"/>
        <w:jc w:val="both"/>
        <w:rPr>
          <w:rFonts w:asciiTheme="majorBidi" w:hAnsiTheme="majorBidi" w:cstheme="majorBidi"/>
        </w:rPr>
      </w:pPr>
      <w:r w:rsidRPr="00107863">
        <w:rPr>
          <w:rFonts w:asciiTheme="majorBidi" w:hAnsiTheme="majorBidi" w:cstheme="majorBidi"/>
        </w:rPr>
        <w:t xml:space="preserve">maintain the Council restrictions on the scope of legal opinions issued by EBA and ESMA in the authorization process of ART issuers (classification of the crypto-asset); </w:t>
      </w:r>
    </w:p>
    <w:p w:rsidR="00107863" w:rsidRPr="00107863" w:rsidRDefault="00107863" w:rsidP="00107863">
      <w:pPr>
        <w:pStyle w:val="NormalWeb"/>
        <w:numPr>
          <w:ilvl w:val="0"/>
          <w:numId w:val="25"/>
        </w:numPr>
        <w:shd w:val="clear" w:color="auto" w:fill="FFFFFF" w:themeFill="background1"/>
        <w:spacing w:before="60" w:beforeAutospacing="0" w:after="60" w:afterAutospacing="0" w:line="360" w:lineRule="auto"/>
        <w:jc w:val="both"/>
        <w:rPr>
          <w:rFonts w:asciiTheme="majorBidi" w:hAnsiTheme="majorBidi" w:cstheme="majorBidi"/>
        </w:rPr>
      </w:pPr>
      <w:r w:rsidRPr="00107863">
        <w:rPr>
          <w:rFonts w:asciiTheme="majorBidi" w:hAnsiTheme="majorBidi" w:cstheme="majorBidi"/>
        </w:rPr>
        <w:t>insist strongly on the importance to take into account the specificities of non euro area Member States (national supervision for issuers of significant EMT referring a non euro currency and used predominantly – 80% – in a single Member State);</w:t>
      </w:r>
    </w:p>
    <w:p w:rsidR="00107863" w:rsidRPr="00107863" w:rsidRDefault="00107863" w:rsidP="00107863">
      <w:pPr>
        <w:pStyle w:val="NormalWeb"/>
        <w:numPr>
          <w:ilvl w:val="0"/>
          <w:numId w:val="25"/>
        </w:numPr>
        <w:shd w:val="clear" w:color="auto" w:fill="FFFFFF" w:themeFill="background1"/>
        <w:spacing w:before="60" w:beforeAutospacing="0" w:after="120" w:afterAutospacing="0" w:line="360" w:lineRule="auto"/>
        <w:jc w:val="both"/>
        <w:rPr>
          <w:rFonts w:asciiTheme="majorBidi" w:hAnsiTheme="majorBidi" w:cstheme="majorBidi"/>
        </w:rPr>
      </w:pPr>
      <w:r w:rsidRPr="00107863">
        <w:rPr>
          <w:rFonts w:asciiTheme="majorBidi" w:hAnsiTheme="majorBidi" w:cstheme="majorBidi"/>
        </w:rPr>
        <w:t>explain the European Parliament the practical need for national supervisors to be given sufficient time to authorize CASP (3 months in the Council mandate) and reject the European Parliament’s idea of an automatic approval of a CASP once the deadline for authorization has expired, which would pose reputational and operational risks.</w:t>
      </w:r>
    </w:p>
    <w:p w:rsidR="00107863" w:rsidRPr="00107863" w:rsidRDefault="009F229A" w:rsidP="00107863">
      <w:pPr>
        <w:pStyle w:val="NormalWeb"/>
        <w:numPr>
          <w:ilvl w:val="0"/>
          <w:numId w:val="27"/>
        </w:numPr>
        <w:shd w:val="clear" w:color="auto" w:fill="FFFFFF" w:themeFill="background1"/>
        <w:spacing w:before="120" w:beforeAutospacing="0" w:after="120" w:afterAutospacing="0" w:line="360" w:lineRule="auto"/>
        <w:ind w:left="567" w:hanging="567"/>
        <w:jc w:val="both"/>
        <w:rPr>
          <w:rFonts w:asciiTheme="majorBidi" w:hAnsiTheme="majorBidi" w:cstheme="majorBidi"/>
        </w:rPr>
      </w:pPr>
      <w:r>
        <w:rPr>
          <w:rFonts w:asciiTheme="majorBidi" w:hAnsiTheme="majorBidi" w:cstheme="majorBidi"/>
        </w:rPr>
        <w:br w:type="page"/>
      </w:r>
      <w:r w:rsidR="00107863" w:rsidRPr="00107863">
        <w:rPr>
          <w:rFonts w:asciiTheme="majorBidi" w:hAnsiTheme="majorBidi" w:cstheme="majorBidi"/>
        </w:rPr>
        <w:t xml:space="preserve">The idea to take into account the </w:t>
      </w:r>
      <w:r w:rsidR="00107863" w:rsidRPr="00107863">
        <w:rPr>
          <w:rFonts w:asciiTheme="majorBidi" w:hAnsiTheme="majorBidi" w:cstheme="majorBidi"/>
          <w:u w:val="single"/>
        </w:rPr>
        <w:t>environmental impact</w:t>
      </w:r>
      <w:r w:rsidR="00107863" w:rsidRPr="00107863">
        <w:rPr>
          <w:rFonts w:asciiTheme="majorBidi" w:hAnsiTheme="majorBidi" w:cstheme="majorBidi"/>
        </w:rPr>
        <w:t xml:space="preserve"> of issuances and transactions of crypto-assets will be discussed more in details on the basis of a compromise proposal of the European Commission. The Presidency could, in the spirit of compromise, show openness on this topic, while requiring compliance with the principles of proportionality and technology neutrality. </w:t>
      </w:r>
    </w:p>
    <w:p w:rsidR="00107863" w:rsidRPr="00107863" w:rsidRDefault="00107863" w:rsidP="00107863">
      <w:pPr>
        <w:pStyle w:val="NormalWeb"/>
        <w:numPr>
          <w:ilvl w:val="0"/>
          <w:numId w:val="27"/>
        </w:numPr>
        <w:shd w:val="clear" w:color="auto" w:fill="FFFFFF" w:themeFill="background1"/>
        <w:spacing w:before="120" w:beforeAutospacing="0" w:after="120" w:afterAutospacing="0" w:line="360" w:lineRule="auto"/>
        <w:ind w:left="567" w:hanging="567"/>
        <w:jc w:val="both"/>
        <w:rPr>
          <w:rFonts w:asciiTheme="majorBidi" w:hAnsiTheme="majorBidi" w:cstheme="majorBidi"/>
        </w:rPr>
      </w:pPr>
      <w:r w:rsidRPr="00107863">
        <w:rPr>
          <w:rFonts w:asciiTheme="majorBidi" w:hAnsiTheme="majorBidi" w:cstheme="majorBidi"/>
        </w:rPr>
        <w:t xml:space="preserve">The Presidency will once again advocate for dealing with money laundering and terrorism financing issues in the AML-CFT package currently under discussion. </w:t>
      </w:r>
    </w:p>
    <w:p w:rsidR="00107863" w:rsidRPr="00107863" w:rsidRDefault="00107863" w:rsidP="00107863">
      <w:pPr>
        <w:pStyle w:val="NormalWeb"/>
        <w:numPr>
          <w:ilvl w:val="0"/>
          <w:numId w:val="27"/>
        </w:numPr>
        <w:shd w:val="clear" w:color="auto" w:fill="FFFFFF" w:themeFill="background1"/>
        <w:spacing w:before="120" w:beforeAutospacing="0" w:after="240" w:afterAutospacing="0" w:line="360" w:lineRule="auto"/>
        <w:ind w:left="567" w:hanging="567"/>
        <w:jc w:val="both"/>
        <w:rPr>
          <w:rFonts w:asciiTheme="majorBidi" w:hAnsiTheme="majorBidi" w:cstheme="majorBidi"/>
        </w:rPr>
      </w:pPr>
      <w:r w:rsidRPr="00107863">
        <w:rPr>
          <w:rFonts w:asciiTheme="majorBidi" w:hAnsiTheme="majorBidi" w:cstheme="majorBidi"/>
        </w:rPr>
        <w:t xml:space="preserve">The Presidency will stick to the Council mandate concerning transitional provisions and will be open, in a spirit of compromise, to include in the </w:t>
      </w:r>
      <w:r w:rsidRPr="00107863">
        <w:rPr>
          <w:rFonts w:asciiTheme="majorBidi" w:hAnsiTheme="majorBidi" w:cstheme="majorBidi"/>
          <w:u w:val="single"/>
        </w:rPr>
        <w:t>review clause</w:t>
      </w:r>
      <w:r w:rsidRPr="00107863">
        <w:rPr>
          <w:rFonts w:asciiTheme="majorBidi" w:hAnsiTheme="majorBidi" w:cstheme="majorBidi"/>
        </w:rPr>
        <w:t xml:space="preserve"> provisions related to decentralized finance, non-fungible tokens, and the environmental and climates impacts of the crypto ecosystem. </w:t>
      </w:r>
    </w:p>
    <w:p w:rsidR="00107863" w:rsidRPr="00107863" w:rsidRDefault="00107863" w:rsidP="00107863">
      <w:pPr>
        <w:pStyle w:val="NormalWeb"/>
        <w:shd w:val="clear" w:color="auto" w:fill="FFFFFF" w:themeFill="background1"/>
        <w:spacing w:after="120" w:afterAutospacing="0" w:line="360" w:lineRule="auto"/>
        <w:jc w:val="both"/>
        <w:rPr>
          <w:rFonts w:asciiTheme="majorBidi" w:hAnsiTheme="majorBidi" w:cstheme="majorBidi"/>
          <w:b/>
          <w:bCs/>
          <w:u w:val="single"/>
        </w:rPr>
      </w:pPr>
      <w:r w:rsidRPr="00107863">
        <w:rPr>
          <w:rFonts w:asciiTheme="majorBidi" w:hAnsiTheme="majorBidi" w:cstheme="majorBidi"/>
          <w:b/>
          <w:bCs/>
        </w:rPr>
        <w:t>III.</w:t>
      </w:r>
      <w:r w:rsidRPr="00107863">
        <w:rPr>
          <w:rFonts w:asciiTheme="majorBidi" w:hAnsiTheme="majorBidi" w:cstheme="majorBidi"/>
          <w:b/>
          <w:bCs/>
        </w:rPr>
        <w:tab/>
      </w:r>
      <w:r w:rsidRPr="00107863">
        <w:rPr>
          <w:rFonts w:asciiTheme="majorBidi" w:hAnsiTheme="majorBidi" w:cstheme="majorBidi"/>
          <w:b/>
          <w:bCs/>
          <w:u w:val="single"/>
        </w:rPr>
        <w:t>Question</w:t>
      </w:r>
    </w:p>
    <w:p w:rsidR="00674EB1" w:rsidRPr="00107863" w:rsidRDefault="00107863" w:rsidP="009F229A">
      <w:pPr>
        <w:pStyle w:val="NormalWeb"/>
        <w:keepNext/>
        <w:numPr>
          <w:ilvl w:val="0"/>
          <w:numId w:val="21"/>
        </w:numPr>
        <w:shd w:val="clear" w:color="auto" w:fill="FFFFFF" w:themeFill="background1"/>
        <w:spacing w:before="120" w:beforeAutospacing="0" w:after="120" w:afterAutospacing="0" w:line="360" w:lineRule="auto"/>
        <w:ind w:left="567" w:hanging="567"/>
        <w:jc w:val="both"/>
        <w:rPr>
          <w:rFonts w:asciiTheme="majorBidi" w:hAnsiTheme="majorBidi" w:cstheme="majorBidi"/>
        </w:rPr>
      </w:pPr>
      <w:r w:rsidRPr="00107863">
        <w:rPr>
          <w:rFonts w:asciiTheme="majorBidi" w:hAnsiTheme="majorBidi" w:cstheme="majorBidi"/>
        </w:rPr>
        <w:t>In the light of the previous points, the Permanent Representatives Committee is invited to support the negotiating position proposed by the Presidency.</w:t>
      </w:r>
    </w:p>
    <w:p w:rsidR="00674EB1" w:rsidRPr="00107863" w:rsidRDefault="00674EB1" w:rsidP="00674EB1">
      <w:pPr>
        <w:pStyle w:val="FinalLine"/>
        <w:jc w:val="left"/>
      </w:pPr>
    </w:p>
    <w:p w:rsidR="000A1864" w:rsidRPr="00107863" w:rsidRDefault="000A1864" w:rsidP="000A1864"/>
    <w:sectPr w:rsidR="000A1864" w:rsidRPr="00107863" w:rsidSect="009F229A">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864" w:rsidRDefault="000A1864" w:rsidP="001B675E">
      <w:pPr>
        <w:spacing w:before="0" w:after="0" w:line="240" w:lineRule="auto"/>
      </w:pPr>
      <w:r>
        <w:separator/>
      </w:r>
    </w:p>
  </w:endnote>
  <w:endnote w:type="continuationSeparator" w:id="0">
    <w:p w:rsidR="000A1864" w:rsidRDefault="000A1864" w:rsidP="001B675E">
      <w:pPr>
        <w:spacing w:before="0" w:after="0" w:line="240" w:lineRule="auto"/>
      </w:pPr>
      <w:r>
        <w:continuationSeparator/>
      </w:r>
    </w:p>
  </w:endnote>
  <w:endnote w:type="continuationNotice" w:id="1">
    <w:p w:rsidR="000A1864" w:rsidRDefault="000A18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276" w:rsidRDefault="00354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9F229A" w:rsidRPr="00D94637" w:rsidTr="009F229A">
      <w:trPr>
        <w:jc w:val="center"/>
      </w:trPr>
      <w:tc>
        <w:tcPr>
          <w:tcW w:w="5000" w:type="pct"/>
          <w:gridSpan w:val="7"/>
          <w:shd w:val="clear" w:color="auto" w:fill="auto"/>
          <w:tcMar>
            <w:top w:w="57" w:type="dxa"/>
          </w:tcMar>
        </w:tcPr>
        <w:p w:rsidR="009F229A" w:rsidRPr="00D94637" w:rsidRDefault="009F229A" w:rsidP="00D94637">
          <w:pPr>
            <w:pStyle w:val="FooterText"/>
            <w:pBdr>
              <w:top w:val="single" w:sz="4" w:space="1" w:color="auto"/>
            </w:pBdr>
            <w:spacing w:before="200"/>
            <w:rPr>
              <w:sz w:val="2"/>
              <w:szCs w:val="2"/>
            </w:rPr>
          </w:pPr>
          <w:bookmarkStart w:id="2" w:name="FOOTER_STANDARD"/>
        </w:p>
      </w:tc>
    </w:tr>
    <w:tr w:rsidR="009F229A" w:rsidRPr="00B310DC" w:rsidTr="009F229A">
      <w:trPr>
        <w:jc w:val="center"/>
      </w:trPr>
      <w:tc>
        <w:tcPr>
          <w:tcW w:w="2500" w:type="pct"/>
          <w:gridSpan w:val="2"/>
          <w:shd w:val="clear" w:color="auto" w:fill="auto"/>
          <w:tcMar>
            <w:top w:w="0" w:type="dxa"/>
          </w:tcMar>
        </w:tcPr>
        <w:p w:rsidR="009F229A" w:rsidRPr="00AD7BF2" w:rsidRDefault="009F229A" w:rsidP="004F54B2">
          <w:pPr>
            <w:pStyle w:val="FooterText"/>
          </w:pPr>
          <w:r>
            <w:t>8717/22</w:t>
          </w:r>
          <w:r w:rsidRPr="002511D8">
            <w:t xml:space="preserve"> </w:t>
          </w:r>
        </w:p>
      </w:tc>
      <w:tc>
        <w:tcPr>
          <w:tcW w:w="625" w:type="pct"/>
          <w:shd w:val="clear" w:color="auto" w:fill="auto"/>
          <w:tcMar>
            <w:top w:w="0" w:type="dxa"/>
          </w:tcMar>
        </w:tcPr>
        <w:p w:rsidR="009F229A" w:rsidRPr="00AD7BF2" w:rsidRDefault="009F229A" w:rsidP="00D94637">
          <w:pPr>
            <w:pStyle w:val="FooterText"/>
            <w:jc w:val="center"/>
          </w:pPr>
        </w:p>
      </w:tc>
      <w:tc>
        <w:tcPr>
          <w:tcW w:w="1286" w:type="pct"/>
          <w:gridSpan w:val="3"/>
          <w:shd w:val="clear" w:color="auto" w:fill="auto"/>
          <w:tcMar>
            <w:top w:w="0" w:type="dxa"/>
          </w:tcMar>
        </w:tcPr>
        <w:p w:rsidR="009F229A" w:rsidRPr="002511D8" w:rsidRDefault="009F229A" w:rsidP="00D94637">
          <w:pPr>
            <w:pStyle w:val="FooterText"/>
            <w:jc w:val="center"/>
          </w:pPr>
          <w:r>
            <w:t>RGP/jk</w:t>
          </w:r>
        </w:p>
      </w:tc>
      <w:tc>
        <w:tcPr>
          <w:tcW w:w="589" w:type="pct"/>
          <w:shd w:val="clear" w:color="auto" w:fill="auto"/>
          <w:tcMar>
            <w:top w:w="0" w:type="dxa"/>
          </w:tcMar>
        </w:tcPr>
        <w:p w:rsidR="009F229A" w:rsidRPr="00B310DC" w:rsidRDefault="009F229A" w:rsidP="009F229A">
          <w:pPr>
            <w:pStyle w:val="FooterText"/>
            <w:jc w:val="right"/>
          </w:pPr>
          <w:r>
            <w:fldChar w:fldCharType="begin"/>
          </w:r>
          <w:r>
            <w:instrText xml:space="preserve"> PAGE  \* MERGEFORMAT </w:instrText>
          </w:r>
          <w:r>
            <w:fldChar w:fldCharType="separate"/>
          </w:r>
          <w:r w:rsidR="00354276">
            <w:rPr>
              <w:noProof/>
            </w:rPr>
            <w:t>2</w:t>
          </w:r>
          <w:r>
            <w:fldChar w:fldCharType="end"/>
          </w:r>
        </w:p>
      </w:tc>
    </w:tr>
    <w:tr w:rsidR="009F229A" w:rsidRPr="00D94637" w:rsidTr="009F229A">
      <w:trPr>
        <w:jc w:val="center"/>
      </w:trPr>
      <w:tc>
        <w:tcPr>
          <w:tcW w:w="1774" w:type="pct"/>
          <w:shd w:val="clear" w:color="auto" w:fill="auto"/>
        </w:tcPr>
        <w:p w:rsidR="009F229A" w:rsidRPr="00AD7BF2" w:rsidRDefault="009F229A" w:rsidP="00D94637">
          <w:pPr>
            <w:pStyle w:val="FooterText"/>
            <w:spacing w:before="40"/>
          </w:pPr>
        </w:p>
      </w:tc>
      <w:tc>
        <w:tcPr>
          <w:tcW w:w="1455" w:type="pct"/>
          <w:gridSpan w:val="3"/>
          <w:shd w:val="clear" w:color="auto" w:fill="auto"/>
        </w:tcPr>
        <w:p w:rsidR="009F229A" w:rsidRPr="00AD7BF2" w:rsidRDefault="009F229A" w:rsidP="00D204D6">
          <w:pPr>
            <w:pStyle w:val="FooterText"/>
            <w:spacing w:before="40"/>
            <w:jc w:val="center"/>
          </w:pPr>
          <w:r>
            <w:t>ECOFIN.1.B</w:t>
          </w:r>
        </w:p>
      </w:tc>
      <w:tc>
        <w:tcPr>
          <w:tcW w:w="742" w:type="pct"/>
          <w:shd w:val="clear" w:color="auto" w:fill="auto"/>
        </w:tcPr>
        <w:p w:rsidR="009F229A" w:rsidRPr="00D94637" w:rsidRDefault="009F229A" w:rsidP="002F0099">
          <w:pPr>
            <w:pStyle w:val="FooterText"/>
            <w:jc w:val="center"/>
            <w:rPr>
              <w:b/>
              <w:position w:val="-4"/>
              <w:sz w:val="36"/>
            </w:rPr>
          </w:pPr>
          <w:r>
            <w:rPr>
              <w:b/>
              <w:position w:val="-4"/>
              <w:sz w:val="36"/>
            </w:rPr>
            <w:t>LIMITE</w:t>
          </w:r>
        </w:p>
      </w:tc>
      <w:tc>
        <w:tcPr>
          <w:tcW w:w="1029" w:type="pct"/>
          <w:gridSpan w:val="2"/>
          <w:shd w:val="clear" w:color="auto" w:fill="auto"/>
        </w:tcPr>
        <w:p w:rsidR="009F229A" w:rsidRPr="000310C2" w:rsidRDefault="009F229A" w:rsidP="00D94637">
          <w:pPr>
            <w:pStyle w:val="FooterText"/>
            <w:jc w:val="right"/>
            <w:rPr>
              <w:spacing w:val="-20"/>
              <w:sz w:val="16"/>
            </w:rPr>
          </w:pPr>
          <w:r>
            <w:rPr>
              <w:b/>
              <w:spacing w:val="-20"/>
              <w:position w:val="-4"/>
              <w:sz w:val="36"/>
            </w:rPr>
            <w:t>EN</w:t>
          </w:r>
        </w:p>
      </w:tc>
    </w:tr>
    <w:bookmarkEnd w:id="2"/>
  </w:tbl>
  <w:p w:rsidR="000A1864" w:rsidRPr="009F229A" w:rsidRDefault="000A1864" w:rsidP="009F229A">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9F229A" w:rsidRPr="00D94637" w:rsidTr="009F229A">
      <w:trPr>
        <w:jc w:val="center"/>
      </w:trPr>
      <w:tc>
        <w:tcPr>
          <w:tcW w:w="5000" w:type="pct"/>
          <w:gridSpan w:val="7"/>
          <w:shd w:val="clear" w:color="auto" w:fill="auto"/>
          <w:tcMar>
            <w:top w:w="57" w:type="dxa"/>
          </w:tcMar>
        </w:tcPr>
        <w:p w:rsidR="009F229A" w:rsidRPr="00D94637" w:rsidRDefault="009F229A" w:rsidP="00D94637">
          <w:pPr>
            <w:pStyle w:val="FooterText"/>
            <w:pBdr>
              <w:top w:val="single" w:sz="4" w:space="1" w:color="auto"/>
            </w:pBdr>
            <w:spacing w:before="200"/>
            <w:rPr>
              <w:sz w:val="2"/>
              <w:szCs w:val="2"/>
            </w:rPr>
          </w:pPr>
        </w:p>
      </w:tc>
    </w:tr>
    <w:tr w:rsidR="009F229A" w:rsidRPr="00B310DC" w:rsidTr="009F229A">
      <w:trPr>
        <w:jc w:val="center"/>
      </w:trPr>
      <w:tc>
        <w:tcPr>
          <w:tcW w:w="2500" w:type="pct"/>
          <w:gridSpan w:val="2"/>
          <w:shd w:val="clear" w:color="auto" w:fill="auto"/>
          <w:tcMar>
            <w:top w:w="0" w:type="dxa"/>
          </w:tcMar>
        </w:tcPr>
        <w:p w:rsidR="009F229A" w:rsidRPr="00AD7BF2" w:rsidRDefault="009F229A" w:rsidP="004F54B2">
          <w:pPr>
            <w:pStyle w:val="FooterText"/>
          </w:pPr>
          <w:r>
            <w:t>8717/22</w:t>
          </w:r>
          <w:r w:rsidRPr="002511D8">
            <w:t xml:space="preserve"> </w:t>
          </w:r>
        </w:p>
      </w:tc>
      <w:tc>
        <w:tcPr>
          <w:tcW w:w="625" w:type="pct"/>
          <w:shd w:val="clear" w:color="auto" w:fill="auto"/>
          <w:tcMar>
            <w:top w:w="0" w:type="dxa"/>
          </w:tcMar>
        </w:tcPr>
        <w:p w:rsidR="009F229A" w:rsidRPr="00AD7BF2" w:rsidRDefault="009F229A" w:rsidP="00D94637">
          <w:pPr>
            <w:pStyle w:val="FooterText"/>
            <w:jc w:val="center"/>
          </w:pPr>
        </w:p>
      </w:tc>
      <w:tc>
        <w:tcPr>
          <w:tcW w:w="1286" w:type="pct"/>
          <w:gridSpan w:val="3"/>
          <w:shd w:val="clear" w:color="auto" w:fill="auto"/>
          <w:tcMar>
            <w:top w:w="0" w:type="dxa"/>
          </w:tcMar>
        </w:tcPr>
        <w:p w:rsidR="009F229A" w:rsidRPr="002511D8" w:rsidRDefault="009F229A" w:rsidP="00D94637">
          <w:pPr>
            <w:pStyle w:val="FooterText"/>
            <w:jc w:val="center"/>
          </w:pPr>
          <w:r>
            <w:t>RGP/jk</w:t>
          </w:r>
        </w:p>
      </w:tc>
      <w:tc>
        <w:tcPr>
          <w:tcW w:w="589" w:type="pct"/>
          <w:shd w:val="clear" w:color="auto" w:fill="auto"/>
          <w:tcMar>
            <w:top w:w="0" w:type="dxa"/>
          </w:tcMar>
        </w:tcPr>
        <w:p w:rsidR="009F229A" w:rsidRPr="00B310DC" w:rsidRDefault="009F229A" w:rsidP="009F229A">
          <w:pPr>
            <w:pStyle w:val="FooterText"/>
            <w:jc w:val="right"/>
          </w:pPr>
          <w:r>
            <w:fldChar w:fldCharType="begin"/>
          </w:r>
          <w:r>
            <w:instrText xml:space="preserve"> PAGE  \* MERGEFORMAT </w:instrText>
          </w:r>
          <w:r>
            <w:fldChar w:fldCharType="separate"/>
          </w:r>
          <w:r w:rsidR="00354276">
            <w:rPr>
              <w:noProof/>
            </w:rPr>
            <w:t>1</w:t>
          </w:r>
          <w:r>
            <w:fldChar w:fldCharType="end"/>
          </w:r>
        </w:p>
      </w:tc>
    </w:tr>
    <w:tr w:rsidR="009F229A" w:rsidRPr="00D94637" w:rsidTr="009F229A">
      <w:trPr>
        <w:jc w:val="center"/>
      </w:trPr>
      <w:tc>
        <w:tcPr>
          <w:tcW w:w="1774" w:type="pct"/>
          <w:shd w:val="clear" w:color="auto" w:fill="auto"/>
        </w:tcPr>
        <w:p w:rsidR="009F229A" w:rsidRPr="00AD7BF2" w:rsidRDefault="009F229A" w:rsidP="00D94637">
          <w:pPr>
            <w:pStyle w:val="FooterText"/>
            <w:spacing w:before="40"/>
          </w:pPr>
        </w:p>
      </w:tc>
      <w:tc>
        <w:tcPr>
          <w:tcW w:w="1455" w:type="pct"/>
          <w:gridSpan w:val="3"/>
          <w:shd w:val="clear" w:color="auto" w:fill="auto"/>
        </w:tcPr>
        <w:p w:rsidR="009F229A" w:rsidRPr="00AD7BF2" w:rsidRDefault="009F229A" w:rsidP="00D204D6">
          <w:pPr>
            <w:pStyle w:val="FooterText"/>
            <w:spacing w:before="40"/>
            <w:jc w:val="center"/>
          </w:pPr>
          <w:r>
            <w:t>ECOFIN.1.B</w:t>
          </w:r>
        </w:p>
      </w:tc>
      <w:tc>
        <w:tcPr>
          <w:tcW w:w="742" w:type="pct"/>
          <w:shd w:val="clear" w:color="auto" w:fill="auto"/>
        </w:tcPr>
        <w:p w:rsidR="009F229A" w:rsidRPr="00D94637" w:rsidRDefault="009F229A" w:rsidP="002F0099">
          <w:pPr>
            <w:pStyle w:val="FooterText"/>
            <w:jc w:val="center"/>
            <w:rPr>
              <w:b/>
              <w:position w:val="-4"/>
              <w:sz w:val="36"/>
            </w:rPr>
          </w:pPr>
          <w:r>
            <w:rPr>
              <w:b/>
              <w:position w:val="-4"/>
              <w:sz w:val="36"/>
            </w:rPr>
            <w:t>LIMITE</w:t>
          </w:r>
        </w:p>
      </w:tc>
      <w:tc>
        <w:tcPr>
          <w:tcW w:w="1029" w:type="pct"/>
          <w:gridSpan w:val="2"/>
          <w:shd w:val="clear" w:color="auto" w:fill="auto"/>
        </w:tcPr>
        <w:p w:rsidR="009F229A" w:rsidRPr="000310C2" w:rsidRDefault="009F229A" w:rsidP="00D94637">
          <w:pPr>
            <w:pStyle w:val="FooterText"/>
            <w:jc w:val="right"/>
            <w:rPr>
              <w:spacing w:val="-20"/>
              <w:sz w:val="16"/>
            </w:rPr>
          </w:pPr>
          <w:r>
            <w:rPr>
              <w:b/>
              <w:spacing w:val="-20"/>
              <w:position w:val="-4"/>
              <w:sz w:val="36"/>
            </w:rPr>
            <w:t>EN</w:t>
          </w:r>
        </w:p>
      </w:tc>
    </w:tr>
  </w:tbl>
  <w:p w:rsidR="000A1864" w:rsidRPr="009F229A" w:rsidRDefault="000A1864" w:rsidP="009F229A">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864" w:rsidRDefault="000A1864" w:rsidP="008D3C9A">
      <w:pPr>
        <w:spacing w:before="0" w:after="0" w:line="240" w:lineRule="auto"/>
      </w:pPr>
      <w:r>
        <w:separator/>
      </w:r>
    </w:p>
  </w:footnote>
  <w:footnote w:type="continuationSeparator" w:id="0">
    <w:p w:rsidR="000A1864" w:rsidRDefault="000A1864" w:rsidP="00EC3B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276" w:rsidRDefault="0035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864" w:rsidRPr="009F229A" w:rsidRDefault="009F229A" w:rsidP="009F229A">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864" w:rsidRPr="009F229A" w:rsidRDefault="009F229A" w:rsidP="009F229A">
    <w:pPr>
      <w:pStyle w:val="HeaderCouncil"/>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73C3793"/>
    <w:multiLevelType w:val="hybridMultilevel"/>
    <w:tmpl w:val="6206F680"/>
    <w:lvl w:ilvl="0" w:tplc="EF3462F8">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4"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6"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7" w15:restartNumberingAfterBreak="0">
    <w:nsid w:val="26350701"/>
    <w:multiLevelType w:val="hybridMultilevel"/>
    <w:tmpl w:val="D56E5ACC"/>
    <w:lvl w:ilvl="0" w:tplc="89341A60">
      <w:start w:val="10"/>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F6587F"/>
    <w:multiLevelType w:val="hybridMultilevel"/>
    <w:tmpl w:val="1F2E7F5E"/>
    <w:lvl w:ilvl="0" w:tplc="AB125D58">
      <w:start w:val="1"/>
      <w:numFmt w:val="lowerRoman"/>
      <w:lvlText w:val="(%1)"/>
      <w:lvlJc w:val="left"/>
      <w:pPr>
        <w:ind w:left="1080" w:hanging="720"/>
      </w:pPr>
      <w:rPr>
        <w:rFonts w:asciiTheme="majorBidi" w:eastAsia="Times New Roman" w:hAnsiTheme="majorBid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D66273"/>
    <w:multiLevelType w:val="hybridMultilevel"/>
    <w:tmpl w:val="50A2C906"/>
    <w:lvl w:ilvl="0" w:tplc="0809000F">
      <w:start w:val="1"/>
      <w:numFmt w:val="decimal"/>
      <w:lvlText w:val="%1."/>
      <w:lvlJc w:val="left"/>
      <w:pPr>
        <w:ind w:left="360" w:hanging="360"/>
      </w:pPr>
    </w:lvl>
    <w:lvl w:ilvl="1" w:tplc="89DE9C5A">
      <w:start w:val="1"/>
      <w:numFmt w:val="lowerRoman"/>
      <w:lvlText w:val="%2."/>
      <w:lvlJc w:val="left"/>
      <w:pPr>
        <w:ind w:left="1080" w:hanging="360"/>
      </w:pPr>
      <w:rPr>
        <w:rFonts w:asciiTheme="majorBidi" w:eastAsia="Times New Roman" w:hAnsiTheme="majorBidi" w:cstheme="majorBidi"/>
        <w:b w:val="0"/>
        <w:bCs/>
      </w:rPr>
    </w:lvl>
    <w:lvl w:ilvl="2" w:tplc="0407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714ACF"/>
    <w:multiLevelType w:val="hybridMultilevel"/>
    <w:tmpl w:val="C1021D98"/>
    <w:lvl w:ilvl="0" w:tplc="A5A0615C">
      <w:start w:val="1"/>
      <w:numFmt w:val="upperRoman"/>
      <w:lvlText w:val="%1."/>
      <w:lvlJc w:val="left"/>
      <w:pPr>
        <w:ind w:left="720" w:hanging="72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14" w15:restartNumberingAfterBreak="0">
    <w:nsid w:val="4D2121C1"/>
    <w:multiLevelType w:val="hybridMultilevel"/>
    <w:tmpl w:val="3C0AC52E"/>
    <w:lvl w:ilvl="0" w:tplc="4094E30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7"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20"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21"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22"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23"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4" w15:restartNumberingAfterBreak="0">
    <w:nsid w:val="722554D6"/>
    <w:multiLevelType w:val="hybridMultilevel"/>
    <w:tmpl w:val="D4EE2932"/>
    <w:lvl w:ilvl="0" w:tplc="240415F0">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26"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27"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8"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abstractNumId w:val="22"/>
  </w:num>
  <w:num w:numId="2">
    <w:abstractNumId w:val="1"/>
  </w:num>
  <w:num w:numId="3">
    <w:abstractNumId w:val="23"/>
  </w:num>
  <w:num w:numId="4">
    <w:abstractNumId w:val="19"/>
  </w:num>
  <w:num w:numId="5">
    <w:abstractNumId w:val="3"/>
  </w:num>
  <w:num w:numId="6">
    <w:abstractNumId w:val="26"/>
  </w:num>
  <w:num w:numId="7">
    <w:abstractNumId w:val="28"/>
  </w:num>
  <w:num w:numId="8">
    <w:abstractNumId w:val="16"/>
  </w:num>
  <w:num w:numId="9">
    <w:abstractNumId w:val="25"/>
  </w:num>
  <w:num w:numId="10">
    <w:abstractNumId w:val="20"/>
  </w:num>
  <w:num w:numId="11">
    <w:abstractNumId w:val="13"/>
  </w:num>
  <w:num w:numId="12">
    <w:abstractNumId w:val="6"/>
  </w:num>
  <w:num w:numId="13">
    <w:abstractNumId w:val="5"/>
  </w:num>
  <w:num w:numId="14">
    <w:abstractNumId w:val="21"/>
  </w:num>
  <w:num w:numId="15">
    <w:abstractNumId w:val="27"/>
  </w:num>
  <w:num w:numId="16">
    <w:abstractNumId w:val="0"/>
  </w:num>
  <w:num w:numId="17">
    <w:abstractNumId w:val="8"/>
  </w:num>
  <w:num w:numId="18">
    <w:abstractNumId w:val="4"/>
  </w:num>
  <w:num w:numId="19">
    <w:abstractNumId w:val="10"/>
  </w:num>
  <w:num w:numId="20">
    <w:abstractNumId w:val="17"/>
  </w:num>
  <w:num w:numId="21">
    <w:abstractNumId w:val="11"/>
  </w:num>
  <w:num w:numId="22">
    <w:abstractNumId w:val="12"/>
  </w:num>
  <w:num w:numId="23">
    <w:abstractNumId w:val="2"/>
  </w:num>
  <w:num w:numId="24">
    <w:abstractNumId w:val="24"/>
  </w:num>
  <w:num w:numId="25">
    <w:abstractNumId w:val="14"/>
  </w:num>
  <w:num w:numId="26">
    <w:abstractNumId w:val="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567"/>
  <w:hyphenationZone w:val="425"/>
  <w:characterSpacingControl w:val="doNotCompress"/>
  <w:hdrShapeDefaults>
    <o:shapedefaults v:ext="edit" spidmax="10241"/>
  </w:hdrShapeDefaults>
  <w:footnotePr>
    <w:footnote w:id="-1"/>
    <w:footnote w:id="0"/>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DocuWrite\Copylist"/>
    <w:docVar w:name="Council" w:val="true"/>
    <w:docVar w:name="DocuWriteMetaData" w:val="&lt;metadataset docuwriteversion=&quot;4.6.5&quot; technicalblockguid=&quot;4903758007291686008&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2-05-12&lt;/text&gt;_x000d__x000a_  &lt;/metadata&gt;_x000d__x000a_  &lt;metadata key=&quot;md_Prefix&quot;&gt;_x000d__x000a_    &lt;text&gt;&lt;/text&gt;_x000d__x000a_  &lt;/metadata&gt;_x000d__x000a_  &lt;metadata key=&quot;md_DocumentNumber&quot;&gt;_x000d__x000a_    &lt;text&gt;8717&lt;/text&gt;_x000d__x000a_  &lt;/metadata&gt;_x000d__x000a_  &lt;metadata key=&quot;md_YearDocumentNumber&quot;&gt;_x000d__x000a_    &lt;text&gt;2022&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EF 126&lt;/text&gt;_x000d__x000a_      &lt;text&gt;ECOFIN 389&lt;/text&gt;_x000d__x000a_      &lt;text&gt;CODEC 679&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0/0265 (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8&quot; text=&quot;Permanent Representatives Committee&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gulation on Markets on crypto-assets and amending Directive (EU) 2019/1937 (MiCA) - Preparation of the trilogue&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 LineHeight=&quot;6&quot; FontFamily=&quot;Arial Unicode MS&quot; FontSize=&quot;12&quot;&amp;gt;Regulation on &amp;lt;Run xml:lang=&quot;en-gb&quot; xml:space=&quot;preserve&quot;&amp;gt;Markets on crypto-assets and amending Directive (EU) 2019/1937 &amp;lt;/Run&amp;gt;(&amp;lt;Run xml:lang=&quot;en-gb&quot;&amp;gt;MiCA&amp;lt;/Run&amp;gt;)&amp;lt;/Paragraph&amp;gt;&amp;lt;Paragraph LineHeight=&quot;6&quot; FontFamily=&quot;Arial Unicode MS&quot; FontSize=&quot;12&quot;&amp;gt;- Preparation of the trilogue&amp;lt;/Paragraph&amp;gt;&amp;lt;/FlowDocument&amp;gt;&lt;/xaml&gt;_x000d__x000a_  &lt;/metadata&gt;_x000d__x000a_  &lt;metadata key=&quot;md_SubjectFootnote&quot; /&gt;_x000d__x000a_  &lt;metadata key=&quot;md_DG&quot;&gt;_x000d__x000a_    &lt;text&gt;ECOFIN.1.B&lt;/text&gt;_x000d__x000a_  &lt;/metadata&gt;_x000d__x000a_  &lt;metadata key=&quot;md_Initials&quot;&gt;_x000d__x000a_    &lt;text&gt;RGP/jk&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2&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2&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No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 w:name="VSSDB_IniPath" w:val="\\at100\user\wovo\SEILEG\vss\srcsafe.ini"/>
    <w:docVar w:name="VSSDB_ProjectPath" w:val="$/DocuWrite/DOT/DW_COUNCIL"/>
  </w:docVars>
  <w:rsids>
    <w:rsidRoot w:val="000A1864"/>
    <w:rsid w:val="00046245"/>
    <w:rsid w:val="00082AD6"/>
    <w:rsid w:val="000A1864"/>
    <w:rsid w:val="000B4634"/>
    <w:rsid w:val="00107863"/>
    <w:rsid w:val="00125B2D"/>
    <w:rsid w:val="001A7055"/>
    <w:rsid w:val="001B675E"/>
    <w:rsid w:val="00206CB3"/>
    <w:rsid w:val="002E3C87"/>
    <w:rsid w:val="002F7E11"/>
    <w:rsid w:val="00354276"/>
    <w:rsid w:val="004E020D"/>
    <w:rsid w:val="004E5B09"/>
    <w:rsid w:val="005312B3"/>
    <w:rsid w:val="00560050"/>
    <w:rsid w:val="00561C2F"/>
    <w:rsid w:val="0063312A"/>
    <w:rsid w:val="00674EB1"/>
    <w:rsid w:val="00772954"/>
    <w:rsid w:val="007B0E08"/>
    <w:rsid w:val="007C1261"/>
    <w:rsid w:val="008146F9"/>
    <w:rsid w:val="008A3A89"/>
    <w:rsid w:val="008B6014"/>
    <w:rsid w:val="008D3C9A"/>
    <w:rsid w:val="009930AF"/>
    <w:rsid w:val="009C6417"/>
    <w:rsid w:val="009F229A"/>
    <w:rsid w:val="00A95646"/>
    <w:rsid w:val="00B5488B"/>
    <w:rsid w:val="00B92652"/>
    <w:rsid w:val="00C749A7"/>
    <w:rsid w:val="00EC3B25"/>
    <w:rsid w:val="00F74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E73DE8A-6E91-461D-8CC3-5E1246C1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pPr>
    <w:rPr>
      <w:rFonts w:ascii="Times New Roman"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unhideWhenUsed/>
    <w:rsid w:val="009C6417"/>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9C641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link w:val="TechnicalBlockChar"/>
    <w:rsid w:val="009F229A"/>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16"/>
      </w:numPr>
    </w:pPr>
  </w:style>
  <w:style w:type="paragraph" w:customStyle="1" w:styleId="Pointabc1">
    <w:name w:val="Point abc (1)"/>
    <w:basedOn w:val="Normal"/>
    <w:rsid w:val="009C6417"/>
    <w:pPr>
      <w:numPr>
        <w:ilvl w:val="3"/>
        <w:numId w:val="16"/>
      </w:numPr>
    </w:pPr>
  </w:style>
  <w:style w:type="paragraph" w:customStyle="1" w:styleId="Pointabc2">
    <w:name w:val="Point abc (2)"/>
    <w:basedOn w:val="Normal"/>
    <w:rsid w:val="009C6417"/>
    <w:pPr>
      <w:numPr>
        <w:ilvl w:val="5"/>
        <w:numId w:val="16"/>
      </w:numPr>
    </w:pPr>
  </w:style>
  <w:style w:type="paragraph" w:customStyle="1" w:styleId="Pointabc3">
    <w:name w:val="Point abc (3)"/>
    <w:basedOn w:val="Normal"/>
    <w:rsid w:val="009C6417"/>
    <w:pPr>
      <w:numPr>
        <w:ilvl w:val="7"/>
        <w:numId w:val="16"/>
      </w:numPr>
    </w:pPr>
  </w:style>
  <w:style w:type="paragraph" w:customStyle="1" w:styleId="Pointabc4">
    <w:name w:val="Point abc (4)"/>
    <w:basedOn w:val="Normal"/>
    <w:rsid w:val="009C6417"/>
    <w:pPr>
      <w:numPr>
        <w:ilvl w:val="8"/>
        <w:numId w:val="16"/>
      </w:numPr>
    </w:pPr>
  </w:style>
  <w:style w:type="paragraph" w:customStyle="1" w:styleId="Point123">
    <w:name w:val="Point 123"/>
    <w:basedOn w:val="Normal"/>
    <w:rsid w:val="009C6417"/>
    <w:pPr>
      <w:numPr>
        <w:numId w:val="16"/>
      </w:numPr>
    </w:pPr>
  </w:style>
  <w:style w:type="paragraph" w:customStyle="1" w:styleId="Point1231">
    <w:name w:val="Point 123 (1)"/>
    <w:basedOn w:val="Normal"/>
    <w:rsid w:val="009C6417"/>
    <w:pPr>
      <w:numPr>
        <w:ilvl w:val="2"/>
        <w:numId w:val="16"/>
      </w:numPr>
    </w:pPr>
  </w:style>
  <w:style w:type="paragraph" w:customStyle="1" w:styleId="Point1232">
    <w:name w:val="Point 123 (2)"/>
    <w:basedOn w:val="Normal"/>
    <w:rsid w:val="009C6417"/>
    <w:pPr>
      <w:numPr>
        <w:ilvl w:val="4"/>
        <w:numId w:val="16"/>
      </w:numPr>
    </w:pPr>
  </w:style>
  <w:style w:type="paragraph" w:customStyle="1" w:styleId="Point1233">
    <w:name w:val="Point 123 (3)"/>
    <w:basedOn w:val="Normal"/>
    <w:rsid w:val="009C6417"/>
    <w:pPr>
      <w:numPr>
        <w:ilvl w:val="6"/>
        <w:numId w:val="16"/>
      </w:numPr>
    </w:pPr>
  </w:style>
  <w:style w:type="paragraph" w:customStyle="1" w:styleId="Pointivx">
    <w:name w:val="Point ivx"/>
    <w:basedOn w:val="Normal"/>
    <w:rsid w:val="009C6417"/>
    <w:pPr>
      <w:numPr>
        <w:numId w:val="17"/>
      </w:numPr>
    </w:pPr>
  </w:style>
  <w:style w:type="paragraph" w:customStyle="1" w:styleId="Pointivx1">
    <w:name w:val="Point ivx (1)"/>
    <w:basedOn w:val="Normal"/>
    <w:rsid w:val="009C6417"/>
    <w:pPr>
      <w:numPr>
        <w:ilvl w:val="1"/>
        <w:numId w:val="17"/>
      </w:numPr>
    </w:pPr>
  </w:style>
  <w:style w:type="paragraph" w:customStyle="1" w:styleId="Pointivx2">
    <w:name w:val="Point ivx (2)"/>
    <w:basedOn w:val="Normal"/>
    <w:rsid w:val="009C6417"/>
    <w:pPr>
      <w:numPr>
        <w:ilvl w:val="2"/>
        <w:numId w:val="17"/>
      </w:numPr>
    </w:pPr>
  </w:style>
  <w:style w:type="paragraph" w:customStyle="1" w:styleId="Pointivx3">
    <w:name w:val="Point ivx (3)"/>
    <w:basedOn w:val="Normal"/>
    <w:rsid w:val="009C6417"/>
    <w:pPr>
      <w:numPr>
        <w:ilvl w:val="3"/>
        <w:numId w:val="17"/>
      </w:numPr>
    </w:pPr>
  </w:style>
  <w:style w:type="paragraph" w:customStyle="1" w:styleId="Pointivx4">
    <w:name w:val="Point ivx (4)"/>
    <w:basedOn w:val="Normal"/>
    <w:rsid w:val="009C6417"/>
    <w:pPr>
      <w:numPr>
        <w:ilvl w:val="4"/>
        <w:numId w:val="17"/>
      </w:numPr>
    </w:pPr>
  </w:style>
  <w:style w:type="paragraph" w:customStyle="1" w:styleId="Bullet">
    <w:name w:val="Bullet"/>
    <w:basedOn w:val="Normal"/>
    <w:rsid w:val="009C6417"/>
    <w:pPr>
      <w:numPr>
        <w:numId w:val="11"/>
      </w:numPr>
    </w:pPr>
  </w:style>
  <w:style w:type="paragraph" w:customStyle="1" w:styleId="Bullet1">
    <w:name w:val="Bullet 1"/>
    <w:basedOn w:val="Normal"/>
    <w:rsid w:val="009C6417"/>
    <w:pPr>
      <w:numPr>
        <w:numId w:val="12"/>
      </w:numPr>
    </w:pPr>
  </w:style>
  <w:style w:type="paragraph" w:customStyle="1" w:styleId="Bullet2">
    <w:name w:val="Bullet 2"/>
    <w:basedOn w:val="Normal"/>
    <w:rsid w:val="009C6417"/>
    <w:pPr>
      <w:numPr>
        <w:numId w:val="13"/>
      </w:numPr>
    </w:pPr>
  </w:style>
  <w:style w:type="paragraph" w:customStyle="1" w:styleId="Bullet3">
    <w:name w:val="Bullet 3"/>
    <w:basedOn w:val="Normal"/>
    <w:rsid w:val="009C6417"/>
    <w:pPr>
      <w:numPr>
        <w:numId w:val="14"/>
      </w:numPr>
    </w:pPr>
  </w:style>
  <w:style w:type="paragraph" w:customStyle="1" w:styleId="Bullet4">
    <w:name w:val="Bullet 4"/>
    <w:basedOn w:val="Normal"/>
    <w:rsid w:val="009C6417"/>
    <w:pPr>
      <w:numPr>
        <w:numId w:val="15"/>
      </w:numPr>
    </w:pPr>
  </w:style>
  <w:style w:type="paragraph" w:customStyle="1" w:styleId="Dash">
    <w:name w:val="Dash"/>
    <w:basedOn w:val="Normal"/>
    <w:rsid w:val="009C6417"/>
    <w:pPr>
      <w:numPr>
        <w:numId w:val="1"/>
      </w:numPr>
    </w:pPr>
  </w:style>
  <w:style w:type="paragraph" w:customStyle="1" w:styleId="Dash1">
    <w:name w:val="Dash 1"/>
    <w:basedOn w:val="Normal"/>
    <w:rsid w:val="009C6417"/>
    <w:pPr>
      <w:numPr>
        <w:numId w:val="2"/>
      </w:numPr>
    </w:pPr>
  </w:style>
  <w:style w:type="paragraph" w:customStyle="1" w:styleId="Dash2">
    <w:name w:val="Dash 2"/>
    <w:basedOn w:val="Normal"/>
    <w:rsid w:val="009C6417"/>
    <w:pPr>
      <w:numPr>
        <w:numId w:val="3"/>
      </w:numPr>
    </w:pPr>
  </w:style>
  <w:style w:type="paragraph" w:customStyle="1" w:styleId="Dash3">
    <w:name w:val="Dash 3"/>
    <w:basedOn w:val="Normal"/>
    <w:rsid w:val="009C6417"/>
    <w:pPr>
      <w:numPr>
        <w:numId w:val="4"/>
      </w:numPr>
    </w:pPr>
  </w:style>
  <w:style w:type="paragraph" w:customStyle="1" w:styleId="Dash4">
    <w:name w:val="Dash 4"/>
    <w:basedOn w:val="Normal"/>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DefaultParagraphFont"/>
    <w:rsid w:val="009C6417"/>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20"/>
      </w:numPr>
    </w:pPr>
  </w:style>
  <w:style w:type="paragraph" w:customStyle="1" w:styleId="Heading123">
    <w:name w:val="Heading 123"/>
    <w:basedOn w:val="HeadingLeft"/>
    <w:next w:val="Normal"/>
    <w:rsid w:val="009C6417"/>
    <w:pPr>
      <w:numPr>
        <w:numId w:val="19"/>
      </w:numPr>
    </w:pPr>
  </w:style>
  <w:style w:type="paragraph" w:customStyle="1" w:styleId="HeadingABC">
    <w:name w:val="Heading ABC"/>
    <w:basedOn w:val="HeadingLeft"/>
    <w:next w:val="Normal"/>
    <w:rsid w:val="009C6417"/>
    <w:pPr>
      <w:numPr>
        <w:numId w:val="18"/>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 w:type="paragraph" w:customStyle="1" w:styleId="HeaderCouncilLarge">
    <w:name w:val="Header Council Large"/>
    <w:basedOn w:val="Normal"/>
    <w:link w:val="HeaderCouncilLargeChar"/>
    <w:rsid w:val="000A1864"/>
    <w:pPr>
      <w:spacing w:before="0" w:after="440"/>
      <w:ind w:left="-1134" w:right="-1134"/>
    </w:pPr>
    <w:rPr>
      <w:sz w:val="2"/>
    </w:rPr>
  </w:style>
  <w:style w:type="character" w:customStyle="1" w:styleId="TechnicalBlockChar">
    <w:name w:val="Technical Block Char"/>
    <w:basedOn w:val="DefaultParagraphFont"/>
    <w:link w:val="TechnicalBlock"/>
    <w:rsid w:val="000A1864"/>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0A1864"/>
    <w:rPr>
      <w:rFonts w:ascii="Times New Roman" w:hAnsi="Times New Roman" w:cs="Times New Roman"/>
      <w:sz w:val="2"/>
      <w:lang w:val="en-GB"/>
    </w:rPr>
  </w:style>
  <w:style w:type="paragraph" w:customStyle="1" w:styleId="FooterText">
    <w:name w:val="Footer Text"/>
    <w:basedOn w:val="Normal"/>
    <w:rsid w:val="000A1864"/>
    <w:pPr>
      <w:spacing w:before="0" w:after="0" w:line="240" w:lineRule="auto"/>
    </w:pPr>
    <w:rPr>
      <w:rFonts w:eastAsia="Times New Roman"/>
      <w:szCs w:val="24"/>
    </w:rPr>
  </w:style>
  <w:style w:type="character" w:styleId="PlaceholderText">
    <w:name w:val="Placeholder Text"/>
    <w:basedOn w:val="DefaultParagraphFont"/>
    <w:uiPriority w:val="99"/>
    <w:semiHidden/>
    <w:rsid w:val="000A1864"/>
    <w:rPr>
      <w:color w:val="808080"/>
    </w:rPr>
  </w:style>
  <w:style w:type="paragraph" w:styleId="NormalWeb">
    <w:name w:val="Normal (Web)"/>
    <w:basedOn w:val="Normal"/>
    <w:uiPriority w:val="99"/>
    <w:unhideWhenUsed/>
    <w:rsid w:val="00674EB1"/>
    <w:pPr>
      <w:spacing w:before="100" w:beforeAutospacing="1" w:after="100" w:afterAutospacing="1" w:line="240" w:lineRule="auto"/>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57B74-8BC6-4FAF-826C-A02049BD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0</TotalTime>
  <Pages>3</Pages>
  <Words>1021</Words>
  <Characters>5629</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COTOI Violeta</dc:creator>
  <cp:keywords/>
  <dc:description/>
  <cp:lastModifiedBy>TIERNEY Julia</cp:lastModifiedBy>
  <cp:revision>3</cp:revision>
  <dcterms:created xsi:type="dcterms:W3CDTF">2022-05-12T09:27:00Z</dcterms:created>
  <dcterms:modified xsi:type="dcterms:W3CDTF">2022-05-12T09:27:00Z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DocuWrite 4.6.5, Build 20220426</vt:lpwstr>
  </property>
  <property fmtid="{D5CDD505-2E9C-101B-9397-08002B2CF9AE}" pid="3" name="Created using">
    <vt:lpwstr>DocuWrite 4.6.5, Build 20220426</vt:lpwstr>
  </property>
</Properties>
</file>