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B1C8C" w14:textId="77777777" w:rsidR="00B60301" w:rsidRDefault="00B60301">
      <w:pPr>
        <w:pStyle w:val="Body"/>
        <w:widowControl w:val="0"/>
        <w:spacing w:before="240" w:after="1200"/>
        <w:jc w:val="left"/>
        <w:rPr>
          <w:i/>
          <w:iCs/>
        </w:rPr>
      </w:pPr>
    </w:p>
    <w:p w14:paraId="57A2D444" w14:textId="77777777" w:rsidR="00B60301" w:rsidRPr="00F07B1C" w:rsidRDefault="0041303D">
      <w:pPr>
        <w:pStyle w:val="Body"/>
        <w:widowControl w:val="0"/>
        <w:spacing w:after="480"/>
        <w:ind w:left="1418"/>
        <w:jc w:val="left"/>
        <w:rPr>
          <w:rFonts w:ascii="Arial" w:eastAsia="Arial" w:hAnsi="Arial" w:cs="Arial"/>
          <w:b/>
          <w:bCs/>
          <w:i/>
          <w:iCs/>
          <w:sz w:val="48"/>
          <w:szCs w:val="48"/>
        </w:rPr>
      </w:pPr>
      <w:r w:rsidRPr="00F07B1C">
        <w:rPr>
          <w:rFonts w:ascii="Arial" w:hAnsi="Arial"/>
          <w:b/>
          <w:bCs/>
          <w:i/>
          <w:iCs/>
          <w:sz w:val="48"/>
          <w:szCs w:val="48"/>
        </w:rPr>
        <w:t>DRAFT COMPROMISES</w:t>
      </w:r>
    </w:p>
    <w:p w14:paraId="1CB61164" w14:textId="77777777" w:rsidR="00B60301" w:rsidRPr="00F07B1C" w:rsidRDefault="0041303D">
      <w:pPr>
        <w:pStyle w:val="Body"/>
        <w:widowControl w:val="0"/>
        <w:ind w:left="1418"/>
        <w:jc w:val="left"/>
        <w:rPr>
          <w:i/>
          <w:iCs/>
        </w:rPr>
      </w:pPr>
      <w:proofErr w:type="gramStart"/>
      <w:r w:rsidRPr="00F07B1C">
        <w:rPr>
          <w:i/>
          <w:iCs/>
          <w:lang w:val="en-US"/>
        </w:rPr>
        <w:t>on</w:t>
      </w:r>
      <w:proofErr w:type="gramEnd"/>
      <w:r w:rsidRPr="00F07B1C">
        <w:rPr>
          <w:i/>
          <w:iCs/>
          <w:lang w:val="en-US"/>
        </w:rPr>
        <w:t xml:space="preserve"> competition policy </w:t>
      </w:r>
      <w:r w:rsidRPr="00F07B1C">
        <w:rPr>
          <w:i/>
          <w:iCs/>
        </w:rPr>
        <w:t xml:space="preserve">– </w:t>
      </w:r>
      <w:r w:rsidRPr="00F07B1C">
        <w:rPr>
          <w:i/>
          <w:iCs/>
          <w:lang w:val="en-US"/>
        </w:rPr>
        <w:t>annual report 2022</w:t>
      </w:r>
    </w:p>
    <w:p w14:paraId="0FC5F742" w14:textId="77777777" w:rsidR="00B60301" w:rsidRPr="00F07B1C" w:rsidRDefault="0041303D">
      <w:pPr>
        <w:pStyle w:val="Body"/>
        <w:widowControl w:val="0"/>
        <w:ind w:left="1418"/>
        <w:jc w:val="left"/>
        <w:rPr>
          <w:i/>
          <w:iCs/>
        </w:rPr>
      </w:pPr>
      <w:r w:rsidRPr="00F07B1C">
        <w:rPr>
          <w:i/>
          <w:iCs/>
        </w:rPr>
        <w:t xml:space="preserve">Rapporteur: Rene </w:t>
      </w:r>
      <w:proofErr w:type="spellStart"/>
      <w:r w:rsidRPr="00F07B1C">
        <w:rPr>
          <w:i/>
          <w:iCs/>
        </w:rPr>
        <w:t>Repasi</w:t>
      </w:r>
      <w:proofErr w:type="spellEnd"/>
    </w:p>
    <w:p w14:paraId="38AB4EDB" w14:textId="77777777" w:rsidR="00B60301" w:rsidRPr="00F07B1C" w:rsidRDefault="00B60301">
      <w:pPr>
        <w:pStyle w:val="Body"/>
        <w:keepNext/>
        <w:widowControl w:val="0"/>
        <w:spacing w:after="480"/>
        <w:jc w:val="left"/>
        <w:rPr>
          <w:rFonts w:ascii="Arial" w:eastAsia="Arial" w:hAnsi="Arial" w:cs="Arial"/>
          <w:b/>
          <w:bCs/>
          <w:i/>
          <w:iCs/>
        </w:rPr>
      </w:pPr>
    </w:p>
    <w:p w14:paraId="1EFD0406" w14:textId="248BCB97" w:rsidR="00B60301" w:rsidRPr="00F07B1C" w:rsidRDefault="0041303D">
      <w:pPr>
        <w:pStyle w:val="Body"/>
        <w:widowControl w:val="0"/>
        <w:spacing w:after="240"/>
        <w:ind w:left="567" w:hanging="567"/>
        <w:jc w:val="left"/>
        <w:rPr>
          <w:b/>
          <w:bCs/>
        </w:rPr>
      </w:pPr>
      <w:r w:rsidRPr="00F07B1C">
        <w:rPr>
          <w:b/>
          <w:bCs/>
          <w:lang w:val="en-US"/>
        </w:rPr>
        <w:t xml:space="preserve">COMP </w:t>
      </w:r>
      <w:proofErr w:type="gramStart"/>
      <w:r w:rsidRPr="00F07B1C">
        <w:rPr>
          <w:b/>
          <w:bCs/>
          <w:lang w:val="en-US"/>
        </w:rPr>
        <w:t>A</w:t>
      </w:r>
      <w:proofErr w:type="gramEnd"/>
      <w:r w:rsidRPr="00F07B1C">
        <w:rPr>
          <w:b/>
          <w:bCs/>
          <w:lang w:val="en-US"/>
        </w:rPr>
        <w:t>, covering amendments 32-39, 42</w:t>
      </w:r>
      <w:r w:rsidR="008A10C2" w:rsidRPr="00F07B1C">
        <w:rPr>
          <w:b/>
          <w:bCs/>
          <w:lang w:val="en-US"/>
        </w:rPr>
        <w:t>, IMCO 1</w:t>
      </w:r>
    </w:p>
    <w:p w14:paraId="6B901333" w14:textId="77777777" w:rsidR="00B60301" w:rsidRPr="00F07B1C" w:rsidRDefault="0041303D">
      <w:pPr>
        <w:pStyle w:val="Body"/>
        <w:widowControl w:val="0"/>
        <w:spacing w:after="240"/>
        <w:ind w:left="567" w:hanging="567"/>
        <w:jc w:val="left"/>
        <w:rPr>
          <w:b/>
          <w:bCs/>
          <w:i/>
          <w:iCs/>
        </w:rPr>
      </w:pPr>
      <w:r w:rsidRPr="00F07B1C">
        <w:rPr>
          <w:b/>
          <w:bCs/>
          <w:i/>
          <w:iCs/>
          <w:lang w:val="en-US"/>
        </w:rPr>
        <w:t>General considerations</w:t>
      </w:r>
      <w:r w:rsidRPr="00F07B1C">
        <w:rPr>
          <w:b/>
          <w:bCs/>
          <w:i/>
          <w:iCs/>
          <w:lang w:val="en-US"/>
        </w:rPr>
        <w:br/>
      </w:r>
    </w:p>
    <w:p w14:paraId="3861DFBF" w14:textId="7AF0C764" w:rsidR="008A10C2" w:rsidRPr="00F07B1C" w:rsidRDefault="0041303D">
      <w:pPr>
        <w:pStyle w:val="Body"/>
        <w:widowControl w:val="0"/>
        <w:spacing w:after="240"/>
        <w:ind w:left="567" w:hanging="567"/>
        <w:jc w:val="left"/>
        <w:rPr>
          <w:b/>
          <w:bCs/>
          <w:i/>
          <w:iCs/>
          <w:lang w:val="en-US"/>
        </w:rPr>
      </w:pPr>
      <w:proofErr w:type="gramStart"/>
      <w:r w:rsidRPr="00F07B1C">
        <w:rPr>
          <w:i/>
          <w:iCs/>
        </w:rPr>
        <w:t>1.</w:t>
      </w:r>
      <w:r w:rsidRPr="00F07B1C">
        <w:rPr>
          <w:i/>
          <w:iCs/>
          <w:lang w:val="en-US"/>
        </w:rPr>
        <w:tab/>
        <w:t xml:space="preserve">Considers that EU competition policy protects market structures against anti-competitive </w:t>
      </w:r>
      <w:proofErr w:type="spellStart"/>
      <w:r w:rsidRPr="00F07B1C">
        <w:rPr>
          <w:i/>
          <w:iCs/>
          <w:lang w:val="en-US"/>
        </w:rPr>
        <w:t>behaviour</w:t>
      </w:r>
      <w:proofErr w:type="spellEnd"/>
      <w:r w:rsidRPr="00F07B1C">
        <w:rPr>
          <w:i/>
          <w:iCs/>
          <w:lang w:val="en-US"/>
        </w:rPr>
        <w:t xml:space="preserve">, </w:t>
      </w:r>
      <w:r w:rsidR="00B362D7" w:rsidRPr="00F07B1C">
        <w:rPr>
          <w:i/>
          <w:iCs/>
          <w:lang w:val="en-US"/>
        </w:rPr>
        <w:t xml:space="preserve">cartels </w:t>
      </w:r>
      <w:r w:rsidRPr="00F07B1C">
        <w:rPr>
          <w:i/>
          <w:iCs/>
          <w:lang w:val="en-US"/>
        </w:rPr>
        <w:t xml:space="preserve">and accumulations of market power, just as it advances efficient market structures and consumer </w:t>
      </w:r>
      <w:r w:rsidRPr="00F07B1C">
        <w:rPr>
          <w:b/>
          <w:bCs/>
          <w:i/>
          <w:iCs/>
          <w:lang w:val="en-US"/>
        </w:rPr>
        <w:t xml:space="preserve">and general </w:t>
      </w:r>
      <w:r w:rsidRPr="00F07B1C">
        <w:rPr>
          <w:i/>
          <w:iCs/>
        </w:rPr>
        <w:t xml:space="preserve">welfare </w:t>
      </w:r>
      <w:r w:rsidRPr="00F07B1C">
        <w:rPr>
          <w:b/>
          <w:bCs/>
          <w:i/>
          <w:iCs/>
          <w:lang w:val="en-US"/>
        </w:rPr>
        <w:t xml:space="preserve">with a view to fostering innovation, keeping prices at </w:t>
      </w:r>
      <w:r w:rsidR="00DC521E" w:rsidRPr="00F07B1C">
        <w:rPr>
          <w:b/>
          <w:bCs/>
          <w:i/>
          <w:iCs/>
          <w:lang w:val="en-US"/>
        </w:rPr>
        <w:t xml:space="preserve">fair and </w:t>
      </w:r>
      <w:r w:rsidRPr="00F07B1C">
        <w:rPr>
          <w:b/>
          <w:bCs/>
          <w:i/>
          <w:iCs/>
          <w:lang w:val="en-US"/>
        </w:rPr>
        <w:t>competitive levels and increasing consumer choice</w:t>
      </w:r>
      <w:r w:rsidRPr="00F07B1C">
        <w:rPr>
          <w:i/>
          <w:iCs/>
        </w:rPr>
        <w:t>; e</w:t>
      </w:r>
      <w:proofErr w:type="spellStart"/>
      <w:r w:rsidRPr="00F07B1C">
        <w:rPr>
          <w:b/>
          <w:bCs/>
          <w:i/>
          <w:iCs/>
          <w:lang w:val="en-US"/>
        </w:rPr>
        <w:t>mphasises</w:t>
      </w:r>
      <w:proofErr w:type="spellEnd"/>
      <w:r w:rsidRPr="00F07B1C">
        <w:rPr>
          <w:b/>
          <w:bCs/>
          <w:i/>
          <w:iCs/>
          <w:lang w:val="en-US"/>
        </w:rPr>
        <w:t xml:space="preserve"> that the global strength and importance of the EU single market derives from its internal competitiveness and </w:t>
      </w:r>
      <w:proofErr w:type="spellStart"/>
      <w:r w:rsidRPr="00F07B1C">
        <w:rPr>
          <w:b/>
          <w:bCs/>
          <w:i/>
          <w:iCs/>
          <w:lang w:val="en-US"/>
        </w:rPr>
        <w:t>equalised</w:t>
      </w:r>
      <w:proofErr w:type="spellEnd"/>
      <w:r w:rsidRPr="00F07B1C">
        <w:rPr>
          <w:b/>
          <w:bCs/>
          <w:i/>
          <w:iCs/>
          <w:lang w:val="en-US"/>
        </w:rPr>
        <w:t xml:space="preserve"> level-playing field; (Ferber 33, </w:t>
      </w:r>
      <w:proofErr w:type="spellStart"/>
      <w:r w:rsidRPr="00F07B1C">
        <w:rPr>
          <w:b/>
          <w:bCs/>
          <w:i/>
          <w:iCs/>
          <w:lang w:val="en-US"/>
        </w:rPr>
        <w:t>Gruffat</w:t>
      </w:r>
      <w:proofErr w:type="spellEnd"/>
      <w:r w:rsidRPr="00F07B1C">
        <w:rPr>
          <w:b/>
          <w:bCs/>
          <w:i/>
          <w:iCs/>
          <w:lang w:val="en-US"/>
        </w:rPr>
        <w:t xml:space="preserve"> 34; </w:t>
      </w:r>
      <w:proofErr w:type="spellStart"/>
      <w:r w:rsidRPr="00F07B1C">
        <w:rPr>
          <w:b/>
          <w:bCs/>
          <w:i/>
          <w:iCs/>
          <w:lang w:val="en-US"/>
        </w:rPr>
        <w:t>Repasi</w:t>
      </w:r>
      <w:proofErr w:type="spellEnd"/>
      <w:r w:rsidRPr="00F07B1C">
        <w:rPr>
          <w:b/>
          <w:bCs/>
          <w:i/>
          <w:iCs/>
          <w:lang w:val="en-US"/>
        </w:rPr>
        <w:t xml:space="preserve"> et al 42);</w:t>
      </w:r>
      <w:proofErr w:type="gramEnd"/>
      <w:r w:rsidR="00BA5E65" w:rsidRPr="00F07B1C">
        <w:rPr>
          <w:b/>
          <w:bCs/>
          <w:i/>
          <w:iCs/>
          <w:lang w:val="en-US"/>
        </w:rPr>
        <w:t xml:space="preserve"> </w:t>
      </w:r>
    </w:p>
    <w:p w14:paraId="113D6E23" w14:textId="0BFAED1D" w:rsidR="00B60301" w:rsidRPr="00F07B1C" w:rsidRDefault="00B60301">
      <w:pPr>
        <w:pStyle w:val="Body"/>
        <w:widowControl w:val="0"/>
        <w:spacing w:after="240"/>
        <w:ind w:left="567" w:hanging="567"/>
        <w:jc w:val="left"/>
        <w:rPr>
          <w:b/>
          <w:bCs/>
          <w:i/>
          <w:iCs/>
        </w:rPr>
      </w:pPr>
    </w:p>
    <w:p w14:paraId="7CB6E9B0" w14:textId="346719EC" w:rsidR="00B60301" w:rsidRPr="00F07B1C" w:rsidRDefault="0041303D">
      <w:pPr>
        <w:pStyle w:val="Body"/>
        <w:widowControl w:val="0"/>
        <w:spacing w:after="240"/>
        <w:ind w:left="567" w:hanging="567"/>
        <w:jc w:val="left"/>
        <w:rPr>
          <w:b/>
          <w:bCs/>
        </w:rPr>
      </w:pPr>
      <w:r w:rsidRPr="00F07B1C">
        <w:rPr>
          <w:b/>
          <w:bCs/>
          <w:lang w:val="en-US"/>
        </w:rPr>
        <w:t>COMP B, covering amendments 40-41, 43-5</w:t>
      </w:r>
      <w:r w:rsidR="00B65F69" w:rsidRPr="00F07B1C">
        <w:rPr>
          <w:b/>
          <w:bCs/>
          <w:lang w:val="en-US"/>
        </w:rPr>
        <w:t>5</w:t>
      </w:r>
      <w:r w:rsidRPr="00F07B1C">
        <w:rPr>
          <w:b/>
          <w:bCs/>
          <w:lang w:val="en-US"/>
        </w:rPr>
        <w:br/>
      </w:r>
    </w:p>
    <w:p w14:paraId="102FEEE4" w14:textId="2D76F1CF" w:rsidR="00B60301" w:rsidRPr="00F07B1C" w:rsidRDefault="0041303D">
      <w:pPr>
        <w:pStyle w:val="Body"/>
        <w:widowControl w:val="0"/>
        <w:spacing w:after="240"/>
        <w:ind w:left="567" w:hanging="567"/>
        <w:jc w:val="left"/>
        <w:rPr>
          <w:b/>
          <w:bCs/>
          <w:i/>
          <w:iCs/>
        </w:rPr>
      </w:pPr>
      <w:proofErr w:type="gramStart"/>
      <w:r w:rsidRPr="00F07B1C">
        <w:rPr>
          <w:i/>
          <w:iCs/>
        </w:rPr>
        <w:t>2.</w:t>
      </w:r>
      <w:r w:rsidRPr="00F07B1C">
        <w:rPr>
          <w:i/>
          <w:iCs/>
        </w:rPr>
        <w:tab/>
      </w:r>
      <w:r w:rsidRPr="00F07B1C">
        <w:rPr>
          <w:b/>
          <w:bCs/>
          <w:i/>
          <w:iCs/>
          <w:lang w:val="en-US"/>
        </w:rPr>
        <w:t>Considers that the treaty-based competition rules must be interpreted in the light of the wider European values underpinning the Union</w:t>
      </w:r>
      <w:r w:rsidRPr="00F07B1C">
        <w:rPr>
          <w:b/>
          <w:bCs/>
          <w:i/>
          <w:iCs/>
        </w:rPr>
        <w:t xml:space="preserve">’s </w:t>
      </w:r>
      <w:r w:rsidR="001D14A8" w:rsidRPr="00F07B1C">
        <w:rPr>
          <w:b/>
          <w:bCs/>
          <w:i/>
          <w:iCs/>
          <w:lang w:val="en-US"/>
        </w:rPr>
        <w:t xml:space="preserve">highly competitive </w:t>
      </w:r>
      <w:r w:rsidRPr="00F07B1C">
        <w:rPr>
          <w:b/>
          <w:bCs/>
          <w:i/>
          <w:iCs/>
          <w:lang w:val="en-US"/>
        </w:rPr>
        <w:t>social market economy</w:t>
      </w:r>
      <w:r w:rsidRPr="00F07B1C">
        <w:rPr>
          <w:i/>
          <w:iCs/>
        </w:rPr>
        <w:t xml:space="preserve">  </w:t>
      </w:r>
      <w:r w:rsidRPr="00F07B1C">
        <w:rPr>
          <w:b/>
          <w:bCs/>
          <w:i/>
          <w:iCs/>
        </w:rPr>
        <w:t>(</w:t>
      </w:r>
      <w:proofErr w:type="spellStart"/>
      <w:r w:rsidRPr="00F07B1C">
        <w:rPr>
          <w:b/>
          <w:bCs/>
          <w:i/>
          <w:iCs/>
        </w:rPr>
        <w:t>Gruffat</w:t>
      </w:r>
      <w:proofErr w:type="spellEnd"/>
      <w:r w:rsidRPr="00F07B1C">
        <w:rPr>
          <w:b/>
          <w:bCs/>
          <w:i/>
          <w:iCs/>
        </w:rPr>
        <w:t xml:space="preserve"> 40); </w:t>
      </w:r>
      <w:r w:rsidRPr="00F07B1C">
        <w:rPr>
          <w:i/>
          <w:iCs/>
          <w:lang w:val="en-US"/>
        </w:rPr>
        <w:t xml:space="preserve">Reiterates that competition policy cannot be pursued in isolation, as an end in itself, without reference to the legal, </w:t>
      </w:r>
      <w:r w:rsidRPr="00F07B1C">
        <w:rPr>
          <w:b/>
          <w:bCs/>
          <w:i/>
          <w:iCs/>
        </w:rPr>
        <w:t>international (</w:t>
      </w:r>
      <w:proofErr w:type="spellStart"/>
      <w:r w:rsidRPr="00F07B1C">
        <w:rPr>
          <w:b/>
          <w:bCs/>
          <w:i/>
          <w:iCs/>
        </w:rPr>
        <w:t>Sant</w:t>
      </w:r>
      <w:proofErr w:type="spellEnd"/>
      <w:r w:rsidRPr="00F07B1C">
        <w:rPr>
          <w:b/>
          <w:bCs/>
          <w:i/>
          <w:iCs/>
        </w:rPr>
        <w:t xml:space="preserve"> 51; De Lange 53) </w:t>
      </w:r>
      <w:r w:rsidRPr="00F07B1C">
        <w:rPr>
          <w:i/>
          <w:iCs/>
        </w:rPr>
        <w:t>economic, political</w:t>
      </w:r>
      <w:r w:rsidRPr="00F07B1C">
        <w:rPr>
          <w:i/>
          <w:iCs/>
          <w:lang w:val="en-US"/>
        </w:rPr>
        <w:t xml:space="preserve">context, </w:t>
      </w:r>
      <w:r w:rsidRPr="00F07B1C">
        <w:rPr>
          <w:b/>
          <w:bCs/>
          <w:i/>
          <w:iCs/>
          <w:lang w:val="en-US"/>
        </w:rPr>
        <w:t>nor without interaction and complementarity with other strategic EU policy objectives (Schwab 47), or to the new competitive market dynamics (Fernandez 49; Garcia-Margallo, 50)and that it is committed to achieving the Union</w:t>
      </w:r>
      <w:r w:rsidRPr="00F07B1C">
        <w:rPr>
          <w:b/>
          <w:bCs/>
          <w:i/>
          <w:iCs/>
        </w:rPr>
        <w:t>’</w:t>
      </w:r>
      <w:r w:rsidRPr="00F07B1C">
        <w:rPr>
          <w:b/>
          <w:bCs/>
          <w:i/>
          <w:iCs/>
          <w:lang w:val="en-US"/>
        </w:rPr>
        <w:t>s objectives as enshrined in Article 3</w:t>
      </w:r>
      <w:r w:rsidR="009013B9" w:rsidRPr="00F07B1C">
        <w:rPr>
          <w:b/>
          <w:bCs/>
          <w:i/>
          <w:iCs/>
          <w:lang w:val="en-US"/>
        </w:rPr>
        <w:t xml:space="preserve"> of the</w:t>
      </w:r>
      <w:r w:rsidRPr="00F07B1C">
        <w:rPr>
          <w:b/>
          <w:bCs/>
          <w:i/>
          <w:iCs/>
          <w:lang w:val="en-US"/>
        </w:rPr>
        <w:t xml:space="preserve"> TEU</w:t>
      </w:r>
      <w:r w:rsidR="00F07B1C">
        <w:rPr>
          <w:b/>
          <w:bCs/>
          <w:i/>
          <w:iCs/>
          <w:lang w:val="en-US"/>
        </w:rPr>
        <w:t>;</w:t>
      </w:r>
      <w:proofErr w:type="gramEnd"/>
      <w:r w:rsidRPr="00F07B1C">
        <w:rPr>
          <w:b/>
          <w:bCs/>
          <w:i/>
          <w:iCs/>
          <w:lang w:val="en-US"/>
        </w:rPr>
        <w:t xml:space="preserve"> </w:t>
      </w:r>
    </w:p>
    <w:p w14:paraId="19EC4E50" w14:textId="77777777" w:rsidR="00B60301" w:rsidRPr="00F07B1C" w:rsidRDefault="0041303D">
      <w:pPr>
        <w:pStyle w:val="Body"/>
        <w:widowControl w:val="0"/>
        <w:spacing w:after="240"/>
        <w:ind w:left="567" w:hanging="567"/>
        <w:jc w:val="left"/>
        <w:rPr>
          <w:b/>
          <w:bCs/>
          <w:i/>
          <w:iCs/>
        </w:rPr>
      </w:pPr>
      <w:r w:rsidRPr="00F07B1C">
        <w:rPr>
          <w:b/>
          <w:bCs/>
          <w:i/>
          <w:iCs/>
          <w:lang w:val="en-US"/>
        </w:rPr>
        <w:t xml:space="preserve">2a. </w:t>
      </w:r>
      <w:r w:rsidRPr="00F07B1C">
        <w:rPr>
          <w:b/>
          <w:bCs/>
          <w:i/>
          <w:iCs/>
          <w:lang w:val="en-US"/>
        </w:rPr>
        <w:tab/>
        <w:t xml:space="preserve">Calls on the Commission to ensure that a regulatory framework is fit to respond to technological developments and to the Europe digital connectivity objectives by making sure that funding for critical infrastructures is adequate and effective without </w:t>
      </w:r>
      <w:proofErr w:type="spellStart"/>
      <w:r w:rsidRPr="00F07B1C">
        <w:rPr>
          <w:b/>
          <w:bCs/>
          <w:i/>
          <w:iCs/>
          <w:lang w:val="en-US"/>
        </w:rPr>
        <w:t>jeopardising</w:t>
      </w:r>
      <w:proofErr w:type="spellEnd"/>
      <w:r w:rsidRPr="00F07B1C">
        <w:rPr>
          <w:b/>
          <w:bCs/>
          <w:i/>
          <w:iCs/>
          <w:lang w:val="en-US"/>
        </w:rPr>
        <w:t xml:space="preserve"> competition rules</w:t>
      </w:r>
      <w:proofErr w:type="gramStart"/>
      <w:r w:rsidRPr="00F07B1C">
        <w:rPr>
          <w:b/>
          <w:bCs/>
          <w:i/>
          <w:iCs/>
          <w:lang w:val="en-US"/>
        </w:rPr>
        <w:t>;</w:t>
      </w:r>
      <w:proofErr w:type="gramEnd"/>
      <w:r w:rsidRPr="00F07B1C">
        <w:rPr>
          <w:b/>
          <w:bCs/>
          <w:i/>
          <w:iCs/>
          <w:lang w:val="en-US"/>
        </w:rPr>
        <w:t xml:space="preserve"> (Schwab 54)</w:t>
      </w:r>
    </w:p>
    <w:p w14:paraId="1985105B" w14:textId="2C97FDD6" w:rsidR="00B60301" w:rsidRPr="00F07B1C" w:rsidRDefault="0041303D">
      <w:pPr>
        <w:pStyle w:val="Body"/>
        <w:widowControl w:val="0"/>
        <w:spacing w:after="240"/>
        <w:ind w:left="567" w:hanging="567"/>
        <w:jc w:val="left"/>
        <w:rPr>
          <w:i/>
          <w:iCs/>
        </w:rPr>
      </w:pPr>
      <w:r w:rsidRPr="00F07B1C">
        <w:rPr>
          <w:b/>
          <w:bCs/>
          <w:lang w:val="en-US"/>
        </w:rPr>
        <w:t>COMP C, covering amendments 56-63, 65-66, 68-69, 71</w:t>
      </w:r>
      <w:r w:rsidR="005857D0" w:rsidRPr="00F07B1C">
        <w:rPr>
          <w:b/>
          <w:bCs/>
          <w:lang w:val="en-US"/>
        </w:rPr>
        <w:t>, 73</w:t>
      </w:r>
      <w:r w:rsidRPr="00F07B1C">
        <w:rPr>
          <w:b/>
          <w:bCs/>
          <w:lang w:val="en-US"/>
        </w:rPr>
        <w:t>-75, 82-83, 160, 164, 205, 249</w:t>
      </w:r>
      <w:r w:rsidR="00A755F5" w:rsidRPr="00F07B1C">
        <w:rPr>
          <w:b/>
          <w:bCs/>
          <w:lang w:val="en-US"/>
        </w:rPr>
        <w:t>, IMCO 17</w:t>
      </w:r>
    </w:p>
    <w:p w14:paraId="20D13CDD" w14:textId="77777777" w:rsidR="00B60301" w:rsidRPr="00F07B1C" w:rsidRDefault="0041303D">
      <w:pPr>
        <w:pStyle w:val="Body"/>
        <w:widowControl w:val="0"/>
        <w:spacing w:after="240"/>
        <w:ind w:left="567" w:hanging="567"/>
        <w:jc w:val="left"/>
        <w:rPr>
          <w:i/>
          <w:iCs/>
        </w:rPr>
      </w:pPr>
      <w:r w:rsidRPr="00F07B1C">
        <w:rPr>
          <w:i/>
          <w:iCs/>
          <w:lang w:val="en-US"/>
        </w:rPr>
        <w:lastRenderedPageBreak/>
        <w:t>3.</w:t>
      </w:r>
      <w:r w:rsidRPr="00F07B1C">
        <w:rPr>
          <w:i/>
          <w:iCs/>
          <w:lang w:val="en-US"/>
        </w:rPr>
        <w:tab/>
        <w:t>Welcomes the General Court</w:t>
      </w:r>
      <w:r w:rsidRPr="00F07B1C">
        <w:rPr>
          <w:i/>
          <w:iCs/>
        </w:rPr>
        <w:t>’</w:t>
      </w:r>
      <w:r w:rsidRPr="00F07B1C">
        <w:rPr>
          <w:i/>
          <w:iCs/>
          <w:lang w:val="en-US"/>
        </w:rPr>
        <w:t>s judgment in Sped-Pro (Case T-791/19), which confirms that the protection of the rule of law is a relevant factor for competition law</w:t>
      </w:r>
      <w:proofErr w:type="gramStart"/>
      <w:r w:rsidRPr="00F07B1C">
        <w:rPr>
          <w:i/>
          <w:iCs/>
          <w:lang w:val="en-US"/>
        </w:rPr>
        <w:t>;</w:t>
      </w:r>
      <w:proofErr w:type="gramEnd"/>
      <w:r w:rsidRPr="00F07B1C">
        <w:rPr>
          <w:i/>
          <w:iCs/>
          <w:lang w:val="en-US"/>
        </w:rPr>
        <w:br/>
      </w:r>
    </w:p>
    <w:p w14:paraId="1618C0E8" w14:textId="4A250923" w:rsidR="00B60301" w:rsidRPr="00F07B1C" w:rsidRDefault="0041303D">
      <w:pPr>
        <w:pStyle w:val="Body"/>
        <w:widowControl w:val="0"/>
        <w:spacing w:after="240"/>
        <w:ind w:left="567" w:hanging="567"/>
        <w:jc w:val="left"/>
        <w:rPr>
          <w:b/>
          <w:bCs/>
          <w:i/>
          <w:iCs/>
        </w:rPr>
      </w:pPr>
      <w:proofErr w:type="gramStart"/>
      <w:r w:rsidRPr="00F07B1C">
        <w:rPr>
          <w:b/>
          <w:bCs/>
          <w:i/>
          <w:iCs/>
        </w:rPr>
        <w:t>3a.</w:t>
      </w:r>
      <w:r w:rsidRPr="00F07B1C">
        <w:rPr>
          <w:i/>
          <w:iCs/>
        </w:rPr>
        <w:tab/>
      </w:r>
      <w:r w:rsidRPr="00F07B1C">
        <w:rPr>
          <w:b/>
          <w:bCs/>
          <w:i/>
          <w:iCs/>
          <w:lang w:val="en-US"/>
        </w:rPr>
        <w:t xml:space="preserve">Takes note of the draft Commission Notice on the definition of the relevant market for the purposes of </w:t>
      </w:r>
      <w:r w:rsidR="009013B9" w:rsidRPr="00F07B1C">
        <w:rPr>
          <w:b/>
          <w:bCs/>
          <w:i/>
          <w:iCs/>
          <w:lang w:val="en-US"/>
        </w:rPr>
        <w:t xml:space="preserve">the </w:t>
      </w:r>
      <w:r w:rsidRPr="00F07B1C">
        <w:rPr>
          <w:b/>
          <w:bCs/>
          <w:i/>
          <w:iCs/>
          <w:lang w:val="en-US"/>
        </w:rPr>
        <w:t>Union competition law; welcomes the Commission</w:t>
      </w:r>
      <w:r w:rsidRPr="00F07B1C">
        <w:rPr>
          <w:b/>
          <w:bCs/>
          <w:i/>
          <w:iCs/>
        </w:rPr>
        <w:t>’</w:t>
      </w:r>
      <w:r w:rsidRPr="00F07B1C">
        <w:rPr>
          <w:b/>
          <w:bCs/>
          <w:i/>
          <w:iCs/>
          <w:lang w:val="en-US"/>
        </w:rPr>
        <w:t>s clarification in this draft to not only rely on a product</w:t>
      </w:r>
      <w:r w:rsidRPr="00F07B1C">
        <w:rPr>
          <w:b/>
          <w:bCs/>
          <w:i/>
          <w:iCs/>
        </w:rPr>
        <w:t>’</w:t>
      </w:r>
      <w:r w:rsidRPr="00F07B1C">
        <w:rPr>
          <w:b/>
          <w:bCs/>
          <w:i/>
          <w:iCs/>
          <w:lang w:val="en-US"/>
        </w:rPr>
        <w:t xml:space="preserve">s price when defining the relevant market but also the level of innovation; welcomes its forthcoming adoption scheduled for Q3 2023; considers innovation competition as an essential element for the determination of the relevant market and asks the Commission to take into account a longer-term vision encompassing the global dimension and potential future competition in its competitive assessments; underlines the need for including a </w:t>
      </w:r>
      <w:proofErr w:type="spellStart"/>
      <w:r w:rsidRPr="00F07B1C">
        <w:rPr>
          <w:b/>
          <w:bCs/>
          <w:i/>
          <w:iCs/>
          <w:lang w:val="en-US"/>
        </w:rPr>
        <w:t>behavioural</w:t>
      </w:r>
      <w:proofErr w:type="spellEnd"/>
      <w:r w:rsidRPr="00F07B1C">
        <w:rPr>
          <w:b/>
          <w:bCs/>
          <w:i/>
          <w:iCs/>
          <w:lang w:val="en-US"/>
        </w:rPr>
        <w:t xml:space="preserve"> analysis of consumer </w:t>
      </w:r>
      <w:proofErr w:type="spellStart"/>
      <w:r w:rsidRPr="00F07B1C">
        <w:rPr>
          <w:b/>
          <w:bCs/>
          <w:i/>
          <w:iCs/>
          <w:lang w:val="en-US"/>
        </w:rPr>
        <w:t>behaviour</w:t>
      </w:r>
      <w:proofErr w:type="spellEnd"/>
      <w:r w:rsidRPr="00F07B1C">
        <w:rPr>
          <w:b/>
          <w:bCs/>
          <w:i/>
          <w:iCs/>
          <w:lang w:val="en-US"/>
        </w:rPr>
        <w:t xml:space="preserve"> when defining the relevant product market; in particular appreciates all the new elements that contribute to address key market definition issues of some the fast-moving sectors such as the digital one; (</w:t>
      </w:r>
      <w:proofErr w:type="spellStart"/>
      <w:r w:rsidRPr="00F07B1C">
        <w:rPr>
          <w:b/>
          <w:bCs/>
          <w:i/>
          <w:iCs/>
          <w:lang w:val="en-US"/>
        </w:rPr>
        <w:t>Repasi</w:t>
      </w:r>
      <w:proofErr w:type="spellEnd"/>
      <w:r w:rsidRPr="00F07B1C">
        <w:rPr>
          <w:b/>
          <w:bCs/>
          <w:i/>
          <w:iCs/>
          <w:lang w:val="en-US"/>
        </w:rPr>
        <w:t>, et al 58; Schwab 61; Ferber 160; Yon-</w:t>
      </w:r>
      <w:proofErr w:type="spellStart"/>
      <w:r w:rsidRPr="00F07B1C">
        <w:rPr>
          <w:b/>
          <w:bCs/>
          <w:i/>
          <w:iCs/>
          <w:lang w:val="en-US"/>
        </w:rPr>
        <w:t>Courtin</w:t>
      </w:r>
      <w:proofErr w:type="spellEnd"/>
      <w:r w:rsidRPr="00F07B1C">
        <w:rPr>
          <w:b/>
          <w:bCs/>
          <w:i/>
          <w:iCs/>
          <w:lang w:val="en-US"/>
        </w:rPr>
        <w:t xml:space="preserve"> 164)</w:t>
      </w:r>
      <w:r w:rsidRPr="00F07B1C">
        <w:rPr>
          <w:b/>
          <w:bCs/>
          <w:i/>
          <w:iCs/>
          <w:lang w:val="en-US"/>
        </w:rPr>
        <w:br/>
      </w:r>
      <w:proofErr w:type="gramEnd"/>
    </w:p>
    <w:p w14:paraId="4EAD36DB" w14:textId="245569EF" w:rsidR="00B60301" w:rsidRPr="00F07B1C" w:rsidRDefault="0041303D">
      <w:pPr>
        <w:pStyle w:val="Body"/>
        <w:widowControl w:val="0"/>
        <w:spacing w:after="240"/>
        <w:ind w:left="567" w:hanging="567"/>
        <w:jc w:val="left"/>
        <w:rPr>
          <w:b/>
          <w:bCs/>
          <w:i/>
          <w:iCs/>
        </w:rPr>
      </w:pPr>
      <w:r w:rsidRPr="00F07B1C">
        <w:rPr>
          <w:b/>
          <w:bCs/>
          <w:i/>
          <w:iCs/>
        </w:rPr>
        <w:t>3b.</w:t>
      </w:r>
      <w:r w:rsidRPr="00F07B1C">
        <w:rPr>
          <w:b/>
          <w:bCs/>
          <w:i/>
          <w:iCs/>
          <w:lang w:val="en-US"/>
        </w:rPr>
        <w:tab/>
        <w:t xml:space="preserve">Notes that the three largest credit rating agencies hold a market share of over 90%; regrets the continued high degree of market concentration for credit rating agencies; concludes that existing measures to enhance competition in this market are insufficient; </w:t>
      </w:r>
      <w:r w:rsidRPr="00F07B1C">
        <w:rPr>
          <w:b/>
          <w:bCs/>
          <w:i/>
          <w:iCs/>
        </w:rPr>
        <w:t xml:space="preserve">(Tang 63; Tang 65; Tang, </w:t>
      </w:r>
      <w:proofErr w:type="spellStart"/>
      <w:r w:rsidRPr="00F07B1C">
        <w:rPr>
          <w:b/>
          <w:bCs/>
          <w:i/>
          <w:iCs/>
        </w:rPr>
        <w:t>Repasi</w:t>
      </w:r>
      <w:proofErr w:type="spellEnd"/>
      <w:r w:rsidRPr="00F07B1C">
        <w:rPr>
          <w:b/>
          <w:bCs/>
          <w:i/>
          <w:iCs/>
        </w:rPr>
        <w:t xml:space="preserve"> 59; </w:t>
      </w:r>
      <w:proofErr w:type="spellStart"/>
      <w:r w:rsidRPr="00F07B1C">
        <w:rPr>
          <w:b/>
          <w:bCs/>
          <w:i/>
          <w:iCs/>
        </w:rPr>
        <w:t>Repasi</w:t>
      </w:r>
      <w:proofErr w:type="spellEnd"/>
      <w:r w:rsidRPr="00F07B1C">
        <w:rPr>
          <w:b/>
          <w:bCs/>
          <w:i/>
          <w:iCs/>
        </w:rPr>
        <w:t xml:space="preserve"> et al 249)</w:t>
      </w:r>
    </w:p>
    <w:p w14:paraId="661E60B3" w14:textId="43F7830B" w:rsidR="00B60301" w:rsidRPr="00F07B1C" w:rsidRDefault="0041303D">
      <w:pPr>
        <w:pStyle w:val="Body"/>
        <w:widowControl w:val="0"/>
        <w:spacing w:after="240"/>
        <w:ind w:left="567" w:hanging="567"/>
        <w:jc w:val="left"/>
        <w:rPr>
          <w:b/>
          <w:bCs/>
          <w:i/>
          <w:iCs/>
        </w:rPr>
      </w:pPr>
      <w:proofErr w:type="gramStart"/>
      <w:r w:rsidRPr="00F07B1C">
        <w:rPr>
          <w:b/>
          <w:bCs/>
          <w:i/>
          <w:iCs/>
        </w:rPr>
        <w:t>3</w:t>
      </w:r>
      <w:r w:rsidRPr="00F07B1C">
        <w:rPr>
          <w:b/>
          <w:bCs/>
          <w:i/>
          <w:iCs/>
          <w:lang w:val="en-US"/>
        </w:rPr>
        <w:t xml:space="preserve">c. </w:t>
      </w:r>
      <w:r w:rsidRPr="00F07B1C">
        <w:rPr>
          <w:b/>
          <w:bCs/>
          <w:i/>
          <w:iCs/>
          <w:lang w:val="en-US"/>
        </w:rPr>
        <w:tab/>
        <w:t>Takes note of the Commission</w:t>
      </w:r>
      <w:r w:rsidRPr="00F07B1C">
        <w:rPr>
          <w:b/>
          <w:bCs/>
          <w:i/>
          <w:iCs/>
        </w:rPr>
        <w:t>’</w:t>
      </w:r>
      <w:r w:rsidRPr="00F07B1C">
        <w:rPr>
          <w:b/>
          <w:bCs/>
          <w:i/>
          <w:iCs/>
          <w:lang w:val="en-US"/>
        </w:rPr>
        <w:t xml:space="preserve">s Temporary Crisis and Transition Framework as part of the Green Deal Industrial Plan for the Net-Zero Age; </w:t>
      </w:r>
      <w:r w:rsidRPr="00F07B1C">
        <w:rPr>
          <w:b/>
          <w:bCs/>
          <w:i/>
          <w:iCs/>
        </w:rPr>
        <w:t xml:space="preserve"> </w:t>
      </w:r>
      <w:r w:rsidR="00B362D7" w:rsidRPr="00F07B1C">
        <w:rPr>
          <w:b/>
          <w:bCs/>
          <w:i/>
          <w:iCs/>
          <w:lang w:val="en-US"/>
        </w:rPr>
        <w:t xml:space="preserve"> welcomes</w:t>
      </w:r>
      <w:r w:rsidRPr="00F07B1C">
        <w:rPr>
          <w:b/>
          <w:bCs/>
          <w:i/>
          <w:iCs/>
          <w:lang w:val="en-US"/>
        </w:rPr>
        <w:t xml:space="preserve"> </w:t>
      </w:r>
      <w:r w:rsidR="00B362D7" w:rsidRPr="00F07B1C">
        <w:rPr>
          <w:b/>
          <w:bCs/>
          <w:i/>
          <w:iCs/>
          <w:lang w:val="en-US"/>
        </w:rPr>
        <w:t xml:space="preserve">the approach of the Commission in which </w:t>
      </w:r>
      <w:r w:rsidRPr="00F07B1C">
        <w:rPr>
          <w:b/>
          <w:bCs/>
          <w:i/>
          <w:iCs/>
          <w:lang w:val="en-US"/>
        </w:rPr>
        <w:t>the approval of state aid</w:t>
      </w:r>
      <w:r w:rsidR="00B362D7" w:rsidRPr="00F07B1C">
        <w:rPr>
          <w:b/>
          <w:bCs/>
          <w:i/>
          <w:iCs/>
          <w:lang w:val="en-US"/>
        </w:rPr>
        <w:t xml:space="preserve"> for individual companies</w:t>
      </w:r>
      <w:r w:rsidRPr="00F07B1C">
        <w:rPr>
          <w:b/>
          <w:bCs/>
          <w:i/>
          <w:iCs/>
          <w:lang w:val="en-US"/>
        </w:rPr>
        <w:t xml:space="preserve"> under this framework</w:t>
      </w:r>
      <w:r w:rsidR="00B362D7" w:rsidRPr="00F07B1C">
        <w:rPr>
          <w:b/>
          <w:bCs/>
          <w:i/>
          <w:iCs/>
          <w:lang w:val="en-US"/>
        </w:rPr>
        <w:t xml:space="preserve"> can only be granted for cross-border investments or investment in assisted </w:t>
      </w:r>
      <w:proofErr w:type="spellStart"/>
      <w:r w:rsidR="00B362D7" w:rsidRPr="00F07B1C">
        <w:rPr>
          <w:b/>
          <w:bCs/>
          <w:i/>
          <w:iCs/>
          <w:lang w:val="en-US"/>
        </w:rPr>
        <w:t>areas</w:t>
      </w:r>
      <w:r w:rsidRPr="00F07B1C">
        <w:rPr>
          <w:b/>
          <w:bCs/>
          <w:i/>
          <w:iCs/>
          <w:lang w:val="en-US"/>
        </w:rPr>
        <w:t>considers</w:t>
      </w:r>
      <w:proofErr w:type="spellEnd"/>
      <w:r w:rsidRPr="00F07B1C">
        <w:rPr>
          <w:b/>
          <w:bCs/>
          <w:i/>
          <w:iCs/>
          <w:lang w:val="en-US"/>
        </w:rPr>
        <w:t xml:space="preserve"> that notifiable national subsidies should have EU added value; reiterates the vital role of critical raw materials in retaining Europe</w:t>
      </w:r>
      <w:r w:rsidRPr="00F07B1C">
        <w:rPr>
          <w:b/>
          <w:bCs/>
          <w:i/>
          <w:iCs/>
        </w:rPr>
        <w:t>’</w:t>
      </w:r>
      <w:r w:rsidRPr="00F07B1C">
        <w:rPr>
          <w:b/>
          <w:bCs/>
          <w:i/>
          <w:iCs/>
          <w:lang w:val="en-US"/>
        </w:rPr>
        <w:t>s industrial base; Believes that proposals for a European Critical Raw materials Act, a Net Zero Industry Act, and the revision of the EU</w:t>
      </w:r>
      <w:r w:rsidRPr="00F07B1C">
        <w:rPr>
          <w:b/>
          <w:bCs/>
          <w:i/>
          <w:iCs/>
        </w:rPr>
        <w:t>’</w:t>
      </w:r>
      <w:r w:rsidRPr="00F07B1C">
        <w:rPr>
          <w:b/>
          <w:bCs/>
          <w:i/>
          <w:iCs/>
          <w:lang w:val="en-US"/>
        </w:rPr>
        <w:t xml:space="preserve">s internal electricity market offer an opportunity for the competitiveness of EU industry; notes the opportunities for the EU to </w:t>
      </w:r>
      <w:proofErr w:type="spellStart"/>
      <w:r w:rsidRPr="00F07B1C">
        <w:rPr>
          <w:b/>
          <w:bCs/>
          <w:i/>
          <w:iCs/>
          <w:lang w:val="en-US"/>
        </w:rPr>
        <w:t>utilise</w:t>
      </w:r>
      <w:proofErr w:type="spellEnd"/>
      <w:r w:rsidRPr="00F07B1C">
        <w:rPr>
          <w:b/>
          <w:bCs/>
          <w:i/>
          <w:iCs/>
          <w:lang w:val="en-US"/>
        </w:rPr>
        <w:t xml:space="preserve"> its domestic sources of critical law materials, while upholding its environmental standards; welcomes the revision of the General Block Exemption Regulation to enable Member States to invest more in key sectors for the transition to a net-zero economy such as low-carbon hydrogen, R&amp;D but also in accompanying measures to facilitate the digital transition for all sectors; (</w:t>
      </w:r>
      <w:proofErr w:type="spellStart"/>
      <w:r w:rsidRPr="00F07B1C">
        <w:rPr>
          <w:b/>
          <w:bCs/>
          <w:i/>
          <w:iCs/>
          <w:lang w:val="en-US"/>
        </w:rPr>
        <w:t>Asimakopoulou</w:t>
      </w:r>
      <w:proofErr w:type="spellEnd"/>
      <w:r w:rsidRPr="00F07B1C">
        <w:rPr>
          <w:b/>
          <w:bCs/>
          <w:i/>
          <w:iCs/>
          <w:lang w:val="en-US"/>
        </w:rPr>
        <w:t xml:space="preserve"> 60, 62; </w:t>
      </w:r>
      <w:proofErr w:type="spellStart"/>
      <w:r w:rsidRPr="00F07B1C">
        <w:rPr>
          <w:b/>
          <w:bCs/>
          <w:i/>
          <w:iCs/>
          <w:lang w:val="en-US"/>
        </w:rPr>
        <w:t>Poptcheva</w:t>
      </w:r>
      <w:proofErr w:type="spellEnd"/>
      <w:r w:rsidRPr="00F07B1C">
        <w:rPr>
          <w:b/>
          <w:bCs/>
          <w:i/>
          <w:iCs/>
          <w:lang w:val="en-US"/>
        </w:rPr>
        <w:t xml:space="preserve"> 82; Yon-</w:t>
      </w:r>
      <w:proofErr w:type="spellStart"/>
      <w:r w:rsidRPr="00F07B1C">
        <w:rPr>
          <w:b/>
          <w:bCs/>
          <w:i/>
          <w:iCs/>
          <w:lang w:val="en-US"/>
        </w:rPr>
        <w:t>Courtin</w:t>
      </w:r>
      <w:proofErr w:type="spellEnd"/>
      <w:r w:rsidRPr="00F07B1C">
        <w:rPr>
          <w:b/>
          <w:bCs/>
          <w:i/>
          <w:iCs/>
          <w:lang w:val="en-US"/>
        </w:rPr>
        <w:t xml:space="preserve"> 83)</w:t>
      </w:r>
      <w:proofErr w:type="gramEnd"/>
    </w:p>
    <w:p w14:paraId="36709782" w14:textId="77777777" w:rsidR="00B60301" w:rsidRPr="00F07B1C" w:rsidRDefault="0041303D">
      <w:pPr>
        <w:pStyle w:val="Body"/>
        <w:widowControl w:val="0"/>
        <w:spacing w:after="240"/>
        <w:ind w:left="567" w:hanging="567"/>
        <w:jc w:val="left"/>
        <w:rPr>
          <w:b/>
          <w:bCs/>
          <w:i/>
          <w:iCs/>
        </w:rPr>
      </w:pPr>
      <w:r w:rsidRPr="00F07B1C">
        <w:rPr>
          <w:b/>
          <w:bCs/>
          <w:i/>
          <w:iCs/>
        </w:rPr>
        <w:t>3ca.</w:t>
      </w:r>
      <w:r w:rsidRPr="00F07B1C">
        <w:rPr>
          <w:b/>
          <w:bCs/>
          <w:i/>
          <w:iCs/>
          <w:lang w:val="en-US"/>
        </w:rPr>
        <w:tab/>
        <w:t>Underlines that a balanced reconciliation of the Union</w:t>
      </w:r>
      <w:r w:rsidRPr="00F07B1C">
        <w:rPr>
          <w:b/>
          <w:bCs/>
          <w:i/>
          <w:iCs/>
        </w:rPr>
        <w:t>’</w:t>
      </w:r>
      <w:r w:rsidRPr="00F07B1C">
        <w:rPr>
          <w:b/>
          <w:bCs/>
          <w:i/>
          <w:iCs/>
          <w:lang w:val="en-US"/>
        </w:rPr>
        <w:t>s competition rules with its industrial and international trade policies is essential for re-shoring value chain activities and bolstering global competitiveness;</w:t>
      </w:r>
    </w:p>
    <w:p w14:paraId="18711FF5" w14:textId="77777777" w:rsidR="00B60301" w:rsidRPr="00F07B1C" w:rsidRDefault="0041303D">
      <w:pPr>
        <w:pStyle w:val="Body"/>
        <w:widowControl w:val="0"/>
        <w:spacing w:after="240"/>
        <w:ind w:left="567" w:hanging="567"/>
        <w:jc w:val="left"/>
        <w:rPr>
          <w:b/>
          <w:bCs/>
          <w:i/>
          <w:iCs/>
        </w:rPr>
      </w:pPr>
      <w:proofErr w:type="gramStart"/>
      <w:r w:rsidRPr="00F07B1C">
        <w:rPr>
          <w:b/>
          <w:bCs/>
          <w:i/>
          <w:iCs/>
          <w:lang w:val="en-US"/>
        </w:rPr>
        <w:t xml:space="preserve">3d. </w:t>
      </w:r>
      <w:r w:rsidRPr="00F07B1C">
        <w:rPr>
          <w:b/>
          <w:bCs/>
          <w:i/>
          <w:iCs/>
          <w:lang w:val="en-US"/>
        </w:rPr>
        <w:tab/>
        <w:t>Points out that a robust competition policy will improve the resilience of the European Union</w:t>
      </w:r>
      <w:r w:rsidRPr="00F07B1C">
        <w:rPr>
          <w:b/>
          <w:bCs/>
          <w:i/>
          <w:iCs/>
        </w:rPr>
        <w:t>’</w:t>
      </w:r>
      <w:r w:rsidRPr="00F07B1C">
        <w:rPr>
          <w:b/>
          <w:bCs/>
          <w:i/>
          <w:iCs/>
          <w:lang w:val="en-US"/>
        </w:rPr>
        <w:t xml:space="preserve">s single market, particularly for SMEs; notes that the strong contribution to job creation and value added make SMEs crucial to ensuring economic growth and social integration in the EU; welcomes in this regard of the revised Guidelines on State aid to promote risk finance investments, which clarify and simplify the rules under which Member States can support SMEs' access to finance; </w:t>
      </w:r>
      <w:r w:rsidRPr="00F07B1C">
        <w:rPr>
          <w:b/>
          <w:bCs/>
          <w:i/>
          <w:iCs/>
          <w:lang w:val="en-US"/>
        </w:rPr>
        <w:lastRenderedPageBreak/>
        <w:t>(</w:t>
      </w:r>
      <w:proofErr w:type="spellStart"/>
      <w:r w:rsidRPr="00F07B1C">
        <w:rPr>
          <w:b/>
          <w:bCs/>
          <w:i/>
          <w:iCs/>
          <w:lang w:val="en-US"/>
        </w:rPr>
        <w:t>Asimakopoulou</w:t>
      </w:r>
      <w:proofErr w:type="spellEnd"/>
      <w:r w:rsidRPr="00F07B1C">
        <w:rPr>
          <w:b/>
          <w:bCs/>
          <w:i/>
          <w:iCs/>
          <w:lang w:val="en-US"/>
        </w:rPr>
        <w:t xml:space="preserve">, 75; </w:t>
      </w:r>
      <w:proofErr w:type="spellStart"/>
      <w:r w:rsidRPr="00F07B1C">
        <w:rPr>
          <w:b/>
          <w:bCs/>
          <w:i/>
          <w:iCs/>
          <w:lang w:val="en-US"/>
        </w:rPr>
        <w:t>Gruffat</w:t>
      </w:r>
      <w:proofErr w:type="spellEnd"/>
      <w:r w:rsidRPr="00F07B1C">
        <w:rPr>
          <w:b/>
          <w:bCs/>
          <w:i/>
          <w:iCs/>
          <w:lang w:val="en-US"/>
        </w:rPr>
        <w:t xml:space="preserve"> 57)</w:t>
      </w:r>
      <w:proofErr w:type="gramEnd"/>
    </w:p>
    <w:p w14:paraId="2BBBE8BB" w14:textId="7C77D5A1" w:rsidR="00B60301" w:rsidRPr="00F07B1C" w:rsidRDefault="0041303D">
      <w:pPr>
        <w:pStyle w:val="Body"/>
        <w:widowControl w:val="0"/>
        <w:spacing w:after="240"/>
        <w:ind w:left="567" w:hanging="567"/>
        <w:jc w:val="left"/>
        <w:rPr>
          <w:b/>
          <w:bCs/>
          <w:i/>
          <w:iCs/>
        </w:rPr>
      </w:pPr>
      <w:r w:rsidRPr="00F07B1C">
        <w:rPr>
          <w:b/>
          <w:bCs/>
          <w:lang w:val="en-US"/>
        </w:rPr>
        <w:t>COMP D, covering amendments 76</w:t>
      </w:r>
      <w:r w:rsidR="005857D0" w:rsidRPr="00F07B1C">
        <w:rPr>
          <w:b/>
          <w:bCs/>
          <w:lang w:val="en-US"/>
        </w:rPr>
        <w:t xml:space="preserve">-81, </w:t>
      </w:r>
      <w:r w:rsidRPr="00F07B1C">
        <w:rPr>
          <w:b/>
          <w:bCs/>
          <w:lang w:val="en-US"/>
        </w:rPr>
        <w:t>92, 112, 116-119, 271, 273</w:t>
      </w:r>
      <w:r w:rsidR="00A755F5" w:rsidRPr="00F07B1C">
        <w:rPr>
          <w:b/>
          <w:bCs/>
          <w:lang w:val="en-US"/>
        </w:rPr>
        <w:t>, IMCO 18, 19, 20</w:t>
      </w:r>
    </w:p>
    <w:p w14:paraId="62DC1856" w14:textId="77777777" w:rsidR="00B60301" w:rsidRPr="00F07B1C" w:rsidRDefault="0041303D">
      <w:pPr>
        <w:pStyle w:val="Body"/>
        <w:widowControl w:val="0"/>
        <w:spacing w:after="240"/>
        <w:ind w:left="567" w:hanging="567"/>
        <w:jc w:val="left"/>
        <w:rPr>
          <w:b/>
          <w:bCs/>
          <w:i/>
          <w:iCs/>
        </w:rPr>
      </w:pPr>
      <w:r w:rsidRPr="00F07B1C">
        <w:rPr>
          <w:b/>
          <w:bCs/>
          <w:i/>
          <w:iCs/>
          <w:lang w:val="en-US"/>
        </w:rPr>
        <w:t>Policy response to the war in Ukraine and the Inflation Reduction Act</w:t>
      </w:r>
    </w:p>
    <w:p w14:paraId="309E833E" w14:textId="694A3C67" w:rsidR="00B60301" w:rsidRPr="00F07B1C" w:rsidRDefault="0041303D">
      <w:pPr>
        <w:pStyle w:val="Body"/>
        <w:widowControl w:val="0"/>
        <w:spacing w:after="240"/>
        <w:ind w:left="567" w:hanging="567"/>
        <w:jc w:val="left"/>
        <w:rPr>
          <w:b/>
          <w:bCs/>
          <w:i/>
          <w:iCs/>
        </w:rPr>
      </w:pPr>
      <w:proofErr w:type="gramStart"/>
      <w:r w:rsidRPr="00F07B1C">
        <w:rPr>
          <w:i/>
          <w:iCs/>
          <w:lang w:val="en-US"/>
        </w:rPr>
        <w:t>4.</w:t>
      </w:r>
      <w:r w:rsidRPr="00F07B1C">
        <w:rPr>
          <w:i/>
          <w:iCs/>
          <w:lang w:val="en-US"/>
        </w:rPr>
        <w:tab/>
        <w:t xml:space="preserve">Welcomes the quick adoption of the Temporary Crisis Framework for State Aid measures to support the economy following the aggression against Ukraine by Russia, and the subsequent prolongations thereof; </w:t>
      </w:r>
      <w:r w:rsidRPr="00F07B1C">
        <w:rPr>
          <w:b/>
          <w:bCs/>
          <w:i/>
          <w:iCs/>
          <w:lang w:val="en-US"/>
        </w:rPr>
        <w:t>stresses the importance to coordinate the actions under the Temporary Crisis Frameworks put in place over the last three years (Schwab 81);</w:t>
      </w:r>
      <w:r w:rsidRPr="00F07B1C">
        <w:rPr>
          <w:i/>
          <w:iCs/>
        </w:rPr>
        <w:t xml:space="preserve"> </w:t>
      </w:r>
      <w:r w:rsidRPr="00F07B1C">
        <w:rPr>
          <w:b/>
          <w:bCs/>
          <w:i/>
          <w:iCs/>
          <w:lang w:val="en-US"/>
        </w:rPr>
        <w:t>notes the Commission's proposal to transform this into a Temporary Crisis and Transition Framework (TCTF), by enlarging its scope to support all possible renewable sources of energy (</w:t>
      </w:r>
      <w:proofErr w:type="spellStart"/>
      <w:r w:rsidRPr="00F07B1C">
        <w:rPr>
          <w:b/>
          <w:bCs/>
          <w:i/>
          <w:iCs/>
          <w:lang w:val="en-US"/>
        </w:rPr>
        <w:t>Asimakopoulou</w:t>
      </w:r>
      <w:proofErr w:type="spellEnd"/>
      <w:r w:rsidRPr="00F07B1C">
        <w:rPr>
          <w:b/>
          <w:bCs/>
          <w:i/>
          <w:iCs/>
          <w:lang w:val="en-US"/>
        </w:rPr>
        <w:t xml:space="preserve"> 80); stresses that any flexibility should be targeted, temporary, proportionate and consistent with EU policy objectives and do not create permanent distortions in the internal market; (</w:t>
      </w:r>
      <w:proofErr w:type="spellStart"/>
      <w:r w:rsidRPr="00F07B1C">
        <w:rPr>
          <w:b/>
          <w:bCs/>
          <w:i/>
          <w:iCs/>
          <w:lang w:val="en-US"/>
        </w:rPr>
        <w:t>Jurzyca</w:t>
      </w:r>
      <w:proofErr w:type="spellEnd"/>
      <w:r w:rsidRPr="00F07B1C">
        <w:rPr>
          <w:b/>
          <w:bCs/>
          <w:i/>
          <w:iCs/>
          <w:lang w:val="en-US"/>
        </w:rPr>
        <w:t xml:space="preserve"> 79, Yon-</w:t>
      </w:r>
      <w:proofErr w:type="spellStart"/>
      <w:r w:rsidRPr="00F07B1C">
        <w:rPr>
          <w:b/>
          <w:bCs/>
          <w:i/>
          <w:iCs/>
          <w:lang w:val="en-US"/>
        </w:rPr>
        <w:t>Courtin</w:t>
      </w:r>
      <w:proofErr w:type="spellEnd"/>
      <w:r w:rsidRPr="00F07B1C">
        <w:rPr>
          <w:b/>
          <w:bCs/>
          <w:i/>
          <w:iCs/>
          <w:lang w:val="en-US"/>
        </w:rPr>
        <w:t xml:space="preserve"> et al 83, </w:t>
      </w:r>
      <w:proofErr w:type="spellStart"/>
      <w:r w:rsidRPr="00F07B1C">
        <w:rPr>
          <w:b/>
          <w:bCs/>
          <w:i/>
          <w:iCs/>
          <w:lang w:val="en-US"/>
        </w:rPr>
        <w:t>Repasi</w:t>
      </w:r>
      <w:proofErr w:type="spellEnd"/>
      <w:r w:rsidRPr="00F07B1C">
        <w:rPr>
          <w:b/>
          <w:bCs/>
          <w:i/>
          <w:iCs/>
          <w:lang w:val="en-US"/>
        </w:rPr>
        <w:t xml:space="preserve"> et al 92); considers that the aim of TCTF is </w:t>
      </w:r>
      <w:r w:rsidRPr="00F07B1C">
        <w:rPr>
          <w:b/>
          <w:bCs/>
          <w:i/>
          <w:iCs/>
        </w:rPr>
        <w:t xml:space="preserve"> to</w:t>
      </w:r>
      <w:r w:rsidRPr="00F07B1C">
        <w:rPr>
          <w:b/>
          <w:bCs/>
          <w:i/>
          <w:iCs/>
          <w:lang w:val="en-US"/>
        </w:rPr>
        <w:t xml:space="preserve"> shape conditions for competitive companies in service of the public interest</w:t>
      </w:r>
      <w:r w:rsidRPr="00F07B1C">
        <w:rPr>
          <w:b/>
          <w:bCs/>
          <w:i/>
          <w:iCs/>
        </w:rPr>
        <w:t xml:space="preserve"> (</w:t>
      </w:r>
      <w:proofErr w:type="spellStart"/>
      <w:r w:rsidRPr="00F07B1C">
        <w:rPr>
          <w:b/>
          <w:bCs/>
          <w:i/>
          <w:iCs/>
        </w:rPr>
        <w:t>Gruffat</w:t>
      </w:r>
      <w:proofErr w:type="spellEnd"/>
      <w:r w:rsidRPr="00F07B1C">
        <w:rPr>
          <w:b/>
          <w:bCs/>
          <w:i/>
          <w:iCs/>
        </w:rPr>
        <w:t xml:space="preserve"> 119; </w:t>
      </w:r>
      <w:proofErr w:type="spellStart"/>
      <w:r w:rsidRPr="00F07B1C">
        <w:rPr>
          <w:b/>
          <w:bCs/>
          <w:i/>
          <w:iCs/>
        </w:rPr>
        <w:t>Schirdewan</w:t>
      </w:r>
      <w:proofErr w:type="spellEnd"/>
      <w:r w:rsidRPr="00F07B1C">
        <w:rPr>
          <w:b/>
          <w:bCs/>
          <w:i/>
          <w:iCs/>
        </w:rPr>
        <w:t xml:space="preserve"> 273)</w:t>
      </w:r>
      <w:r w:rsidRPr="00F07B1C">
        <w:rPr>
          <w:b/>
          <w:bCs/>
          <w:i/>
          <w:iCs/>
        </w:rPr>
        <w:br/>
      </w:r>
      <w:proofErr w:type="gramEnd"/>
    </w:p>
    <w:p w14:paraId="4C1DBFDC" w14:textId="1BF81309" w:rsidR="00B60301" w:rsidRPr="00F07B1C" w:rsidRDefault="0041303D">
      <w:pPr>
        <w:pStyle w:val="Body"/>
        <w:widowControl w:val="0"/>
        <w:spacing w:after="240"/>
        <w:ind w:left="567" w:hanging="567"/>
        <w:jc w:val="left"/>
        <w:rPr>
          <w:b/>
          <w:bCs/>
          <w:i/>
          <w:iCs/>
        </w:rPr>
      </w:pPr>
      <w:proofErr w:type="gramStart"/>
      <w:r w:rsidRPr="00F07B1C">
        <w:rPr>
          <w:b/>
          <w:bCs/>
          <w:i/>
          <w:iCs/>
        </w:rPr>
        <w:t xml:space="preserve">4a. </w:t>
      </w:r>
      <w:r w:rsidRPr="00F07B1C">
        <w:rPr>
          <w:b/>
          <w:bCs/>
          <w:i/>
          <w:iCs/>
        </w:rPr>
        <w:tab/>
      </w:r>
      <w:r w:rsidRPr="00F07B1C">
        <w:rPr>
          <w:b/>
          <w:bCs/>
          <w:i/>
          <w:iCs/>
          <w:lang w:val="en-US"/>
        </w:rPr>
        <w:t xml:space="preserve">Stresses that the Commission should only accept state aid </w:t>
      </w:r>
      <w:r w:rsidR="006177E9" w:rsidRPr="00F07B1C">
        <w:rPr>
          <w:b/>
          <w:bCs/>
          <w:i/>
          <w:iCs/>
          <w:lang w:val="en-US"/>
        </w:rPr>
        <w:t xml:space="preserve">notified by Member States </w:t>
      </w:r>
      <w:r w:rsidRPr="00F07B1C">
        <w:rPr>
          <w:b/>
          <w:bCs/>
          <w:i/>
          <w:iCs/>
          <w:lang w:val="en-US"/>
        </w:rPr>
        <w:t>if it pursues an objective of common interest and that court cases have specified that aid cannot be granted if the recipient infringes environmental rules</w:t>
      </w:r>
      <w:r w:rsidRPr="00F07B1C">
        <w:rPr>
          <w:b/>
          <w:bCs/>
          <w:i/>
          <w:iCs/>
          <w:vertAlign w:val="superscript"/>
        </w:rPr>
        <w:footnoteReference w:id="2"/>
      </w:r>
      <w:r w:rsidRPr="00F07B1C">
        <w:rPr>
          <w:b/>
          <w:bCs/>
          <w:i/>
          <w:iCs/>
          <w:lang w:val="en-US"/>
        </w:rPr>
        <w:t>; encourages Member States to introduce further binding conditions for the receipt of state aid (</w:t>
      </w:r>
      <w:proofErr w:type="spellStart"/>
      <w:r w:rsidRPr="00F07B1C">
        <w:rPr>
          <w:b/>
          <w:bCs/>
          <w:i/>
          <w:iCs/>
          <w:lang w:val="en-US"/>
        </w:rPr>
        <w:t>Gruffat</w:t>
      </w:r>
      <w:proofErr w:type="spellEnd"/>
      <w:r w:rsidRPr="00F07B1C">
        <w:rPr>
          <w:b/>
          <w:bCs/>
          <w:i/>
          <w:iCs/>
          <w:lang w:val="en-US"/>
        </w:rPr>
        <w:t xml:space="preserve"> 112; </w:t>
      </w:r>
      <w:proofErr w:type="spellStart"/>
      <w:r w:rsidRPr="00F07B1C">
        <w:rPr>
          <w:b/>
          <w:bCs/>
          <w:i/>
          <w:iCs/>
          <w:lang w:val="en-US"/>
        </w:rPr>
        <w:t>Repasi</w:t>
      </w:r>
      <w:proofErr w:type="spellEnd"/>
      <w:r w:rsidRPr="00F07B1C">
        <w:rPr>
          <w:b/>
          <w:bCs/>
          <w:i/>
          <w:iCs/>
          <w:lang w:val="en-US"/>
        </w:rPr>
        <w:t xml:space="preserve"> et al 116; </w:t>
      </w:r>
      <w:proofErr w:type="spellStart"/>
      <w:r w:rsidRPr="00F07B1C">
        <w:rPr>
          <w:b/>
          <w:bCs/>
          <w:i/>
          <w:iCs/>
          <w:lang w:val="en-US"/>
        </w:rPr>
        <w:t>Gruffat</w:t>
      </w:r>
      <w:proofErr w:type="spellEnd"/>
      <w:r w:rsidRPr="00F07B1C">
        <w:rPr>
          <w:b/>
          <w:bCs/>
          <w:i/>
          <w:iCs/>
          <w:lang w:val="en-US"/>
        </w:rPr>
        <w:t xml:space="preserve"> 117; </w:t>
      </w:r>
      <w:proofErr w:type="spellStart"/>
      <w:r w:rsidRPr="00F07B1C">
        <w:rPr>
          <w:b/>
          <w:bCs/>
          <w:i/>
          <w:iCs/>
          <w:lang w:val="en-US"/>
        </w:rPr>
        <w:t>Repasi</w:t>
      </w:r>
      <w:proofErr w:type="spellEnd"/>
      <w:r w:rsidRPr="00F07B1C">
        <w:rPr>
          <w:b/>
          <w:bCs/>
          <w:i/>
          <w:iCs/>
          <w:lang w:val="en-US"/>
        </w:rPr>
        <w:t xml:space="preserve"> et al 118; </w:t>
      </w:r>
      <w:proofErr w:type="spellStart"/>
      <w:r w:rsidRPr="00F07B1C">
        <w:rPr>
          <w:b/>
          <w:bCs/>
          <w:i/>
          <w:iCs/>
          <w:lang w:val="en-US"/>
        </w:rPr>
        <w:t>Schirdewan</w:t>
      </w:r>
      <w:proofErr w:type="spellEnd"/>
      <w:r w:rsidRPr="00F07B1C">
        <w:rPr>
          <w:b/>
          <w:bCs/>
          <w:i/>
          <w:iCs/>
          <w:lang w:val="en-US"/>
        </w:rPr>
        <w:t xml:space="preserve"> et al 271</w:t>
      </w:r>
      <w:proofErr w:type="gramEnd"/>
    </w:p>
    <w:p w14:paraId="2C5628B3" w14:textId="77777777" w:rsidR="00B60301" w:rsidRPr="00F07B1C" w:rsidRDefault="00B60301">
      <w:pPr>
        <w:pStyle w:val="Body"/>
        <w:widowControl w:val="0"/>
        <w:spacing w:after="240"/>
        <w:jc w:val="left"/>
        <w:rPr>
          <w:b/>
          <w:bCs/>
          <w:i/>
          <w:iCs/>
        </w:rPr>
      </w:pPr>
    </w:p>
    <w:p w14:paraId="00642356" w14:textId="506BFA71" w:rsidR="00B60301" w:rsidRPr="00F07B1C" w:rsidRDefault="0041303D">
      <w:pPr>
        <w:pStyle w:val="Body"/>
        <w:widowControl w:val="0"/>
        <w:spacing w:after="240"/>
        <w:ind w:left="567" w:hanging="567"/>
        <w:jc w:val="left"/>
        <w:rPr>
          <w:i/>
          <w:iCs/>
        </w:rPr>
      </w:pPr>
      <w:r w:rsidRPr="00F07B1C">
        <w:rPr>
          <w:b/>
          <w:bCs/>
          <w:lang w:val="en-US"/>
        </w:rPr>
        <w:t>COMP E, covering amendments 67, 70, 72,</w:t>
      </w:r>
      <w:r w:rsidRPr="00F07B1C">
        <w:rPr>
          <w:b/>
          <w:bCs/>
          <w:i/>
          <w:iCs/>
        </w:rPr>
        <w:t xml:space="preserve"> </w:t>
      </w:r>
      <w:r w:rsidRPr="00F07B1C">
        <w:rPr>
          <w:b/>
          <w:bCs/>
        </w:rPr>
        <w:t>86</w:t>
      </w:r>
      <w:r w:rsidR="001D14A8" w:rsidRPr="00F07B1C">
        <w:rPr>
          <w:b/>
          <w:bCs/>
        </w:rPr>
        <w:t>, 88</w:t>
      </w:r>
      <w:r w:rsidR="005857D0" w:rsidRPr="00F07B1C">
        <w:rPr>
          <w:b/>
          <w:bCs/>
        </w:rPr>
        <w:t>-91, 93</w:t>
      </w:r>
      <w:r w:rsidRPr="00F07B1C">
        <w:rPr>
          <w:b/>
          <w:bCs/>
        </w:rPr>
        <w:t>-</w:t>
      </w:r>
      <w:r w:rsidR="001D14A8" w:rsidRPr="00F07B1C">
        <w:rPr>
          <w:b/>
          <w:bCs/>
        </w:rPr>
        <w:t xml:space="preserve">109, </w:t>
      </w:r>
      <w:r w:rsidRPr="00F07B1C">
        <w:rPr>
          <w:b/>
          <w:bCs/>
        </w:rPr>
        <w:t>111, 113</w:t>
      </w:r>
      <w:r w:rsidR="005857D0" w:rsidRPr="00F07B1C">
        <w:rPr>
          <w:b/>
          <w:bCs/>
        </w:rPr>
        <w:t>-11</w:t>
      </w:r>
      <w:r w:rsidR="00B65F69" w:rsidRPr="00F07B1C">
        <w:rPr>
          <w:b/>
          <w:bCs/>
        </w:rPr>
        <w:t>5</w:t>
      </w:r>
      <w:r w:rsidR="005857D0" w:rsidRPr="00F07B1C">
        <w:rPr>
          <w:b/>
          <w:bCs/>
        </w:rPr>
        <w:t>, 120</w:t>
      </w:r>
      <w:r w:rsidRPr="00F07B1C">
        <w:rPr>
          <w:b/>
          <w:bCs/>
        </w:rPr>
        <w:t>-121, 128</w:t>
      </w:r>
      <w:r w:rsidR="00B65F69" w:rsidRPr="00F07B1C">
        <w:rPr>
          <w:b/>
          <w:bCs/>
        </w:rPr>
        <w:t>-1</w:t>
      </w:r>
      <w:r w:rsidR="00AF5CDF" w:rsidRPr="00F07B1C">
        <w:rPr>
          <w:b/>
          <w:bCs/>
        </w:rPr>
        <w:t>30</w:t>
      </w:r>
      <w:r w:rsidRPr="00F07B1C">
        <w:rPr>
          <w:b/>
          <w:bCs/>
        </w:rPr>
        <w:t>, 140, 142, 225, 252</w:t>
      </w:r>
      <w:r w:rsidR="00BA5E65" w:rsidRPr="00F07B1C">
        <w:rPr>
          <w:b/>
          <w:bCs/>
        </w:rPr>
        <w:t xml:space="preserve">, IMCO 2, 4, 5, 6, </w:t>
      </w:r>
      <w:r w:rsidR="00A755F5" w:rsidRPr="00F07B1C">
        <w:rPr>
          <w:b/>
          <w:bCs/>
        </w:rPr>
        <w:t>7, 15, 24, 26</w:t>
      </w:r>
    </w:p>
    <w:p w14:paraId="1CAC5896" w14:textId="2B8BC740" w:rsidR="00B60301" w:rsidRPr="00F07B1C" w:rsidRDefault="0041303D">
      <w:pPr>
        <w:pStyle w:val="Body"/>
        <w:widowControl w:val="0"/>
        <w:spacing w:after="240"/>
        <w:ind w:left="567" w:hanging="567"/>
        <w:jc w:val="left"/>
        <w:rPr>
          <w:i/>
          <w:iCs/>
        </w:rPr>
      </w:pPr>
      <w:proofErr w:type="gramStart"/>
      <w:r w:rsidRPr="00F07B1C">
        <w:rPr>
          <w:i/>
          <w:iCs/>
        </w:rPr>
        <w:t>5.</w:t>
      </w:r>
      <w:r w:rsidRPr="00F07B1C">
        <w:rPr>
          <w:i/>
          <w:iCs/>
        </w:rPr>
        <w:tab/>
      </w:r>
      <w:r w:rsidRPr="00F07B1C">
        <w:rPr>
          <w:b/>
          <w:bCs/>
          <w:i/>
          <w:iCs/>
          <w:lang w:val="en-US"/>
        </w:rPr>
        <w:t>Understands the need for additional public</w:t>
      </w:r>
      <w:r w:rsidR="00B972F7" w:rsidRPr="00F07B1C">
        <w:rPr>
          <w:b/>
          <w:bCs/>
          <w:i/>
          <w:iCs/>
          <w:lang w:val="en-US"/>
        </w:rPr>
        <w:t xml:space="preserve"> and private </w:t>
      </w:r>
      <w:r w:rsidRPr="00F07B1C">
        <w:rPr>
          <w:b/>
          <w:bCs/>
          <w:i/>
          <w:iCs/>
          <w:lang w:val="en-US"/>
        </w:rPr>
        <w:t>investments(</w:t>
      </w:r>
      <w:proofErr w:type="spellStart"/>
      <w:r w:rsidRPr="00F07B1C">
        <w:rPr>
          <w:b/>
          <w:bCs/>
          <w:i/>
          <w:iCs/>
          <w:lang w:val="en-US"/>
        </w:rPr>
        <w:t>Asimakopoulou</w:t>
      </w:r>
      <w:proofErr w:type="spellEnd"/>
      <w:r w:rsidRPr="00F07B1C">
        <w:rPr>
          <w:b/>
          <w:bCs/>
          <w:i/>
          <w:iCs/>
          <w:lang w:val="en-US"/>
        </w:rPr>
        <w:t xml:space="preserve"> 87) to fight social and regional inequality, </w:t>
      </w:r>
      <w:proofErr w:type="spellStart"/>
      <w:r w:rsidRPr="00F07B1C">
        <w:rPr>
          <w:b/>
          <w:bCs/>
          <w:i/>
          <w:iCs/>
          <w:lang w:val="en-US"/>
        </w:rPr>
        <w:t>decarbonise</w:t>
      </w:r>
      <w:proofErr w:type="spellEnd"/>
      <w:r w:rsidR="00B972F7" w:rsidRPr="00F07B1C">
        <w:rPr>
          <w:b/>
          <w:bCs/>
          <w:i/>
          <w:iCs/>
          <w:lang w:val="en-US"/>
        </w:rPr>
        <w:t xml:space="preserve"> and </w:t>
      </w:r>
      <w:proofErr w:type="spellStart"/>
      <w:r w:rsidR="00B972F7" w:rsidRPr="00F07B1C">
        <w:rPr>
          <w:b/>
          <w:bCs/>
          <w:i/>
          <w:iCs/>
          <w:lang w:val="en-US"/>
        </w:rPr>
        <w:t>digitalise</w:t>
      </w:r>
      <w:proofErr w:type="spellEnd"/>
      <w:r w:rsidRPr="00F07B1C">
        <w:rPr>
          <w:b/>
          <w:bCs/>
          <w:i/>
          <w:iCs/>
          <w:lang w:val="en-US"/>
        </w:rPr>
        <w:t xml:space="preserve"> industry and bolster autonomy in key economic sectors (</w:t>
      </w:r>
      <w:proofErr w:type="spellStart"/>
      <w:r w:rsidRPr="00F07B1C">
        <w:rPr>
          <w:b/>
          <w:bCs/>
          <w:i/>
          <w:iCs/>
          <w:lang w:val="en-US"/>
        </w:rPr>
        <w:t>Schirdewan</w:t>
      </w:r>
      <w:proofErr w:type="spellEnd"/>
      <w:r w:rsidRPr="00F07B1C">
        <w:rPr>
          <w:b/>
          <w:bCs/>
          <w:i/>
          <w:iCs/>
          <w:lang w:val="en-US"/>
        </w:rPr>
        <w:t xml:space="preserve"> 89);</w:t>
      </w:r>
      <w:r w:rsidRPr="00F07B1C">
        <w:rPr>
          <w:i/>
          <w:iCs/>
          <w:lang w:val="en-US"/>
        </w:rPr>
        <w:t xml:space="preserve"> calls on the Commission to safeguard the integrity of the internal market and </w:t>
      </w:r>
      <w:r w:rsidRPr="00F07B1C">
        <w:rPr>
          <w:b/>
          <w:bCs/>
          <w:i/>
          <w:iCs/>
          <w:lang w:val="en-US"/>
        </w:rPr>
        <w:t>a level playing field (Fernandez 90; Garcia-Margallo 97; Yon-</w:t>
      </w:r>
      <w:proofErr w:type="spellStart"/>
      <w:r w:rsidRPr="00F07B1C">
        <w:rPr>
          <w:b/>
          <w:bCs/>
          <w:i/>
          <w:iCs/>
          <w:lang w:val="en-US"/>
        </w:rPr>
        <w:t>Courtin</w:t>
      </w:r>
      <w:proofErr w:type="spellEnd"/>
      <w:r w:rsidRPr="00F07B1C">
        <w:rPr>
          <w:b/>
          <w:bCs/>
          <w:i/>
          <w:iCs/>
          <w:lang w:val="en-US"/>
        </w:rPr>
        <w:t xml:space="preserve"> et al 98)</w:t>
      </w:r>
      <w:r w:rsidRPr="00F07B1C">
        <w:rPr>
          <w:i/>
          <w:iCs/>
          <w:lang w:val="en-US"/>
        </w:rPr>
        <w:t xml:space="preserve"> and is deeply concerned about the risk of increasing fragmentation within the internal market due to excessive </w:t>
      </w:r>
      <w:r w:rsidRPr="00F07B1C">
        <w:rPr>
          <w:b/>
          <w:bCs/>
          <w:i/>
          <w:iCs/>
          <w:lang w:val="en-US"/>
        </w:rPr>
        <w:t>relaxation of state aid rules and</w:t>
      </w:r>
      <w:r w:rsidRPr="00F07B1C">
        <w:rPr>
          <w:i/>
          <w:iCs/>
        </w:rPr>
        <w:t xml:space="preserve"> </w:t>
      </w:r>
      <w:r w:rsidRPr="00F07B1C">
        <w:rPr>
          <w:b/>
          <w:bCs/>
          <w:i/>
          <w:iCs/>
        </w:rPr>
        <w:t>(</w:t>
      </w:r>
      <w:proofErr w:type="spellStart"/>
      <w:r w:rsidRPr="00F07B1C">
        <w:rPr>
          <w:b/>
          <w:bCs/>
          <w:i/>
          <w:iCs/>
        </w:rPr>
        <w:t>Asimakopoulou</w:t>
      </w:r>
      <w:proofErr w:type="spellEnd"/>
      <w:r w:rsidRPr="00F07B1C">
        <w:rPr>
          <w:b/>
          <w:bCs/>
          <w:i/>
          <w:iCs/>
        </w:rPr>
        <w:t xml:space="preserve"> 87) </w:t>
      </w:r>
      <w:r w:rsidRPr="00F07B1C">
        <w:rPr>
          <w:i/>
          <w:iCs/>
          <w:lang w:val="en-US"/>
        </w:rPr>
        <w:t xml:space="preserve">use of subsidies in response to the US Inflation Reduction Act; </w:t>
      </w:r>
      <w:r w:rsidRPr="00F07B1C">
        <w:rPr>
          <w:b/>
          <w:bCs/>
          <w:i/>
          <w:iCs/>
          <w:lang w:val="en-US"/>
        </w:rPr>
        <w:t xml:space="preserve">warns the Commission for international subsidy competition and calls upon the Commission to use the tools at its disposal to prevent and sanction unfair subsidy competition (Tang, </w:t>
      </w:r>
      <w:proofErr w:type="spellStart"/>
      <w:r w:rsidRPr="00F07B1C">
        <w:rPr>
          <w:b/>
          <w:bCs/>
          <w:i/>
          <w:iCs/>
          <w:lang w:val="en-US"/>
        </w:rPr>
        <w:t>Repasi</w:t>
      </w:r>
      <w:proofErr w:type="spellEnd"/>
      <w:r w:rsidRPr="00F07B1C">
        <w:rPr>
          <w:b/>
          <w:bCs/>
          <w:i/>
          <w:iCs/>
          <w:lang w:val="en-US"/>
        </w:rPr>
        <w:t xml:space="preserve"> 88); calls on the Commission to pay particular attention</w:t>
      </w:r>
      <w:r w:rsidRPr="00F07B1C">
        <w:rPr>
          <w:i/>
          <w:iCs/>
        </w:rPr>
        <w:t xml:space="preserve"> </w:t>
      </w:r>
      <w:r w:rsidRPr="00F07B1C">
        <w:rPr>
          <w:b/>
          <w:bCs/>
          <w:i/>
          <w:iCs/>
          <w:lang w:val="en-US"/>
        </w:rPr>
        <w:t>to the differing levels of fiscal space available to Member States to provide support and monitor potential distortive effects (</w:t>
      </w:r>
      <w:proofErr w:type="spellStart"/>
      <w:r w:rsidRPr="00F07B1C">
        <w:rPr>
          <w:b/>
          <w:bCs/>
          <w:i/>
          <w:iCs/>
          <w:lang w:val="en-US"/>
        </w:rPr>
        <w:t>Asimakopoulou</w:t>
      </w:r>
      <w:proofErr w:type="spellEnd"/>
      <w:r w:rsidRPr="00F07B1C">
        <w:rPr>
          <w:b/>
          <w:bCs/>
          <w:i/>
          <w:iCs/>
          <w:lang w:val="en-US"/>
        </w:rPr>
        <w:t xml:space="preserve"> 87; </w:t>
      </w:r>
      <w:proofErr w:type="spellStart"/>
      <w:r w:rsidRPr="00F07B1C">
        <w:rPr>
          <w:b/>
          <w:bCs/>
          <w:i/>
          <w:iCs/>
          <w:lang w:val="en-US"/>
        </w:rPr>
        <w:t>Repasi</w:t>
      </w:r>
      <w:proofErr w:type="spellEnd"/>
      <w:r w:rsidRPr="00F07B1C">
        <w:rPr>
          <w:b/>
          <w:bCs/>
          <w:i/>
          <w:iCs/>
          <w:lang w:val="en-US"/>
        </w:rPr>
        <w:t xml:space="preserve"> et al 105)</w:t>
      </w:r>
      <w:r w:rsidR="00B972F7" w:rsidRPr="00F07B1C" w:rsidDel="00B972F7">
        <w:rPr>
          <w:i/>
          <w:iCs/>
        </w:rPr>
        <w:t xml:space="preserve"> </w:t>
      </w:r>
      <w:r w:rsidR="008A10C2" w:rsidRPr="00F07B1C">
        <w:rPr>
          <w:b/>
          <w:bCs/>
          <w:i/>
          <w:iCs/>
          <w:lang w:val="en-US"/>
        </w:rPr>
        <w:t xml:space="preserve">Highlights that new political initiatives, objectives and tasks funded through the EU budget, including both EU-wide and cross-border projects, must be financed with additional fresh </w:t>
      </w:r>
      <w:proofErr w:type="spellStart"/>
      <w:r w:rsidR="008A10C2" w:rsidRPr="00F07B1C">
        <w:rPr>
          <w:b/>
          <w:bCs/>
          <w:i/>
          <w:iCs/>
          <w:lang w:val="en-US"/>
        </w:rPr>
        <w:t>money;</w:t>
      </w:r>
      <w:r w:rsidRPr="00F07B1C">
        <w:rPr>
          <w:b/>
          <w:bCs/>
          <w:i/>
          <w:iCs/>
          <w:lang w:val="en-US"/>
        </w:rPr>
        <w:t>calls</w:t>
      </w:r>
      <w:proofErr w:type="spellEnd"/>
      <w:r w:rsidRPr="00F07B1C">
        <w:rPr>
          <w:b/>
          <w:bCs/>
          <w:i/>
          <w:iCs/>
          <w:lang w:val="en-US"/>
        </w:rPr>
        <w:t xml:space="preserve"> on the Commission to investigate the lack</w:t>
      </w:r>
      <w:r w:rsidR="009013B9" w:rsidRPr="00F07B1C">
        <w:rPr>
          <w:b/>
          <w:bCs/>
          <w:i/>
          <w:iCs/>
          <w:lang w:val="en-US"/>
        </w:rPr>
        <w:t xml:space="preserve"> of</w:t>
      </w:r>
      <w:r w:rsidRPr="00F07B1C">
        <w:rPr>
          <w:b/>
          <w:bCs/>
          <w:i/>
          <w:iCs/>
        </w:rPr>
        <w:t xml:space="preserve"> harmonisation</w:t>
      </w:r>
      <w:r w:rsidRPr="00F07B1C">
        <w:rPr>
          <w:b/>
          <w:bCs/>
          <w:i/>
          <w:iCs/>
          <w:lang w:val="en-US"/>
        </w:rPr>
        <w:t xml:space="preserve"> of </w:t>
      </w:r>
      <w:proofErr w:type="spellStart"/>
      <w:r w:rsidRPr="00F07B1C">
        <w:rPr>
          <w:b/>
          <w:bCs/>
          <w:i/>
          <w:iCs/>
          <w:lang w:val="en-US"/>
        </w:rPr>
        <w:t>clawback</w:t>
      </w:r>
      <w:proofErr w:type="spellEnd"/>
      <w:r w:rsidRPr="00F07B1C">
        <w:rPr>
          <w:b/>
          <w:bCs/>
          <w:i/>
          <w:iCs/>
        </w:rPr>
        <w:t xml:space="preserve"> mechanisms in Member States (</w:t>
      </w:r>
      <w:proofErr w:type="spellStart"/>
      <w:r w:rsidRPr="00F07B1C">
        <w:rPr>
          <w:b/>
          <w:bCs/>
          <w:i/>
          <w:iCs/>
        </w:rPr>
        <w:t>Repasi</w:t>
      </w:r>
      <w:proofErr w:type="spellEnd"/>
      <w:r w:rsidRPr="00F07B1C">
        <w:rPr>
          <w:b/>
          <w:bCs/>
          <w:i/>
          <w:iCs/>
        </w:rPr>
        <w:t xml:space="preserve"> et al 120, Tang, </w:t>
      </w:r>
      <w:proofErr w:type="spellStart"/>
      <w:r w:rsidRPr="00F07B1C">
        <w:rPr>
          <w:b/>
          <w:bCs/>
          <w:i/>
          <w:iCs/>
        </w:rPr>
        <w:lastRenderedPageBreak/>
        <w:t>Repasi</w:t>
      </w:r>
      <w:proofErr w:type="spellEnd"/>
      <w:r w:rsidRPr="00F07B1C">
        <w:rPr>
          <w:b/>
          <w:bCs/>
          <w:i/>
          <w:iCs/>
        </w:rPr>
        <w:t xml:space="preserve"> 128)</w:t>
      </w:r>
      <w:proofErr w:type="gramEnd"/>
    </w:p>
    <w:p w14:paraId="1ACF2AC4" w14:textId="2C67B54E" w:rsidR="00B60301" w:rsidRPr="00F07B1C" w:rsidRDefault="0041303D">
      <w:pPr>
        <w:pStyle w:val="Body"/>
        <w:widowControl w:val="0"/>
        <w:spacing w:after="240"/>
        <w:ind w:left="567" w:hanging="567"/>
        <w:jc w:val="left"/>
        <w:rPr>
          <w:b/>
          <w:bCs/>
          <w:i/>
          <w:iCs/>
        </w:rPr>
      </w:pPr>
      <w:proofErr w:type="gramStart"/>
      <w:r w:rsidRPr="00F07B1C">
        <w:rPr>
          <w:b/>
          <w:bCs/>
          <w:i/>
          <w:iCs/>
          <w:lang w:val="en-US"/>
        </w:rPr>
        <w:t xml:space="preserve">5a. </w:t>
      </w:r>
      <w:r w:rsidRPr="00F07B1C">
        <w:rPr>
          <w:b/>
          <w:bCs/>
          <w:i/>
          <w:iCs/>
          <w:lang w:val="en-US"/>
        </w:rPr>
        <w:tab/>
        <w:t xml:space="preserve">Reiterates that the EU response to the US Inflation Reduction Act cannot solely be built on state aid, but should also include other areas of competition policy such as merger control; welcomes the latest conclusions of the European Council calling on </w:t>
      </w:r>
      <w:proofErr w:type="spellStart"/>
      <w:r w:rsidRPr="00F07B1C">
        <w:rPr>
          <w:b/>
          <w:bCs/>
          <w:i/>
          <w:iCs/>
          <w:lang w:val="en-US"/>
        </w:rPr>
        <w:t>modernising</w:t>
      </w:r>
      <w:proofErr w:type="spellEnd"/>
      <w:r w:rsidRPr="00F07B1C">
        <w:rPr>
          <w:b/>
          <w:bCs/>
          <w:i/>
          <w:iCs/>
          <w:lang w:val="en-US"/>
        </w:rPr>
        <w:t xml:space="preserve"> public procurement rules to help foster greener industry and European standards promoted to facilitate the fast roll-out of key technologies; </w:t>
      </w:r>
      <w:r w:rsidR="00C903EE" w:rsidRPr="00F07B1C">
        <w:rPr>
          <w:b/>
          <w:i/>
        </w:rPr>
        <w:t>underlines that a  renewed competition framework should create a predictable and simplified regulatory framework, leading to greater trust, speed and flexibility and a lower administrative burden for companies investing and competing fairly in Europe</w:t>
      </w:r>
      <w:r w:rsidR="00C903EE" w:rsidRPr="00F07B1C">
        <w:t>;</w:t>
      </w:r>
      <w:r w:rsidR="00C903EE" w:rsidRPr="00F07B1C">
        <w:rPr>
          <w:b/>
          <w:bCs/>
          <w:i/>
          <w:iCs/>
          <w:lang w:val="en-US"/>
        </w:rPr>
        <w:t xml:space="preserve"> </w:t>
      </w:r>
      <w:r w:rsidR="00BA5E65" w:rsidRPr="00F07B1C">
        <w:rPr>
          <w:b/>
          <w:i/>
        </w:rPr>
        <w:t>stresses the importance of a coordinated response that avoids distortion of the EU internal energy market; calls on the Commission to improve the transparency of the State aid assessment process and stresses the need for ex post monitoring of the effective implementation of State aid adopted [IMCO2];</w:t>
      </w:r>
      <w:r w:rsidR="00BA5E65" w:rsidRPr="00F07B1C">
        <w:t xml:space="preserve"> </w:t>
      </w:r>
      <w:r w:rsidRPr="00F07B1C">
        <w:rPr>
          <w:b/>
          <w:bCs/>
          <w:i/>
          <w:iCs/>
          <w:lang w:val="en-US"/>
        </w:rPr>
        <w:t>calls on the European Commission to take into account the sustainability and</w:t>
      </w:r>
      <w:r w:rsidR="001D14A8" w:rsidRPr="00F07B1C">
        <w:rPr>
          <w:b/>
          <w:bCs/>
          <w:i/>
          <w:iCs/>
          <w:lang w:val="en-US"/>
        </w:rPr>
        <w:t xml:space="preserve"> European</w:t>
      </w:r>
      <w:r w:rsidRPr="00F07B1C">
        <w:rPr>
          <w:b/>
          <w:bCs/>
          <w:i/>
          <w:iCs/>
          <w:lang w:val="en-US"/>
        </w:rPr>
        <w:t xml:space="preserve"> sovereignty criteria for public procurement rules (</w:t>
      </w:r>
      <w:r w:rsidRPr="00F07B1C">
        <w:rPr>
          <w:b/>
          <w:bCs/>
          <w:i/>
          <w:iCs/>
        </w:rPr>
        <w:t>Yon-</w:t>
      </w:r>
      <w:proofErr w:type="spellStart"/>
      <w:r w:rsidRPr="00F07B1C">
        <w:rPr>
          <w:b/>
          <w:bCs/>
          <w:i/>
          <w:iCs/>
        </w:rPr>
        <w:t>Courtin</w:t>
      </w:r>
      <w:proofErr w:type="spellEnd"/>
      <w:r w:rsidRPr="00F07B1C">
        <w:rPr>
          <w:b/>
          <w:bCs/>
          <w:i/>
          <w:iCs/>
        </w:rPr>
        <w:t xml:space="preserve"> et al 100; </w:t>
      </w:r>
      <w:proofErr w:type="spellStart"/>
      <w:r w:rsidRPr="00F07B1C">
        <w:rPr>
          <w:b/>
          <w:bCs/>
          <w:i/>
          <w:iCs/>
        </w:rPr>
        <w:t>Poptcheva</w:t>
      </w:r>
      <w:proofErr w:type="spellEnd"/>
      <w:r w:rsidRPr="00F07B1C">
        <w:rPr>
          <w:b/>
          <w:bCs/>
          <w:i/>
          <w:iCs/>
        </w:rPr>
        <w:t xml:space="preserve">, </w:t>
      </w:r>
      <w:proofErr w:type="spellStart"/>
      <w:r w:rsidRPr="00F07B1C">
        <w:rPr>
          <w:b/>
          <w:bCs/>
          <w:i/>
          <w:iCs/>
        </w:rPr>
        <w:t>Nagtegaal</w:t>
      </w:r>
      <w:proofErr w:type="spellEnd"/>
      <w:r w:rsidRPr="00F07B1C">
        <w:rPr>
          <w:b/>
          <w:bCs/>
          <w:i/>
          <w:iCs/>
        </w:rPr>
        <w:t xml:space="preserve"> 101;</w:t>
      </w:r>
      <w:r w:rsidRPr="00F07B1C">
        <w:rPr>
          <w:b/>
          <w:bCs/>
          <w:i/>
          <w:iCs/>
          <w:lang w:val="en-US"/>
        </w:rPr>
        <w:t xml:space="preserve"> Schwab 103); recalls that extraordinary levels of public support must not become the new normal and should not benefit solely large companies and their shareholders; </w:t>
      </w:r>
      <w:proofErr w:type="spellStart"/>
      <w:r w:rsidRPr="00F07B1C">
        <w:rPr>
          <w:b/>
          <w:bCs/>
          <w:i/>
          <w:iCs/>
          <w:lang w:val="en-US"/>
        </w:rPr>
        <w:t>emphasises</w:t>
      </w:r>
      <w:proofErr w:type="spellEnd"/>
      <w:r w:rsidRPr="00F07B1C">
        <w:rPr>
          <w:b/>
          <w:bCs/>
          <w:i/>
          <w:iCs/>
          <w:lang w:val="en-US"/>
        </w:rPr>
        <w:t xml:space="preserve"> that tax credits should not serve the sole purpose of lowering the tax obligations of large companies; urges Member States to carefully design tax incentives  to promote strategic autonomy with</w:t>
      </w:r>
      <w:r w:rsidR="00C903EE" w:rsidRPr="00F07B1C">
        <w:rPr>
          <w:b/>
          <w:bCs/>
          <w:i/>
          <w:iCs/>
          <w:lang w:val="en-US"/>
        </w:rPr>
        <w:t>out</w:t>
      </w:r>
      <w:r w:rsidRPr="00F07B1C">
        <w:rPr>
          <w:b/>
          <w:bCs/>
          <w:i/>
          <w:iCs/>
          <w:lang w:val="en-US"/>
        </w:rPr>
        <w:t xml:space="preserve"> disproportionally affecting the costs for public coffers (Ferber 106; </w:t>
      </w:r>
      <w:proofErr w:type="spellStart"/>
      <w:r w:rsidRPr="00F07B1C">
        <w:rPr>
          <w:b/>
          <w:bCs/>
          <w:i/>
          <w:iCs/>
          <w:lang w:val="en-US"/>
        </w:rPr>
        <w:t>Gruffat</w:t>
      </w:r>
      <w:proofErr w:type="spellEnd"/>
      <w:r w:rsidRPr="00F07B1C">
        <w:rPr>
          <w:b/>
          <w:bCs/>
          <w:i/>
          <w:iCs/>
          <w:lang w:val="en-US"/>
        </w:rPr>
        <w:t xml:space="preserve"> 108, 121);</w:t>
      </w:r>
      <w:proofErr w:type="gramEnd"/>
    </w:p>
    <w:p w14:paraId="114BD4C5" w14:textId="7560B08D" w:rsidR="00B60301" w:rsidRPr="00F07B1C" w:rsidRDefault="0041303D">
      <w:pPr>
        <w:pStyle w:val="Body"/>
        <w:widowControl w:val="0"/>
        <w:spacing w:after="240"/>
        <w:ind w:left="567" w:hanging="567"/>
        <w:jc w:val="left"/>
        <w:rPr>
          <w:b/>
          <w:bCs/>
          <w:i/>
          <w:iCs/>
        </w:rPr>
      </w:pPr>
      <w:r w:rsidRPr="00F07B1C">
        <w:rPr>
          <w:b/>
          <w:bCs/>
          <w:i/>
          <w:iCs/>
        </w:rPr>
        <w:t xml:space="preserve"> </w:t>
      </w:r>
      <w:proofErr w:type="gramStart"/>
      <w:r w:rsidRPr="00F07B1C">
        <w:rPr>
          <w:b/>
          <w:bCs/>
          <w:i/>
          <w:iCs/>
          <w:lang w:val="en-US"/>
        </w:rPr>
        <w:t>5c.</w:t>
      </w:r>
      <w:r w:rsidRPr="00F07B1C">
        <w:rPr>
          <w:b/>
          <w:bCs/>
          <w:i/>
          <w:iCs/>
          <w:lang w:val="en-US"/>
        </w:rPr>
        <w:tab/>
        <w:t>Notes that Union competition policy should take into account the ability of European companies to compete in global markets;</w:t>
      </w:r>
      <w:r w:rsidRPr="00F07B1C">
        <w:rPr>
          <w:b/>
          <w:bCs/>
          <w:i/>
          <w:iCs/>
        </w:rPr>
        <w:t xml:space="preserve"> </w:t>
      </w:r>
      <w:r w:rsidRPr="00F07B1C">
        <w:rPr>
          <w:b/>
          <w:bCs/>
          <w:i/>
          <w:iCs/>
          <w:lang w:val="en-US"/>
        </w:rPr>
        <w:t xml:space="preserve">Stresses the importance of a structural global dialogue and cooperation on competition policy enforcement with our like-minded partners; highlights the potential of cooperation agreement with third countries; Welcomes the implementation of the Foreign Subsidies Regulation,; underlines that all companies operating in the EU single market must abide by the same rules ; invites the Commission to pursue more dedicated competition agreements that allow for a better exchange of information between competition authorities </w:t>
      </w:r>
      <w:r w:rsidRPr="00F07B1C">
        <w:rPr>
          <w:b/>
          <w:bCs/>
          <w:i/>
          <w:iCs/>
        </w:rPr>
        <w:t>(</w:t>
      </w:r>
      <w:proofErr w:type="spellStart"/>
      <w:r w:rsidRPr="00F07B1C">
        <w:rPr>
          <w:b/>
          <w:bCs/>
          <w:i/>
          <w:iCs/>
        </w:rPr>
        <w:t>Asimakopoulou</w:t>
      </w:r>
      <w:proofErr w:type="spellEnd"/>
      <w:r w:rsidRPr="00F07B1C">
        <w:rPr>
          <w:b/>
          <w:bCs/>
          <w:i/>
          <w:iCs/>
        </w:rPr>
        <w:t xml:space="preserve"> 67, 70, 72; </w:t>
      </w:r>
      <w:proofErr w:type="spellStart"/>
      <w:r w:rsidRPr="00F07B1C">
        <w:rPr>
          <w:b/>
          <w:bCs/>
          <w:i/>
          <w:iCs/>
        </w:rPr>
        <w:t>Sant</w:t>
      </w:r>
      <w:proofErr w:type="spellEnd"/>
      <w:r w:rsidRPr="00F07B1C">
        <w:rPr>
          <w:b/>
          <w:bCs/>
          <w:i/>
          <w:iCs/>
        </w:rPr>
        <w:t xml:space="preserve"> 107; Yon-</w:t>
      </w:r>
      <w:proofErr w:type="spellStart"/>
      <w:r w:rsidRPr="00F07B1C">
        <w:rPr>
          <w:b/>
          <w:bCs/>
          <w:i/>
          <w:iCs/>
        </w:rPr>
        <w:t>Courtin</w:t>
      </w:r>
      <w:proofErr w:type="spellEnd"/>
      <w:r w:rsidRPr="00F07B1C">
        <w:rPr>
          <w:b/>
          <w:bCs/>
          <w:i/>
          <w:iCs/>
        </w:rPr>
        <w:t xml:space="preserve"> et al 225; Ferber 252)</w:t>
      </w:r>
      <w:proofErr w:type="gramEnd"/>
    </w:p>
    <w:p w14:paraId="1D1E7DF0" w14:textId="7BE76F12" w:rsidR="00B972F7" w:rsidRPr="00F07B1C" w:rsidRDefault="00B972F7">
      <w:pPr>
        <w:pStyle w:val="Body"/>
        <w:widowControl w:val="0"/>
        <w:spacing w:after="240"/>
        <w:ind w:left="567" w:hanging="567"/>
        <w:jc w:val="left"/>
        <w:rPr>
          <w:b/>
          <w:bCs/>
          <w:iCs/>
        </w:rPr>
      </w:pPr>
      <w:r w:rsidRPr="00F07B1C">
        <w:rPr>
          <w:b/>
          <w:bCs/>
          <w:iCs/>
        </w:rPr>
        <w:t xml:space="preserve">COMP </w:t>
      </w:r>
      <w:proofErr w:type="spellStart"/>
      <w:r w:rsidRPr="00F07B1C">
        <w:rPr>
          <w:b/>
          <w:bCs/>
          <w:iCs/>
        </w:rPr>
        <w:t>Ea</w:t>
      </w:r>
      <w:proofErr w:type="spellEnd"/>
      <w:r w:rsidRPr="00F07B1C">
        <w:rPr>
          <w:b/>
          <w:bCs/>
          <w:iCs/>
        </w:rPr>
        <w:t>, covering amendments 87, 110</w:t>
      </w:r>
    </w:p>
    <w:p w14:paraId="0224B022" w14:textId="1B3C2F08" w:rsidR="00B972F7" w:rsidRPr="00F07B1C" w:rsidRDefault="00B972F7">
      <w:pPr>
        <w:pStyle w:val="Body"/>
        <w:widowControl w:val="0"/>
        <w:spacing w:after="240"/>
        <w:ind w:left="567" w:hanging="567"/>
        <w:jc w:val="left"/>
        <w:rPr>
          <w:b/>
          <w:bCs/>
          <w:iCs/>
        </w:rPr>
      </w:pPr>
      <w:r w:rsidRPr="00F07B1C">
        <w:rPr>
          <w:b/>
          <w:i/>
          <w:szCs w:val="20"/>
        </w:rPr>
        <w:t>5d.</w:t>
      </w:r>
      <w:r w:rsidRPr="00F07B1C">
        <w:rPr>
          <w:b/>
          <w:i/>
          <w:szCs w:val="20"/>
        </w:rPr>
        <w:tab/>
        <w:t>Underlines that a new European Sovereignty Fund could support the European industrial strategy</w:t>
      </w:r>
      <w:r w:rsidRPr="00F07B1C">
        <w:rPr>
          <w:b/>
          <w:bCs/>
          <w:i/>
          <w:iCs/>
        </w:rPr>
        <w:t xml:space="preserve"> </w:t>
      </w:r>
      <w:r w:rsidRPr="00F07B1C">
        <w:rPr>
          <w:b/>
          <w:bCs/>
          <w:i/>
          <w:iCs/>
          <w:lang w:val="en-US"/>
        </w:rPr>
        <w:t>considers the use of European investment funds alongside changes to state aid rules to offer a means of avoiding internal market fragmentation (</w:t>
      </w:r>
      <w:proofErr w:type="spellStart"/>
      <w:r w:rsidRPr="00F07B1C">
        <w:rPr>
          <w:b/>
          <w:bCs/>
          <w:i/>
          <w:iCs/>
          <w:lang w:val="en-US"/>
        </w:rPr>
        <w:t>Asimakopoulou</w:t>
      </w:r>
      <w:proofErr w:type="spellEnd"/>
      <w:r w:rsidRPr="00F07B1C">
        <w:rPr>
          <w:b/>
          <w:bCs/>
          <w:i/>
          <w:iCs/>
          <w:lang w:val="en-US"/>
        </w:rPr>
        <w:t xml:space="preserve"> 87)</w:t>
      </w:r>
      <w:r w:rsidRPr="00F07B1C">
        <w:rPr>
          <w:b/>
          <w:bCs/>
          <w:i/>
          <w:iCs/>
        </w:rPr>
        <w:t>;</w:t>
      </w:r>
    </w:p>
    <w:p w14:paraId="252E316E" w14:textId="4C7C56CA" w:rsidR="00B60301" w:rsidRPr="00F07B1C" w:rsidRDefault="0041303D">
      <w:pPr>
        <w:pStyle w:val="Body"/>
        <w:widowControl w:val="0"/>
        <w:spacing w:after="240"/>
        <w:ind w:left="567" w:hanging="567"/>
        <w:jc w:val="left"/>
        <w:rPr>
          <w:i/>
          <w:iCs/>
        </w:rPr>
      </w:pPr>
      <w:r w:rsidRPr="00F07B1C">
        <w:rPr>
          <w:b/>
          <w:bCs/>
          <w:lang w:val="en-US"/>
        </w:rPr>
        <w:t>COMP F, covering amendments 64, 122-127, 1</w:t>
      </w:r>
      <w:r w:rsidR="00B65F69" w:rsidRPr="00F07B1C">
        <w:rPr>
          <w:b/>
          <w:bCs/>
          <w:lang w:val="en-US"/>
        </w:rPr>
        <w:t>30</w:t>
      </w:r>
      <w:r w:rsidRPr="00F07B1C">
        <w:rPr>
          <w:b/>
          <w:bCs/>
          <w:lang w:val="en-US"/>
        </w:rPr>
        <w:t>-131</w:t>
      </w:r>
    </w:p>
    <w:p w14:paraId="782B14B6" w14:textId="082D431A" w:rsidR="00B60301" w:rsidRPr="00F07B1C" w:rsidRDefault="0041303D">
      <w:pPr>
        <w:pStyle w:val="Body"/>
        <w:widowControl w:val="0"/>
        <w:spacing w:after="240"/>
        <w:ind w:left="567" w:hanging="567"/>
        <w:jc w:val="left"/>
        <w:rPr>
          <w:i/>
          <w:iCs/>
        </w:rPr>
      </w:pPr>
      <w:proofErr w:type="gramStart"/>
      <w:r w:rsidRPr="00F07B1C">
        <w:rPr>
          <w:i/>
          <w:iCs/>
          <w:lang w:val="en-US"/>
        </w:rPr>
        <w:t>6.</w:t>
      </w:r>
      <w:r w:rsidRPr="00F07B1C">
        <w:rPr>
          <w:i/>
          <w:iCs/>
          <w:lang w:val="en-US"/>
        </w:rPr>
        <w:tab/>
        <w:t xml:space="preserve">Considers rising energy and food </w:t>
      </w:r>
      <w:r w:rsidRPr="00F07B1C">
        <w:rPr>
          <w:b/>
          <w:bCs/>
          <w:i/>
          <w:iCs/>
          <w:lang w:val="en-US"/>
        </w:rPr>
        <w:t>prices, leading to excessive corporate profits (</w:t>
      </w:r>
      <w:proofErr w:type="spellStart"/>
      <w:r w:rsidRPr="00F07B1C">
        <w:rPr>
          <w:b/>
          <w:bCs/>
          <w:i/>
          <w:iCs/>
          <w:lang w:val="en-US"/>
        </w:rPr>
        <w:t>Gruffat</w:t>
      </w:r>
      <w:proofErr w:type="spellEnd"/>
      <w:r w:rsidRPr="00F07B1C">
        <w:rPr>
          <w:b/>
          <w:bCs/>
          <w:i/>
          <w:iCs/>
          <w:lang w:val="en-US"/>
        </w:rPr>
        <w:t xml:space="preserve"> 127)</w:t>
      </w:r>
      <w:r w:rsidRPr="00F07B1C">
        <w:rPr>
          <w:i/>
          <w:iCs/>
          <w:lang w:val="en-US"/>
        </w:rPr>
        <w:t xml:space="preserve"> be the main drivers of the current hike in inflation; </w:t>
      </w:r>
      <w:r w:rsidRPr="00F07B1C">
        <w:rPr>
          <w:b/>
          <w:bCs/>
          <w:i/>
          <w:iCs/>
          <w:lang w:val="en-US"/>
        </w:rPr>
        <w:t xml:space="preserve">emphasizes that rising energy costs relative to those in other parts of the world, have been one of the key factors negatively impacting the ability of the EU industry to compete on the global </w:t>
      </w:r>
      <w:proofErr w:type="spellStart"/>
      <w:r w:rsidRPr="00F07B1C">
        <w:rPr>
          <w:b/>
          <w:bCs/>
          <w:i/>
          <w:iCs/>
          <w:lang w:val="en-US"/>
        </w:rPr>
        <w:t>martket</w:t>
      </w:r>
      <w:proofErr w:type="spellEnd"/>
      <w:r w:rsidRPr="00F07B1C">
        <w:rPr>
          <w:b/>
          <w:bCs/>
          <w:i/>
          <w:iCs/>
          <w:lang w:val="en-US"/>
        </w:rPr>
        <w:t>; (</w:t>
      </w:r>
      <w:proofErr w:type="spellStart"/>
      <w:r w:rsidRPr="00F07B1C">
        <w:rPr>
          <w:b/>
          <w:bCs/>
          <w:i/>
          <w:iCs/>
          <w:lang w:val="en-US"/>
        </w:rPr>
        <w:t>Asimakopoulou</w:t>
      </w:r>
      <w:proofErr w:type="spellEnd"/>
      <w:r w:rsidRPr="00F07B1C">
        <w:rPr>
          <w:b/>
          <w:bCs/>
          <w:i/>
          <w:iCs/>
          <w:lang w:val="en-US"/>
        </w:rPr>
        <w:t xml:space="preserve"> 64)</w:t>
      </w:r>
      <w:r w:rsidRPr="00F07B1C">
        <w:rPr>
          <w:i/>
          <w:iCs/>
        </w:rPr>
        <w:t xml:space="preserve"> </w:t>
      </w:r>
      <w:r w:rsidRPr="00F07B1C">
        <w:rPr>
          <w:i/>
          <w:iCs/>
          <w:lang w:val="en-US"/>
        </w:rPr>
        <w:t xml:space="preserve">reiterates that the Commission must make use of all the available tools under competition law to tackle market distortions and unfair price manipulation in the energy and food markets </w:t>
      </w:r>
      <w:r w:rsidRPr="00F07B1C">
        <w:rPr>
          <w:b/>
          <w:bCs/>
          <w:i/>
          <w:iCs/>
        </w:rPr>
        <w:t>in an impartial manner (</w:t>
      </w:r>
      <w:proofErr w:type="spellStart"/>
      <w:r w:rsidRPr="00F07B1C">
        <w:rPr>
          <w:b/>
          <w:bCs/>
          <w:i/>
          <w:iCs/>
        </w:rPr>
        <w:t>Benjumea</w:t>
      </w:r>
      <w:proofErr w:type="spellEnd"/>
      <w:r w:rsidRPr="00F07B1C">
        <w:rPr>
          <w:b/>
          <w:bCs/>
          <w:i/>
          <w:iCs/>
        </w:rPr>
        <w:t xml:space="preserve"> </w:t>
      </w:r>
      <w:r w:rsidRPr="00F07B1C">
        <w:rPr>
          <w:b/>
          <w:bCs/>
          <w:i/>
          <w:iCs/>
        </w:rPr>
        <w:lastRenderedPageBreak/>
        <w:t>124)</w:t>
      </w:r>
      <w:r w:rsidRPr="00F07B1C">
        <w:rPr>
          <w:i/>
          <w:iCs/>
          <w:lang w:val="en-US"/>
        </w:rPr>
        <w:t>; calls for consumer vulnerability to be taken into consideration when assessing the abusiveness of a dominant undertaking</w:t>
      </w:r>
      <w:r w:rsidRPr="00F07B1C">
        <w:rPr>
          <w:i/>
          <w:iCs/>
        </w:rPr>
        <w:t>’s conduct;</w:t>
      </w:r>
      <w:proofErr w:type="gramEnd"/>
    </w:p>
    <w:p w14:paraId="27C67C76" w14:textId="77777777" w:rsidR="00B60301" w:rsidRPr="00F07B1C" w:rsidRDefault="0041303D">
      <w:pPr>
        <w:pStyle w:val="Body"/>
        <w:widowControl w:val="0"/>
        <w:spacing w:after="240"/>
        <w:ind w:left="567" w:hanging="567"/>
        <w:jc w:val="left"/>
        <w:rPr>
          <w:i/>
          <w:iCs/>
        </w:rPr>
      </w:pPr>
      <w:r w:rsidRPr="00F07B1C">
        <w:rPr>
          <w:b/>
          <w:bCs/>
          <w:lang w:val="en-US"/>
        </w:rPr>
        <w:t>COMP G, covering amendments 133-138, 156</w:t>
      </w:r>
    </w:p>
    <w:p w14:paraId="04A1758A" w14:textId="6368FF01" w:rsidR="00B60301" w:rsidRPr="00F07B1C" w:rsidRDefault="0041303D">
      <w:pPr>
        <w:pStyle w:val="Body"/>
        <w:widowControl w:val="0"/>
        <w:spacing w:after="240"/>
        <w:ind w:left="567" w:hanging="567"/>
        <w:jc w:val="left"/>
        <w:rPr>
          <w:b/>
          <w:bCs/>
          <w:i/>
          <w:iCs/>
        </w:rPr>
      </w:pPr>
      <w:proofErr w:type="gramStart"/>
      <w:r w:rsidRPr="00F07B1C">
        <w:rPr>
          <w:i/>
          <w:iCs/>
          <w:lang w:val="en-US"/>
        </w:rPr>
        <w:t>7.</w:t>
      </w:r>
      <w:r w:rsidRPr="00F07B1C">
        <w:rPr>
          <w:i/>
          <w:iCs/>
          <w:lang w:val="en-US"/>
        </w:rPr>
        <w:tab/>
        <w:t xml:space="preserve">Calls </w:t>
      </w:r>
      <w:r w:rsidRPr="00F07B1C">
        <w:rPr>
          <w:b/>
          <w:bCs/>
          <w:i/>
          <w:iCs/>
          <w:lang w:val="en-US"/>
        </w:rPr>
        <w:t>on the Commission to provide an effective set of instruments including (</w:t>
      </w:r>
      <w:proofErr w:type="spellStart"/>
      <w:r w:rsidRPr="00F07B1C">
        <w:rPr>
          <w:b/>
          <w:bCs/>
          <w:i/>
          <w:iCs/>
          <w:lang w:val="en-US"/>
        </w:rPr>
        <w:t>Benjumea</w:t>
      </w:r>
      <w:proofErr w:type="spellEnd"/>
      <w:r w:rsidRPr="00F07B1C">
        <w:rPr>
          <w:b/>
          <w:bCs/>
          <w:i/>
          <w:iCs/>
          <w:lang w:val="en-US"/>
        </w:rPr>
        <w:t xml:space="preserve"> 138) </w:t>
      </w:r>
      <w:r w:rsidRPr="00F07B1C">
        <w:rPr>
          <w:i/>
          <w:iCs/>
          <w:lang w:val="en-US"/>
        </w:rPr>
        <w:t xml:space="preserve">for a permanent market investigation mechanism, which should be triggered automatically upon the fulfilment of certain conditions, such as a specific rise in prices, in order to prevent any future freeriding effects; </w:t>
      </w:r>
      <w:r w:rsidRPr="00F07B1C">
        <w:rPr>
          <w:b/>
          <w:bCs/>
          <w:i/>
          <w:iCs/>
          <w:lang w:val="en-US"/>
        </w:rPr>
        <w:t>calls in particular for the monitoring of the price differentials between wholesale and retail prices of food, feed and fertilizer products; is deeply concerned</w:t>
      </w:r>
      <w:r w:rsidRPr="00F07B1C">
        <w:rPr>
          <w:b/>
          <w:bCs/>
          <w:i/>
          <w:iCs/>
        </w:rPr>
        <w:t xml:space="preserve"> </w:t>
      </w:r>
      <w:r w:rsidRPr="00F07B1C">
        <w:rPr>
          <w:b/>
          <w:bCs/>
          <w:i/>
          <w:iCs/>
          <w:lang w:val="en-US"/>
        </w:rPr>
        <w:t xml:space="preserve">by the far-reaching concentration of </w:t>
      </w:r>
      <w:r w:rsidR="003E08CA" w:rsidRPr="00F07B1C">
        <w:rPr>
          <w:b/>
          <w:bCs/>
          <w:i/>
          <w:iCs/>
          <w:lang w:val="en-US"/>
        </w:rPr>
        <w:t xml:space="preserve">certain parts of </w:t>
      </w:r>
      <w:r w:rsidRPr="00F07B1C">
        <w:rPr>
          <w:b/>
          <w:bCs/>
          <w:i/>
          <w:iCs/>
          <w:lang w:val="en-US"/>
        </w:rPr>
        <w:t xml:space="preserve">the food supply chain to the detriment of consumers and </w:t>
      </w:r>
      <w:r w:rsidRPr="00F07B1C">
        <w:rPr>
          <w:b/>
          <w:bCs/>
          <w:i/>
          <w:iCs/>
        </w:rPr>
        <w:t xml:space="preserve">farmers; (De Lange 136, </w:t>
      </w:r>
      <w:proofErr w:type="spellStart"/>
      <w:r w:rsidRPr="00F07B1C">
        <w:rPr>
          <w:b/>
          <w:bCs/>
          <w:i/>
          <w:iCs/>
        </w:rPr>
        <w:t>Gruffat</w:t>
      </w:r>
      <w:proofErr w:type="spellEnd"/>
      <w:r w:rsidRPr="00F07B1C">
        <w:rPr>
          <w:b/>
          <w:bCs/>
          <w:i/>
          <w:iCs/>
        </w:rPr>
        <w:t xml:space="preserve"> 156)</w:t>
      </w:r>
      <w:proofErr w:type="gramEnd"/>
    </w:p>
    <w:p w14:paraId="4126EB3A" w14:textId="3D3AB3E2" w:rsidR="00B60301" w:rsidRPr="00F07B1C" w:rsidRDefault="0041303D">
      <w:pPr>
        <w:pStyle w:val="Body"/>
        <w:widowControl w:val="0"/>
        <w:spacing w:after="240"/>
        <w:ind w:left="567" w:hanging="567"/>
        <w:jc w:val="left"/>
        <w:rPr>
          <w:b/>
          <w:bCs/>
          <w:i/>
          <w:iCs/>
        </w:rPr>
      </w:pPr>
      <w:r w:rsidRPr="00F07B1C">
        <w:rPr>
          <w:b/>
          <w:bCs/>
          <w:lang w:val="en-US"/>
        </w:rPr>
        <w:t xml:space="preserve">COMP H, covering amendments AM 141, 143, 163, 165, </w:t>
      </w:r>
      <w:bookmarkStart w:id="0" w:name="_GoBack"/>
      <w:bookmarkEnd w:id="0"/>
      <w:r w:rsidRPr="00F07B1C">
        <w:rPr>
          <w:b/>
          <w:bCs/>
          <w:lang w:val="en-US"/>
        </w:rPr>
        <w:t>168, 207, 241</w:t>
      </w:r>
      <w:r w:rsidR="00BA5E65" w:rsidRPr="00F07B1C">
        <w:rPr>
          <w:b/>
          <w:bCs/>
          <w:lang w:val="en-US"/>
        </w:rPr>
        <w:t>, IMCO 3</w:t>
      </w:r>
      <w:r w:rsidR="00A755F5" w:rsidRPr="00F07B1C">
        <w:rPr>
          <w:b/>
          <w:bCs/>
          <w:lang w:val="en-US"/>
        </w:rPr>
        <w:t>, 23</w:t>
      </w:r>
    </w:p>
    <w:p w14:paraId="0D1ADD7A" w14:textId="77777777" w:rsidR="00B60301" w:rsidRPr="00F07B1C" w:rsidRDefault="0041303D">
      <w:pPr>
        <w:pStyle w:val="Body"/>
        <w:widowControl w:val="0"/>
        <w:spacing w:after="240"/>
        <w:ind w:left="567" w:hanging="567"/>
        <w:jc w:val="left"/>
        <w:rPr>
          <w:b/>
          <w:bCs/>
          <w:i/>
          <w:iCs/>
        </w:rPr>
      </w:pPr>
      <w:r w:rsidRPr="00F07B1C">
        <w:rPr>
          <w:b/>
          <w:bCs/>
          <w:i/>
          <w:iCs/>
        </w:rPr>
        <w:t>Merger control</w:t>
      </w:r>
    </w:p>
    <w:p w14:paraId="0ED58FF8" w14:textId="3D7DD138" w:rsidR="00B60301" w:rsidRPr="00F07B1C" w:rsidRDefault="0041303D">
      <w:pPr>
        <w:pStyle w:val="Body"/>
        <w:widowControl w:val="0"/>
        <w:spacing w:after="240"/>
        <w:ind w:left="567" w:hanging="567"/>
        <w:jc w:val="left"/>
        <w:rPr>
          <w:b/>
          <w:bCs/>
          <w:i/>
          <w:iCs/>
          <w:lang w:val="en-US"/>
        </w:rPr>
      </w:pPr>
      <w:proofErr w:type="gramStart"/>
      <w:r w:rsidRPr="00F07B1C">
        <w:rPr>
          <w:b/>
          <w:bCs/>
          <w:i/>
          <w:iCs/>
          <w:lang w:val="en-US"/>
        </w:rPr>
        <w:t xml:space="preserve">7.b </w:t>
      </w:r>
      <w:r w:rsidRPr="00F07B1C">
        <w:rPr>
          <w:b/>
          <w:bCs/>
          <w:i/>
          <w:iCs/>
          <w:lang w:val="en-US"/>
        </w:rPr>
        <w:tab/>
        <w:t xml:space="preserve">Points out that even when products or services are supplied for free, consumers may still have to endure unjust </w:t>
      </w:r>
      <w:proofErr w:type="spellStart"/>
      <w:r w:rsidRPr="00F07B1C">
        <w:rPr>
          <w:b/>
          <w:bCs/>
          <w:i/>
          <w:iCs/>
          <w:lang w:val="en-US"/>
        </w:rPr>
        <w:t>behaviour</w:t>
      </w:r>
      <w:proofErr w:type="spellEnd"/>
      <w:r w:rsidRPr="00F07B1C">
        <w:rPr>
          <w:b/>
          <w:bCs/>
          <w:i/>
          <w:iCs/>
          <w:lang w:val="en-US"/>
        </w:rPr>
        <w:t>, such as a degradation in quality or extortive practices; calls therefore for the formulation of a 'theory of harm', which should transcend price-centric approaches and account for broader considerations such as the impact on citizens</w:t>
      </w:r>
      <w:r w:rsidRPr="00F07B1C">
        <w:rPr>
          <w:b/>
          <w:bCs/>
          <w:i/>
          <w:iCs/>
        </w:rPr>
        <w:t xml:space="preserve">’ </w:t>
      </w:r>
      <w:r w:rsidRPr="00F07B1C">
        <w:rPr>
          <w:b/>
          <w:bCs/>
          <w:i/>
          <w:iCs/>
          <w:lang w:val="en-US"/>
        </w:rPr>
        <w:t>privacy</w:t>
      </w:r>
      <w:r w:rsidRPr="00F07B1C">
        <w:t>;</w:t>
      </w:r>
      <w:r w:rsidRPr="00F07B1C">
        <w:rPr>
          <w:b/>
          <w:bCs/>
          <w:i/>
          <w:iCs/>
          <w:lang w:val="en-US"/>
        </w:rPr>
        <w:t xml:space="preserve"> considers that merger thresholds based on turnover are not fit for the digital economy in which value is often represented by other factors, and equally believes that merger assessments by the Commission </w:t>
      </w:r>
      <w:proofErr w:type="spellStart"/>
      <w:r w:rsidRPr="00F07B1C">
        <w:rPr>
          <w:b/>
          <w:bCs/>
          <w:i/>
          <w:iCs/>
          <w:lang w:val="en-US"/>
        </w:rPr>
        <w:t>shoul</w:t>
      </w:r>
      <w:proofErr w:type="spellEnd"/>
      <w:r w:rsidRPr="00F07B1C">
        <w:rPr>
          <w:b/>
          <w:bCs/>
          <w:i/>
          <w:iCs/>
        </w:rPr>
        <w:t xml:space="preserve">d </w:t>
      </w:r>
      <w:r w:rsidR="003E08CA" w:rsidRPr="00F07B1C">
        <w:rPr>
          <w:b/>
          <w:bCs/>
          <w:i/>
          <w:iCs/>
        </w:rPr>
        <w:t xml:space="preserve">not </w:t>
      </w:r>
      <w:r w:rsidRPr="00F07B1C">
        <w:rPr>
          <w:b/>
          <w:bCs/>
          <w:i/>
          <w:iCs/>
        </w:rPr>
        <w:t>m</w:t>
      </w:r>
      <w:proofErr w:type="spellStart"/>
      <w:r w:rsidRPr="00F07B1C">
        <w:rPr>
          <w:b/>
          <w:bCs/>
          <w:i/>
          <w:iCs/>
          <w:lang w:val="en-US"/>
        </w:rPr>
        <w:t>erely</w:t>
      </w:r>
      <w:proofErr w:type="spellEnd"/>
      <w:r w:rsidRPr="00F07B1C">
        <w:rPr>
          <w:b/>
          <w:bCs/>
          <w:i/>
          <w:iCs/>
          <w:lang w:val="en-US"/>
        </w:rPr>
        <w:t xml:space="preserve"> focus on prices; stresses that the </w:t>
      </w:r>
      <w:r w:rsidRPr="00F07B1C">
        <w:rPr>
          <w:b/>
          <w:bCs/>
          <w:i/>
          <w:iCs/>
        </w:rPr>
        <w:t>‘</w:t>
      </w:r>
      <w:r w:rsidRPr="00F07B1C">
        <w:rPr>
          <w:b/>
          <w:bCs/>
          <w:i/>
          <w:iCs/>
          <w:lang w:val="en-US"/>
        </w:rPr>
        <w:t>fair price</w:t>
      </w:r>
      <w:r w:rsidRPr="00F07B1C">
        <w:rPr>
          <w:b/>
          <w:bCs/>
          <w:i/>
          <w:iCs/>
        </w:rPr>
        <w:t xml:space="preserve">’ </w:t>
      </w:r>
      <w:r w:rsidRPr="00F07B1C">
        <w:rPr>
          <w:b/>
          <w:bCs/>
          <w:i/>
          <w:iCs/>
          <w:lang w:val="en-US"/>
        </w:rPr>
        <w:t>of products is not the lowest price possible for the consumer (</w:t>
      </w:r>
      <w:proofErr w:type="spellStart"/>
      <w:r w:rsidRPr="00F07B1C">
        <w:rPr>
          <w:b/>
          <w:bCs/>
          <w:i/>
          <w:iCs/>
          <w:lang w:val="en-US"/>
        </w:rPr>
        <w:t>Gruffat</w:t>
      </w:r>
      <w:proofErr w:type="spellEnd"/>
      <w:r w:rsidRPr="00F07B1C">
        <w:rPr>
          <w:b/>
          <w:bCs/>
          <w:i/>
          <w:iCs/>
          <w:lang w:val="en-US"/>
        </w:rPr>
        <w:t xml:space="preserve"> 163, 165, 207, 241)</w:t>
      </w:r>
      <w:proofErr w:type="gramEnd"/>
      <w:r w:rsidR="00BA5E65" w:rsidRPr="00F07B1C">
        <w:rPr>
          <w:b/>
          <w:bCs/>
          <w:i/>
          <w:iCs/>
          <w:lang w:val="en-US"/>
        </w:rPr>
        <w:t xml:space="preserve"> </w:t>
      </w:r>
    </w:p>
    <w:p w14:paraId="3200D37E" w14:textId="77777777" w:rsidR="00B60301" w:rsidRPr="00F07B1C" w:rsidRDefault="0041303D">
      <w:pPr>
        <w:pStyle w:val="Body"/>
        <w:widowControl w:val="0"/>
        <w:spacing w:after="240"/>
        <w:ind w:left="567" w:hanging="567"/>
        <w:jc w:val="left"/>
        <w:rPr>
          <w:b/>
          <w:bCs/>
          <w:i/>
          <w:iCs/>
        </w:rPr>
      </w:pPr>
      <w:r w:rsidRPr="00F07B1C">
        <w:rPr>
          <w:b/>
          <w:bCs/>
          <w:lang w:val="en-US"/>
        </w:rPr>
        <w:t>COMP I, covering amendments AM 144-155, 157-159, 161-162, 166</w:t>
      </w:r>
    </w:p>
    <w:p w14:paraId="64BE5DAA" w14:textId="7ED3AC10" w:rsidR="00B60301" w:rsidRPr="00F07B1C" w:rsidRDefault="0041303D">
      <w:pPr>
        <w:pStyle w:val="Body"/>
      </w:pPr>
      <w:proofErr w:type="gramStart"/>
      <w:r w:rsidRPr="00F07B1C">
        <w:rPr>
          <w:rFonts w:eastAsia="Arial Unicode MS" w:cs="Arial Unicode MS"/>
          <w:i/>
          <w:iCs/>
          <w:sz w:val="20"/>
          <w:szCs w:val="20"/>
        </w:rPr>
        <w:t>8</w:t>
      </w:r>
      <w:r w:rsidRPr="00F07B1C">
        <w:rPr>
          <w:rFonts w:eastAsia="Arial Unicode MS" w:cs="Arial Unicode MS"/>
          <w:i/>
          <w:iCs/>
        </w:rPr>
        <w:t>.</w:t>
      </w:r>
      <w:r w:rsidRPr="00F07B1C">
        <w:rPr>
          <w:rFonts w:eastAsia="Arial Unicode MS" w:cs="Arial Unicode MS"/>
          <w:i/>
          <w:iCs/>
        </w:rPr>
        <w:tab/>
      </w:r>
      <w:r w:rsidR="00F07B1C" w:rsidRPr="00F07B1C">
        <w:rPr>
          <w:rFonts w:eastAsia="Arial Unicode MS" w:cs="Arial Unicode MS"/>
          <w:b/>
          <w:i/>
          <w:iCs/>
        </w:rPr>
        <w:t>S</w:t>
      </w:r>
      <w:proofErr w:type="spellStart"/>
      <w:r w:rsidR="00317240" w:rsidRPr="00F07B1C">
        <w:rPr>
          <w:rFonts w:eastAsia="Arial Unicode MS" w:cs="Arial Unicode MS"/>
          <w:b/>
          <w:i/>
          <w:iCs/>
          <w:lang w:val="en-US"/>
        </w:rPr>
        <w:t>upports</w:t>
      </w:r>
      <w:proofErr w:type="spellEnd"/>
      <w:r w:rsidR="00B972F7" w:rsidRPr="00F07B1C">
        <w:rPr>
          <w:rFonts w:eastAsia="Arial Unicode MS" w:cs="Arial Unicode MS"/>
          <w:i/>
          <w:iCs/>
          <w:lang w:val="en-US"/>
        </w:rPr>
        <w:t xml:space="preserve"> </w:t>
      </w:r>
      <w:r w:rsidRPr="00F07B1C">
        <w:rPr>
          <w:rFonts w:eastAsia="Arial Unicode MS" w:cs="Arial Unicode MS"/>
          <w:i/>
          <w:iCs/>
          <w:lang w:val="en-US"/>
        </w:rPr>
        <w:t xml:space="preserve">the introduction of a rebuttable presumption that effective competition is significantly impeded by any concentration leading to a dominant position in a relevant market or any concentration involving a </w:t>
      </w:r>
      <w:r w:rsidR="00B972F7" w:rsidRPr="00F07B1C">
        <w:rPr>
          <w:rFonts w:eastAsia="Arial Unicode MS" w:cs="Arial Unicode MS"/>
          <w:b/>
          <w:i/>
          <w:iCs/>
        </w:rPr>
        <w:t xml:space="preserve">dominant </w:t>
      </w:r>
      <w:r w:rsidRPr="00F07B1C">
        <w:rPr>
          <w:rFonts w:eastAsia="Arial Unicode MS" w:cs="Arial Unicode MS"/>
          <w:i/>
          <w:iCs/>
        </w:rPr>
        <w:t xml:space="preserve">market </w:t>
      </w:r>
      <w:r w:rsidRPr="00F07B1C">
        <w:rPr>
          <w:rFonts w:eastAsia="Arial Unicode MS" w:cs="Arial Unicode MS"/>
          <w:b/>
          <w:bCs/>
          <w:i/>
          <w:iCs/>
          <w:lang w:val="en-US"/>
        </w:rPr>
        <w:t>player</w:t>
      </w:r>
      <w:r w:rsidRPr="00F07B1C">
        <w:rPr>
          <w:rFonts w:eastAsia="Arial Unicode MS" w:cs="Arial Unicode MS"/>
          <w:i/>
          <w:iCs/>
        </w:rPr>
        <w:t xml:space="preserve"> </w:t>
      </w:r>
      <w:r w:rsidRPr="00F07B1C">
        <w:rPr>
          <w:rFonts w:eastAsia="Arial Unicode MS" w:cs="Arial Unicode MS"/>
          <w:i/>
          <w:iCs/>
          <w:lang w:val="en-US"/>
        </w:rPr>
        <w:t xml:space="preserve">or a gatekeeper </w:t>
      </w:r>
      <w:r w:rsidRPr="00F07B1C">
        <w:rPr>
          <w:rFonts w:eastAsia="Arial Unicode MS" w:cs="Arial Unicode MS"/>
          <w:b/>
          <w:bCs/>
          <w:i/>
          <w:iCs/>
          <w:lang w:val="en-US"/>
        </w:rPr>
        <w:t>in line with the DMA Regulation (Schwab 149)</w:t>
      </w:r>
      <w:r w:rsidRPr="00F07B1C">
        <w:rPr>
          <w:rFonts w:eastAsia="Arial Unicode MS" w:cs="Arial Unicode MS"/>
          <w:i/>
          <w:iCs/>
          <w:lang w:val="en-US"/>
        </w:rPr>
        <w:t xml:space="preserve">; </w:t>
      </w:r>
      <w:r w:rsidR="00FF16AB" w:rsidRPr="00F07B1C">
        <w:rPr>
          <w:rFonts w:eastAsia="Arial Unicode MS" w:cs="Arial Unicode MS"/>
          <w:b/>
          <w:i/>
          <w:iCs/>
          <w:lang w:val="en-US"/>
        </w:rPr>
        <w:t>notes that there is scope for Member States to intervene on ‘non-competitive grounds’, and asks for the introduction of the same possibility for the Commission</w:t>
      </w:r>
      <w:r w:rsidR="009013B9" w:rsidRPr="00F07B1C">
        <w:rPr>
          <w:rFonts w:eastAsia="Arial Unicode MS" w:cs="Arial Unicode MS"/>
          <w:b/>
          <w:i/>
          <w:iCs/>
          <w:lang w:val="en-US"/>
        </w:rPr>
        <w:t xml:space="preserve"> </w:t>
      </w:r>
      <w:r w:rsidRPr="00F07B1C">
        <w:rPr>
          <w:rFonts w:eastAsia="Arial Unicode MS" w:cs="Arial Unicode MS"/>
          <w:i/>
          <w:iCs/>
          <w:lang w:val="en-US"/>
        </w:rPr>
        <w:t xml:space="preserve">, </w:t>
      </w:r>
      <w:r w:rsidRPr="00F07B1C">
        <w:rPr>
          <w:rFonts w:eastAsia="Arial Unicode MS" w:cs="Arial Unicode MS"/>
          <w:lang w:val="en-US"/>
        </w:rPr>
        <w:t>when examining the impact of a concentration on the internal market;</w:t>
      </w:r>
      <w:r w:rsidRPr="00F07B1C">
        <w:rPr>
          <w:rFonts w:eastAsia="Arial Unicode MS" w:cs="Arial Unicode MS"/>
          <w:b/>
          <w:bCs/>
          <w:i/>
          <w:iCs/>
          <w:lang w:val="en-US"/>
        </w:rPr>
        <w:t xml:space="preserve">); calls on the Commission to revise merger guidelines to adopt a more comprehensive assessment of efficiencies in merger control and cooperation; notes that the assessment of horizontal cooperation should also </w:t>
      </w:r>
      <w:proofErr w:type="spellStart"/>
      <w:r w:rsidRPr="00F07B1C">
        <w:rPr>
          <w:rFonts w:eastAsia="Arial Unicode MS" w:cs="Arial Unicode MS"/>
          <w:b/>
          <w:bCs/>
          <w:i/>
          <w:iCs/>
          <w:lang w:val="en-US"/>
        </w:rPr>
        <w:t>recognise</w:t>
      </w:r>
      <w:proofErr w:type="spellEnd"/>
      <w:r w:rsidRPr="00F07B1C">
        <w:rPr>
          <w:rFonts w:eastAsia="Arial Unicode MS" w:cs="Arial Unicode MS"/>
          <w:b/>
          <w:bCs/>
          <w:i/>
          <w:iCs/>
          <w:lang w:val="en-US"/>
        </w:rPr>
        <w:t xml:space="preserve"> the importance of collaboration in markets dominated by digital gatekeepers; </w:t>
      </w:r>
      <w:proofErr w:type="spellStart"/>
      <w:r w:rsidRPr="00F07B1C">
        <w:rPr>
          <w:rFonts w:eastAsia="Arial Unicode MS" w:cs="Arial Unicode MS"/>
          <w:b/>
          <w:bCs/>
          <w:i/>
          <w:iCs/>
          <w:lang w:val="en-US"/>
        </w:rPr>
        <w:t>recognises</w:t>
      </w:r>
      <w:proofErr w:type="spellEnd"/>
      <w:r w:rsidRPr="00F07B1C">
        <w:rPr>
          <w:rFonts w:eastAsia="Arial Unicode MS" w:cs="Arial Unicode MS"/>
          <w:b/>
          <w:bCs/>
          <w:i/>
          <w:iCs/>
          <w:lang w:val="en-US"/>
        </w:rPr>
        <w:t xml:space="preserve"> the need to foster cooperation among players in traditional as well as digital markets, by giving the right relevance to the positive effects, like efficiencies and benefits in the relevant antitrust analysis (Yon-</w:t>
      </w:r>
      <w:proofErr w:type="spellStart"/>
      <w:r w:rsidRPr="00F07B1C">
        <w:rPr>
          <w:rFonts w:eastAsia="Arial Unicode MS" w:cs="Arial Unicode MS"/>
          <w:b/>
          <w:bCs/>
          <w:i/>
          <w:iCs/>
          <w:lang w:val="en-US"/>
        </w:rPr>
        <w:t>Courtin</w:t>
      </w:r>
      <w:proofErr w:type="spellEnd"/>
      <w:r w:rsidRPr="00F07B1C">
        <w:rPr>
          <w:rFonts w:eastAsia="Arial Unicode MS" w:cs="Arial Unicode MS"/>
          <w:b/>
          <w:bCs/>
          <w:i/>
          <w:iCs/>
          <w:lang w:val="en-US"/>
        </w:rPr>
        <w:t xml:space="preserve"> 147); </w:t>
      </w:r>
      <w:r w:rsidRPr="00F07B1C">
        <w:rPr>
          <w:rFonts w:eastAsia="Arial Unicode MS" w:cs="Arial Unicode MS"/>
          <w:lang w:val="en-US"/>
        </w:rPr>
        <w:t xml:space="preserve">calls for the inclusion of review clauses in decisions approving a concentration with a view to introducing more </w:t>
      </w:r>
      <w:r w:rsidRPr="00F07B1C">
        <w:rPr>
          <w:rFonts w:eastAsia="Arial Unicode MS" w:cs="Arial Unicode MS"/>
        </w:rPr>
        <w:t>app</w:t>
      </w:r>
      <w:r w:rsidR="008A10C2" w:rsidRPr="00F07B1C">
        <w:rPr>
          <w:rFonts w:eastAsia="Arial Unicode MS" w:cs="Arial Unicode MS"/>
        </w:rPr>
        <w:t>r</w:t>
      </w:r>
      <w:r w:rsidRPr="00F07B1C">
        <w:rPr>
          <w:rFonts w:eastAsia="Arial Unicode MS" w:cs="Arial Unicode MS"/>
        </w:rPr>
        <w:t>opriate conditions</w:t>
      </w:r>
      <w:r w:rsidR="00317240" w:rsidRPr="00F07B1C">
        <w:rPr>
          <w:rFonts w:eastAsia="Arial Unicode MS" w:cs="Arial Unicode MS"/>
        </w:rPr>
        <w:t xml:space="preserve">, </w:t>
      </w:r>
      <w:r w:rsidR="00317240" w:rsidRPr="00F07B1C">
        <w:rPr>
          <w:rFonts w:eastAsia="Arial Unicode MS" w:cs="Arial Unicode MS"/>
          <w:b/>
          <w:i/>
        </w:rPr>
        <w:t>without affecting the decision as such</w:t>
      </w:r>
      <w:r w:rsidRPr="00F07B1C">
        <w:rPr>
          <w:rFonts w:eastAsia="Arial Unicode MS" w:cs="Arial Unicode MS"/>
          <w:b/>
          <w:i/>
        </w:rPr>
        <w:t>;</w:t>
      </w:r>
      <w:r w:rsidRPr="00F07B1C">
        <w:rPr>
          <w:rFonts w:eastAsia="Arial Unicode MS" w:cs="Arial Unicode MS"/>
        </w:rPr>
        <w:t xml:space="preserve"> </w:t>
      </w:r>
      <w:r w:rsidRPr="00F07B1C">
        <w:rPr>
          <w:rFonts w:eastAsia="Arial Unicode MS" w:cs="Arial Unicode MS"/>
          <w:b/>
          <w:bCs/>
          <w:i/>
          <w:iCs/>
          <w:lang w:val="en-US"/>
        </w:rPr>
        <w:t>urges the European Commission to take a broader view when evaluating digital mergers and assess the damaging effects of data concentration; (Yon-</w:t>
      </w:r>
      <w:proofErr w:type="spellStart"/>
      <w:r w:rsidRPr="00F07B1C">
        <w:rPr>
          <w:rFonts w:eastAsia="Arial Unicode MS" w:cs="Arial Unicode MS"/>
          <w:b/>
          <w:bCs/>
          <w:i/>
          <w:iCs/>
          <w:lang w:val="en-US"/>
        </w:rPr>
        <w:t>Courtin</w:t>
      </w:r>
      <w:proofErr w:type="spellEnd"/>
      <w:r w:rsidRPr="00F07B1C">
        <w:rPr>
          <w:rFonts w:eastAsia="Arial Unicode MS" w:cs="Arial Unicode MS"/>
          <w:b/>
          <w:bCs/>
          <w:i/>
          <w:iCs/>
          <w:lang w:val="en-US"/>
        </w:rPr>
        <w:t xml:space="preserve"> et al 159); </w:t>
      </w:r>
      <w:r w:rsidR="008A10C2" w:rsidRPr="00F07B1C">
        <w:rPr>
          <w:rFonts w:eastAsia="Arial Unicode MS" w:cs="Arial Unicode MS"/>
          <w:b/>
          <w:bCs/>
          <w:i/>
          <w:iCs/>
          <w:lang w:val="en-US"/>
        </w:rPr>
        <w:t xml:space="preserve"> points out that</w:t>
      </w:r>
      <w:r w:rsidRPr="00F07B1C">
        <w:rPr>
          <w:rFonts w:eastAsia="Arial Unicode MS" w:cs="Arial Unicode MS"/>
          <w:b/>
          <w:bCs/>
          <w:i/>
          <w:iCs/>
          <w:lang w:val="en-US"/>
        </w:rPr>
        <w:t xml:space="preserve"> the </w:t>
      </w:r>
      <w:r w:rsidRPr="00F07B1C">
        <w:rPr>
          <w:rFonts w:eastAsia="Arial Unicode MS" w:cs="Arial Unicode MS"/>
          <w:b/>
          <w:bCs/>
          <w:i/>
          <w:iCs/>
        </w:rPr>
        <w:t>‘</w:t>
      </w:r>
      <w:r w:rsidRPr="00F07B1C">
        <w:rPr>
          <w:rFonts w:eastAsia="Arial Unicode MS" w:cs="Arial Unicode MS"/>
          <w:b/>
          <w:bCs/>
          <w:i/>
          <w:iCs/>
          <w:lang w:val="en-US"/>
        </w:rPr>
        <w:t>Internet of Things</w:t>
      </w:r>
      <w:r w:rsidRPr="00F07B1C">
        <w:rPr>
          <w:rFonts w:eastAsia="Arial Unicode MS" w:cs="Arial Unicode MS"/>
          <w:b/>
          <w:bCs/>
          <w:i/>
          <w:iCs/>
        </w:rPr>
        <w:t xml:space="preserve">’ </w:t>
      </w:r>
      <w:r w:rsidRPr="00F07B1C">
        <w:rPr>
          <w:rFonts w:eastAsia="Arial Unicode MS" w:cs="Arial Unicode MS"/>
          <w:b/>
          <w:bCs/>
          <w:i/>
          <w:iCs/>
          <w:lang w:val="en-US"/>
        </w:rPr>
        <w:t>(</w:t>
      </w:r>
      <w:proofErr w:type="spellStart"/>
      <w:r w:rsidRPr="00F07B1C">
        <w:rPr>
          <w:rFonts w:eastAsia="Arial Unicode MS" w:cs="Arial Unicode MS"/>
          <w:b/>
          <w:bCs/>
          <w:i/>
          <w:iCs/>
          <w:lang w:val="en-US"/>
        </w:rPr>
        <w:t>IoT</w:t>
      </w:r>
      <w:proofErr w:type="spellEnd"/>
      <w:r w:rsidRPr="00F07B1C">
        <w:rPr>
          <w:rFonts w:eastAsia="Arial Unicode MS" w:cs="Arial Unicode MS"/>
          <w:b/>
          <w:bCs/>
          <w:i/>
          <w:iCs/>
          <w:lang w:val="en-US"/>
        </w:rPr>
        <w:t xml:space="preserve">) </w:t>
      </w:r>
      <w:r w:rsidR="008A10C2" w:rsidRPr="00F07B1C">
        <w:rPr>
          <w:rFonts w:eastAsia="Arial Unicode MS" w:cs="Arial Unicode MS"/>
          <w:b/>
          <w:bCs/>
          <w:i/>
          <w:iCs/>
          <w:lang w:val="en-US"/>
        </w:rPr>
        <w:t>i</w:t>
      </w:r>
      <w:r w:rsidRPr="00F07B1C">
        <w:rPr>
          <w:rFonts w:eastAsia="Arial Unicode MS" w:cs="Arial Unicode MS"/>
          <w:b/>
          <w:bCs/>
          <w:i/>
          <w:iCs/>
          <w:lang w:val="en-US"/>
        </w:rPr>
        <w:t>s a growing market in which vast amounts of consumer data is collected;</w:t>
      </w:r>
      <w:proofErr w:type="gramEnd"/>
      <w:r w:rsidRPr="00F07B1C">
        <w:rPr>
          <w:rFonts w:eastAsia="Arial Unicode MS" w:cs="Arial Unicode MS"/>
          <w:b/>
          <w:bCs/>
          <w:i/>
          <w:iCs/>
          <w:lang w:val="en-US"/>
        </w:rPr>
        <w:t xml:space="preserve"> </w:t>
      </w:r>
    </w:p>
    <w:p w14:paraId="54AA235C" w14:textId="77777777" w:rsidR="00B60301" w:rsidRPr="00F07B1C" w:rsidRDefault="0041303D">
      <w:pPr>
        <w:pStyle w:val="Body"/>
        <w:widowControl w:val="0"/>
        <w:spacing w:after="240"/>
        <w:ind w:left="567" w:hanging="567"/>
        <w:jc w:val="left"/>
        <w:rPr>
          <w:b/>
          <w:bCs/>
          <w:i/>
          <w:iCs/>
        </w:rPr>
      </w:pPr>
      <w:r w:rsidRPr="00F07B1C">
        <w:rPr>
          <w:b/>
          <w:bCs/>
          <w:lang w:val="en-US"/>
        </w:rPr>
        <w:t>COMP J, covering amendments AM 167, 169</w:t>
      </w:r>
      <w:r w:rsidRPr="00F07B1C">
        <w:rPr>
          <w:b/>
          <w:bCs/>
          <w:i/>
          <w:iCs/>
        </w:rPr>
        <w:br/>
      </w:r>
    </w:p>
    <w:p w14:paraId="1E1B5565" w14:textId="6716943F" w:rsidR="00B60301" w:rsidRPr="00F07B1C" w:rsidRDefault="0041303D">
      <w:pPr>
        <w:pStyle w:val="Body"/>
        <w:widowControl w:val="0"/>
        <w:spacing w:after="240"/>
        <w:ind w:left="567" w:hanging="567"/>
        <w:jc w:val="left"/>
      </w:pPr>
      <w:proofErr w:type="gramStart"/>
      <w:r w:rsidRPr="00F07B1C">
        <w:rPr>
          <w:i/>
          <w:iCs/>
        </w:rPr>
        <w:lastRenderedPageBreak/>
        <w:t>9</w:t>
      </w:r>
      <w:r w:rsidRPr="00F07B1C">
        <w:t>.</w:t>
      </w:r>
      <w:r w:rsidRPr="00F07B1C">
        <w:rPr>
          <w:lang w:val="en-US"/>
        </w:rPr>
        <w:tab/>
        <w:t xml:space="preserve">Urges the Commission to take decisive action, under Article 22 of the EC Merger Regulation, against </w:t>
      </w:r>
      <w:r w:rsidRPr="00F07B1C">
        <w:t>‘</w:t>
      </w:r>
      <w:r w:rsidRPr="00F07B1C">
        <w:rPr>
          <w:lang w:val="en-US"/>
        </w:rPr>
        <w:t>killer acquisitions</w:t>
      </w:r>
      <w:r w:rsidRPr="00F07B1C">
        <w:t xml:space="preserve">’ </w:t>
      </w:r>
      <w:r w:rsidRPr="00F07B1C">
        <w:rPr>
          <w:lang w:val="en-US"/>
        </w:rPr>
        <w:t>that must be reported to the Commission under the Digital Markets Act (</w:t>
      </w:r>
      <w:r w:rsidRPr="00F07B1C">
        <w:t xml:space="preserve">‘DMA’) </w:t>
      </w:r>
      <w:r w:rsidRPr="00F07B1C">
        <w:rPr>
          <w:b/>
          <w:bCs/>
          <w:i/>
          <w:iCs/>
          <w:lang w:val="en-US"/>
        </w:rPr>
        <w:t>and for mergers in other strategic sectors (Schwab 169)</w:t>
      </w:r>
      <w:r w:rsidRPr="00F07B1C">
        <w:t xml:space="preserve">; </w:t>
      </w:r>
      <w:r w:rsidR="0094323F" w:rsidRPr="00F07B1C">
        <w:rPr>
          <w:b/>
          <w:i/>
          <w:szCs w:val="20"/>
        </w:rPr>
        <w:t xml:space="preserve">Welcomes the General Court’s judgment in the </w:t>
      </w:r>
      <w:proofErr w:type="spellStart"/>
      <w:r w:rsidR="0094323F" w:rsidRPr="00F07B1C">
        <w:rPr>
          <w:b/>
          <w:i/>
          <w:szCs w:val="20"/>
        </w:rPr>
        <w:t>Ilumina</w:t>
      </w:r>
      <w:proofErr w:type="spellEnd"/>
      <w:r w:rsidR="0094323F" w:rsidRPr="00F07B1C">
        <w:rPr>
          <w:b/>
          <w:i/>
          <w:szCs w:val="20"/>
        </w:rPr>
        <w:t>/Grail case (Case T-227/21) confirming the European Commission’s Guidance on the application of the referral mechanism set out in Article 22 of Regulation No 139/2004 to certain categories of cases, which enables the Commission to examine and to eventually prevent mergers below the quantitative jurisdictional thresholds defined by the Merger Regulation; Urges the Commission to initiate a revision of the Merger Regulation in case the Court of Justice revokes the General Court’s judgment upon appeal and declares the Commission’s guidance void; (</w:t>
      </w:r>
      <w:proofErr w:type="spellStart"/>
      <w:r w:rsidR="0094323F" w:rsidRPr="00F07B1C">
        <w:rPr>
          <w:b/>
          <w:i/>
          <w:szCs w:val="20"/>
        </w:rPr>
        <w:t>Repasi</w:t>
      </w:r>
      <w:proofErr w:type="spellEnd"/>
      <w:r w:rsidR="0094323F" w:rsidRPr="00F07B1C">
        <w:rPr>
          <w:b/>
          <w:i/>
          <w:szCs w:val="20"/>
        </w:rPr>
        <w:t xml:space="preserve"> 141; 143); welcomes the new guidance from the European Commission on the use of Article 22 of the EC Merger Regulation by Member States to review a transaction; underlines the importance of the confirmation of this new application by the European Court of Justice to address effectively "killer acquisitions";</w:t>
      </w:r>
      <w:r w:rsidR="0094323F" w:rsidRPr="00F07B1C">
        <w:rPr>
          <w:szCs w:val="20"/>
        </w:rPr>
        <w:t xml:space="preserve"> </w:t>
      </w:r>
      <w:r w:rsidR="0094323F" w:rsidRPr="00F07B1C">
        <w:rPr>
          <w:b/>
          <w:i/>
          <w:szCs w:val="20"/>
        </w:rPr>
        <w:t>(Yon-</w:t>
      </w:r>
      <w:proofErr w:type="spellStart"/>
      <w:r w:rsidR="0094323F" w:rsidRPr="00F07B1C">
        <w:rPr>
          <w:b/>
          <w:i/>
          <w:szCs w:val="20"/>
        </w:rPr>
        <w:t>Courtin</w:t>
      </w:r>
      <w:proofErr w:type="spellEnd"/>
      <w:r w:rsidR="0094323F" w:rsidRPr="00F07B1C">
        <w:rPr>
          <w:b/>
          <w:i/>
          <w:szCs w:val="20"/>
        </w:rPr>
        <w:t xml:space="preserve"> 168)</w:t>
      </w:r>
      <w:proofErr w:type="gramEnd"/>
    </w:p>
    <w:p w14:paraId="19A7B66C" w14:textId="511D819E" w:rsidR="00B60301" w:rsidRPr="00F07B1C" w:rsidRDefault="0041303D">
      <w:pPr>
        <w:pStyle w:val="Body"/>
        <w:widowControl w:val="0"/>
        <w:spacing w:after="240"/>
        <w:ind w:left="567" w:hanging="567"/>
        <w:jc w:val="left"/>
        <w:rPr>
          <w:b/>
          <w:bCs/>
          <w:i/>
          <w:iCs/>
        </w:rPr>
      </w:pPr>
      <w:r w:rsidRPr="00F07B1C">
        <w:rPr>
          <w:b/>
          <w:bCs/>
          <w:lang w:val="en-US"/>
        </w:rPr>
        <w:t>COMP K, covering amendments AM 84, 85, 132, 170-173</w:t>
      </w:r>
      <w:r w:rsidR="00A755F5" w:rsidRPr="00F07B1C">
        <w:rPr>
          <w:b/>
          <w:bCs/>
          <w:lang w:val="en-US"/>
        </w:rPr>
        <w:t>, IMCO 25</w:t>
      </w:r>
      <w:r w:rsidR="005271B5" w:rsidRPr="00F07B1C">
        <w:rPr>
          <w:b/>
          <w:bCs/>
          <w:lang w:val="en-US"/>
        </w:rPr>
        <w:t>, 28</w:t>
      </w:r>
    </w:p>
    <w:p w14:paraId="520DFF96" w14:textId="77777777" w:rsidR="00B60301" w:rsidRPr="00F07B1C" w:rsidRDefault="0041303D">
      <w:pPr>
        <w:pStyle w:val="Body"/>
        <w:widowControl w:val="0"/>
        <w:spacing w:after="240"/>
        <w:ind w:left="567" w:hanging="567"/>
        <w:jc w:val="left"/>
      </w:pPr>
      <w:r w:rsidRPr="00F07B1C">
        <w:rPr>
          <w:lang w:val="en-US"/>
        </w:rPr>
        <w:t>10.</w:t>
      </w:r>
      <w:r w:rsidRPr="00F07B1C">
        <w:rPr>
          <w:lang w:val="en-US"/>
        </w:rPr>
        <w:tab/>
        <w:t>Calls for the Commission</w:t>
      </w:r>
      <w:r w:rsidRPr="00F07B1C">
        <w:t>’</w:t>
      </w:r>
      <w:r w:rsidRPr="00F07B1C">
        <w:rPr>
          <w:lang w:val="en-US"/>
        </w:rPr>
        <w:t xml:space="preserve">s procedure for examining a concentration to </w:t>
      </w:r>
      <w:proofErr w:type="gramStart"/>
      <w:r w:rsidRPr="00F07B1C">
        <w:rPr>
          <w:lang w:val="en-US"/>
        </w:rPr>
        <w:t>be shortened</w:t>
      </w:r>
      <w:proofErr w:type="gramEnd"/>
      <w:r w:rsidRPr="00F07B1C">
        <w:rPr>
          <w:lang w:val="en-US"/>
        </w:rPr>
        <w:t xml:space="preserve"> by making full use of </w:t>
      </w:r>
      <w:proofErr w:type="spellStart"/>
      <w:r w:rsidRPr="00F07B1C">
        <w:rPr>
          <w:lang w:val="en-US"/>
        </w:rPr>
        <w:t>digitalisation</w:t>
      </w:r>
      <w:proofErr w:type="spellEnd"/>
      <w:r w:rsidRPr="00F07B1C">
        <w:rPr>
          <w:lang w:val="en-US"/>
        </w:rPr>
        <w:t>;</w:t>
      </w:r>
    </w:p>
    <w:p w14:paraId="7E12F9BA" w14:textId="0B2A0E76" w:rsidR="00B60301" w:rsidRPr="00F07B1C" w:rsidRDefault="0041303D">
      <w:pPr>
        <w:pStyle w:val="Body"/>
        <w:widowControl w:val="0"/>
        <w:spacing w:after="240"/>
        <w:ind w:left="567" w:hanging="567"/>
        <w:jc w:val="left"/>
        <w:rPr>
          <w:b/>
          <w:bCs/>
          <w:i/>
          <w:iCs/>
        </w:rPr>
      </w:pPr>
      <w:proofErr w:type="gramStart"/>
      <w:r w:rsidRPr="00F07B1C">
        <w:rPr>
          <w:b/>
          <w:bCs/>
          <w:i/>
          <w:iCs/>
          <w:lang w:val="en-US"/>
        </w:rPr>
        <w:t xml:space="preserve">10a. Recalls that the current de </w:t>
      </w:r>
      <w:proofErr w:type="spellStart"/>
      <w:r w:rsidRPr="00F07B1C">
        <w:rPr>
          <w:b/>
          <w:bCs/>
          <w:i/>
          <w:iCs/>
          <w:lang w:val="en-US"/>
        </w:rPr>
        <w:t>minimis</w:t>
      </w:r>
      <w:proofErr w:type="spellEnd"/>
      <w:r w:rsidRPr="00F07B1C">
        <w:rPr>
          <w:b/>
          <w:bCs/>
          <w:i/>
          <w:iCs/>
          <w:lang w:val="en-US"/>
        </w:rPr>
        <w:t xml:space="preserve"> Regulation on State aid expires at the end of 2023; notes the call for evidence by the Commission on its review of the services of general economic interest (SGEI) de Minimis Regulation (Regulation 360/2012); </w:t>
      </w:r>
      <w:r w:rsidR="005271B5" w:rsidRPr="00F07B1C">
        <w:rPr>
          <w:b/>
          <w:bCs/>
          <w:i/>
          <w:iCs/>
          <w:lang w:val="en-US"/>
        </w:rPr>
        <w:t xml:space="preserve">recalls that services of general economic interest (SGEI) are subject to specific rules to protect citizens’ access to basic public services below a clear threshold [IMCO 25]; </w:t>
      </w:r>
      <w:r w:rsidRPr="00F07B1C">
        <w:rPr>
          <w:b/>
          <w:bCs/>
          <w:i/>
          <w:iCs/>
          <w:lang w:val="en-US"/>
        </w:rPr>
        <w:t xml:space="preserve">calls on the Commission to assess how EU competition principles have affected the supply of services of general economic interest, also in light of the </w:t>
      </w:r>
      <w:proofErr w:type="spellStart"/>
      <w:r w:rsidRPr="00F07B1C">
        <w:rPr>
          <w:b/>
          <w:bCs/>
          <w:i/>
          <w:iCs/>
          <w:lang w:val="en-US"/>
        </w:rPr>
        <w:t>Covid</w:t>
      </w:r>
      <w:proofErr w:type="spellEnd"/>
      <w:r w:rsidRPr="00F07B1C">
        <w:rPr>
          <w:b/>
          <w:bCs/>
          <w:i/>
          <w:iCs/>
          <w:lang w:val="en-US"/>
        </w:rPr>
        <w:t xml:space="preserve"> crisis and increased costs of living and asks attention for the socio-economic realities of the various EU regions, especially in the context of state support to peripheral and insular regions within the Union;</w:t>
      </w:r>
      <w:r w:rsidR="005271B5" w:rsidRPr="00F07B1C">
        <w:rPr>
          <w:b/>
          <w:bCs/>
          <w:i/>
          <w:iCs/>
          <w:lang w:val="en-US"/>
        </w:rPr>
        <w:t xml:space="preserve"> believes that EU policies should be better geared towards improving regional productive </w:t>
      </w:r>
      <w:proofErr w:type="spellStart"/>
      <w:r w:rsidR="005271B5" w:rsidRPr="00F07B1C">
        <w:rPr>
          <w:b/>
          <w:bCs/>
          <w:i/>
          <w:iCs/>
          <w:lang w:val="en-US"/>
        </w:rPr>
        <w:t>specialisation</w:t>
      </w:r>
      <w:proofErr w:type="spellEnd"/>
      <w:r w:rsidR="005271B5" w:rsidRPr="00F07B1C">
        <w:rPr>
          <w:b/>
          <w:bCs/>
          <w:i/>
          <w:iCs/>
          <w:lang w:val="en-US"/>
        </w:rPr>
        <w:t xml:space="preserve"> while avoiding any counterproductive impacts, such as support to inefficient firms;</w:t>
      </w:r>
      <w:r w:rsidRPr="00F07B1C">
        <w:rPr>
          <w:b/>
          <w:bCs/>
          <w:i/>
          <w:iCs/>
          <w:lang w:val="en-US"/>
        </w:rPr>
        <w:t xml:space="preserve"> (</w:t>
      </w:r>
      <w:proofErr w:type="spellStart"/>
      <w:r w:rsidRPr="00F07B1C">
        <w:rPr>
          <w:b/>
          <w:bCs/>
          <w:i/>
          <w:iCs/>
          <w:lang w:val="en-US"/>
        </w:rPr>
        <w:t>Sant</w:t>
      </w:r>
      <w:proofErr w:type="spellEnd"/>
      <w:r w:rsidRPr="00F07B1C">
        <w:rPr>
          <w:b/>
          <w:bCs/>
          <w:i/>
          <w:iCs/>
          <w:lang w:val="en-US"/>
        </w:rPr>
        <w:t xml:space="preserve"> 84, 85, 132; </w:t>
      </w:r>
      <w:proofErr w:type="spellStart"/>
      <w:r w:rsidRPr="00F07B1C">
        <w:rPr>
          <w:b/>
          <w:bCs/>
          <w:i/>
          <w:iCs/>
          <w:lang w:val="en-US"/>
        </w:rPr>
        <w:t>Repasi</w:t>
      </w:r>
      <w:proofErr w:type="spellEnd"/>
      <w:r w:rsidRPr="00F07B1C">
        <w:rPr>
          <w:b/>
          <w:bCs/>
          <w:i/>
          <w:iCs/>
          <w:lang w:val="en-US"/>
        </w:rPr>
        <w:t xml:space="preserve"> 172</w:t>
      </w:r>
      <w:r w:rsidR="005271B5" w:rsidRPr="00F07B1C">
        <w:rPr>
          <w:b/>
          <w:bCs/>
          <w:i/>
          <w:iCs/>
          <w:lang w:val="en-US"/>
        </w:rPr>
        <w:t>, IMCO 28</w:t>
      </w:r>
      <w:r w:rsidRPr="00F07B1C">
        <w:rPr>
          <w:b/>
          <w:bCs/>
          <w:i/>
          <w:iCs/>
          <w:lang w:val="en-US"/>
        </w:rPr>
        <w:t>)</w:t>
      </w:r>
      <w:proofErr w:type="gramEnd"/>
    </w:p>
    <w:p w14:paraId="3903456A" w14:textId="77777777" w:rsidR="00B60301" w:rsidRPr="00F07B1C" w:rsidRDefault="0041303D">
      <w:pPr>
        <w:pStyle w:val="Body"/>
        <w:widowControl w:val="0"/>
        <w:spacing w:after="240"/>
        <w:ind w:left="567" w:hanging="567"/>
        <w:jc w:val="left"/>
        <w:rPr>
          <w:b/>
          <w:bCs/>
          <w:i/>
          <w:iCs/>
        </w:rPr>
      </w:pPr>
      <w:r w:rsidRPr="00F07B1C">
        <w:rPr>
          <w:b/>
          <w:bCs/>
          <w:lang w:val="en-US"/>
        </w:rPr>
        <w:t>COMP L, covering amendments AM 174-178</w:t>
      </w:r>
    </w:p>
    <w:p w14:paraId="4D8ABC43" w14:textId="77777777" w:rsidR="00B60301" w:rsidRPr="00F07B1C" w:rsidRDefault="0041303D">
      <w:pPr>
        <w:pStyle w:val="Body"/>
        <w:widowControl w:val="0"/>
        <w:spacing w:after="240"/>
        <w:ind w:left="567" w:hanging="567"/>
        <w:jc w:val="left"/>
        <w:rPr>
          <w:b/>
          <w:bCs/>
        </w:rPr>
      </w:pPr>
      <w:r w:rsidRPr="00F07B1C">
        <w:rPr>
          <w:b/>
          <w:bCs/>
        </w:rPr>
        <w:t>Antitrust</w:t>
      </w:r>
    </w:p>
    <w:p w14:paraId="5E653E7D" w14:textId="652D624B" w:rsidR="00B60301" w:rsidRPr="00F07B1C" w:rsidRDefault="0041303D">
      <w:pPr>
        <w:pStyle w:val="Body"/>
        <w:widowControl w:val="0"/>
        <w:spacing w:after="240"/>
        <w:ind w:left="567" w:hanging="567"/>
        <w:jc w:val="left"/>
      </w:pPr>
      <w:r w:rsidRPr="00F07B1C">
        <w:rPr>
          <w:lang w:val="en-US"/>
        </w:rPr>
        <w:t>11.</w:t>
      </w:r>
      <w:r w:rsidRPr="00F07B1C">
        <w:rPr>
          <w:lang w:val="en-US"/>
        </w:rPr>
        <w:tab/>
        <w:t>Welcomes the Commission</w:t>
      </w:r>
      <w:r w:rsidRPr="00F07B1C">
        <w:t>’</w:t>
      </w:r>
      <w:r w:rsidRPr="00F07B1C">
        <w:rPr>
          <w:lang w:val="en-US"/>
        </w:rPr>
        <w:t xml:space="preserve">s willingness to take into account the effects on </w:t>
      </w:r>
      <w:proofErr w:type="spellStart"/>
      <w:r w:rsidRPr="00F07B1C">
        <w:rPr>
          <w:lang w:val="en-US"/>
        </w:rPr>
        <w:t>labour</w:t>
      </w:r>
      <w:proofErr w:type="spellEnd"/>
      <w:r w:rsidRPr="00F07B1C">
        <w:rPr>
          <w:lang w:val="en-US"/>
        </w:rPr>
        <w:t xml:space="preserve"> markets and wages when determining the anti-competitiveness of collusive </w:t>
      </w:r>
      <w:proofErr w:type="spellStart"/>
      <w:r w:rsidRPr="00F07B1C">
        <w:rPr>
          <w:lang w:val="en-US"/>
        </w:rPr>
        <w:t>behaviour</w:t>
      </w:r>
      <w:proofErr w:type="spellEnd"/>
      <w:r w:rsidRPr="00F07B1C">
        <w:rPr>
          <w:lang w:val="en-US"/>
        </w:rPr>
        <w:t xml:space="preserve"> under Article 101(1) TFEU, as demonstrated by its reference to </w:t>
      </w:r>
      <w:r w:rsidRPr="00F07B1C">
        <w:t xml:space="preserve">‘no-poach’ </w:t>
      </w:r>
      <w:r w:rsidRPr="00F07B1C">
        <w:rPr>
          <w:lang w:val="en-US"/>
        </w:rPr>
        <w:t>agreements</w:t>
      </w:r>
      <w:r w:rsidRPr="00F07B1C">
        <w:rPr>
          <w:rStyle w:val="FootnoteReference"/>
        </w:rPr>
        <w:footnoteReference w:id="3"/>
      </w:r>
      <w:r w:rsidRPr="00F07B1C">
        <w:rPr>
          <w:lang w:val="en-US"/>
        </w:rPr>
        <w:t xml:space="preserve">; </w:t>
      </w:r>
      <w:r w:rsidR="001D14A8" w:rsidRPr="00F07B1C">
        <w:rPr>
          <w:lang w:val="en-US"/>
        </w:rPr>
        <w:t xml:space="preserve"> </w:t>
      </w:r>
      <w:r w:rsidR="001D14A8" w:rsidRPr="00F07B1C">
        <w:rPr>
          <w:b/>
          <w:i/>
        </w:rPr>
        <w:t>calls on the Commission to carefully balance the potential effects on wages with the need to ensure a competitive market</w:t>
      </w:r>
    </w:p>
    <w:p w14:paraId="6D1B2DAE" w14:textId="635F52B9" w:rsidR="00B60301" w:rsidRPr="00F07B1C" w:rsidRDefault="0041303D">
      <w:pPr>
        <w:pStyle w:val="Body"/>
        <w:widowControl w:val="0"/>
        <w:spacing w:after="240"/>
        <w:ind w:left="567" w:hanging="567"/>
        <w:jc w:val="left"/>
        <w:rPr>
          <w:b/>
          <w:bCs/>
          <w:i/>
          <w:iCs/>
        </w:rPr>
      </w:pPr>
      <w:r w:rsidRPr="00F07B1C">
        <w:rPr>
          <w:b/>
          <w:bCs/>
          <w:i/>
          <w:iCs/>
          <w:lang w:val="en-US"/>
        </w:rPr>
        <w:t xml:space="preserve">11a. Welcomes the Commission </w:t>
      </w:r>
      <w:r w:rsidRPr="00F07B1C">
        <w:rPr>
          <w:b/>
          <w:bCs/>
          <w:i/>
          <w:iCs/>
        </w:rPr>
        <w:t>‘</w:t>
      </w:r>
      <w:r w:rsidRPr="00F07B1C">
        <w:rPr>
          <w:b/>
          <w:bCs/>
          <w:i/>
          <w:iCs/>
          <w:lang w:val="en-US"/>
        </w:rPr>
        <w:t xml:space="preserve">Guidelines on the application of EU competition law to </w:t>
      </w:r>
      <w:r w:rsidRPr="00F07B1C">
        <w:rPr>
          <w:b/>
          <w:bCs/>
          <w:i/>
          <w:iCs/>
          <w:lang w:val="en-US"/>
        </w:rPr>
        <w:lastRenderedPageBreak/>
        <w:t>collective agreements</w:t>
      </w:r>
      <w:r w:rsidRPr="00F07B1C">
        <w:rPr>
          <w:b/>
          <w:bCs/>
          <w:i/>
          <w:iCs/>
        </w:rPr>
        <w:t>’</w:t>
      </w:r>
      <w:r w:rsidRPr="00F07B1C">
        <w:rPr>
          <w:b/>
          <w:bCs/>
          <w:i/>
          <w:iCs/>
          <w:lang w:val="en-US"/>
        </w:rPr>
        <w:t xml:space="preserve">, clarifying that EU competition law does not prevent solo self-employed workers from engaging in collective bargaining; recalls that self-employed workers often </w:t>
      </w:r>
      <w:r w:rsidR="0094323F" w:rsidRPr="00F07B1C">
        <w:rPr>
          <w:b/>
          <w:bCs/>
          <w:i/>
          <w:iCs/>
          <w:lang w:val="en-US"/>
        </w:rPr>
        <w:t>have</w:t>
      </w:r>
      <w:r w:rsidRPr="00F07B1C">
        <w:rPr>
          <w:b/>
          <w:bCs/>
          <w:i/>
          <w:iCs/>
          <w:lang w:val="en-US"/>
        </w:rPr>
        <w:t xml:space="preserve"> limited or no access to collective bargaining</w:t>
      </w:r>
      <w:r w:rsidR="0094323F" w:rsidRPr="00F07B1C">
        <w:rPr>
          <w:b/>
          <w:bCs/>
          <w:i/>
          <w:iCs/>
          <w:lang w:val="en-US"/>
        </w:rPr>
        <w:t>, which may lead to precarious worki</w:t>
      </w:r>
      <w:r w:rsidR="001D14A8" w:rsidRPr="00F07B1C">
        <w:rPr>
          <w:b/>
          <w:bCs/>
          <w:i/>
          <w:iCs/>
          <w:lang w:val="en-US"/>
        </w:rPr>
        <w:t>n</w:t>
      </w:r>
      <w:r w:rsidR="0094323F" w:rsidRPr="00F07B1C">
        <w:rPr>
          <w:b/>
          <w:bCs/>
          <w:i/>
          <w:iCs/>
          <w:lang w:val="en-US"/>
        </w:rPr>
        <w:t>g conditions</w:t>
      </w:r>
      <w:r w:rsidRPr="00F07B1C">
        <w:rPr>
          <w:b/>
          <w:bCs/>
          <w:i/>
          <w:iCs/>
          <w:lang w:val="en-US"/>
        </w:rPr>
        <w:t>; (</w:t>
      </w:r>
      <w:proofErr w:type="spellStart"/>
      <w:r w:rsidRPr="00F07B1C">
        <w:rPr>
          <w:b/>
          <w:bCs/>
          <w:i/>
          <w:iCs/>
          <w:lang w:val="en-US"/>
        </w:rPr>
        <w:t>Repasi</w:t>
      </w:r>
      <w:proofErr w:type="spellEnd"/>
      <w:r w:rsidRPr="00F07B1C">
        <w:rPr>
          <w:b/>
          <w:bCs/>
          <w:i/>
          <w:iCs/>
          <w:lang w:val="en-US"/>
        </w:rPr>
        <w:t xml:space="preserve"> et al 177)</w:t>
      </w:r>
    </w:p>
    <w:p w14:paraId="46B4581C" w14:textId="77777777" w:rsidR="00B60301" w:rsidRPr="00F07B1C" w:rsidRDefault="0041303D">
      <w:pPr>
        <w:pStyle w:val="Body"/>
        <w:widowControl w:val="0"/>
        <w:spacing w:after="240"/>
        <w:ind w:left="567" w:hanging="567"/>
        <w:jc w:val="left"/>
        <w:rPr>
          <w:b/>
          <w:bCs/>
          <w:i/>
          <w:iCs/>
        </w:rPr>
      </w:pPr>
      <w:r w:rsidRPr="00F07B1C">
        <w:rPr>
          <w:b/>
          <w:bCs/>
          <w:lang w:val="en-US"/>
        </w:rPr>
        <w:t>COMP M, covering amendments AM 179-182</w:t>
      </w:r>
    </w:p>
    <w:p w14:paraId="0FA4F33B" w14:textId="77777777" w:rsidR="00B60301" w:rsidRPr="00F07B1C" w:rsidRDefault="0041303D">
      <w:pPr>
        <w:pStyle w:val="Body"/>
        <w:widowControl w:val="0"/>
        <w:spacing w:after="240"/>
        <w:ind w:left="567" w:hanging="567"/>
        <w:jc w:val="left"/>
        <w:rPr>
          <w:b/>
          <w:bCs/>
          <w:i/>
          <w:iCs/>
        </w:rPr>
      </w:pPr>
      <w:proofErr w:type="gramStart"/>
      <w:r w:rsidRPr="00F07B1C">
        <w:rPr>
          <w:lang w:val="en-US"/>
        </w:rPr>
        <w:t>12.</w:t>
      </w:r>
      <w:r w:rsidRPr="00F07B1C">
        <w:rPr>
          <w:lang w:val="en-US"/>
        </w:rPr>
        <w:tab/>
        <w:t>Welcomes the evaluation of Regulation (EC) No 1/2003 and Regulation (EC) No</w:t>
      </w:r>
      <w:r w:rsidRPr="00F07B1C">
        <w:t> </w:t>
      </w:r>
      <w:r w:rsidRPr="00F07B1C">
        <w:rPr>
          <w:lang w:val="en-US"/>
        </w:rPr>
        <w:t xml:space="preserve">773/2004 initiated by the Commission; considers a legislative review of these regulations necessary; calls for stronger use of structural remedies, and therefore for the primacy of </w:t>
      </w:r>
      <w:proofErr w:type="spellStart"/>
      <w:r w:rsidRPr="00F07B1C">
        <w:rPr>
          <w:lang w:val="en-US"/>
        </w:rPr>
        <w:t>behavioural</w:t>
      </w:r>
      <w:proofErr w:type="spellEnd"/>
      <w:r w:rsidRPr="00F07B1C">
        <w:rPr>
          <w:lang w:val="en-US"/>
        </w:rPr>
        <w:t xml:space="preserve"> remedies to be removed from Regulation (EC) No 1/2003; </w:t>
      </w:r>
      <w:r w:rsidRPr="00F07B1C">
        <w:rPr>
          <w:b/>
          <w:bCs/>
          <w:i/>
          <w:iCs/>
          <w:lang w:val="en-US"/>
        </w:rPr>
        <w:t>calls on the Commission to speed up antitrust procedures and introduce time limits to ensure the functioning of the internal market (Garcia-Margallo 180; Yon-</w:t>
      </w:r>
      <w:proofErr w:type="spellStart"/>
      <w:r w:rsidRPr="00F07B1C">
        <w:rPr>
          <w:b/>
          <w:bCs/>
          <w:i/>
          <w:iCs/>
          <w:lang w:val="en-US"/>
        </w:rPr>
        <w:t>Courtin</w:t>
      </w:r>
      <w:proofErr w:type="spellEnd"/>
      <w:r w:rsidRPr="00F07B1C">
        <w:rPr>
          <w:b/>
          <w:bCs/>
          <w:i/>
          <w:iCs/>
          <w:lang w:val="en-US"/>
        </w:rPr>
        <w:t xml:space="preserve"> et al 181)</w:t>
      </w:r>
      <w:proofErr w:type="gramEnd"/>
    </w:p>
    <w:p w14:paraId="4613D5BB" w14:textId="77777777" w:rsidR="00B60301" w:rsidRPr="00F07B1C" w:rsidRDefault="0041303D">
      <w:pPr>
        <w:pStyle w:val="Body"/>
        <w:widowControl w:val="0"/>
        <w:spacing w:after="240"/>
        <w:ind w:left="567" w:hanging="567"/>
        <w:jc w:val="left"/>
        <w:rPr>
          <w:b/>
          <w:bCs/>
          <w:i/>
          <w:iCs/>
        </w:rPr>
      </w:pPr>
      <w:r w:rsidRPr="00F07B1C">
        <w:rPr>
          <w:b/>
          <w:bCs/>
          <w:lang w:val="en-US"/>
        </w:rPr>
        <w:t>COMP N, covering amendments AM 183-189</w:t>
      </w:r>
    </w:p>
    <w:p w14:paraId="01FB42BA" w14:textId="77777777" w:rsidR="00B60301" w:rsidRPr="00F07B1C" w:rsidRDefault="0041303D">
      <w:pPr>
        <w:pStyle w:val="Body"/>
        <w:widowControl w:val="0"/>
        <w:spacing w:after="240"/>
        <w:ind w:left="567" w:hanging="567"/>
        <w:jc w:val="left"/>
      </w:pPr>
      <w:proofErr w:type="gramStart"/>
      <w:r w:rsidRPr="00F07B1C">
        <w:t>13.</w:t>
      </w:r>
      <w:r w:rsidRPr="00F07B1C">
        <w:tab/>
      </w:r>
      <w:r w:rsidRPr="00F07B1C">
        <w:rPr>
          <w:b/>
          <w:bCs/>
          <w:i/>
          <w:iCs/>
          <w:lang w:val="en-US"/>
        </w:rPr>
        <w:t xml:space="preserve">Acknowledges the existence of a legal basis for structural separation; Calls on the Commission to </w:t>
      </w:r>
      <w:proofErr w:type="spellStart"/>
      <w:r w:rsidRPr="00F07B1C">
        <w:rPr>
          <w:b/>
          <w:bCs/>
          <w:i/>
          <w:iCs/>
          <w:lang w:val="en-US"/>
        </w:rPr>
        <w:t>analyse</w:t>
      </w:r>
      <w:proofErr w:type="spellEnd"/>
      <w:r w:rsidRPr="00F07B1C">
        <w:rPr>
          <w:b/>
          <w:bCs/>
          <w:i/>
          <w:iCs/>
          <w:lang w:val="en-US"/>
        </w:rPr>
        <w:t xml:space="preserve"> the merits of the legal base for the unbundling of undertakings as a structural remedy of last resort for antitrust violations; regrets the reluctance of the Commission to address market dominance through structural separation; (Tang, </w:t>
      </w:r>
      <w:proofErr w:type="spellStart"/>
      <w:r w:rsidRPr="00F07B1C">
        <w:rPr>
          <w:b/>
          <w:bCs/>
          <w:i/>
          <w:iCs/>
          <w:lang w:val="en-US"/>
        </w:rPr>
        <w:t>Repasi</w:t>
      </w:r>
      <w:proofErr w:type="spellEnd"/>
      <w:r w:rsidRPr="00F07B1C">
        <w:rPr>
          <w:b/>
          <w:bCs/>
          <w:i/>
          <w:iCs/>
          <w:lang w:val="en-US"/>
        </w:rPr>
        <w:t xml:space="preserve"> 185); </w:t>
      </w:r>
      <w:r w:rsidRPr="00F07B1C">
        <w:rPr>
          <w:lang w:val="en-US"/>
        </w:rPr>
        <w:t>considers unbundling to also be a structural remedy in situations where abuse of a dominant position on a relevant market cannot be ascertained, but conditions for competition would improve significantly if unbundling measures were applied;</w:t>
      </w:r>
      <w:proofErr w:type="gramEnd"/>
    </w:p>
    <w:p w14:paraId="1F3B7A3E" w14:textId="77777777" w:rsidR="00B60301" w:rsidRPr="00F07B1C" w:rsidRDefault="0041303D">
      <w:pPr>
        <w:pStyle w:val="Body"/>
        <w:widowControl w:val="0"/>
        <w:spacing w:after="240"/>
        <w:ind w:left="567" w:hanging="567"/>
        <w:jc w:val="left"/>
      </w:pPr>
      <w:r w:rsidRPr="00F07B1C">
        <w:rPr>
          <w:b/>
          <w:bCs/>
          <w:lang w:val="en-US"/>
        </w:rPr>
        <w:t>COMP O, covering amendments AM 190-194</w:t>
      </w:r>
    </w:p>
    <w:p w14:paraId="47CD577F" w14:textId="43C76F53" w:rsidR="00B60301" w:rsidRPr="00F07B1C" w:rsidRDefault="0041303D">
      <w:pPr>
        <w:pStyle w:val="Body"/>
        <w:widowControl w:val="0"/>
        <w:spacing w:after="240"/>
        <w:ind w:left="567" w:hanging="567"/>
        <w:jc w:val="left"/>
      </w:pPr>
      <w:proofErr w:type="gramStart"/>
      <w:r w:rsidRPr="00F07B1C">
        <w:rPr>
          <w:lang w:val="en-US"/>
        </w:rPr>
        <w:t>14.</w:t>
      </w:r>
      <w:r w:rsidRPr="00F07B1C">
        <w:rPr>
          <w:lang w:val="en-US"/>
        </w:rPr>
        <w:tab/>
        <w:t xml:space="preserve">Underlines the importance of adopting interim measures in the enforcement of competition law </w:t>
      </w:r>
      <w:r w:rsidRPr="00F07B1C">
        <w:rPr>
          <w:b/>
          <w:bCs/>
          <w:i/>
          <w:iCs/>
          <w:lang w:val="en-US"/>
        </w:rPr>
        <w:t>to stop any practice which would seriously harm competition (Yon-</w:t>
      </w:r>
      <w:proofErr w:type="spellStart"/>
      <w:r w:rsidRPr="00F07B1C">
        <w:rPr>
          <w:b/>
          <w:bCs/>
          <w:i/>
          <w:iCs/>
          <w:lang w:val="en-US"/>
        </w:rPr>
        <w:t>Courtin</w:t>
      </w:r>
      <w:proofErr w:type="spellEnd"/>
      <w:r w:rsidRPr="00F07B1C">
        <w:rPr>
          <w:b/>
          <w:bCs/>
          <w:i/>
          <w:iCs/>
          <w:lang w:val="en-US"/>
        </w:rPr>
        <w:t xml:space="preserve"> 191)</w:t>
      </w:r>
      <w:r w:rsidRPr="00F07B1C">
        <w:rPr>
          <w:lang w:val="en-US"/>
        </w:rPr>
        <w:t>, particularly in relation to dynamic and fast-developing markets such as digital markets; therefore supports the Commission in enhancing the use of interim measures under the existing Regulation (EC) No 1/2003; calls for legislative action to lower the burden associated with the use of interim measures for the Commission and for national competition authorities;</w:t>
      </w:r>
      <w:proofErr w:type="gramEnd"/>
      <w:r w:rsidRPr="00F07B1C">
        <w:rPr>
          <w:lang w:val="en-US"/>
        </w:rPr>
        <w:t xml:space="preserve"> </w:t>
      </w:r>
    </w:p>
    <w:p w14:paraId="2BA26BBE" w14:textId="55069460" w:rsidR="00B60301" w:rsidRPr="00F07B1C" w:rsidRDefault="0041303D">
      <w:pPr>
        <w:pStyle w:val="Body"/>
        <w:widowControl w:val="0"/>
        <w:spacing w:after="240"/>
        <w:ind w:left="567" w:hanging="567"/>
        <w:jc w:val="left"/>
      </w:pPr>
      <w:r w:rsidRPr="00F07B1C">
        <w:rPr>
          <w:b/>
          <w:bCs/>
          <w:lang w:val="en-US"/>
        </w:rPr>
        <w:t>COMP P, covering amendments AM 195-20</w:t>
      </w:r>
      <w:r w:rsidR="00FF16AB" w:rsidRPr="00F07B1C">
        <w:rPr>
          <w:b/>
          <w:bCs/>
          <w:lang w:val="en-US"/>
        </w:rPr>
        <w:t>0</w:t>
      </w:r>
      <w:r w:rsidR="00A755F5" w:rsidRPr="00F07B1C">
        <w:rPr>
          <w:b/>
          <w:bCs/>
          <w:lang w:val="en-US"/>
        </w:rPr>
        <w:t>, IMCO 9, 16</w:t>
      </w:r>
    </w:p>
    <w:p w14:paraId="110C323E" w14:textId="77777777" w:rsidR="00B60301" w:rsidRPr="00F07B1C" w:rsidRDefault="0041303D">
      <w:pPr>
        <w:pStyle w:val="Body"/>
        <w:widowControl w:val="0"/>
        <w:spacing w:after="240"/>
        <w:ind w:left="567" w:hanging="567"/>
        <w:jc w:val="left"/>
        <w:rPr>
          <w:b/>
          <w:bCs/>
          <w:i/>
          <w:iCs/>
        </w:rPr>
      </w:pPr>
      <w:proofErr w:type="gramStart"/>
      <w:r w:rsidRPr="00F07B1C">
        <w:rPr>
          <w:lang w:val="en-US"/>
        </w:rPr>
        <w:t>15.</w:t>
      </w:r>
      <w:r w:rsidRPr="00F07B1C">
        <w:rPr>
          <w:lang w:val="en-US"/>
        </w:rPr>
        <w:tab/>
        <w:t xml:space="preserve">Calls on the Commission to establish a publicly accessible database of all European and national competition law cases, including summaries in English; </w:t>
      </w:r>
      <w:r w:rsidRPr="00F07B1C">
        <w:rPr>
          <w:b/>
          <w:bCs/>
          <w:i/>
          <w:iCs/>
          <w:lang w:val="en-US"/>
        </w:rPr>
        <w:t>stresses the need and importance of the independence of the national authorities whilst reiterating the increasing need to ensure more cooperation and sharing of information best practices between the national authorities, ensuring transparency; (</w:t>
      </w:r>
      <w:proofErr w:type="spellStart"/>
      <w:r w:rsidRPr="00F07B1C">
        <w:rPr>
          <w:b/>
          <w:bCs/>
          <w:i/>
          <w:iCs/>
          <w:lang w:val="en-US"/>
        </w:rPr>
        <w:t>Asimakopoulou</w:t>
      </w:r>
      <w:proofErr w:type="spellEnd"/>
      <w:r w:rsidRPr="00F07B1C">
        <w:rPr>
          <w:b/>
          <w:bCs/>
          <w:i/>
          <w:iCs/>
          <w:lang w:val="en-US"/>
        </w:rPr>
        <w:t xml:space="preserve"> 71, Fernandez 196, Garcia-Margallo 197)</w:t>
      </w:r>
      <w:proofErr w:type="gramEnd"/>
    </w:p>
    <w:p w14:paraId="1BF01C50" w14:textId="77777777" w:rsidR="00B60301" w:rsidRPr="00F07B1C" w:rsidRDefault="0041303D">
      <w:pPr>
        <w:pStyle w:val="Body"/>
        <w:widowControl w:val="0"/>
        <w:spacing w:after="240"/>
        <w:ind w:left="567" w:hanging="567"/>
        <w:jc w:val="left"/>
        <w:rPr>
          <w:b/>
          <w:bCs/>
          <w:i/>
          <w:iCs/>
        </w:rPr>
      </w:pPr>
      <w:proofErr w:type="gramStart"/>
      <w:r w:rsidRPr="00F07B1C">
        <w:rPr>
          <w:b/>
          <w:bCs/>
          <w:i/>
          <w:iCs/>
          <w:lang w:val="en-US"/>
        </w:rPr>
        <w:t xml:space="preserve">15a. </w:t>
      </w:r>
      <w:r w:rsidRPr="00F07B1C">
        <w:rPr>
          <w:b/>
          <w:bCs/>
          <w:i/>
          <w:iCs/>
          <w:lang w:val="en-US"/>
        </w:rPr>
        <w:tab/>
        <w:t xml:space="preserve">Underlines the importance of damages for infringements of competition law; considers it necessary to alleviate the burden on injured parties to successfully claim damages by introducing an obligation of the competent competition authority to state the extent of the damages in the public enforcement decision or by introducing a presumption of a minimum amount of damages calculated in relation to the </w:t>
      </w:r>
      <w:r w:rsidRPr="00F07B1C">
        <w:rPr>
          <w:b/>
          <w:bCs/>
          <w:i/>
          <w:iCs/>
          <w:lang w:val="en-US"/>
        </w:rPr>
        <w:lastRenderedPageBreak/>
        <w:t>infringement of competition law; (</w:t>
      </w:r>
      <w:proofErr w:type="spellStart"/>
      <w:r w:rsidRPr="00F07B1C">
        <w:rPr>
          <w:b/>
          <w:bCs/>
          <w:i/>
          <w:iCs/>
          <w:lang w:val="en-US"/>
        </w:rPr>
        <w:t>Repasi</w:t>
      </w:r>
      <w:proofErr w:type="spellEnd"/>
      <w:r w:rsidRPr="00F07B1C">
        <w:rPr>
          <w:b/>
          <w:bCs/>
          <w:i/>
          <w:iCs/>
          <w:lang w:val="en-US"/>
        </w:rPr>
        <w:t xml:space="preserve"> et al 199)</w:t>
      </w:r>
      <w:proofErr w:type="gramEnd"/>
    </w:p>
    <w:p w14:paraId="657AEDD8" w14:textId="733F61BF" w:rsidR="00B60301" w:rsidRPr="00F07B1C" w:rsidRDefault="0041303D">
      <w:pPr>
        <w:pStyle w:val="Body"/>
        <w:widowControl w:val="0"/>
        <w:spacing w:after="240"/>
        <w:ind w:left="567" w:hanging="567"/>
        <w:jc w:val="left"/>
        <w:rPr>
          <w:b/>
          <w:bCs/>
          <w:i/>
          <w:iCs/>
        </w:rPr>
      </w:pPr>
      <w:proofErr w:type="gramStart"/>
      <w:r w:rsidRPr="00F07B1C">
        <w:rPr>
          <w:b/>
          <w:bCs/>
          <w:i/>
          <w:iCs/>
          <w:lang w:val="en-US"/>
        </w:rPr>
        <w:t xml:space="preserve">15b. </w:t>
      </w:r>
      <w:r w:rsidRPr="00F07B1C">
        <w:rPr>
          <w:b/>
          <w:bCs/>
          <w:i/>
          <w:iCs/>
          <w:lang w:val="en-US"/>
        </w:rPr>
        <w:tab/>
        <w:t>Deplores the fact that still seven Member States have not yet completed the implementation of Directive (EU) 2019/1 (ECN+ Directive) despite the transposition period having already been expired on 4 February 2021;</w:t>
      </w:r>
      <w:r w:rsidR="00A755F5" w:rsidRPr="00F07B1C">
        <w:rPr>
          <w:b/>
          <w:bCs/>
          <w:i/>
          <w:iCs/>
          <w:lang w:val="en-US"/>
        </w:rPr>
        <w:t xml:space="preserve"> </w:t>
      </w:r>
      <w:r w:rsidR="00A755F5" w:rsidRPr="00F07B1C">
        <w:rPr>
          <w:b/>
          <w:i/>
        </w:rPr>
        <w:t>Calls on the Commission to assess the degree of implementation of the Unfair Commercial Practices Directive in the Member States and to report on the results of its application [IMCO 9];</w:t>
      </w:r>
      <w:r w:rsidR="00A755F5" w:rsidRPr="00F07B1C">
        <w:t xml:space="preserve"> </w:t>
      </w:r>
      <w:r w:rsidRPr="00F07B1C">
        <w:rPr>
          <w:b/>
          <w:bCs/>
          <w:i/>
          <w:iCs/>
          <w:lang w:val="en-US"/>
        </w:rPr>
        <w:t xml:space="preserve"> stresses the important role of national competition authorities in enforcing competition law and in adopting interim measures; (</w:t>
      </w:r>
      <w:proofErr w:type="spellStart"/>
      <w:r w:rsidRPr="00F07B1C">
        <w:rPr>
          <w:b/>
          <w:bCs/>
          <w:i/>
          <w:iCs/>
          <w:lang w:val="en-US"/>
        </w:rPr>
        <w:t>Repasi</w:t>
      </w:r>
      <w:proofErr w:type="spellEnd"/>
      <w:r w:rsidRPr="00F07B1C">
        <w:rPr>
          <w:b/>
          <w:bCs/>
          <w:i/>
          <w:iCs/>
          <w:lang w:val="en-US"/>
        </w:rPr>
        <w:t xml:space="preserve"> et al 200)</w:t>
      </w:r>
      <w:r w:rsidRPr="00F07B1C">
        <w:rPr>
          <w:b/>
          <w:bCs/>
          <w:i/>
          <w:iCs/>
          <w:lang w:val="en-US"/>
        </w:rPr>
        <w:br/>
      </w:r>
      <w:proofErr w:type="gramEnd"/>
    </w:p>
    <w:p w14:paraId="769D23F7" w14:textId="0A926123" w:rsidR="00B60301" w:rsidRPr="00F07B1C" w:rsidRDefault="0041303D">
      <w:pPr>
        <w:pStyle w:val="Body"/>
        <w:widowControl w:val="0"/>
        <w:spacing w:after="240"/>
        <w:ind w:left="567" w:hanging="567"/>
        <w:jc w:val="left"/>
        <w:rPr>
          <w:b/>
          <w:bCs/>
        </w:rPr>
      </w:pPr>
      <w:r w:rsidRPr="00F07B1C">
        <w:rPr>
          <w:b/>
          <w:bCs/>
          <w:lang w:val="en-US"/>
        </w:rPr>
        <w:t>COMP Q, covering amendments AM 202-204, 206, 220</w:t>
      </w:r>
      <w:r w:rsidR="00BA5E65" w:rsidRPr="00F07B1C">
        <w:rPr>
          <w:b/>
          <w:bCs/>
          <w:lang w:val="en-US"/>
        </w:rPr>
        <w:t>, IMCO 8</w:t>
      </w:r>
      <w:r w:rsidR="00A755F5" w:rsidRPr="00F07B1C">
        <w:rPr>
          <w:b/>
          <w:bCs/>
          <w:lang w:val="en-US"/>
        </w:rPr>
        <w:t>, 11, 12, 13, 21, 22</w:t>
      </w:r>
    </w:p>
    <w:p w14:paraId="0579B923" w14:textId="77777777" w:rsidR="00B60301" w:rsidRPr="00F07B1C" w:rsidRDefault="0041303D">
      <w:pPr>
        <w:pStyle w:val="Body"/>
        <w:widowControl w:val="0"/>
        <w:spacing w:after="240"/>
        <w:ind w:left="567" w:hanging="567"/>
        <w:jc w:val="left"/>
        <w:rPr>
          <w:b/>
          <w:bCs/>
        </w:rPr>
      </w:pPr>
      <w:r w:rsidRPr="00F07B1C">
        <w:rPr>
          <w:b/>
          <w:bCs/>
          <w:lang w:val="en-US"/>
        </w:rPr>
        <w:t>Competition policy in the digital age</w:t>
      </w:r>
    </w:p>
    <w:p w14:paraId="29C037AD" w14:textId="5DA24D73" w:rsidR="00B60301" w:rsidRPr="00F07B1C" w:rsidRDefault="0041303D">
      <w:pPr>
        <w:pStyle w:val="Body"/>
        <w:widowControl w:val="0"/>
        <w:spacing w:after="240"/>
        <w:ind w:left="567" w:hanging="567"/>
        <w:jc w:val="left"/>
        <w:rPr>
          <w:b/>
          <w:bCs/>
          <w:i/>
          <w:iCs/>
        </w:rPr>
      </w:pPr>
      <w:proofErr w:type="gramStart"/>
      <w:r w:rsidRPr="00F07B1C">
        <w:rPr>
          <w:lang w:val="en-US"/>
        </w:rPr>
        <w:t>16.</w:t>
      </w:r>
      <w:r w:rsidRPr="00F07B1C">
        <w:rPr>
          <w:lang w:val="en-US"/>
        </w:rPr>
        <w:tab/>
        <w:t xml:space="preserve">Welcomes the creation of </w:t>
      </w:r>
      <w:r w:rsidRPr="00F07B1C">
        <w:rPr>
          <w:strike/>
        </w:rPr>
        <w:t>a</w:t>
      </w:r>
      <w:r w:rsidRPr="00F07B1C">
        <w:rPr>
          <w:lang w:val="en-US"/>
        </w:rPr>
        <w:t xml:space="preserve"> new Commission directorate</w:t>
      </w:r>
      <w:r w:rsidRPr="00F07B1C">
        <w:rPr>
          <w:b/>
          <w:bCs/>
          <w:i/>
          <w:iCs/>
        </w:rPr>
        <w:t>s</w:t>
      </w:r>
      <w:r w:rsidRPr="00F07B1C">
        <w:rPr>
          <w:lang w:val="en-US"/>
        </w:rPr>
        <w:t xml:space="preserve"> for the enforcement of the DMA; </w:t>
      </w:r>
      <w:r w:rsidRPr="00F07B1C">
        <w:rPr>
          <w:b/>
          <w:bCs/>
          <w:i/>
          <w:iCs/>
          <w:lang w:val="en-US"/>
        </w:rPr>
        <w:t>highlights the difference by nature between the ex-post enforcement of antitrust rules and the ex-ante enforcement of the DMA; in this respect stresses the importance of keeping the resources for these two instruments within the Commission apart, although coordination between them is essential</w:t>
      </w:r>
      <w:r w:rsidRPr="00F07B1C">
        <w:t xml:space="preserve">;  </w:t>
      </w:r>
      <w:r w:rsidR="00865B09" w:rsidRPr="00F07B1C">
        <w:rPr>
          <w:lang w:val="en-US"/>
        </w:rPr>
        <w:t xml:space="preserve">calls on </w:t>
      </w:r>
      <w:r w:rsidRPr="00F07B1C">
        <w:rPr>
          <w:lang w:val="en-US"/>
        </w:rPr>
        <w:t xml:space="preserve">the Member States to make available additional financial resources to enable more </w:t>
      </w:r>
      <w:proofErr w:type="spellStart"/>
      <w:r w:rsidRPr="00F07B1C">
        <w:rPr>
          <w:b/>
          <w:bCs/>
          <w:i/>
          <w:iCs/>
          <w:lang w:val="en-US"/>
        </w:rPr>
        <w:t>behavioural</w:t>
      </w:r>
      <w:proofErr w:type="spellEnd"/>
      <w:r w:rsidRPr="00F07B1C">
        <w:rPr>
          <w:b/>
          <w:bCs/>
          <w:i/>
          <w:iCs/>
          <w:lang w:val="en-US"/>
        </w:rPr>
        <w:t xml:space="preserve"> economists, algorithms specialist</w:t>
      </w:r>
      <w:r w:rsidR="009013B9" w:rsidRPr="00F07B1C">
        <w:rPr>
          <w:b/>
          <w:bCs/>
          <w:i/>
          <w:iCs/>
          <w:lang w:val="en-US"/>
        </w:rPr>
        <w:t>s</w:t>
      </w:r>
      <w:r w:rsidRPr="00F07B1C">
        <w:rPr>
          <w:b/>
          <w:bCs/>
          <w:i/>
          <w:iCs/>
          <w:lang w:val="en-US"/>
        </w:rPr>
        <w:t>,</w:t>
      </w:r>
      <w:r w:rsidRPr="00F07B1C">
        <w:rPr>
          <w:lang w:val="en-US"/>
        </w:rPr>
        <w:t xml:space="preserve"> data-science and technology staff to be hired for the Commission</w:t>
      </w:r>
      <w:r w:rsidRPr="00F07B1C">
        <w:rPr>
          <w:b/>
          <w:i/>
          <w:lang w:val="en-US"/>
        </w:rPr>
        <w:t xml:space="preserve">; </w:t>
      </w:r>
      <w:r w:rsidR="00BA5E65" w:rsidRPr="00F07B1C">
        <w:rPr>
          <w:b/>
          <w:i/>
          <w:lang w:val="en-US"/>
        </w:rPr>
        <w:t>asks the Member States, furthermore, to second additional staff and national experts to the Commission for this task [IMCO 8];</w:t>
      </w:r>
      <w:r w:rsidR="00BA5E65" w:rsidRPr="00F07B1C">
        <w:rPr>
          <w:lang w:val="en-US"/>
        </w:rPr>
        <w:t xml:space="preserve"> </w:t>
      </w:r>
      <w:r w:rsidRPr="00F07B1C">
        <w:rPr>
          <w:b/>
          <w:bCs/>
          <w:i/>
          <w:iCs/>
          <w:lang w:val="en-US"/>
        </w:rPr>
        <w:t>urges the Commission to allocate higher budget for the proper implementation and enforcement of this Regulation; welcomes a strong cooperation with the national competition authorities ("NCAs") on the DMA's enforcement; (Schwab 202; Yon-</w:t>
      </w:r>
      <w:proofErr w:type="spellStart"/>
      <w:r w:rsidRPr="00F07B1C">
        <w:rPr>
          <w:b/>
          <w:bCs/>
          <w:i/>
          <w:iCs/>
          <w:lang w:val="en-US"/>
        </w:rPr>
        <w:t>Courtin</w:t>
      </w:r>
      <w:proofErr w:type="spellEnd"/>
      <w:r w:rsidRPr="00F07B1C">
        <w:rPr>
          <w:b/>
          <w:bCs/>
          <w:i/>
          <w:iCs/>
          <w:lang w:val="en-US"/>
        </w:rPr>
        <w:t xml:space="preserve"> et al 203; Tang, </w:t>
      </w:r>
      <w:proofErr w:type="spellStart"/>
      <w:r w:rsidRPr="00F07B1C">
        <w:rPr>
          <w:b/>
          <w:bCs/>
          <w:i/>
          <w:iCs/>
          <w:lang w:val="en-US"/>
        </w:rPr>
        <w:t>Repasi</w:t>
      </w:r>
      <w:proofErr w:type="spellEnd"/>
      <w:r w:rsidRPr="00F07B1C">
        <w:rPr>
          <w:b/>
          <w:bCs/>
          <w:i/>
          <w:iCs/>
          <w:lang w:val="en-US"/>
        </w:rPr>
        <w:t xml:space="preserve"> 220)</w:t>
      </w:r>
      <w:proofErr w:type="gramEnd"/>
    </w:p>
    <w:p w14:paraId="4E24B805" w14:textId="3682112A" w:rsidR="00B60301" w:rsidRPr="00F07B1C" w:rsidRDefault="0041303D">
      <w:pPr>
        <w:pStyle w:val="Body"/>
        <w:widowControl w:val="0"/>
        <w:spacing w:after="240"/>
        <w:ind w:left="567" w:hanging="567"/>
        <w:jc w:val="left"/>
        <w:rPr>
          <w:b/>
          <w:bCs/>
          <w:i/>
          <w:iCs/>
        </w:rPr>
      </w:pPr>
      <w:proofErr w:type="gramStart"/>
      <w:r w:rsidRPr="00F07B1C">
        <w:rPr>
          <w:b/>
          <w:bCs/>
          <w:i/>
          <w:iCs/>
          <w:lang w:val="en-US"/>
        </w:rPr>
        <w:t xml:space="preserve">16a. </w:t>
      </w:r>
      <w:r w:rsidRPr="00F07B1C">
        <w:rPr>
          <w:b/>
          <w:bCs/>
          <w:i/>
          <w:iCs/>
          <w:lang w:val="en-US"/>
        </w:rPr>
        <w:tab/>
        <w:t>Highlights that the global market for app stores is dominated by two providers, each of which effectively operates as the sole gatekeeper for their customers; notes that app stores can use their position as gatekeepers to impose unfair and anticompetitive conditions on their business users; calls on the Commission to ensure swift and effective enforcement against anti-competitive practices of gatekeeping app stores, in the context of open antitrust cases and of the application of the DMA; (Yon-</w:t>
      </w:r>
      <w:proofErr w:type="spellStart"/>
      <w:r w:rsidRPr="00F07B1C">
        <w:rPr>
          <w:b/>
          <w:bCs/>
          <w:i/>
          <w:iCs/>
          <w:lang w:val="en-US"/>
        </w:rPr>
        <w:t>Courtin</w:t>
      </w:r>
      <w:proofErr w:type="spellEnd"/>
      <w:r w:rsidRPr="00F07B1C">
        <w:rPr>
          <w:b/>
          <w:bCs/>
          <w:i/>
          <w:iCs/>
          <w:lang w:val="en-US"/>
        </w:rPr>
        <w:t xml:space="preserve"> et al, 206)</w:t>
      </w:r>
      <w:r w:rsidRPr="00F07B1C">
        <w:rPr>
          <w:b/>
          <w:bCs/>
          <w:i/>
          <w:iCs/>
        </w:rPr>
        <w:t xml:space="preserve"> </w:t>
      </w:r>
      <w:proofErr w:type="spellStart"/>
      <w:r w:rsidRPr="00F07B1C">
        <w:rPr>
          <w:b/>
          <w:bCs/>
          <w:i/>
          <w:iCs/>
          <w:color w:val="auto"/>
          <w:u w:color="FF0000"/>
          <w:lang w:val="en-US"/>
        </w:rPr>
        <w:t>emphasises</w:t>
      </w:r>
      <w:proofErr w:type="spellEnd"/>
      <w:r w:rsidRPr="00F07B1C">
        <w:rPr>
          <w:b/>
          <w:bCs/>
          <w:i/>
          <w:iCs/>
          <w:color w:val="auto"/>
          <w:u w:color="FF0000"/>
          <w:lang w:val="en-US"/>
        </w:rPr>
        <w:t xml:space="preserve"> that the DMA offers an opportunity to overcome the difficulties encountered with those antitrust cases -which served as basis for Articles 5 and 6 of the DMA- where, despite strong decisions by the Commission, they still have not led to effective remedies (Schwab 208)</w:t>
      </w:r>
      <w:r w:rsidR="00A755F5" w:rsidRPr="00F07B1C">
        <w:rPr>
          <w:b/>
          <w:bCs/>
          <w:i/>
          <w:iCs/>
          <w:color w:val="auto"/>
          <w:u w:color="FF0000"/>
          <w:lang w:val="en-US"/>
        </w:rPr>
        <w:t>;</w:t>
      </w:r>
      <w:proofErr w:type="gramEnd"/>
      <w:r w:rsidR="00A755F5" w:rsidRPr="00F07B1C">
        <w:rPr>
          <w:b/>
          <w:bCs/>
          <w:i/>
          <w:iCs/>
          <w:color w:val="auto"/>
          <w:u w:color="FF0000"/>
          <w:lang w:val="en-US"/>
        </w:rPr>
        <w:t xml:space="preserve"> </w:t>
      </w:r>
    </w:p>
    <w:p w14:paraId="71B47F4A" w14:textId="4CE01F29" w:rsidR="00B60301" w:rsidRPr="00F07B1C" w:rsidRDefault="0041303D">
      <w:pPr>
        <w:pStyle w:val="Body"/>
        <w:widowControl w:val="0"/>
        <w:spacing w:after="240"/>
        <w:ind w:left="567" w:hanging="567"/>
        <w:jc w:val="left"/>
        <w:rPr>
          <w:b/>
          <w:bCs/>
        </w:rPr>
      </w:pPr>
      <w:r w:rsidRPr="00F07B1C">
        <w:rPr>
          <w:b/>
          <w:bCs/>
          <w:lang w:val="en-US"/>
        </w:rPr>
        <w:t>COMP R, covering amendments AM 208-</w:t>
      </w:r>
      <w:r w:rsidR="005857D0" w:rsidRPr="00F07B1C">
        <w:rPr>
          <w:b/>
          <w:bCs/>
          <w:lang w:val="en-US"/>
        </w:rPr>
        <w:t>215, 217-219, 221-</w:t>
      </w:r>
      <w:r w:rsidRPr="00F07B1C">
        <w:rPr>
          <w:b/>
          <w:bCs/>
          <w:lang w:val="en-US"/>
        </w:rPr>
        <w:t>224</w:t>
      </w:r>
    </w:p>
    <w:p w14:paraId="3484342B" w14:textId="667F9B94" w:rsidR="00B60301" w:rsidRPr="00F07B1C" w:rsidRDefault="0041303D">
      <w:pPr>
        <w:pStyle w:val="Body"/>
        <w:widowControl w:val="0"/>
        <w:spacing w:after="240"/>
        <w:ind w:left="567" w:hanging="567"/>
        <w:jc w:val="left"/>
        <w:rPr>
          <w:b/>
          <w:bCs/>
          <w:i/>
          <w:iCs/>
        </w:rPr>
      </w:pPr>
      <w:proofErr w:type="gramStart"/>
      <w:r w:rsidRPr="00F07B1C">
        <w:rPr>
          <w:lang w:val="en-US"/>
        </w:rPr>
        <w:t>17.</w:t>
      </w:r>
      <w:r w:rsidRPr="00F07B1C">
        <w:rPr>
          <w:lang w:val="en-US"/>
        </w:rPr>
        <w:tab/>
        <w:t xml:space="preserve">Stresses that competition law remains relevant to digital markets despite the entry into force of the DMA </w:t>
      </w:r>
      <w:r w:rsidRPr="00F07B1C">
        <w:rPr>
          <w:b/>
          <w:bCs/>
          <w:i/>
          <w:iCs/>
          <w:lang w:val="en-US"/>
        </w:rPr>
        <w:t>particularly in antitrust procedures against gatekeepers, which should be sped up (Fernandez 211)</w:t>
      </w:r>
      <w:r w:rsidRPr="00F07B1C">
        <w:rPr>
          <w:lang w:val="en-US"/>
        </w:rPr>
        <w:t xml:space="preserve">; considers that violations of privacy rights can constitute abusive practices; </w:t>
      </w:r>
      <w:r w:rsidRPr="00F07B1C">
        <w:rPr>
          <w:b/>
          <w:bCs/>
          <w:i/>
          <w:iCs/>
          <w:lang w:val="en-US"/>
        </w:rPr>
        <w:t xml:space="preserve">recalls that some undertakings likely to be designated as gatekeepers have been subject to previous antitrust rulings, which have not led to effective </w:t>
      </w:r>
      <w:proofErr w:type="spellStart"/>
      <w:r w:rsidRPr="00F07B1C">
        <w:rPr>
          <w:b/>
          <w:bCs/>
          <w:i/>
          <w:iCs/>
          <w:lang w:val="en-US"/>
        </w:rPr>
        <w:t>behavioural</w:t>
      </w:r>
      <w:proofErr w:type="spellEnd"/>
      <w:r w:rsidRPr="00F07B1C">
        <w:rPr>
          <w:b/>
          <w:bCs/>
          <w:i/>
          <w:iCs/>
          <w:lang w:val="en-US"/>
        </w:rPr>
        <w:t xml:space="preserve"> changes</w:t>
      </w:r>
      <w:r w:rsidR="00317240" w:rsidRPr="00F07B1C">
        <w:rPr>
          <w:b/>
          <w:bCs/>
          <w:i/>
          <w:iCs/>
          <w:lang w:val="en-US"/>
        </w:rPr>
        <w:t xml:space="preserve"> recalls that some undertakings likely to be designated as gatekeepers have been subject to previous antitrust rulings which have not led to effective </w:t>
      </w:r>
      <w:proofErr w:type="spellStart"/>
      <w:r w:rsidR="00317240" w:rsidRPr="00F07B1C">
        <w:rPr>
          <w:b/>
          <w:bCs/>
          <w:i/>
          <w:iCs/>
          <w:lang w:val="en-US"/>
        </w:rPr>
        <w:t>behavioural</w:t>
      </w:r>
      <w:proofErr w:type="spellEnd"/>
      <w:r w:rsidR="00317240" w:rsidRPr="00F07B1C">
        <w:rPr>
          <w:b/>
          <w:bCs/>
          <w:i/>
          <w:iCs/>
          <w:lang w:val="en-US"/>
        </w:rPr>
        <w:t xml:space="preserve"> changes, especially regarding self-</w:t>
      </w:r>
      <w:proofErr w:type="spellStart"/>
      <w:r w:rsidR="00317240" w:rsidRPr="00F07B1C">
        <w:rPr>
          <w:b/>
          <w:bCs/>
          <w:i/>
          <w:iCs/>
          <w:lang w:val="en-US"/>
        </w:rPr>
        <w:t>preferencing</w:t>
      </w:r>
      <w:proofErr w:type="spellEnd"/>
      <w:r w:rsidR="00317240" w:rsidRPr="00F07B1C">
        <w:rPr>
          <w:b/>
          <w:bCs/>
          <w:i/>
          <w:iCs/>
          <w:lang w:val="en-US"/>
        </w:rPr>
        <w:t xml:space="preserve">, and should be </w:t>
      </w:r>
      <w:r w:rsidR="00317240" w:rsidRPr="00F07B1C">
        <w:rPr>
          <w:b/>
          <w:bCs/>
          <w:i/>
          <w:iCs/>
          <w:lang w:val="en-US"/>
        </w:rPr>
        <w:lastRenderedPageBreak/>
        <w:t>taken into account when enforcing the DMA</w:t>
      </w:r>
      <w:r w:rsidRPr="00F07B1C">
        <w:rPr>
          <w:b/>
          <w:bCs/>
          <w:i/>
          <w:iCs/>
          <w:lang w:val="en-US"/>
        </w:rPr>
        <w:t xml:space="preserve">; </w:t>
      </w:r>
      <w:r w:rsidRPr="00F07B1C">
        <w:rPr>
          <w:b/>
          <w:bCs/>
          <w:i/>
          <w:iCs/>
        </w:rPr>
        <w:t>(Yon-</w:t>
      </w:r>
      <w:proofErr w:type="spellStart"/>
      <w:r w:rsidRPr="00F07B1C">
        <w:rPr>
          <w:b/>
          <w:bCs/>
          <w:i/>
          <w:iCs/>
        </w:rPr>
        <w:t>Courtin</w:t>
      </w:r>
      <w:proofErr w:type="spellEnd"/>
      <w:r w:rsidRPr="00F07B1C">
        <w:rPr>
          <w:b/>
          <w:bCs/>
          <w:i/>
          <w:iCs/>
        </w:rPr>
        <w:t xml:space="preserve"> et al 209)</w:t>
      </w:r>
      <w:proofErr w:type="gramEnd"/>
    </w:p>
    <w:p w14:paraId="4ED219E1" w14:textId="48806A3C" w:rsidR="00B60301" w:rsidRPr="00F07B1C" w:rsidRDefault="0041303D">
      <w:pPr>
        <w:pStyle w:val="Body"/>
        <w:widowControl w:val="0"/>
        <w:spacing w:after="240"/>
        <w:ind w:left="567" w:hanging="567"/>
        <w:jc w:val="left"/>
        <w:rPr>
          <w:b/>
          <w:bCs/>
          <w:i/>
          <w:iCs/>
        </w:rPr>
      </w:pPr>
      <w:proofErr w:type="gramStart"/>
      <w:r w:rsidRPr="00F07B1C">
        <w:rPr>
          <w:b/>
          <w:bCs/>
          <w:i/>
          <w:iCs/>
          <w:lang w:val="en-US"/>
        </w:rPr>
        <w:t xml:space="preserve">17a. </w:t>
      </w:r>
      <w:r w:rsidRPr="00F07B1C">
        <w:rPr>
          <w:b/>
          <w:bCs/>
          <w:i/>
          <w:iCs/>
          <w:lang w:val="en-US"/>
        </w:rPr>
        <w:tab/>
        <w:t xml:space="preserve">Calls on the Commission to build on existing initiatives to increase collaboration between antitrust and data privacy regulators to both control corporate data misuse and prevent companies from using consumer data to gain an unfair competitive advantage; calls upon the Commission to introduce personal data and its potential value as an obligatory criterion in the evaluation of merger and acquisition approvals in the digital </w:t>
      </w:r>
      <w:proofErr w:type="spellStart"/>
      <w:r w:rsidRPr="00F07B1C">
        <w:rPr>
          <w:b/>
          <w:bCs/>
          <w:i/>
          <w:iCs/>
          <w:lang w:val="en-US"/>
        </w:rPr>
        <w:t>sectorand</w:t>
      </w:r>
      <w:proofErr w:type="spellEnd"/>
      <w:r w:rsidRPr="00F07B1C">
        <w:rPr>
          <w:b/>
          <w:bCs/>
          <w:i/>
          <w:iCs/>
          <w:lang w:val="en-US"/>
        </w:rPr>
        <w:t xml:space="preserve"> where relevant look at acquisitions below the EC Merger Regulation's thresholds in line with Article 14 of the DMA; further stresses that data consolidation through mergers and acquisitions can strengthen a dominant position</w:t>
      </w:r>
      <w:r w:rsidRPr="00F07B1C">
        <w:t>;</w:t>
      </w:r>
      <w:r w:rsidRPr="00F07B1C">
        <w:rPr>
          <w:b/>
          <w:bCs/>
          <w:i/>
          <w:iCs/>
        </w:rPr>
        <w:t xml:space="preserve"> (Yon-</w:t>
      </w:r>
      <w:proofErr w:type="spellStart"/>
      <w:r w:rsidRPr="00F07B1C">
        <w:rPr>
          <w:b/>
          <w:bCs/>
          <w:i/>
          <w:iCs/>
        </w:rPr>
        <w:t>Courtin</w:t>
      </w:r>
      <w:proofErr w:type="spellEnd"/>
      <w:r w:rsidRPr="00F07B1C">
        <w:rPr>
          <w:b/>
          <w:bCs/>
          <w:i/>
          <w:iCs/>
        </w:rPr>
        <w:t xml:space="preserve"> et al 218; Tang 221; Tang 224)</w:t>
      </w:r>
      <w:proofErr w:type="gramEnd"/>
    </w:p>
    <w:p w14:paraId="6D37B8C8" w14:textId="522B37A5" w:rsidR="00B60301" w:rsidRPr="00F07B1C" w:rsidRDefault="0041303D">
      <w:pPr>
        <w:pStyle w:val="Body"/>
        <w:widowControl w:val="0"/>
        <w:spacing w:after="240"/>
        <w:ind w:left="567" w:hanging="567"/>
        <w:jc w:val="left"/>
        <w:rPr>
          <w:b/>
          <w:bCs/>
          <w:i/>
          <w:iCs/>
        </w:rPr>
      </w:pPr>
      <w:r w:rsidRPr="00F07B1C">
        <w:rPr>
          <w:b/>
          <w:bCs/>
          <w:i/>
          <w:iCs/>
          <w:lang w:val="en-US"/>
        </w:rPr>
        <w:t xml:space="preserve">17b. </w:t>
      </w:r>
      <w:r w:rsidRPr="00F07B1C">
        <w:rPr>
          <w:b/>
          <w:bCs/>
          <w:i/>
          <w:iCs/>
          <w:lang w:val="en-US"/>
        </w:rPr>
        <w:tab/>
        <w:t>Notes with concern that gatekeepers that develop a data advantage over rivals can achieve critical economies of scale, which contribute to the further tilting of competitive balances in digital markets and stifle innovation; (Tang 222)</w:t>
      </w:r>
      <w:r w:rsidR="00FF16AB" w:rsidRPr="00F07B1C">
        <w:rPr>
          <w:b/>
          <w:bCs/>
          <w:i/>
          <w:iCs/>
          <w:lang w:val="en-US"/>
        </w:rPr>
        <w:t xml:space="preserve"> expects the DMA to address these situations;</w:t>
      </w:r>
    </w:p>
    <w:p w14:paraId="0DB8CE04" w14:textId="4E763534" w:rsidR="00B60301" w:rsidRPr="00F07B1C" w:rsidRDefault="0041303D">
      <w:pPr>
        <w:pStyle w:val="Body"/>
        <w:widowControl w:val="0"/>
        <w:spacing w:after="240"/>
        <w:ind w:left="567" w:hanging="567"/>
        <w:jc w:val="left"/>
        <w:rPr>
          <w:b/>
          <w:bCs/>
        </w:rPr>
      </w:pPr>
      <w:r w:rsidRPr="00F07B1C">
        <w:rPr>
          <w:b/>
          <w:bCs/>
        </w:rPr>
        <w:t>COMP S</w:t>
      </w:r>
      <w:r w:rsidR="00A755F5" w:rsidRPr="00F07B1C">
        <w:rPr>
          <w:b/>
          <w:bCs/>
        </w:rPr>
        <w:t>, covering IMCO 10</w:t>
      </w:r>
    </w:p>
    <w:p w14:paraId="05C41E96" w14:textId="77777777" w:rsidR="00B60301" w:rsidRPr="00F07B1C" w:rsidRDefault="0041303D">
      <w:pPr>
        <w:pStyle w:val="Body"/>
        <w:widowControl w:val="0"/>
        <w:spacing w:after="240"/>
        <w:jc w:val="left"/>
        <w:rPr>
          <w:b/>
          <w:bCs/>
        </w:rPr>
      </w:pPr>
      <w:r w:rsidRPr="00F07B1C">
        <w:rPr>
          <w:b/>
          <w:bCs/>
        </w:rPr>
        <w:t>Sectoral policies</w:t>
      </w:r>
    </w:p>
    <w:p w14:paraId="4FD61DA2" w14:textId="4EA8FA41" w:rsidR="00B60301" w:rsidRPr="00F07B1C" w:rsidRDefault="0041303D">
      <w:pPr>
        <w:pStyle w:val="Body"/>
        <w:widowControl w:val="0"/>
        <w:spacing w:after="240"/>
        <w:ind w:left="567" w:hanging="567"/>
        <w:jc w:val="left"/>
      </w:pPr>
      <w:r w:rsidRPr="00F07B1C">
        <w:rPr>
          <w:lang w:val="en-US"/>
        </w:rPr>
        <w:t>18.</w:t>
      </w:r>
      <w:r w:rsidRPr="00F07B1C">
        <w:rPr>
          <w:lang w:val="en-US"/>
        </w:rPr>
        <w:tab/>
        <w:t xml:space="preserve">Welcomes the extension of the period of validity of the horizontal block exemption regulations on research and development agreements and on </w:t>
      </w:r>
      <w:proofErr w:type="spellStart"/>
      <w:r w:rsidRPr="00F07B1C">
        <w:rPr>
          <w:lang w:val="en-US"/>
        </w:rPr>
        <w:t>specialisation</w:t>
      </w:r>
      <w:proofErr w:type="spellEnd"/>
      <w:r w:rsidRPr="00F07B1C">
        <w:rPr>
          <w:lang w:val="en-US"/>
        </w:rPr>
        <w:t xml:space="preserve"> agreements;</w:t>
      </w:r>
      <w:r w:rsidR="00A755F5" w:rsidRPr="00F07B1C">
        <w:rPr>
          <w:lang w:val="en-US"/>
        </w:rPr>
        <w:t xml:space="preserve"> </w:t>
      </w:r>
      <w:r w:rsidR="00A755F5" w:rsidRPr="00F07B1C">
        <w:rPr>
          <w:b/>
          <w:i/>
        </w:rPr>
        <w:t>welcomes the revision of the Vertical Block Exemption Regulation [IMCO 10]</w:t>
      </w:r>
    </w:p>
    <w:p w14:paraId="643BB215" w14:textId="4D2CA352" w:rsidR="00B60301" w:rsidRPr="00F07B1C" w:rsidRDefault="0041303D">
      <w:pPr>
        <w:pStyle w:val="Body"/>
        <w:widowControl w:val="0"/>
        <w:spacing w:after="240"/>
        <w:ind w:left="567" w:hanging="567"/>
        <w:jc w:val="left"/>
        <w:rPr>
          <w:b/>
          <w:bCs/>
        </w:rPr>
      </w:pPr>
      <w:r w:rsidRPr="00F07B1C">
        <w:rPr>
          <w:b/>
          <w:bCs/>
          <w:lang w:val="en-US"/>
        </w:rPr>
        <w:t>COMP T, covering amendments AM 227-234</w:t>
      </w:r>
      <w:r w:rsidR="00A755F5" w:rsidRPr="00F07B1C">
        <w:rPr>
          <w:b/>
          <w:bCs/>
          <w:lang w:val="en-US"/>
        </w:rPr>
        <w:t>, IMCO 27</w:t>
      </w:r>
    </w:p>
    <w:p w14:paraId="612BAE7D" w14:textId="31EA53AC" w:rsidR="00B60301" w:rsidRPr="00F07B1C" w:rsidRDefault="0041303D">
      <w:pPr>
        <w:pStyle w:val="Body"/>
        <w:widowControl w:val="0"/>
        <w:spacing w:after="240"/>
        <w:ind w:left="567" w:hanging="567"/>
        <w:jc w:val="left"/>
      </w:pPr>
      <w:proofErr w:type="gramStart"/>
      <w:r w:rsidRPr="00F07B1C">
        <w:rPr>
          <w:lang w:val="en-US"/>
        </w:rPr>
        <w:t>19.</w:t>
      </w:r>
      <w:r w:rsidRPr="00F07B1C">
        <w:rPr>
          <w:lang w:val="en-US"/>
        </w:rPr>
        <w:tab/>
        <w:t>Welcomes the presentation by the Commission of draft guidelines for sustainability agreements; underlines the need for a broad understanding of consumer welfare, which should include not only price levels, but also sustainability considerations;</w:t>
      </w:r>
      <w:r w:rsidRPr="00F07B1C">
        <w:t xml:space="preserve">; </w:t>
      </w:r>
      <w:r w:rsidRPr="00F07B1C">
        <w:rPr>
          <w:b/>
          <w:bCs/>
          <w:i/>
          <w:iCs/>
        </w:rPr>
        <w:t>underlines in this respect that EU competition rules should encourage horizontal coordination in order to improve the environmental and social sustainability of supply chains; points out that the efficiencies generated by such agreements in a relevant market must be sufficient to outweigh any anti-competitive effects they produce in either the same or an unrelated geographical market; (</w:t>
      </w:r>
      <w:proofErr w:type="spellStart"/>
      <w:r w:rsidRPr="00F07B1C">
        <w:rPr>
          <w:b/>
          <w:bCs/>
          <w:i/>
          <w:iCs/>
        </w:rPr>
        <w:t>Gruffat</w:t>
      </w:r>
      <w:proofErr w:type="spellEnd"/>
      <w:r w:rsidRPr="00F07B1C">
        <w:rPr>
          <w:b/>
          <w:bCs/>
          <w:i/>
          <w:iCs/>
        </w:rPr>
        <w:t xml:space="preserve"> 230; </w:t>
      </w:r>
      <w:proofErr w:type="spellStart"/>
      <w:r w:rsidRPr="00F07B1C">
        <w:rPr>
          <w:b/>
          <w:bCs/>
          <w:i/>
          <w:iCs/>
        </w:rPr>
        <w:t>Repasi</w:t>
      </w:r>
      <w:proofErr w:type="spellEnd"/>
      <w:r w:rsidRPr="00F07B1C">
        <w:rPr>
          <w:b/>
          <w:bCs/>
          <w:i/>
          <w:iCs/>
        </w:rPr>
        <w:t xml:space="preserve"> et al 232)</w:t>
      </w:r>
      <w:proofErr w:type="gramEnd"/>
      <w:r w:rsidR="00A755F5" w:rsidRPr="00F07B1C">
        <w:rPr>
          <w:b/>
          <w:bCs/>
          <w:i/>
          <w:iCs/>
        </w:rPr>
        <w:t xml:space="preserve"> </w:t>
      </w:r>
    </w:p>
    <w:p w14:paraId="63D1C999" w14:textId="066306C6" w:rsidR="00B60301" w:rsidRPr="00F07B1C" w:rsidRDefault="0041303D">
      <w:pPr>
        <w:pStyle w:val="Body"/>
        <w:widowControl w:val="0"/>
        <w:spacing w:after="240"/>
        <w:ind w:left="567" w:hanging="567"/>
        <w:jc w:val="left"/>
        <w:rPr>
          <w:b/>
          <w:bCs/>
        </w:rPr>
      </w:pPr>
      <w:r w:rsidRPr="00F07B1C">
        <w:rPr>
          <w:b/>
          <w:bCs/>
          <w:lang w:val="en-US"/>
        </w:rPr>
        <w:t xml:space="preserve">COMP U, covering amendments AM 54, </w:t>
      </w:r>
      <w:r w:rsidR="00B972F7" w:rsidRPr="00F07B1C">
        <w:rPr>
          <w:b/>
          <w:bCs/>
          <w:lang w:val="en-US"/>
        </w:rPr>
        <w:t xml:space="preserve">139, </w:t>
      </w:r>
      <w:r w:rsidRPr="00F07B1C">
        <w:rPr>
          <w:b/>
          <w:bCs/>
          <w:lang w:val="en-US"/>
        </w:rPr>
        <w:t>216, 226, 235-</w:t>
      </w:r>
      <w:r w:rsidR="005857D0" w:rsidRPr="00F07B1C">
        <w:rPr>
          <w:b/>
          <w:bCs/>
          <w:lang w:val="en-US"/>
        </w:rPr>
        <w:t>240, 242-</w:t>
      </w:r>
      <w:r w:rsidRPr="00F07B1C">
        <w:rPr>
          <w:b/>
          <w:bCs/>
          <w:lang w:val="en-US"/>
        </w:rPr>
        <w:t>248, 250-251, 253, 265</w:t>
      </w:r>
      <w:r w:rsidR="00A755F5" w:rsidRPr="00F07B1C">
        <w:rPr>
          <w:b/>
          <w:bCs/>
          <w:lang w:val="en-US"/>
        </w:rPr>
        <w:t>, IMCO 14</w:t>
      </w:r>
      <w:r w:rsidRPr="00F07B1C">
        <w:rPr>
          <w:b/>
          <w:bCs/>
          <w:lang w:val="en-US"/>
        </w:rPr>
        <w:br/>
      </w:r>
    </w:p>
    <w:p w14:paraId="022FEAC5" w14:textId="6958B19A" w:rsidR="00B60301" w:rsidRPr="00F07B1C" w:rsidRDefault="0041303D">
      <w:pPr>
        <w:pStyle w:val="Body"/>
        <w:widowControl w:val="0"/>
        <w:spacing w:after="240"/>
        <w:ind w:left="567" w:hanging="567"/>
        <w:jc w:val="left"/>
      </w:pPr>
      <w:proofErr w:type="gramStart"/>
      <w:r w:rsidRPr="00F07B1C">
        <w:t>20.</w:t>
      </w:r>
      <w:r w:rsidRPr="00F07B1C">
        <w:tab/>
      </w:r>
      <w:r w:rsidRPr="00F07B1C">
        <w:rPr>
          <w:b/>
          <w:bCs/>
          <w:i/>
          <w:iCs/>
          <w:lang w:val="en-US"/>
        </w:rPr>
        <w:t>Stresses that competition policy aims to encourage job creation, sustainable growth</w:t>
      </w:r>
      <w:r w:rsidR="00865B09" w:rsidRPr="00F07B1C">
        <w:rPr>
          <w:b/>
          <w:bCs/>
          <w:i/>
          <w:iCs/>
          <w:lang w:val="en-US"/>
        </w:rPr>
        <w:t xml:space="preserve"> as pursued by the Green Deal</w:t>
      </w:r>
      <w:r w:rsidRPr="00F07B1C">
        <w:rPr>
          <w:b/>
          <w:bCs/>
          <w:i/>
          <w:iCs/>
          <w:lang w:val="en-US"/>
        </w:rPr>
        <w:t>, innovation, consumer welfare and the integrity of the internal market</w:t>
      </w:r>
      <w:r w:rsidRPr="00F07B1C">
        <w:rPr>
          <w:b/>
          <w:bCs/>
          <w:i/>
          <w:iCs/>
        </w:rPr>
        <w:t>; is</w:t>
      </w:r>
      <w:r w:rsidRPr="00F07B1C">
        <w:rPr>
          <w:lang w:val="en-US"/>
        </w:rPr>
        <w:t xml:space="preserve"> of the opinion that sustainability is not only pursued by derogations from competition law provisions, but also by the application of competition law provisions in order to promote sustainability; calls for the presentation of draft guidelines on abusive practices, in particular with regard to achieving sustainability goals;</w:t>
      </w:r>
      <w:proofErr w:type="gramEnd"/>
    </w:p>
    <w:p w14:paraId="034E4889" w14:textId="106B6520" w:rsidR="00B60301" w:rsidRPr="00F07B1C" w:rsidRDefault="0041303D">
      <w:pPr>
        <w:pStyle w:val="Body"/>
        <w:widowControl w:val="0"/>
        <w:spacing w:after="240"/>
        <w:ind w:left="567" w:hanging="567"/>
        <w:jc w:val="left"/>
        <w:rPr>
          <w:b/>
          <w:bCs/>
          <w:i/>
          <w:iCs/>
        </w:rPr>
      </w:pPr>
      <w:r w:rsidRPr="00F07B1C">
        <w:rPr>
          <w:b/>
          <w:bCs/>
          <w:i/>
          <w:iCs/>
        </w:rPr>
        <w:t>20a.</w:t>
      </w:r>
      <w:r w:rsidRPr="00F07B1C">
        <w:rPr>
          <w:b/>
          <w:bCs/>
          <w:i/>
          <w:iCs/>
        </w:rPr>
        <w:tab/>
      </w:r>
      <w:r w:rsidRPr="00F07B1C">
        <w:rPr>
          <w:b/>
          <w:bCs/>
          <w:i/>
          <w:iCs/>
          <w:lang w:val="en-US"/>
        </w:rPr>
        <w:t>Notes that banks remain an important beneficiary of state aid; urges the Commission to revise its long overdue 2013 Banking Communication,</w:t>
      </w:r>
      <w:r w:rsidRPr="00F07B1C">
        <w:rPr>
          <w:b/>
          <w:bCs/>
          <w:i/>
          <w:iCs/>
        </w:rPr>
        <w:t xml:space="preserve">; </w:t>
      </w:r>
    </w:p>
    <w:p w14:paraId="6D414F64" w14:textId="14EF272D" w:rsidR="00B60301" w:rsidRPr="00F07B1C" w:rsidRDefault="0041303D">
      <w:pPr>
        <w:pStyle w:val="Body"/>
        <w:widowControl w:val="0"/>
        <w:spacing w:after="240"/>
        <w:ind w:left="567" w:hanging="567"/>
        <w:jc w:val="left"/>
        <w:rPr>
          <w:b/>
          <w:bCs/>
          <w:i/>
          <w:iCs/>
        </w:rPr>
      </w:pPr>
      <w:proofErr w:type="gramStart"/>
      <w:r w:rsidRPr="00F07B1C">
        <w:rPr>
          <w:b/>
          <w:bCs/>
          <w:i/>
          <w:iCs/>
          <w:lang w:val="en-US"/>
        </w:rPr>
        <w:lastRenderedPageBreak/>
        <w:t xml:space="preserve">20b. </w:t>
      </w:r>
      <w:r w:rsidRPr="00F07B1C">
        <w:rPr>
          <w:b/>
          <w:bCs/>
          <w:i/>
          <w:iCs/>
          <w:lang w:val="en-US"/>
        </w:rPr>
        <w:tab/>
        <w:t>Is of the opinion that the economic sustainability of telecom networks is essential to achieve the 2030 Digital Compass connectivity targets and</w:t>
      </w:r>
      <w:r w:rsidRPr="00F07B1C">
        <w:t xml:space="preserve"> </w:t>
      </w:r>
      <w:r w:rsidRPr="00F07B1C">
        <w:rPr>
          <w:b/>
          <w:bCs/>
          <w:i/>
          <w:iCs/>
          <w:lang w:val="en-US"/>
        </w:rPr>
        <w:t xml:space="preserve">high performance connectivity for all citizens within the EU without </w:t>
      </w:r>
      <w:proofErr w:type="spellStart"/>
      <w:r w:rsidRPr="00F07B1C">
        <w:rPr>
          <w:b/>
          <w:bCs/>
          <w:i/>
          <w:iCs/>
          <w:lang w:val="en-US"/>
        </w:rPr>
        <w:t>jeopardising</w:t>
      </w:r>
      <w:proofErr w:type="spellEnd"/>
      <w:r w:rsidRPr="00F07B1C">
        <w:rPr>
          <w:b/>
          <w:bCs/>
          <w:i/>
          <w:iCs/>
          <w:lang w:val="en-US"/>
        </w:rPr>
        <w:t xml:space="preserve"> competition rules; urges the Commission to address and mitigate persistent asymmetries in bargaining power as set out by the European Declaration on Digital Rights and Principles for the Digital Decade; calls for the establishment of a policy framework where large traffic generators fairly contribute to the adequate funding of telecom networks; (Schwab 54, 243; </w:t>
      </w:r>
      <w:proofErr w:type="spellStart"/>
      <w:r w:rsidRPr="00F07B1C">
        <w:rPr>
          <w:b/>
          <w:bCs/>
          <w:i/>
          <w:iCs/>
          <w:lang w:val="en-US"/>
        </w:rPr>
        <w:t>Sant</w:t>
      </w:r>
      <w:proofErr w:type="spellEnd"/>
      <w:r w:rsidRPr="00F07B1C">
        <w:rPr>
          <w:b/>
          <w:bCs/>
          <w:i/>
          <w:iCs/>
          <w:lang w:val="en-US"/>
        </w:rPr>
        <w:t xml:space="preserve"> 216; Yon-</w:t>
      </w:r>
      <w:proofErr w:type="spellStart"/>
      <w:r w:rsidRPr="00F07B1C">
        <w:rPr>
          <w:b/>
          <w:bCs/>
          <w:i/>
          <w:iCs/>
          <w:lang w:val="en-US"/>
        </w:rPr>
        <w:t>Courtin</w:t>
      </w:r>
      <w:proofErr w:type="spellEnd"/>
      <w:r w:rsidRPr="00F07B1C">
        <w:rPr>
          <w:b/>
          <w:bCs/>
          <w:i/>
          <w:iCs/>
          <w:lang w:val="en-US"/>
        </w:rPr>
        <w:t xml:space="preserve"> 226; Fernandez 242) </w:t>
      </w:r>
      <w:r w:rsidRPr="00F07B1C">
        <w:rPr>
          <w:b/>
          <w:bCs/>
          <w:i/>
          <w:iCs/>
          <w:lang w:val="en-US"/>
        </w:rPr>
        <w:br/>
      </w:r>
      <w:proofErr w:type="gramEnd"/>
    </w:p>
    <w:p w14:paraId="7D8F92D3" w14:textId="6D7D205A" w:rsidR="00B60301" w:rsidRPr="00F07B1C" w:rsidRDefault="0041303D">
      <w:pPr>
        <w:pStyle w:val="Body"/>
        <w:widowControl w:val="0"/>
        <w:spacing w:after="240"/>
        <w:ind w:left="567" w:hanging="567"/>
        <w:jc w:val="left"/>
        <w:rPr>
          <w:b/>
          <w:bCs/>
          <w:i/>
          <w:iCs/>
        </w:rPr>
      </w:pPr>
      <w:r w:rsidRPr="00F07B1C">
        <w:rPr>
          <w:b/>
          <w:bCs/>
          <w:i/>
          <w:iCs/>
        </w:rPr>
        <w:t>20c</w:t>
      </w:r>
      <w:r w:rsidRPr="00F07B1C">
        <w:rPr>
          <w:b/>
          <w:bCs/>
          <w:i/>
          <w:iCs/>
          <w:lang w:val="en-US"/>
        </w:rPr>
        <w:t>.</w:t>
      </w:r>
      <w:r w:rsidRPr="00F07B1C">
        <w:rPr>
          <w:b/>
          <w:bCs/>
          <w:i/>
          <w:iCs/>
          <w:lang w:val="en-US"/>
        </w:rPr>
        <w:tab/>
        <w:t xml:space="preserve">Believes that the time required for the IPCEI process must be reduced significantly through a six </w:t>
      </w:r>
      <w:proofErr w:type="spellStart"/>
      <w:r w:rsidRPr="00F07B1C">
        <w:rPr>
          <w:b/>
          <w:bCs/>
          <w:i/>
          <w:iCs/>
          <w:lang w:val="en-US"/>
        </w:rPr>
        <w:t>months time</w:t>
      </w:r>
      <w:proofErr w:type="spellEnd"/>
      <w:r w:rsidRPr="00F07B1C">
        <w:rPr>
          <w:b/>
          <w:bCs/>
          <w:i/>
          <w:iCs/>
          <w:lang w:val="en-US"/>
        </w:rPr>
        <w:t xml:space="preserve"> limit </w:t>
      </w:r>
      <w:r w:rsidR="00865B09" w:rsidRPr="00F07B1C">
        <w:rPr>
          <w:b/>
          <w:i/>
          <w:szCs w:val="20"/>
        </w:rPr>
        <w:t xml:space="preserve">once an adequate proposal has been submitted  </w:t>
      </w:r>
      <w:r w:rsidRPr="00F07B1C">
        <w:rPr>
          <w:b/>
          <w:bCs/>
          <w:i/>
          <w:iCs/>
          <w:lang w:val="en-US"/>
        </w:rPr>
        <w:t>and likewise, the process allowing SMEs to participate in such projects should be made easier (</w:t>
      </w:r>
      <w:proofErr w:type="spellStart"/>
      <w:r w:rsidRPr="00F07B1C">
        <w:rPr>
          <w:b/>
          <w:bCs/>
          <w:i/>
          <w:iCs/>
          <w:lang w:val="en-US"/>
        </w:rPr>
        <w:t>Sant</w:t>
      </w:r>
      <w:proofErr w:type="spellEnd"/>
      <w:r w:rsidRPr="00F07B1C">
        <w:rPr>
          <w:b/>
          <w:bCs/>
          <w:i/>
          <w:iCs/>
          <w:lang w:val="en-US"/>
        </w:rPr>
        <w:t xml:space="preserve"> 240; Yon </w:t>
      </w:r>
      <w:proofErr w:type="spellStart"/>
      <w:r w:rsidRPr="00F07B1C">
        <w:rPr>
          <w:b/>
          <w:bCs/>
          <w:i/>
          <w:iCs/>
          <w:lang w:val="en-US"/>
        </w:rPr>
        <w:t>Courtin</w:t>
      </w:r>
      <w:proofErr w:type="spellEnd"/>
      <w:r w:rsidRPr="00F07B1C">
        <w:rPr>
          <w:b/>
          <w:bCs/>
          <w:i/>
          <w:iCs/>
          <w:lang w:val="en-US"/>
        </w:rPr>
        <w:t xml:space="preserve"> et al 265)</w:t>
      </w:r>
    </w:p>
    <w:p w14:paraId="0800A9C2" w14:textId="7B3892D8" w:rsidR="00B60301" w:rsidRPr="00F07B1C" w:rsidRDefault="0041303D">
      <w:pPr>
        <w:pStyle w:val="Body"/>
        <w:widowControl w:val="0"/>
        <w:spacing w:after="240"/>
        <w:ind w:left="567" w:hanging="567"/>
        <w:jc w:val="left"/>
        <w:rPr>
          <w:b/>
          <w:bCs/>
        </w:rPr>
      </w:pPr>
      <w:r w:rsidRPr="00F07B1C">
        <w:rPr>
          <w:b/>
          <w:bCs/>
          <w:lang w:val="en-US"/>
        </w:rPr>
        <w:t>COMP V, covering amendments AM 254-</w:t>
      </w:r>
      <w:r w:rsidR="005857D0" w:rsidRPr="00F07B1C">
        <w:rPr>
          <w:b/>
          <w:bCs/>
          <w:lang w:val="en-US"/>
        </w:rPr>
        <w:t>264, 266-</w:t>
      </w:r>
      <w:r w:rsidRPr="00F07B1C">
        <w:rPr>
          <w:b/>
          <w:bCs/>
          <w:lang w:val="en-US"/>
        </w:rPr>
        <w:t>270, 272, 274-275</w:t>
      </w:r>
    </w:p>
    <w:p w14:paraId="1C7D29C2" w14:textId="77777777" w:rsidR="00B60301" w:rsidRPr="00F07B1C" w:rsidRDefault="0041303D">
      <w:pPr>
        <w:pStyle w:val="Body"/>
        <w:widowControl w:val="0"/>
        <w:spacing w:after="240"/>
        <w:ind w:left="567" w:hanging="567"/>
        <w:jc w:val="left"/>
        <w:rPr>
          <w:b/>
          <w:bCs/>
        </w:rPr>
      </w:pPr>
      <w:r w:rsidRPr="00F07B1C">
        <w:rPr>
          <w:b/>
          <w:bCs/>
          <w:lang w:val="en-US"/>
        </w:rPr>
        <w:t>State aid fit for purpose</w:t>
      </w:r>
    </w:p>
    <w:p w14:paraId="08B7A663" w14:textId="35BEAE49" w:rsidR="00B60301" w:rsidRPr="00F07B1C" w:rsidRDefault="0041303D">
      <w:pPr>
        <w:pStyle w:val="Body"/>
        <w:widowControl w:val="0"/>
        <w:spacing w:after="240"/>
        <w:ind w:left="567" w:hanging="567"/>
        <w:jc w:val="left"/>
      </w:pPr>
      <w:proofErr w:type="gramStart"/>
      <w:r w:rsidRPr="00F07B1C">
        <w:rPr>
          <w:lang w:val="en-US"/>
        </w:rPr>
        <w:t>21.</w:t>
      </w:r>
      <w:r w:rsidRPr="00F07B1C">
        <w:rPr>
          <w:lang w:val="en-US"/>
        </w:rPr>
        <w:tab/>
        <w:t xml:space="preserve">Deplores the distortive effects of aggressive tax planning </w:t>
      </w:r>
      <w:r w:rsidRPr="00F07B1C">
        <w:rPr>
          <w:b/>
          <w:bCs/>
          <w:i/>
          <w:iCs/>
          <w:lang w:val="en-US"/>
        </w:rPr>
        <w:t>and of tax systems of certain Member States</w:t>
      </w:r>
      <w:r w:rsidRPr="00F07B1C">
        <w:t xml:space="preserve"> on fair competition</w:t>
      </w:r>
      <w:r w:rsidRPr="00F07B1C">
        <w:rPr>
          <w:b/>
          <w:bCs/>
        </w:rPr>
        <w:t xml:space="preserve">, </w:t>
      </w:r>
      <w:r w:rsidRPr="00F07B1C">
        <w:rPr>
          <w:b/>
          <w:bCs/>
          <w:i/>
          <w:iCs/>
          <w:lang w:val="en-US"/>
        </w:rPr>
        <w:t>as it may stifle innovation and jeopardize contestability of markets, especially for SMEs</w:t>
      </w:r>
      <w:r w:rsidRPr="00F07B1C">
        <w:rPr>
          <w:lang w:val="en-US"/>
        </w:rPr>
        <w:t xml:space="preserve">; calls for companies that </w:t>
      </w:r>
      <w:r w:rsidRPr="00F07B1C">
        <w:rPr>
          <w:b/>
          <w:bCs/>
          <w:i/>
          <w:iCs/>
          <w:lang w:val="en-US"/>
        </w:rPr>
        <w:t>engage in tax avoidance using</w:t>
      </w:r>
      <w:r w:rsidRPr="00F07B1C">
        <w:rPr>
          <w:lang w:val="en-US"/>
        </w:rPr>
        <w:t xml:space="preserve"> third-country tax havens to be excluded from receiving State aid </w:t>
      </w:r>
      <w:r w:rsidRPr="00F07B1C">
        <w:rPr>
          <w:b/>
          <w:bCs/>
          <w:i/>
          <w:iCs/>
          <w:lang w:val="en-US"/>
        </w:rPr>
        <w:t>and public procurement procedures</w:t>
      </w:r>
      <w:r w:rsidRPr="00F07B1C">
        <w:t xml:space="preserve">, </w:t>
      </w:r>
      <w:r w:rsidRPr="00F07B1C">
        <w:rPr>
          <w:b/>
          <w:bCs/>
          <w:i/>
          <w:iCs/>
          <w:lang w:val="en-US"/>
        </w:rPr>
        <w:t>as these companies are competing under unfair conditions with companies established in non-tax havens;</w:t>
      </w:r>
      <w:r w:rsidRPr="00F07B1C">
        <w:t xml:space="preserve"> </w:t>
      </w:r>
      <w:r w:rsidRPr="00F07B1C">
        <w:rPr>
          <w:b/>
          <w:bCs/>
          <w:i/>
          <w:iCs/>
          <w:lang w:val="en-US"/>
        </w:rPr>
        <w:t>welcomes the Commission's recommendation of 14 July 2020 in not granting financial support to companies with links to tax havens and to protect honest taxpayers at the same time; calls on the Commission to  examine the effects of</w:t>
      </w:r>
      <w:r w:rsidRPr="00F07B1C">
        <w:rPr>
          <w:b/>
          <w:bCs/>
          <w:i/>
          <w:iCs/>
        </w:rPr>
        <w:t xml:space="preserve"> tax advantages for fossil fuels; (</w:t>
      </w:r>
      <w:proofErr w:type="spellStart"/>
      <w:r w:rsidRPr="00F07B1C">
        <w:rPr>
          <w:b/>
          <w:bCs/>
          <w:i/>
          <w:iCs/>
        </w:rPr>
        <w:t>Asimakopoulou</w:t>
      </w:r>
      <w:proofErr w:type="spellEnd"/>
      <w:r w:rsidRPr="00F07B1C">
        <w:rPr>
          <w:b/>
          <w:bCs/>
          <w:i/>
          <w:iCs/>
        </w:rPr>
        <w:t xml:space="preserve"> 254; Ferber 256; </w:t>
      </w:r>
      <w:proofErr w:type="spellStart"/>
      <w:r w:rsidRPr="00F07B1C">
        <w:rPr>
          <w:b/>
          <w:bCs/>
          <w:i/>
          <w:iCs/>
        </w:rPr>
        <w:t>Repasi</w:t>
      </w:r>
      <w:proofErr w:type="spellEnd"/>
      <w:r w:rsidRPr="00F07B1C">
        <w:rPr>
          <w:b/>
          <w:bCs/>
          <w:i/>
          <w:iCs/>
        </w:rPr>
        <w:t xml:space="preserve"> et al 258, 267; </w:t>
      </w:r>
      <w:proofErr w:type="spellStart"/>
      <w:r w:rsidRPr="00F07B1C">
        <w:rPr>
          <w:b/>
          <w:bCs/>
          <w:i/>
          <w:iCs/>
        </w:rPr>
        <w:t>Gruffat</w:t>
      </w:r>
      <w:proofErr w:type="spellEnd"/>
      <w:r w:rsidRPr="00F07B1C">
        <w:rPr>
          <w:b/>
          <w:bCs/>
          <w:i/>
          <w:iCs/>
        </w:rPr>
        <w:t xml:space="preserve"> 262, 272, 274; Pereira 263; Tang 270)</w:t>
      </w:r>
      <w:proofErr w:type="gramEnd"/>
    </w:p>
    <w:p w14:paraId="0876CC34" w14:textId="77777777" w:rsidR="00B60301" w:rsidRPr="00F07B1C" w:rsidRDefault="0041303D">
      <w:pPr>
        <w:pStyle w:val="Body"/>
        <w:widowControl w:val="0"/>
        <w:spacing w:after="240"/>
        <w:ind w:left="567" w:hanging="567"/>
        <w:jc w:val="left"/>
        <w:rPr>
          <w:b/>
          <w:bCs/>
        </w:rPr>
      </w:pPr>
      <w:r w:rsidRPr="00F07B1C">
        <w:rPr>
          <w:b/>
          <w:bCs/>
          <w:lang w:val="en-US"/>
        </w:rPr>
        <w:t>COMP W, covering amendments AM 276-283</w:t>
      </w:r>
    </w:p>
    <w:p w14:paraId="5084AF1F" w14:textId="77777777" w:rsidR="00B60301" w:rsidRPr="00F07B1C" w:rsidRDefault="0041303D">
      <w:pPr>
        <w:pStyle w:val="Body"/>
        <w:widowControl w:val="0"/>
        <w:spacing w:after="240"/>
        <w:ind w:left="567" w:hanging="567"/>
        <w:jc w:val="left"/>
        <w:rPr>
          <w:b/>
          <w:bCs/>
        </w:rPr>
      </w:pPr>
      <w:r w:rsidRPr="00F07B1C">
        <w:rPr>
          <w:b/>
          <w:bCs/>
          <w:lang w:val="en-US"/>
        </w:rPr>
        <w:t>Parliamentary involvement</w:t>
      </w:r>
    </w:p>
    <w:p w14:paraId="0D3F1600" w14:textId="444C3965" w:rsidR="00B60301" w:rsidRPr="00F07B1C" w:rsidRDefault="0041303D">
      <w:pPr>
        <w:pStyle w:val="Body"/>
        <w:widowControl w:val="0"/>
        <w:spacing w:after="240"/>
        <w:ind w:left="567" w:hanging="567"/>
        <w:jc w:val="left"/>
      </w:pPr>
      <w:proofErr w:type="gramStart"/>
      <w:r w:rsidRPr="00F07B1C">
        <w:rPr>
          <w:lang w:val="en-US"/>
        </w:rPr>
        <w:t>22.</w:t>
      </w:r>
      <w:r w:rsidRPr="00F07B1C">
        <w:rPr>
          <w:lang w:val="en-US"/>
        </w:rPr>
        <w:tab/>
        <w:t xml:space="preserve">Stresses that Parliament should be adequately involved in shaping competition policy; considers that the Parliament  </w:t>
      </w:r>
      <w:r w:rsidR="00865B09" w:rsidRPr="00F07B1C">
        <w:rPr>
          <w:lang w:val="en-US"/>
        </w:rPr>
        <w:t xml:space="preserve">should </w:t>
      </w:r>
      <w:r w:rsidRPr="00F07B1C">
        <w:rPr>
          <w:lang w:val="en-US"/>
        </w:rPr>
        <w:t>make use of its right to intervene in judicial proceedings</w:t>
      </w:r>
      <w:r w:rsidRPr="00F07B1C">
        <w:t> </w:t>
      </w:r>
      <w:r w:rsidRPr="00F07B1C">
        <w:rPr>
          <w:lang w:val="en-US"/>
        </w:rPr>
        <w:t>concerning competition l</w:t>
      </w:r>
      <w:r w:rsidRPr="00F07B1C">
        <w:rPr>
          <w:color w:val="auto"/>
          <w:lang w:val="en-US"/>
        </w:rPr>
        <w:t>aw</w:t>
      </w:r>
      <w:r w:rsidRPr="00F07B1C">
        <w:rPr>
          <w:color w:val="auto"/>
        </w:rPr>
        <w:t xml:space="preserve"> </w:t>
      </w:r>
      <w:r w:rsidRPr="00F07B1C">
        <w:rPr>
          <w:color w:val="auto"/>
          <w:u w:color="C00000"/>
          <w:lang w:val="en-US"/>
        </w:rPr>
        <w:t>when major legal concerns that are also relevant to the Parliament are at stake,</w:t>
      </w:r>
      <w:r w:rsidRPr="00F07B1C">
        <w:rPr>
          <w:color w:val="auto"/>
        </w:rPr>
        <w:t xml:space="preserve"> </w:t>
      </w:r>
      <w:r w:rsidRPr="00F07B1C">
        <w:rPr>
          <w:b/>
          <w:bCs/>
          <w:i/>
          <w:iCs/>
          <w:lang w:val="en-US"/>
        </w:rPr>
        <w:t>in legislation as well as in scrutinizing the Commission</w:t>
      </w:r>
      <w:r w:rsidRPr="00F07B1C">
        <w:rPr>
          <w:b/>
          <w:bCs/>
          <w:i/>
          <w:iCs/>
        </w:rPr>
        <w:t>’</w:t>
      </w:r>
      <w:r w:rsidRPr="00F07B1C">
        <w:rPr>
          <w:b/>
          <w:bCs/>
          <w:i/>
          <w:iCs/>
          <w:lang w:val="en-US"/>
        </w:rPr>
        <w:t>s decisions;</w:t>
      </w:r>
      <w:r w:rsidRPr="00F07B1C">
        <w:t xml:space="preserve"> </w:t>
      </w:r>
      <w:r w:rsidRPr="00F07B1C">
        <w:rPr>
          <w:b/>
          <w:bCs/>
          <w:i/>
          <w:iCs/>
          <w:lang w:val="en-US"/>
        </w:rPr>
        <w:t xml:space="preserve">notes that Parliament should be more involved in the activity of working parties and expert groups, such as the International Competition Network (ICN) and the </w:t>
      </w:r>
      <w:proofErr w:type="spellStart"/>
      <w:r w:rsidRPr="00F07B1C">
        <w:rPr>
          <w:b/>
          <w:bCs/>
          <w:i/>
          <w:iCs/>
          <w:lang w:val="en-US"/>
        </w:rPr>
        <w:t>Organisation</w:t>
      </w:r>
      <w:proofErr w:type="spellEnd"/>
      <w:r w:rsidRPr="00F07B1C">
        <w:rPr>
          <w:b/>
          <w:bCs/>
          <w:i/>
          <w:iCs/>
          <w:lang w:val="en-US"/>
        </w:rPr>
        <w:t xml:space="preserve"> for Economic Cooperation and Development (OECD) as an observer to get a better knowledge of the matter and keep it updated on the developments</w:t>
      </w:r>
      <w:r w:rsidRPr="00F07B1C">
        <w:rPr>
          <w:b/>
          <w:bCs/>
          <w:i/>
          <w:iCs/>
        </w:rPr>
        <w:t>;</w:t>
      </w:r>
      <w:r w:rsidRPr="00F07B1C">
        <w:t xml:space="preserve">  </w:t>
      </w:r>
      <w:r w:rsidRPr="00F07B1C">
        <w:rPr>
          <w:b/>
          <w:bCs/>
          <w:i/>
          <w:iCs/>
          <w:lang w:val="en-US"/>
        </w:rPr>
        <w:t xml:space="preserve">notes the importance of the Competition Working Group; </w:t>
      </w:r>
      <w:r w:rsidRPr="00F07B1C">
        <w:rPr>
          <w:lang w:val="en-US"/>
        </w:rPr>
        <w:t xml:space="preserve">calls on the Commission to enter into negotiations for an </w:t>
      </w:r>
      <w:proofErr w:type="spellStart"/>
      <w:r w:rsidRPr="00F07B1C">
        <w:rPr>
          <w:lang w:val="en-US"/>
        </w:rPr>
        <w:t>interinstitutional</w:t>
      </w:r>
      <w:proofErr w:type="spellEnd"/>
      <w:r w:rsidRPr="00F07B1C">
        <w:rPr>
          <w:lang w:val="en-US"/>
        </w:rPr>
        <w:t xml:space="preserve"> agreement on competition policy; </w:t>
      </w:r>
      <w:r w:rsidRPr="00F07B1C">
        <w:rPr>
          <w:b/>
          <w:bCs/>
          <w:i/>
          <w:iCs/>
          <w:lang w:val="en-US"/>
        </w:rPr>
        <w:t>calls on the European Council to adopt a decision under Article 48(7)(2) TEU allowing for the adoption of legislative acts in the area of competition policy in accordance with the ordinary legislative procedure;</w:t>
      </w:r>
      <w:r w:rsidRPr="00F07B1C">
        <w:t xml:space="preserve"> </w:t>
      </w:r>
      <w:r w:rsidRPr="00F07B1C">
        <w:rPr>
          <w:b/>
          <w:bCs/>
          <w:i/>
          <w:iCs/>
        </w:rPr>
        <w:t>(Yon-</w:t>
      </w:r>
      <w:proofErr w:type="spellStart"/>
      <w:r w:rsidRPr="00F07B1C">
        <w:rPr>
          <w:b/>
          <w:bCs/>
          <w:i/>
          <w:iCs/>
        </w:rPr>
        <w:t>Courtin</w:t>
      </w:r>
      <w:proofErr w:type="spellEnd"/>
      <w:r w:rsidRPr="00F07B1C">
        <w:rPr>
          <w:b/>
          <w:bCs/>
          <w:i/>
          <w:iCs/>
        </w:rPr>
        <w:t xml:space="preserve"> et al 276; </w:t>
      </w:r>
      <w:proofErr w:type="spellStart"/>
      <w:r w:rsidRPr="00F07B1C">
        <w:rPr>
          <w:b/>
          <w:bCs/>
          <w:i/>
          <w:iCs/>
        </w:rPr>
        <w:t>Benjumea</w:t>
      </w:r>
      <w:proofErr w:type="spellEnd"/>
      <w:r w:rsidRPr="00F07B1C">
        <w:rPr>
          <w:b/>
          <w:bCs/>
          <w:i/>
          <w:iCs/>
        </w:rPr>
        <w:t xml:space="preserve"> 279, Pereira 281; </w:t>
      </w:r>
      <w:proofErr w:type="spellStart"/>
      <w:r w:rsidRPr="00F07B1C">
        <w:rPr>
          <w:b/>
          <w:bCs/>
          <w:i/>
          <w:iCs/>
        </w:rPr>
        <w:t>Repasi</w:t>
      </w:r>
      <w:proofErr w:type="spellEnd"/>
      <w:r w:rsidRPr="00F07B1C">
        <w:rPr>
          <w:b/>
          <w:bCs/>
          <w:i/>
          <w:iCs/>
        </w:rPr>
        <w:t xml:space="preserve"> 282; </w:t>
      </w:r>
      <w:proofErr w:type="spellStart"/>
      <w:r w:rsidRPr="00F07B1C">
        <w:rPr>
          <w:b/>
          <w:bCs/>
          <w:i/>
          <w:iCs/>
        </w:rPr>
        <w:t>Schirdewan</w:t>
      </w:r>
      <w:proofErr w:type="spellEnd"/>
      <w:r w:rsidRPr="00F07B1C">
        <w:rPr>
          <w:b/>
          <w:bCs/>
          <w:i/>
          <w:iCs/>
        </w:rPr>
        <w:t xml:space="preserve"> 283)</w:t>
      </w:r>
      <w:proofErr w:type="gramEnd"/>
    </w:p>
    <w:p w14:paraId="483BBA64" w14:textId="77777777" w:rsidR="00B60301" w:rsidRPr="00F07B1C" w:rsidRDefault="0041303D">
      <w:pPr>
        <w:pStyle w:val="Body"/>
        <w:widowControl w:val="0"/>
        <w:spacing w:after="240"/>
        <w:ind w:left="567" w:hanging="567"/>
        <w:jc w:val="center"/>
      </w:pPr>
      <w:r w:rsidRPr="00F07B1C">
        <w:lastRenderedPageBreak/>
        <w:t>°</w:t>
      </w:r>
    </w:p>
    <w:p w14:paraId="366A779A" w14:textId="77777777" w:rsidR="00B60301" w:rsidRPr="00F07B1C" w:rsidRDefault="0041303D">
      <w:pPr>
        <w:pStyle w:val="Body"/>
        <w:widowControl w:val="0"/>
        <w:spacing w:after="240"/>
        <w:ind w:left="567" w:hanging="567"/>
        <w:jc w:val="center"/>
      </w:pPr>
      <w:r w:rsidRPr="00F07B1C">
        <w:t>°</w:t>
      </w:r>
      <w:r w:rsidRPr="00F07B1C">
        <w:tab/>
        <w:t>°</w:t>
      </w:r>
    </w:p>
    <w:p w14:paraId="2D7B30A7" w14:textId="54F7F2FA" w:rsidR="00B60301" w:rsidRPr="00F07B1C" w:rsidRDefault="0041303D">
      <w:pPr>
        <w:pStyle w:val="Body"/>
        <w:widowControl w:val="0"/>
        <w:spacing w:after="240"/>
        <w:ind w:left="567" w:hanging="567"/>
        <w:jc w:val="left"/>
        <w:rPr>
          <w:lang w:val="en-US"/>
        </w:rPr>
      </w:pPr>
      <w:r w:rsidRPr="00F07B1C">
        <w:rPr>
          <w:lang w:val="en-US"/>
        </w:rPr>
        <w:t>23.</w:t>
      </w:r>
      <w:r w:rsidRPr="00F07B1C">
        <w:rPr>
          <w:lang w:val="en-US"/>
        </w:rPr>
        <w:tab/>
        <w:t>Instructs its President to forward this resolution to the Council, the Commission, and the parliaments and competition authorities of the Member States.</w:t>
      </w:r>
    </w:p>
    <w:p w14:paraId="214EEDBB" w14:textId="041258DE" w:rsidR="00BA7B85" w:rsidRPr="00F07B1C" w:rsidRDefault="00BA7B85">
      <w:pPr>
        <w:pStyle w:val="Body"/>
        <w:widowControl w:val="0"/>
        <w:spacing w:after="240"/>
        <w:ind w:left="567" w:hanging="567"/>
        <w:jc w:val="left"/>
        <w:rPr>
          <w:lang w:val="en-US"/>
        </w:rPr>
      </w:pPr>
    </w:p>
    <w:p w14:paraId="4EE7FDB0" w14:textId="3B42B175" w:rsidR="00BA7B85" w:rsidRPr="00F07B1C" w:rsidRDefault="00BA7B85">
      <w:pPr>
        <w:pStyle w:val="Body"/>
        <w:widowControl w:val="0"/>
        <w:spacing w:after="240"/>
        <w:ind w:left="567" w:hanging="567"/>
        <w:jc w:val="left"/>
        <w:rPr>
          <w:b/>
          <w:bCs/>
          <w:lang w:val="en-US"/>
        </w:rPr>
      </w:pPr>
      <w:r w:rsidRPr="00F07B1C">
        <w:rPr>
          <w:b/>
          <w:bCs/>
          <w:lang w:val="en-US"/>
        </w:rPr>
        <w:t xml:space="preserve">COMP </w:t>
      </w:r>
      <w:r w:rsidR="00AF5CDF" w:rsidRPr="00F07B1C">
        <w:rPr>
          <w:b/>
          <w:bCs/>
          <w:lang w:val="en-US"/>
        </w:rPr>
        <w:t>X</w:t>
      </w:r>
      <w:r w:rsidRPr="00F07B1C">
        <w:rPr>
          <w:b/>
          <w:bCs/>
          <w:lang w:val="en-US"/>
        </w:rPr>
        <w:t xml:space="preserve">, covering amendments </w:t>
      </w:r>
      <w:r w:rsidR="00EC532B" w:rsidRPr="00F07B1C">
        <w:rPr>
          <w:b/>
          <w:bCs/>
          <w:lang w:val="en-US"/>
        </w:rPr>
        <w:t>6</w:t>
      </w:r>
      <w:r w:rsidRPr="00F07B1C">
        <w:rPr>
          <w:b/>
          <w:bCs/>
          <w:lang w:val="en-US"/>
        </w:rPr>
        <w:t>-3</w:t>
      </w:r>
      <w:r w:rsidR="00EC532B" w:rsidRPr="00F07B1C">
        <w:rPr>
          <w:b/>
          <w:bCs/>
          <w:lang w:val="en-US"/>
        </w:rPr>
        <w:t>1</w:t>
      </w:r>
    </w:p>
    <w:p w14:paraId="48C60A4D" w14:textId="52CBAC93" w:rsidR="00EC532B" w:rsidRPr="00F07B1C" w:rsidRDefault="00EC532B" w:rsidP="00EC532B">
      <w:pPr>
        <w:pStyle w:val="Body"/>
        <w:widowControl w:val="0"/>
        <w:spacing w:after="240"/>
        <w:ind w:left="567" w:hanging="567"/>
      </w:pPr>
      <w:r w:rsidRPr="00F07B1C">
        <w:t xml:space="preserve">A. whereas recent Eurobarometer surveys dedicated to EU competition policy show strong support among citizens and small and medium-sized enterprises for competition policy and its enforcement; </w:t>
      </w:r>
    </w:p>
    <w:p w14:paraId="38EC4C65" w14:textId="0A4DCF75" w:rsidR="00EC532B" w:rsidRPr="00F07B1C" w:rsidRDefault="00EC532B" w:rsidP="00EC532B">
      <w:pPr>
        <w:pStyle w:val="Body"/>
        <w:widowControl w:val="0"/>
        <w:spacing w:after="240"/>
        <w:ind w:left="567" w:hanging="567"/>
      </w:pPr>
      <w:r w:rsidRPr="00F07B1C">
        <w:t xml:space="preserve">B. whereas competition policy should aim to support </w:t>
      </w:r>
      <w:r w:rsidRPr="001A1167">
        <w:rPr>
          <w:b/>
          <w:i/>
        </w:rPr>
        <w:t>objectives pursued</w:t>
      </w:r>
      <w:r w:rsidRPr="00F07B1C">
        <w:t xml:space="preserve"> by the European Green Deal, </w:t>
      </w:r>
      <w:r w:rsidRPr="001A1167">
        <w:rPr>
          <w:b/>
          <w:i/>
        </w:rPr>
        <w:t>Digital Compass goals and the resilience of the EU internal market; stresses the need for a global level-playing field, also in relation to the Fit for 55 proposals</w:t>
      </w:r>
      <w:r w:rsidRPr="00F07B1C">
        <w:t>;</w:t>
      </w:r>
    </w:p>
    <w:p w14:paraId="3FEBBEBD" w14:textId="64EB1473" w:rsidR="00EC532B" w:rsidRPr="00F07B1C" w:rsidRDefault="00EC532B" w:rsidP="00EC532B">
      <w:pPr>
        <w:pStyle w:val="Body"/>
        <w:widowControl w:val="0"/>
        <w:spacing w:after="240"/>
        <w:ind w:left="567" w:hanging="567"/>
        <w:rPr>
          <w:b/>
          <w:i/>
        </w:rPr>
      </w:pPr>
      <w:r w:rsidRPr="00F07B1C">
        <w:rPr>
          <w:b/>
          <w:i/>
        </w:rPr>
        <w:t>Bb. whereas competition policy should bring legal certainty and that more flexible regimes should be temporary, targeted and should protect the integrity of the internal market</w:t>
      </w:r>
    </w:p>
    <w:p w14:paraId="297C63BC" w14:textId="50795A99" w:rsidR="00EC532B" w:rsidRPr="00F07B1C" w:rsidRDefault="00EC532B" w:rsidP="00EC532B">
      <w:pPr>
        <w:pStyle w:val="Body"/>
        <w:widowControl w:val="0"/>
        <w:spacing w:after="240"/>
        <w:ind w:left="567" w:hanging="567"/>
        <w:rPr>
          <w:b/>
          <w:i/>
        </w:rPr>
      </w:pPr>
      <w:proofErr w:type="spellStart"/>
      <w:r w:rsidRPr="00F07B1C">
        <w:rPr>
          <w:b/>
          <w:i/>
        </w:rPr>
        <w:t>Bc</w:t>
      </w:r>
      <w:proofErr w:type="spellEnd"/>
      <w:r w:rsidRPr="00F07B1C">
        <w:rPr>
          <w:b/>
          <w:i/>
        </w:rPr>
        <w:t>. whereas international collaboration and cooperation are vital to attaining a global and viable level playing field and realising the green and digital transitions; whereas European dependencies on third countries and global powers in areas such as energy, medicines, technology or raw materials create vulnerabilities and may reduce the European Union´s ability to act;</w:t>
      </w:r>
    </w:p>
    <w:sectPr w:rsidR="00EC532B" w:rsidRPr="00F07B1C">
      <w:headerReference w:type="default" r:id="rId7"/>
      <w:footerReference w:type="default" r:id="rId8"/>
      <w:headerReference w:type="first" r:id="rId9"/>
      <w:footerReference w:type="first" r:id="rId10"/>
      <w:pgSz w:w="11900" w:h="16840"/>
      <w:pgMar w:top="1134" w:right="1418" w:bottom="1418" w:left="1418" w:header="1134" w:footer="567"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EFA6D" w16cex:dateUtc="2023-04-10T19:13:00Z"/>
  <w16cex:commentExtensible w16cex:durableId="27DEFA7B" w16cex:dateUtc="2023-04-10T19:13:00Z"/>
  <w16cex:commentExtensible w16cex:durableId="27DEFAF9" w16cex:dateUtc="2023-04-10T19:15:00Z"/>
  <w16cex:commentExtensible w16cex:durableId="27DEFB2B" w16cex:dateUtc="2023-04-10T19:16:00Z"/>
  <w16cex:commentExtensible w16cex:durableId="27DEFB4E" w16cex:dateUtc="2023-04-10T19:17:00Z"/>
  <w16cex:commentExtensible w16cex:durableId="27DEFB73" w16cex:dateUtc="2023-04-10T19:17:00Z"/>
  <w16cex:commentExtensible w16cex:durableId="27DEFB8D" w16cex:dateUtc="2023-04-10T19:18:00Z"/>
  <w16cex:commentExtensible w16cex:durableId="27DEFBAB" w16cex:dateUtc="2023-04-10T19:18:00Z"/>
  <w16cex:commentExtensible w16cex:durableId="27DEFBC2" w16cex:dateUtc="2023-04-10T19:18:00Z"/>
  <w16cex:commentExtensible w16cex:durableId="27DEFBE9" w16cex:dateUtc="2023-04-10T19:19:00Z"/>
  <w16cex:commentExtensible w16cex:durableId="27DEFC2B" w16cex:dateUtc="2023-04-10T19:20:00Z"/>
  <w16cex:commentExtensible w16cex:durableId="27DEFC53" w16cex:dateUtc="2023-04-10T19:21:00Z"/>
  <w16cex:commentExtensible w16cex:durableId="27DEFC6D" w16cex:dateUtc="2023-04-10T19:21:00Z"/>
  <w16cex:commentExtensible w16cex:durableId="27DEFC7B" w16cex:dateUtc="2023-04-10T19:22:00Z"/>
  <w16cex:commentExtensible w16cex:durableId="27DEFCB6" w16cex:dateUtc="2023-04-10T19:23:00Z"/>
  <w16cex:commentExtensible w16cex:durableId="27DEFCBD" w16cex:dateUtc="2023-04-10T19:23:00Z"/>
  <w16cex:commentExtensible w16cex:durableId="27DEFCCD" w16cex:dateUtc="2023-04-10T19:23:00Z"/>
  <w16cex:commentExtensible w16cex:durableId="27DEFCF9" w16cex:dateUtc="2023-04-10T19:24:00Z"/>
  <w16cex:commentExtensible w16cex:durableId="27DEFD14" w16cex:dateUtc="2023-04-10T19:24:00Z"/>
  <w16cex:commentExtensible w16cex:durableId="27DEFD55" w16cex:dateUtc="2023-04-10T19:25:00Z"/>
  <w16cex:commentExtensible w16cex:durableId="27DEFD8D" w16cex:dateUtc="2023-04-10T19:26:00Z"/>
  <w16cex:commentExtensible w16cex:durableId="27DEFDDE" w16cex:dateUtc="2023-04-10T19:27:00Z"/>
  <w16cex:commentExtensible w16cex:durableId="27DEFE97" w16cex:dateUtc="2023-04-10T19:31:00Z"/>
  <w16cex:commentExtensible w16cex:durableId="27DEFEC3" w16cex:dateUtc="2023-04-10T19:31:00Z"/>
  <w16cex:commentExtensible w16cex:durableId="27DF0148" w16cex:dateUtc="2023-04-10T19:42:00Z"/>
  <w16cex:commentExtensible w16cex:durableId="27DF0197" w16cex:dateUtc="2023-04-10T19:43:00Z"/>
  <w16cex:commentExtensible w16cex:durableId="27DF01B1" w16cex:dateUtc="2023-04-10T19:44:00Z"/>
  <w16cex:commentExtensible w16cex:durableId="27DF01D3" w16cex:dateUtc="2023-04-10T19:44:00Z"/>
  <w16cex:commentExtensible w16cex:durableId="27DF01F0" w16cex:dateUtc="2023-04-10T19:45:00Z"/>
  <w16cex:commentExtensible w16cex:durableId="27DF0222" w16cex:dateUtc="2023-04-10T19:46:00Z"/>
  <w16cex:commentExtensible w16cex:durableId="27DF0230" w16cex:dateUtc="2023-04-10T19:46:00Z"/>
  <w16cex:commentExtensible w16cex:durableId="27DF024D" w16cex:dateUtc="2023-04-10T19:46:00Z"/>
  <w16cex:commentExtensible w16cex:durableId="27DF0252" w16cex:dateUtc="2023-04-10T1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E21229" w16cid:durableId="27DEFA1B"/>
  <w16cid:commentId w16cid:paraId="73C6DC59" w16cid:durableId="27DEFA6D"/>
  <w16cid:commentId w16cid:paraId="048AA625" w16cid:durableId="27DEFA1C"/>
  <w16cid:commentId w16cid:paraId="4428A25E" w16cid:durableId="27DEFA7B"/>
  <w16cid:commentId w16cid:paraId="621AF0C4" w16cid:durableId="27DEFAF9"/>
  <w16cid:commentId w16cid:paraId="56DF5A94" w16cid:durableId="27DEFA1D"/>
  <w16cid:commentId w16cid:paraId="7927283C" w16cid:durableId="27DEFB2B"/>
  <w16cid:commentId w16cid:paraId="51A2B5A2" w16cid:durableId="27DEFA1E"/>
  <w16cid:commentId w16cid:paraId="2958396F" w16cid:durableId="27DEFB4E"/>
  <w16cid:commentId w16cid:paraId="6A1EE7D5" w16cid:durableId="27DEFA1F"/>
  <w16cid:commentId w16cid:paraId="165BD74F" w16cid:durableId="27DEFB73"/>
  <w16cid:commentId w16cid:paraId="3EB0CA5E" w16cid:durableId="27DEFA20"/>
  <w16cid:commentId w16cid:paraId="3F2D098D" w16cid:durableId="27DEFB8D"/>
  <w16cid:commentId w16cid:paraId="1F5058E2" w16cid:durableId="27DEFA21"/>
  <w16cid:commentId w16cid:paraId="686E9CAF" w16cid:durableId="27DEFA22"/>
  <w16cid:commentId w16cid:paraId="332F9B41" w16cid:durableId="27DEFBAB"/>
  <w16cid:commentId w16cid:paraId="767DC375" w16cid:durableId="27DEFA23"/>
  <w16cid:commentId w16cid:paraId="53C73DB4" w16cid:durableId="27DEFBC2"/>
  <w16cid:commentId w16cid:paraId="51C05032" w16cid:durableId="27DEFA24"/>
  <w16cid:commentId w16cid:paraId="3A97B47E" w16cid:durableId="27DEFBE9"/>
  <w16cid:commentId w16cid:paraId="4A1361F0" w16cid:durableId="27DEFA25"/>
  <w16cid:commentId w16cid:paraId="0FF3957F" w16cid:durableId="27DEFC2B"/>
  <w16cid:commentId w16cid:paraId="2696DD1C" w16cid:durableId="27DEFA26"/>
  <w16cid:commentId w16cid:paraId="79261A81" w16cid:durableId="27DEFC53"/>
  <w16cid:commentId w16cid:paraId="241946D7" w16cid:durableId="27DEFA27"/>
  <w16cid:commentId w16cid:paraId="6D593856" w16cid:durableId="27DEFC6D"/>
  <w16cid:commentId w16cid:paraId="78BF5CF3" w16cid:durableId="27DEFA28"/>
  <w16cid:commentId w16cid:paraId="4F98C0A4" w16cid:durableId="27DEFC7B"/>
  <w16cid:commentId w16cid:paraId="21D762F1" w16cid:durableId="27DEFA29"/>
  <w16cid:commentId w16cid:paraId="0A771AB4" w16cid:durableId="27DEFCB6"/>
  <w16cid:commentId w16cid:paraId="3135600B" w16cid:durableId="27DEFA2A"/>
  <w16cid:commentId w16cid:paraId="3F8EBD1E" w16cid:durableId="27DEFCBD"/>
  <w16cid:commentId w16cid:paraId="0546E25D" w16cid:durableId="27DEFA2B"/>
  <w16cid:commentId w16cid:paraId="12639479" w16cid:durableId="27DEFCCD"/>
  <w16cid:commentId w16cid:paraId="5B074E6C" w16cid:durableId="27DEFA2C"/>
  <w16cid:commentId w16cid:paraId="7AA9CB22" w16cid:durableId="27DEFCF9"/>
  <w16cid:commentId w16cid:paraId="27F3C531" w16cid:durableId="27DEFA2D"/>
  <w16cid:commentId w16cid:paraId="3CDE079E" w16cid:durableId="27DEFD14"/>
  <w16cid:commentId w16cid:paraId="1619D1FA" w16cid:durableId="27DEFA2E"/>
  <w16cid:commentId w16cid:paraId="6F017FC5" w16cid:durableId="27DEFD55"/>
  <w16cid:commentId w16cid:paraId="2D19CB53" w16cid:durableId="27DEFA2F"/>
  <w16cid:commentId w16cid:paraId="2964181B" w16cid:durableId="27DEFD8D"/>
  <w16cid:commentId w16cid:paraId="37FFE680" w16cid:durableId="27DEFA30"/>
  <w16cid:commentId w16cid:paraId="2A013BE3" w16cid:durableId="27DEFA31"/>
  <w16cid:commentId w16cid:paraId="5B8ACB32" w16cid:durableId="27DEFDDE"/>
  <w16cid:commentId w16cid:paraId="2EB6889E" w16cid:durableId="27DEFA32"/>
  <w16cid:commentId w16cid:paraId="4375A415" w16cid:durableId="27DEFE97"/>
  <w16cid:commentId w16cid:paraId="1A58B1FC" w16cid:durableId="27DEFA33"/>
  <w16cid:commentId w16cid:paraId="4FE835C4" w16cid:durableId="27DEFEC3"/>
  <w16cid:commentId w16cid:paraId="65974B37" w16cid:durableId="27DEFA34"/>
  <w16cid:commentId w16cid:paraId="7106E94A" w16cid:durableId="27DF0148"/>
  <w16cid:commentId w16cid:paraId="79EF6CEB" w16cid:durableId="27DEFA35"/>
  <w16cid:commentId w16cid:paraId="5F8660BD" w16cid:durableId="27DF0197"/>
  <w16cid:commentId w16cid:paraId="57D4487B" w16cid:durableId="27DEFA36"/>
  <w16cid:commentId w16cid:paraId="4AA713FE" w16cid:durableId="27DF01B1"/>
  <w16cid:commentId w16cid:paraId="12EDAA31" w16cid:durableId="27DEFA37"/>
  <w16cid:commentId w16cid:paraId="6555F53B" w16cid:durableId="27DF01D3"/>
  <w16cid:commentId w16cid:paraId="194BFC83" w16cid:durableId="27DEFA38"/>
  <w16cid:commentId w16cid:paraId="38E5EFF5" w16cid:durableId="27DF01F0"/>
  <w16cid:commentId w16cid:paraId="51594DCD" w16cid:durableId="27DEFA39"/>
  <w16cid:commentId w16cid:paraId="74CC912D" w16cid:durableId="27DF0222"/>
  <w16cid:commentId w16cid:paraId="4FF64907" w16cid:durableId="27DEFA3A"/>
  <w16cid:commentId w16cid:paraId="4145E394" w16cid:durableId="27DF0230"/>
  <w16cid:commentId w16cid:paraId="224FD64B" w16cid:durableId="27DEFA3B"/>
  <w16cid:commentId w16cid:paraId="1645EFCC" w16cid:durableId="27DF024D"/>
  <w16cid:commentId w16cid:paraId="6EE33806" w16cid:durableId="27DEFA3C"/>
  <w16cid:commentId w16cid:paraId="02941B07" w16cid:durableId="27DF02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CB4FA" w14:textId="77777777" w:rsidR="00BA7B85" w:rsidRDefault="00BA7B85">
      <w:r>
        <w:separator/>
      </w:r>
    </w:p>
  </w:endnote>
  <w:endnote w:type="continuationSeparator" w:id="0">
    <w:p w14:paraId="4E30D9FE" w14:textId="77777777" w:rsidR="00BA7B85" w:rsidRDefault="00BA7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F7368" w14:textId="149809C4" w:rsidR="00BA7B85" w:rsidRDefault="00BA7B85">
    <w:pPr>
      <w:pStyle w:val="EPFooter"/>
      <w:tabs>
        <w:tab w:val="clear" w:pos="9071"/>
        <w:tab w:val="right" w:pos="9044"/>
      </w:tabs>
    </w:pPr>
    <w:r>
      <w:t>PR\1270170EN.docx</w:t>
    </w:r>
    <w:r>
      <w:tab/>
    </w:r>
    <w:r>
      <w:fldChar w:fldCharType="begin"/>
    </w:r>
    <w:r>
      <w:instrText xml:space="preserve"> PAGE </w:instrText>
    </w:r>
    <w:r>
      <w:fldChar w:fldCharType="separate"/>
    </w:r>
    <w:r w:rsidR="00B51314">
      <w:rPr>
        <w:noProof/>
      </w:rPr>
      <w:t>11</w:t>
    </w:r>
    <w:r>
      <w:fldChar w:fldCharType="end"/>
    </w:r>
    <w:r>
      <w:t>/</w:t>
    </w:r>
    <w:r>
      <w:fldChar w:fldCharType="begin"/>
    </w:r>
    <w:r>
      <w:instrText xml:space="preserve"> NUMPAGES </w:instrText>
    </w:r>
    <w:r>
      <w:fldChar w:fldCharType="separate"/>
    </w:r>
    <w:r w:rsidR="00B51314">
      <w:rPr>
        <w:noProof/>
      </w:rPr>
      <w:t>11</w:t>
    </w:r>
    <w:r>
      <w:fldChar w:fldCharType="end"/>
    </w:r>
    <w:r>
      <w:tab/>
      <w:t>PE740.653v01-00</w:t>
    </w:r>
  </w:p>
  <w:p w14:paraId="1B5B34F9" w14:textId="77777777" w:rsidR="00BA7B85" w:rsidRDefault="00BA7B85">
    <w:pPr>
      <w:pStyle w:val="EPFooter2"/>
      <w:tabs>
        <w:tab w:val="clear" w:pos="9921"/>
        <w:tab w:val="right" w:pos="9044"/>
      </w:tabs>
    </w:pPr>
    <w:r>
      <w:tab/>
    </w:r>
    <w:r>
      <w:tab/>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35D64" w14:textId="77777777" w:rsidR="00BA7B85" w:rsidRDefault="00BA7B85">
    <w:pPr>
      <w:pStyle w:val="EPFooter"/>
      <w:tabs>
        <w:tab w:val="clear" w:pos="9071"/>
        <w:tab w:val="right" w:pos="9044"/>
      </w:tabs>
    </w:pPr>
    <w:r>
      <w:t>PR\1270170EN.docx</w:t>
    </w:r>
    <w:r>
      <w:tab/>
    </w:r>
    <w:r>
      <w:tab/>
      <w:t>PE740.653v01-00</w:t>
    </w:r>
  </w:p>
  <w:p w14:paraId="73328A42" w14:textId="77777777" w:rsidR="00BA7B85" w:rsidRDefault="00BA7B85">
    <w:pPr>
      <w:pStyle w:val="EPFooter2"/>
      <w:tabs>
        <w:tab w:val="clear" w:pos="9921"/>
        <w:tab w:val="right" w:pos="9044"/>
      </w:tabs>
    </w:pPr>
    <w:r>
      <w:t>EN</w:t>
    </w:r>
    <w:r>
      <w:tab/>
    </w:r>
    <w:r>
      <w:rPr>
        <w:b w:val="0"/>
        <w:bCs w:val="0"/>
        <w:i/>
        <w:iCs/>
        <w:color w:val="C0C0C0"/>
        <w:sz w:val="22"/>
        <w:szCs w:val="22"/>
        <w:u w:color="C0C0C0"/>
      </w:rPr>
      <w:t>United in diversity</w:t>
    </w:r>
    <w:r>
      <w:tab/>
      <w:t>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ADB07" w14:textId="77777777" w:rsidR="00BA7B85" w:rsidRDefault="00BA7B85">
      <w:r>
        <w:separator/>
      </w:r>
    </w:p>
  </w:footnote>
  <w:footnote w:type="continuationSeparator" w:id="0">
    <w:p w14:paraId="08831927" w14:textId="77777777" w:rsidR="00BA7B85" w:rsidRDefault="00BA7B85">
      <w:r>
        <w:continuationSeparator/>
      </w:r>
    </w:p>
  </w:footnote>
  <w:footnote w:type="continuationNotice" w:id="1">
    <w:p w14:paraId="4FEAB6FE" w14:textId="77777777" w:rsidR="00BA7B85" w:rsidRDefault="00BA7B85"/>
  </w:footnote>
  <w:footnote w:id="2">
    <w:p w14:paraId="3ECC66D0" w14:textId="77777777" w:rsidR="00BA7B85" w:rsidRDefault="00BA7B85">
      <w:pPr>
        <w:pStyle w:val="FootnoteText"/>
      </w:pPr>
      <w:r>
        <w:rPr>
          <w:b/>
          <w:bCs/>
          <w:i/>
          <w:iCs/>
          <w:vertAlign w:val="superscript"/>
        </w:rPr>
        <w:footnoteRef/>
      </w:r>
      <w:r>
        <w:rPr>
          <w:rFonts w:eastAsia="Arial Unicode MS" w:cs="Arial Unicode MS"/>
        </w:rPr>
        <w:t xml:space="preserve"> Judgment of the Court of Justice of the EU of 22 September 2020 </w:t>
      </w:r>
      <w:r>
        <w:rPr>
          <w:rFonts w:eastAsia="Arial Unicode MS" w:cs="Arial Unicode MS"/>
          <w:i/>
          <w:iCs/>
        </w:rPr>
        <w:t>Austria v Commission</w:t>
      </w:r>
      <w:r>
        <w:rPr>
          <w:rFonts w:eastAsia="Arial Unicode MS" w:cs="Arial Unicode MS"/>
        </w:rPr>
        <w:t xml:space="preserve"> (C-594/18 P) EU</w:t>
      </w:r>
      <w:proofErr w:type="gramStart"/>
      <w:r>
        <w:rPr>
          <w:rFonts w:eastAsia="Arial Unicode MS" w:cs="Arial Unicode MS"/>
        </w:rPr>
        <w:t>:C:2020:742</w:t>
      </w:r>
      <w:proofErr w:type="gramEnd"/>
      <w:r>
        <w:rPr>
          <w:rFonts w:eastAsia="Arial Unicode MS" w:cs="Arial Unicode MS"/>
        </w:rPr>
        <w:t xml:space="preserve">. </w:t>
      </w:r>
      <w:proofErr w:type="gramStart"/>
      <w:r>
        <w:rPr>
          <w:rFonts w:eastAsia="Arial Unicode MS" w:cs="Arial Unicode MS"/>
        </w:rPr>
        <w:t>para</w:t>
      </w:r>
      <w:proofErr w:type="gramEnd"/>
      <w:r>
        <w:rPr>
          <w:rFonts w:eastAsia="Arial Unicode MS" w:cs="Arial Unicode MS"/>
        </w:rPr>
        <w:t>. 45</w:t>
      </w:r>
    </w:p>
  </w:footnote>
  <w:footnote w:id="3">
    <w:p w14:paraId="42911F9D" w14:textId="77777777" w:rsidR="00BA7B85" w:rsidRDefault="00BA7B85">
      <w:pPr>
        <w:pStyle w:val="FootnoteText"/>
      </w:pPr>
      <w:r>
        <w:rPr>
          <w:rStyle w:val="FootnoteReference"/>
        </w:rPr>
        <w:footnoteRef/>
      </w:r>
      <w:r>
        <w:rPr>
          <w:rStyle w:val="FootnoteReference"/>
          <w:rFonts w:eastAsia="Arial Unicode MS" w:cs="Arial Unicode MS"/>
        </w:rPr>
        <w:t xml:space="preserve"> </w:t>
      </w:r>
      <w:r>
        <w:rPr>
          <w:rFonts w:eastAsia="Arial Unicode MS" w:cs="Arial Unicode MS"/>
        </w:rPr>
        <w:t xml:space="preserve">Speech by Commission Executive Vice President Margrethe </w:t>
      </w:r>
      <w:proofErr w:type="spellStart"/>
      <w:r>
        <w:rPr>
          <w:rFonts w:eastAsia="Arial Unicode MS" w:cs="Arial Unicode MS"/>
        </w:rPr>
        <w:t>Vestager</w:t>
      </w:r>
      <w:proofErr w:type="spellEnd"/>
      <w:r>
        <w:rPr>
          <w:rFonts w:eastAsia="Arial Unicode MS" w:cs="Arial Unicode MS"/>
        </w:rPr>
        <w:t xml:space="preserve">, 22 October 2021, </w:t>
      </w:r>
      <w:hyperlink r:id="rId1" w:history="1">
        <w:r>
          <w:rPr>
            <w:rStyle w:val="Hyperlink0"/>
            <w:rFonts w:eastAsia="Arial Unicode MS" w:cs="Arial Unicode MS"/>
          </w:rPr>
          <w:t>https://ec.europa.eu/commission/commissioners/2019-2024/vestager/announcements/speech-evp-m-vestager-italian-antitrust-association-annual-conference-new-era-cartel-enforcement_en</w:t>
        </w:r>
      </w:hyperlink>
      <w:r>
        <w:rPr>
          <w:rFonts w:eastAsia="Arial Unicode MS" w:cs="Arial Unicode M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4D4B5" w14:textId="77777777" w:rsidR="00BA7B85" w:rsidRDefault="00BA7B85">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9B91F" w14:textId="77777777" w:rsidR="00BA7B85" w:rsidRDefault="00BA7B85">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01"/>
    <w:rsid w:val="00013E9B"/>
    <w:rsid w:val="001A1167"/>
    <w:rsid w:val="001D14A8"/>
    <w:rsid w:val="0021402D"/>
    <w:rsid w:val="00317240"/>
    <w:rsid w:val="00382F5E"/>
    <w:rsid w:val="003E08CA"/>
    <w:rsid w:val="0041303D"/>
    <w:rsid w:val="00476262"/>
    <w:rsid w:val="005271B5"/>
    <w:rsid w:val="005857D0"/>
    <w:rsid w:val="006177E9"/>
    <w:rsid w:val="006B0B75"/>
    <w:rsid w:val="007F45BC"/>
    <w:rsid w:val="00825734"/>
    <w:rsid w:val="00865B09"/>
    <w:rsid w:val="008A10C2"/>
    <w:rsid w:val="009013B9"/>
    <w:rsid w:val="0094323F"/>
    <w:rsid w:val="00A755F5"/>
    <w:rsid w:val="00A83E6D"/>
    <w:rsid w:val="00AF5CDF"/>
    <w:rsid w:val="00B362D7"/>
    <w:rsid w:val="00B37F93"/>
    <w:rsid w:val="00B51314"/>
    <w:rsid w:val="00B60301"/>
    <w:rsid w:val="00B65F69"/>
    <w:rsid w:val="00B972F7"/>
    <w:rsid w:val="00BA5E65"/>
    <w:rsid w:val="00BA7B85"/>
    <w:rsid w:val="00C111C5"/>
    <w:rsid w:val="00C56C6B"/>
    <w:rsid w:val="00C842BA"/>
    <w:rsid w:val="00C903EE"/>
    <w:rsid w:val="00D23DFB"/>
    <w:rsid w:val="00DC521E"/>
    <w:rsid w:val="00DF1276"/>
    <w:rsid w:val="00DF6553"/>
    <w:rsid w:val="00E755C5"/>
    <w:rsid w:val="00EC532B"/>
    <w:rsid w:val="00F07B1C"/>
    <w:rsid w:val="00F14644"/>
    <w:rsid w:val="00F30F53"/>
    <w:rsid w:val="00F36E7E"/>
    <w:rsid w:val="00F964E3"/>
    <w:rsid w:val="00FF1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9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EPFooter">
    <w:name w:val="EPFooter"/>
    <w:pPr>
      <w:widowControl w:val="0"/>
      <w:tabs>
        <w:tab w:val="center" w:pos="4535"/>
        <w:tab w:val="right" w:pos="9071"/>
      </w:tabs>
      <w:spacing w:before="240" w:after="240"/>
    </w:pPr>
    <w:rPr>
      <w:rFonts w:cs="Arial Unicode MS"/>
      <w:color w:val="010000"/>
      <w:sz w:val="22"/>
      <w:szCs w:val="22"/>
      <w:u w:color="010000"/>
      <w:lang w:val="en-US"/>
    </w:rPr>
  </w:style>
  <w:style w:type="paragraph" w:customStyle="1" w:styleId="EPFooter2">
    <w:name w:val="EPFooter2"/>
    <w:next w:val="Body"/>
    <w:pPr>
      <w:tabs>
        <w:tab w:val="center" w:pos="4535"/>
        <w:tab w:val="right" w:pos="9921"/>
      </w:tabs>
    </w:pPr>
    <w:rPr>
      <w:rFonts w:ascii="Arial" w:eastAsia="Arial" w:hAnsi="Arial" w:cs="Arial"/>
      <w:b/>
      <w:bCs/>
      <w:color w:val="000000"/>
      <w:sz w:val="48"/>
      <w:szCs w:val="48"/>
      <w:u w:color="000000"/>
      <w:lang w:val="en-US"/>
    </w:rPr>
  </w:style>
  <w:style w:type="paragraph" w:customStyle="1" w:styleId="Body">
    <w:name w:val="Body"/>
    <w:pPr>
      <w:jc w:val="both"/>
    </w:pPr>
    <w:rPr>
      <w:rFonts w:eastAsia="Times New Roman"/>
      <w:color w:val="000000"/>
      <w:sz w:val="24"/>
      <w:szCs w:val="24"/>
      <w:u w:color="000000"/>
    </w:rPr>
  </w:style>
  <w:style w:type="paragraph" w:customStyle="1" w:styleId="Default">
    <w:name w:val="Default"/>
    <w:rPr>
      <w:rFonts w:ascii="Helvetica Neue" w:eastAsia="Helvetica Neue" w:hAnsi="Helvetica Neue" w:cs="Helvetica Neue"/>
      <w:color w:val="000000"/>
      <w:sz w:val="22"/>
      <w:szCs w:val="22"/>
    </w:rPr>
  </w:style>
  <w:style w:type="paragraph" w:styleId="FootnoteText">
    <w:name w:val="footnote text"/>
    <w:pPr>
      <w:jc w:val="both"/>
    </w:pPr>
    <w:rPr>
      <w:rFonts w:eastAsia="Times New Roman"/>
      <w:color w:val="000000"/>
      <w:u w:color="000000"/>
      <w:lang w:val="en-US"/>
    </w:rPr>
  </w:style>
  <w:style w:type="character" w:styleId="FootnoteReference">
    <w:name w:val="footnote reference"/>
    <w:rPr>
      <w:vertAlign w:val="superscript"/>
    </w:rPr>
  </w:style>
  <w:style w:type="character" w:customStyle="1" w:styleId="Hyperlink0">
    <w:name w:val="Hyperlink.0"/>
    <w:basedOn w:val="Hyperlink"/>
    <w:rPr>
      <w:color w:val="0563C1"/>
      <w:u w:val="single" w:color="0563C1"/>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362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2D7"/>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B362D7"/>
    <w:rPr>
      <w:b/>
      <w:bCs/>
    </w:rPr>
  </w:style>
  <w:style w:type="character" w:customStyle="1" w:styleId="CommentSubjectChar">
    <w:name w:val="Comment Subject Char"/>
    <w:basedOn w:val="CommentTextChar"/>
    <w:link w:val="CommentSubject"/>
    <w:uiPriority w:val="99"/>
    <w:semiHidden/>
    <w:rsid w:val="00B362D7"/>
    <w:rPr>
      <w:b/>
      <w:bCs/>
      <w:lang w:val="en-US" w:eastAsia="en-US"/>
    </w:rPr>
  </w:style>
  <w:style w:type="paragraph" w:styleId="Revision">
    <w:name w:val="Revision"/>
    <w:hidden/>
    <w:uiPriority w:val="99"/>
    <w:semiHidden/>
    <w:rsid w:val="00E755C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784494">
      <w:bodyDiv w:val="1"/>
      <w:marLeft w:val="0"/>
      <w:marRight w:val="0"/>
      <w:marTop w:val="0"/>
      <w:marBottom w:val="0"/>
      <w:divBdr>
        <w:top w:val="none" w:sz="0" w:space="0" w:color="auto"/>
        <w:left w:val="none" w:sz="0" w:space="0" w:color="auto"/>
        <w:bottom w:val="none" w:sz="0" w:space="0" w:color="auto"/>
        <w:right w:val="none" w:sz="0" w:space="0" w:color="auto"/>
      </w:divBdr>
    </w:div>
    <w:div w:id="1591305146">
      <w:bodyDiv w:val="1"/>
      <w:marLeft w:val="0"/>
      <w:marRight w:val="0"/>
      <w:marTop w:val="0"/>
      <w:marBottom w:val="0"/>
      <w:divBdr>
        <w:top w:val="none" w:sz="0" w:space="0" w:color="auto"/>
        <w:left w:val="none" w:sz="0" w:space="0" w:color="auto"/>
        <w:bottom w:val="none" w:sz="0" w:space="0" w:color="auto"/>
        <w:right w:val="none" w:sz="0" w:space="0" w:color="auto"/>
      </w:divBdr>
    </w:div>
    <w:div w:id="1976252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commissioners/2019-2024/vestager/announcements/speech-evp-m-vestager-italian-antitrust-association-annual-conference-new-era-cartel-enforcement_en"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AEC10-5CA2-41AA-8B39-7D3753CA2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4764</Words>
  <Characters>26208</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2023-04-25T09:41:00Z</dcterms:created>
  <dcterms:modified xsi:type="dcterms:W3CDTF">2023-04-25T09:41:00Z</dcterms:modified>
</cp:coreProperties>
</file>