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1B33A4" w:rsidR="000D6A84" w:rsidTr="006D78CA" w14:paraId="28A664FF" w14:textId="77777777">
        <w:trPr>
          <w:cantSplit/>
        </w:trPr>
        <w:tc>
          <w:tcPr>
            <w:tcW w:w="4644" w:type="dxa"/>
          </w:tcPr>
          <w:p w:rsidRPr="001B33A4" w:rsidR="000D6A84" w:rsidP="001B33A4" w:rsidRDefault="000D6A84" w14:paraId="7275CA22" w14:textId="77777777">
            <w:bookmarkStart w:name="_GoBack" w:id="0"/>
            <w:bookmarkEnd w:id="0"/>
            <w:r w:rsidRPr="001B33A4">
              <w:rPr>
                <w:noProof/>
                <w:lang w:val="en-US"/>
              </w:rPr>
              <w:drawing>
                <wp:inline distT="0" distB="0" distL="0" distR="0" wp14:anchorId="7AD7465A" wp14:editId="2FB2D4CC">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rsidRPr="001B33A4" w:rsidR="000D6A84" w:rsidP="001B33A4" w:rsidRDefault="000D6A84" w14:paraId="2BD86BA5" w14:textId="77777777"/>
        </w:tc>
      </w:tr>
      <w:tr w:rsidRPr="00334D96" w:rsidR="00444A98" w:rsidTr="006D78CA" w14:paraId="6BDE3805" w14:textId="77777777">
        <w:trPr>
          <w:cantSplit/>
        </w:trPr>
        <w:tc>
          <w:tcPr>
            <w:tcW w:w="9289" w:type="dxa"/>
            <w:gridSpan w:val="2"/>
          </w:tcPr>
          <w:p w:rsidRPr="00334D96" w:rsidR="00444A98" w:rsidP="003A043C" w:rsidRDefault="007B4E1D" w14:paraId="127D4C21" w14:textId="1CCF80D3">
            <w:pPr>
              <w:jc w:val="right"/>
              <w:rPr>
                <w:b/>
                <w:bCs/>
                <w:sz w:val="28"/>
              </w:rPr>
            </w:pPr>
            <w:r>
              <w:rPr>
                <w:b/>
                <w:bCs/>
                <w:sz w:val="28"/>
              </w:rPr>
              <w:t>ENVE</w:t>
            </w:r>
            <w:r w:rsidR="00E15DFD">
              <w:rPr>
                <w:b/>
                <w:bCs/>
                <w:sz w:val="28"/>
              </w:rPr>
              <w:t>-</w:t>
            </w:r>
            <w:r>
              <w:rPr>
                <w:b/>
                <w:bCs/>
                <w:sz w:val="28"/>
              </w:rPr>
              <w:t>VII</w:t>
            </w:r>
            <w:r w:rsidR="00E15DFD">
              <w:rPr>
                <w:b/>
                <w:bCs/>
                <w:sz w:val="28"/>
              </w:rPr>
              <w:t>/</w:t>
            </w:r>
            <w:r>
              <w:rPr>
                <w:b/>
                <w:bCs/>
                <w:sz w:val="28"/>
              </w:rPr>
              <w:t>03</w:t>
            </w:r>
            <w:r w:rsidR="00E15DFD">
              <w:rPr>
                <w:b/>
                <w:bCs/>
                <w:sz w:val="28"/>
              </w:rPr>
              <w:t>7</w:t>
            </w:r>
          </w:p>
        </w:tc>
      </w:tr>
      <w:tr w:rsidRPr="00334D96" w:rsidR="001661E8" w:rsidTr="006D78CA" w14:paraId="3D08C05A" w14:textId="77777777">
        <w:trPr>
          <w:cantSplit/>
        </w:trPr>
        <w:tc>
          <w:tcPr>
            <w:tcW w:w="9289" w:type="dxa"/>
            <w:gridSpan w:val="2"/>
          </w:tcPr>
          <w:p w:rsidR="001661E8" w:rsidP="001661E8" w:rsidRDefault="001661E8" w14:paraId="6AC5B049" w14:textId="6A70F53B">
            <w:pPr>
              <w:jc w:val="center"/>
              <w:rPr>
                <w:b/>
                <w:bCs/>
                <w:sz w:val="28"/>
              </w:rPr>
            </w:pPr>
            <w:r>
              <w:rPr>
                <w:b/>
                <w:color w:val="000000" w:themeColor="text1"/>
                <w:sz w:val="28"/>
              </w:rPr>
              <w:t>18</w:t>
            </w:r>
            <w:r w:rsidRPr="005005F3">
              <w:rPr>
                <w:b/>
                <w:color w:val="000000" w:themeColor="text1"/>
                <w:sz w:val="28"/>
              </w:rPr>
              <w:t xml:space="preserve">th ENVE commission meeting, </w:t>
            </w:r>
            <w:r>
              <w:rPr>
                <w:b/>
                <w:color w:val="000000" w:themeColor="text1"/>
                <w:sz w:val="28"/>
              </w:rPr>
              <w:t>29 June 2023</w:t>
            </w:r>
          </w:p>
        </w:tc>
      </w:tr>
    </w:tbl>
    <w:p w:rsidR="001661E8" w:rsidP="003A043C" w:rsidRDefault="001661E8" w14:paraId="613D09F8" w14:textId="77777777"/>
    <w:p w:rsidR="001661E8" w:rsidP="003A043C" w:rsidRDefault="0015094F" w14:paraId="0AC5EED3" w14:textId="053BF128">
      <w:r>
        <w:rPr>
          <w:noProof/>
          <w:lang w:val="en-US"/>
        </w:rPr>
        <mc:AlternateContent>
          <mc:Choice Requires="wps">
            <w:drawing>
              <wp:anchor distT="0" distB="0" distL="114300" distR="114300" simplePos="0" relativeHeight="251655680" behindDoc="1" locked="0" layoutInCell="0" allowOverlap="1" wp14:editId="5361DEF4" wp14:anchorId="7A9A5160">
                <wp:simplePos x="0" y="0"/>
                <wp:positionH relativeFrom="page">
                  <wp:posOffset>6770788</wp:posOffset>
                </wp:positionH>
                <wp:positionV relativeFrom="page">
                  <wp:posOffset>10079542</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30A11148" w14:textId="77777777">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9A5160">
                <v:stroke joinstyle="miter"/>
                <v:path gradientshapeok="t" o:connecttype="rect"/>
              </v:shapetype>
              <v:shape id="Text Box 3" style="position:absolute;left:0;text-align:left;margin-left:533.15pt;margin-top:793.65pt;width:51pt;height:3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">
                <v:textbox>
                  <w:txbxContent>
                    <w:p w:rsidRPr="00B33430" w:rsidR="00444A98" w:rsidRDefault="00444A98" w14:paraId="30A11148" w14:textId="77777777">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p>
    <w:p w:rsidRPr="005005F3" w:rsidR="001661E8" w:rsidP="001661E8" w:rsidRDefault="001661E8" w14:paraId="6667C820" w14:textId="77777777">
      <w:pPr>
        <w:jc w:val="center"/>
        <w:rPr>
          <w:b/>
          <w:bCs/>
          <w:sz w:val="28"/>
        </w:rPr>
      </w:pPr>
      <w:r w:rsidRPr="00334D96">
        <w:rPr>
          <w:b/>
          <w:bCs/>
          <w:sz w:val="28"/>
        </w:rPr>
        <w:t>DRAFT OPINION</w:t>
      </w:r>
    </w:p>
    <w:p w:rsidRPr="005005F3" w:rsidR="001661E8" w:rsidP="001661E8" w:rsidRDefault="001661E8" w14:paraId="36756BA9" w14:textId="77777777">
      <w:pPr>
        <w:jc w:val="center"/>
        <w:rPr>
          <w:b/>
          <w:bCs/>
          <w:sz w:val="28"/>
        </w:rPr>
      </w:pPr>
    </w:p>
    <w:p w:rsidRPr="00334D96" w:rsidR="00444A98" w:rsidP="001661E8" w:rsidRDefault="001661E8" w14:paraId="7E2F015F" w14:textId="4E148B97">
      <w:pPr>
        <w:jc w:val="center"/>
      </w:pPr>
      <w:r w:rsidRPr="005005F3">
        <w:rPr>
          <w:b/>
          <w:sz w:val="28"/>
        </w:rPr>
        <w:t>Commission for Environment, Climate Change and Energy</w:t>
      </w:r>
      <w:r>
        <w:rPr>
          <w:noProof/>
          <w:lang w:val="en-US"/>
        </w:rPr>
        <w:t xml:space="preserve"> </w:t>
      </w:r>
    </w:p>
    <w:p w:rsidRPr="006D78CA" w:rsidR="001B33A4" w:rsidP="006D78CA" w:rsidRDefault="001B33A4" w14:paraId="5C7ED5E0" w14:textId="77777777"/>
    <w:p w:rsidR="00E15DFD" w:rsidP="00E15DFD" w:rsidRDefault="00E15DFD" w14:paraId="24F8A117" w14:textId="49D6778E">
      <w:pPr>
        <w:jc w:val="center"/>
        <w:rPr>
          <w:b/>
          <w:bCs/>
          <w:sz w:val="28"/>
          <w:szCs w:val="28"/>
        </w:rPr>
      </w:pPr>
      <w:r w:rsidRPr="007805EF">
        <w:rPr>
          <w:b/>
          <w:bCs/>
          <w:sz w:val="28"/>
          <w:szCs w:val="28"/>
        </w:rPr>
        <w:t xml:space="preserve">UNFCCC COP28: the role of subnational authorities in keeping climate ambition on track </w:t>
      </w:r>
    </w:p>
    <w:p w:rsidRPr="00D219F4" w:rsidR="001661E8" w:rsidP="00E15DFD" w:rsidRDefault="001661E8" w14:paraId="43B56378" w14:textId="20B5C71D">
      <w:pPr>
        <w:jc w:val="center"/>
      </w:pPr>
    </w:p>
    <w:p w:rsidRPr="007805EF" w:rsidR="001661E8" w:rsidP="00E15DFD" w:rsidRDefault="001661E8" w14:paraId="78A4792D" w14:textId="77777777">
      <w:pPr>
        <w:jc w:val="center"/>
      </w:pPr>
    </w:p>
    <w:tbl>
      <w:tblPr>
        <w:tblW w:w="0" w:type="auto"/>
        <w:tblLayout w:type="fixed"/>
        <w:tblLook w:val="0000" w:firstRow="0" w:lastRow="0" w:firstColumn="0" w:lastColumn="0" w:noHBand="0" w:noVBand="0"/>
      </w:tblPr>
      <w:tblGrid>
        <w:gridCol w:w="9243"/>
      </w:tblGrid>
      <w:tr w:rsidRPr="005005F3" w:rsidR="005849B6" w:rsidTr="005D3579" w14:paraId="0DB2D3B3" w14:textId="77777777">
        <w:tc>
          <w:tcPr>
            <w:tcW w:w="9243" w:type="dxa"/>
          </w:tcPr>
          <w:p w:rsidRPr="002868F8" w:rsidR="005849B6" w:rsidP="005D3579" w:rsidRDefault="005849B6" w14:paraId="5C4725AD" w14:textId="77777777">
            <w:pPr>
              <w:jc w:val="center"/>
              <w:rPr>
                <w:lang w:val="pl-PL"/>
              </w:rPr>
            </w:pPr>
            <w:r w:rsidRPr="002868F8">
              <w:rPr>
                <w:lang w:val="pl-PL"/>
              </w:rPr>
              <w:t>_____________</w:t>
            </w:r>
          </w:p>
          <w:p w:rsidRPr="002868F8" w:rsidR="005849B6" w:rsidP="005D3579" w:rsidRDefault="005849B6" w14:paraId="307D47CC" w14:textId="77777777">
            <w:pPr>
              <w:jc w:val="center"/>
              <w:rPr>
                <w:lang w:val="pl-PL"/>
              </w:rPr>
            </w:pPr>
          </w:p>
          <w:p w:rsidRPr="002868F8" w:rsidR="005849B6" w:rsidP="005D3579" w:rsidRDefault="005849B6" w14:paraId="513830CE" w14:textId="55A8DFBE">
            <w:pPr>
              <w:jc w:val="center"/>
              <w:rPr>
                <w:b/>
                <w:lang w:val="pl-PL"/>
              </w:rPr>
            </w:pPr>
            <w:r w:rsidRPr="002868F8">
              <w:rPr>
                <w:lang w:val="pl-PL"/>
              </w:rPr>
              <w:t xml:space="preserve">Rapporteur: </w:t>
            </w:r>
            <w:r w:rsidRPr="002868F8" w:rsidR="00E15DFD">
              <w:rPr>
                <w:b/>
                <w:lang w:val="pl-PL"/>
              </w:rPr>
              <w:t>Rafał TRZASKOWSKI (PL/EPP)</w:t>
            </w:r>
          </w:p>
          <w:p w:rsidRPr="00E15DFD" w:rsidR="005849B6" w:rsidP="005D3579" w:rsidRDefault="00E15DFD" w14:paraId="07482DA3" w14:textId="04B1B248">
            <w:pPr>
              <w:jc w:val="center"/>
            </w:pPr>
            <w:r w:rsidRPr="007805EF">
              <w:rPr>
                <w:bCs/>
              </w:rPr>
              <w:t>Mayor of Warsaw</w:t>
            </w:r>
          </w:p>
          <w:p w:rsidRPr="005005F3" w:rsidR="005849B6" w:rsidP="005D3579" w:rsidRDefault="005849B6" w14:paraId="770B75CB" w14:textId="6A238C0A">
            <w:pPr>
              <w:jc w:val="center"/>
            </w:pPr>
            <w:r w:rsidRPr="005005F3">
              <w:t>_____________</w:t>
            </w:r>
          </w:p>
        </w:tc>
      </w:tr>
    </w:tbl>
    <w:p w:rsidRPr="00334D96" w:rsidR="00444A98" w:rsidP="003A043C" w:rsidRDefault="00444A98" w14:paraId="35DCE275" w14:textId="77777777">
      <w:pPr>
        <w:jc w:val="left"/>
      </w:pPr>
    </w:p>
    <w:p w:rsidRPr="00334D96" w:rsidR="00444A98" w:rsidP="003A043C" w:rsidRDefault="00444A98" w14:paraId="75E87572" w14:textId="77777777">
      <w:pPr>
        <w:jc w:val="left"/>
      </w:pPr>
    </w:p>
    <w:p w:rsidRPr="00334D96" w:rsidR="00444A98" w:rsidP="003A043C" w:rsidRDefault="00444A98" w14:paraId="71EE9989" w14:textId="77777777">
      <w:pPr>
        <w:jc w:val="left"/>
      </w:pPr>
    </w:p>
    <w:p w:rsidRPr="00334D96" w:rsidR="00444A98" w:rsidP="003A043C" w:rsidRDefault="007037BF" w14:paraId="6985182D" w14:textId="75843B98">
      <w:pPr>
        <w:jc w:val="left"/>
      </w:pPr>
      <w:r>
        <w:rPr>
          <w:noProof/>
          <w:lang w:val="en-US"/>
        </w:rPr>
        <w:drawing>
          <wp:anchor distT="0" distB="0" distL="114300" distR="114300" simplePos="0" relativeHeight="251659776" behindDoc="0" locked="0" layoutInCell="1" allowOverlap="1" wp14:editId="4CEB296E" wp14:anchorId="22D1166E">
            <wp:simplePos x="0" y="0"/>
            <wp:positionH relativeFrom="column">
              <wp:posOffset>-23495</wp:posOffset>
            </wp:positionH>
            <wp:positionV relativeFrom="page">
              <wp:posOffset>10204450</wp:posOffset>
            </wp:positionV>
            <wp:extent cx="5759450" cy="291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91465"/>
                    </a:xfrm>
                    <a:prstGeom prst="rect">
                      <a:avLst/>
                    </a:prstGeom>
                  </pic:spPr>
                </pic:pic>
              </a:graphicData>
            </a:graphic>
            <wp14:sizeRelH relativeFrom="margin">
              <wp14:pctWidth>0</wp14:pctWidth>
            </wp14:sizeRelH>
            <wp14:sizeRelV relativeFrom="margin">
              <wp14:pctHeight>0</wp14:pctHeight>
            </wp14:sizeRelV>
          </wp:anchor>
        </w:drawing>
      </w:r>
    </w:p>
    <w:p w:rsidRPr="00334D96" w:rsidR="00444A98" w:rsidP="003A043C" w:rsidRDefault="00444A98" w14:paraId="31FD567B" w14:textId="77777777">
      <w:pPr>
        <w:jc w:val="left"/>
      </w:pPr>
    </w:p>
    <w:p w:rsidRPr="00334D96" w:rsidR="00444A98" w:rsidP="003A043C" w:rsidRDefault="00444A98" w14:paraId="235F9D92" w14:textId="77777777">
      <w:pPr>
        <w:jc w:val="left"/>
      </w:pPr>
    </w:p>
    <w:p w:rsidRPr="00334D96" w:rsidR="00444A98" w:rsidP="003A043C" w:rsidRDefault="00444A98" w14:paraId="262CC0E2" w14:textId="77777777">
      <w:pPr>
        <w:jc w:val="left"/>
      </w:pPr>
    </w:p>
    <w:tbl>
      <w:tblPr>
        <w:tblW w:w="928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334D96" w:rsidR="005849B6" w:rsidTr="005849B6" w14:paraId="2A75E9E9" w14:textId="77777777">
        <w:tc>
          <w:tcPr>
            <w:tcW w:w="9289" w:type="dxa"/>
            <w:tcBorders>
              <w:top w:val="single" w:color="auto" w:sz="4" w:space="0"/>
              <w:bottom w:val="single" w:color="auto" w:sz="4" w:space="0"/>
            </w:tcBorders>
          </w:tcPr>
          <w:p w:rsidRPr="00334D96" w:rsidR="005849B6" w:rsidP="005849B6" w:rsidRDefault="005849B6" w14:paraId="76B4E7D5" w14:textId="33BFA190">
            <w:pPr>
              <w:rPr>
                <w:bCs/>
                <w:iCs/>
                <w:color w:val="000000"/>
              </w:rPr>
            </w:pPr>
            <w:r w:rsidRPr="00426538">
              <w:t xml:space="preserve">This document will be discussed at the meeting of the </w:t>
            </w:r>
            <w:r w:rsidRPr="00426538">
              <w:rPr>
                <w:b/>
                <w:bCs/>
              </w:rPr>
              <w:t>Commission for the Environment, Climate Change and Energy</w:t>
            </w:r>
            <w:r w:rsidRPr="00426538">
              <w:t xml:space="preserve"> to be held on </w:t>
            </w:r>
            <w:r w:rsidR="00E15DFD">
              <w:rPr>
                <w:b/>
                <w:bCs/>
              </w:rPr>
              <w:t>29</w:t>
            </w:r>
            <w:r>
              <w:rPr>
                <w:b/>
                <w:bCs/>
              </w:rPr>
              <w:t xml:space="preserve"> </w:t>
            </w:r>
            <w:r w:rsidR="00E15DFD">
              <w:rPr>
                <w:b/>
                <w:bCs/>
              </w:rPr>
              <w:t>June</w:t>
            </w:r>
            <w:r>
              <w:rPr>
                <w:b/>
                <w:bCs/>
              </w:rPr>
              <w:t xml:space="preserve"> 2023</w:t>
            </w:r>
            <w:r w:rsidRPr="00426538">
              <w:rPr>
                <w:b/>
                <w:bCs/>
              </w:rPr>
              <w:t xml:space="preserve"> from 11 a.m. to 5.</w:t>
            </w:r>
            <w:r>
              <w:rPr>
                <w:b/>
                <w:bCs/>
              </w:rPr>
              <w:t>3</w:t>
            </w:r>
            <w:r w:rsidRPr="00426538">
              <w:rPr>
                <w:b/>
                <w:bCs/>
              </w:rPr>
              <w:t>0 p.m.</w:t>
            </w:r>
            <w:r w:rsidRPr="00426538">
              <w:rPr>
                <w:color w:val="000000"/>
              </w:rPr>
              <w:t xml:space="preserve"> </w:t>
            </w:r>
            <w:r w:rsidRPr="00426538">
              <w:t xml:space="preserve">To allow time for translation, any amendments must be submitted using the online tool for tabling amendments (available through the Members' Portal: </w:t>
            </w:r>
            <w:hyperlink w:history="1" r:id="rId13">
              <w:r w:rsidRPr="00426538">
                <w:rPr>
                  <w:rStyle w:val="Hyperlink"/>
                  <w:rFonts w:eastAsiaTheme="majorEastAsia"/>
                </w:rPr>
                <w:t>https://memportal.cor.europa.eu/</w:t>
              </w:r>
            </w:hyperlink>
            <w:r w:rsidRPr="00426538">
              <w:t xml:space="preserve">) </w:t>
            </w:r>
            <w:r w:rsidRPr="00426538">
              <w:rPr>
                <w:b/>
                <w:bCs/>
              </w:rPr>
              <w:t xml:space="preserve">no later than 3 p.m. (Brussels time) on </w:t>
            </w:r>
            <w:r w:rsidR="00E15DFD">
              <w:rPr>
                <w:b/>
                <w:bCs/>
              </w:rPr>
              <w:t>Friday</w:t>
            </w:r>
            <w:r>
              <w:rPr>
                <w:b/>
                <w:bCs/>
              </w:rPr>
              <w:t xml:space="preserve">, </w:t>
            </w:r>
            <w:r w:rsidR="00E15DFD">
              <w:rPr>
                <w:b/>
                <w:bCs/>
              </w:rPr>
              <w:t>16</w:t>
            </w:r>
            <w:r>
              <w:rPr>
                <w:b/>
                <w:bCs/>
              </w:rPr>
              <w:t xml:space="preserve"> </w:t>
            </w:r>
            <w:r w:rsidR="00E15DFD">
              <w:rPr>
                <w:b/>
                <w:bCs/>
              </w:rPr>
              <w:t>June</w:t>
            </w:r>
            <w:r>
              <w:rPr>
                <w:b/>
                <w:bCs/>
              </w:rPr>
              <w:t xml:space="preserve"> 2023</w:t>
            </w:r>
            <w:r w:rsidRPr="00426538">
              <w:t xml:space="preserve">. A user guide is available at </w:t>
            </w:r>
            <w:hyperlink w:history="1" r:id="rId14">
              <w:r w:rsidRPr="00426538">
                <w:rPr>
                  <w:rStyle w:val="Hyperlink"/>
                  <w:rFonts w:eastAsiaTheme="majorEastAsia"/>
                </w:rPr>
                <w:t>https://memportal.cor.europa.eu/Home/UserGuide</w:t>
              </w:r>
            </w:hyperlink>
            <w:r w:rsidRPr="00426538">
              <w:t xml:space="preserve"> </w:t>
            </w:r>
          </w:p>
        </w:tc>
      </w:tr>
    </w:tbl>
    <w:p w:rsidR="000D6A84" w:rsidP="000D6A84" w:rsidRDefault="000D6A84" w14:paraId="089B4EE3" w14:textId="2D497117"/>
    <w:p w:rsidR="001661E8" w:rsidP="000D6A84" w:rsidRDefault="001661E8" w14:paraId="5B5CCEA9" w14:textId="77777777">
      <w:pPr>
        <w:sectPr w:rsidR="001661E8" w:rsidSect="007037B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pgNumType w:start="1"/>
          <w:cols w:space="720"/>
          <w:docGrid w:linePitch="299"/>
        </w:sectPr>
      </w:pPr>
    </w:p>
    <w:p w:rsidRPr="00334D96" w:rsidR="003E1CB2" w:rsidP="000D6A84" w:rsidRDefault="003E1CB2" w14:paraId="492E19A1" w14:textId="6E7A0D4A"/>
    <w:tbl>
      <w:tblPr>
        <w:tblW w:w="0" w:type="auto"/>
        <w:tblLayout w:type="fixed"/>
        <w:tblLook w:val="01E0" w:firstRow="1" w:lastRow="1" w:firstColumn="1" w:lastColumn="1" w:noHBand="0" w:noVBand="0"/>
      </w:tblPr>
      <w:tblGrid>
        <w:gridCol w:w="9289"/>
      </w:tblGrid>
      <w:tr w:rsidRPr="00334D96" w:rsidR="00444A98" w:rsidTr="006D78CA" w14:paraId="385A9E86" w14:textId="77777777">
        <w:trPr>
          <w:trHeight w:val="12474"/>
        </w:trPr>
        <w:tc>
          <w:tcPr>
            <w:tcW w:w="9289" w:type="dxa"/>
            <w:vAlign w:val="bottom"/>
          </w:tcPr>
          <w:p w:rsidR="00444A98" w:rsidP="003A043C" w:rsidRDefault="005849B6" w14:paraId="19FFF30B" w14:textId="12711020">
            <w:pPr>
              <w:rPr>
                <w:u w:val="single"/>
              </w:rPr>
            </w:pPr>
            <w:r>
              <w:rPr>
                <w:u w:val="single"/>
              </w:rPr>
              <w:t>R</w:t>
            </w:r>
            <w:r w:rsidRPr="00334D96" w:rsidR="00444A98">
              <w:rPr>
                <w:u w:val="single"/>
              </w:rPr>
              <w:t>eference document</w:t>
            </w:r>
          </w:p>
          <w:p w:rsidRPr="00334D96" w:rsidR="001661E8" w:rsidP="003A043C" w:rsidRDefault="001661E8" w14:paraId="1684503A" w14:textId="77777777">
            <w:pPr>
              <w:rPr>
                <w:u w:val="single"/>
              </w:rPr>
            </w:pPr>
          </w:p>
          <w:p w:rsidRPr="00334D96" w:rsidR="00444A98" w:rsidP="003A043C" w:rsidRDefault="005849B6" w14:paraId="0B1BA8F1" w14:textId="026DAAAD">
            <w:r w:rsidRPr="0073760A">
              <w:t>Own-initiative opinion</w:t>
            </w:r>
          </w:p>
          <w:p w:rsidRPr="00334D96" w:rsidR="00444A98" w:rsidP="003A043C" w:rsidRDefault="00444A98" w14:paraId="3F2CE504" w14:textId="77777777"/>
        </w:tc>
      </w:tr>
    </w:tbl>
    <w:p w:rsidRPr="00334D96" w:rsidR="00444A98" w:rsidP="003A043C" w:rsidRDefault="00444A98" w14:paraId="07804CE1" w14:textId="77777777">
      <w:pPr>
        <w:rPr>
          <w:szCs w:val="22"/>
        </w:rPr>
      </w:pPr>
    </w:p>
    <w:p w:rsidRPr="005849B6" w:rsidR="005849B6" w:rsidP="005849B6" w:rsidRDefault="00444A98" w14:paraId="48E92910" w14:textId="6ACF099B">
      <w:pPr>
        <w:jc w:val="center"/>
        <w:rPr>
          <w:b/>
        </w:rPr>
      </w:pPr>
      <w:r w:rsidRPr="00334D96">
        <w:rPr>
          <w:rFonts w:ascii="Times New Roman Bold" w:hAnsi="Times New Roman Bold"/>
          <w:b/>
          <w:bCs/>
          <w:szCs w:val="22"/>
        </w:rPr>
        <w:br w:type="page"/>
      </w:r>
      <w:r w:rsidRPr="00334D96">
        <w:rPr>
          <w:b/>
        </w:rPr>
        <w:t xml:space="preserve">Draft opinion of </w:t>
      </w:r>
      <w:r w:rsidRPr="005849B6" w:rsidR="005849B6">
        <w:rPr>
          <w:b/>
        </w:rPr>
        <w:t>the Commission for Environment, Climate Change and Energy (ENVE) –</w:t>
      </w:r>
    </w:p>
    <w:p w:rsidR="00E15DFD" w:rsidP="005849B6" w:rsidRDefault="00E15DFD" w14:paraId="5527E484" w14:textId="67602F46">
      <w:pPr>
        <w:jc w:val="center"/>
        <w:rPr>
          <w:b/>
        </w:rPr>
      </w:pPr>
      <w:r w:rsidRPr="00E15DFD">
        <w:rPr>
          <w:b/>
        </w:rPr>
        <w:t>UNFCCC COP28: the role of subnational authorities in keeping climate ambition on track</w:t>
      </w:r>
    </w:p>
    <w:p w:rsidR="005849B6" w:rsidP="005849B6" w:rsidRDefault="005849B6" w14:paraId="07CB5A9C" w14:textId="77777777">
      <w:pPr>
        <w:jc w:val="center"/>
      </w:pPr>
    </w:p>
    <w:p w:rsidRPr="00466896" w:rsidR="00F6640B" w:rsidP="00F6640B" w:rsidRDefault="00444A98" w14:paraId="00A5F812" w14:textId="5F9188C8">
      <w:pPr>
        <w:keepNext/>
        <w:numPr>
          <w:ilvl w:val="0"/>
          <w:numId w:val="2"/>
        </w:numPr>
        <w:ind w:left="567" w:hanging="567"/>
        <w:rPr>
          <w:b/>
        </w:rPr>
      </w:pPr>
      <w:r w:rsidRPr="003A043C">
        <w:rPr>
          <w:b/>
          <w:bCs/>
        </w:rPr>
        <w:t>POLICY</w:t>
      </w:r>
      <w:r w:rsidRPr="00334D96">
        <w:rPr>
          <w:b/>
        </w:rPr>
        <w:t xml:space="preserve"> RECOMMENDATIONS</w:t>
      </w:r>
    </w:p>
    <w:p w:rsidRPr="00334D96" w:rsidR="00444A98" w:rsidP="003E420C" w:rsidRDefault="00444A98" w14:paraId="2859706F" w14:textId="77777777">
      <w:pPr>
        <w:keepNext/>
      </w:pPr>
    </w:p>
    <w:p w:rsidRPr="00334D96" w:rsidR="00444A98" w:rsidP="003E420C" w:rsidRDefault="00444A98" w14:paraId="0A3B232D" w14:textId="77777777">
      <w:pPr>
        <w:keepNext/>
      </w:pPr>
      <w:r w:rsidRPr="00334D96">
        <w:t xml:space="preserve">THE </w:t>
      </w:r>
      <w:r w:rsidRPr="00015196" w:rsidR="005C4B78">
        <w:t xml:space="preserve">EUROPEAN </w:t>
      </w:r>
      <w:r w:rsidRPr="00334D96">
        <w:t>COMMITTEE OF THE REGIONS</w:t>
      </w:r>
    </w:p>
    <w:p w:rsidRPr="00334D96" w:rsidR="00E50E2A" w:rsidP="003E420C" w:rsidRDefault="00E50E2A" w14:paraId="3F773B77" w14:textId="77777777">
      <w:pPr>
        <w:keepNext/>
      </w:pPr>
    </w:p>
    <w:p w:rsidRPr="00674BE7" w:rsidR="00444A98" w:rsidP="003A043C" w:rsidRDefault="00471128" w14:paraId="38434EB5" w14:textId="0E95AB55">
      <w:pPr>
        <w:pStyle w:val="Heading1"/>
        <w:ind w:left="567" w:hanging="567"/>
      </w:pPr>
      <w:r w:rsidRPr="00674BE7">
        <w:t>i</w:t>
      </w:r>
      <w:r w:rsidRPr="00674BE7" w:rsidR="00C5688F">
        <w:t>s</w:t>
      </w:r>
      <w:r w:rsidRPr="00674BE7">
        <w:t xml:space="preserve"> </w:t>
      </w:r>
      <w:r w:rsidRPr="00674BE7" w:rsidR="00C5688F">
        <w:t xml:space="preserve">concerned about the findings of the </w:t>
      </w:r>
      <w:r w:rsidRPr="00674BE7" w:rsidR="008005FD">
        <w:t>International Panel on Climate Change</w:t>
      </w:r>
      <w:r w:rsidRPr="00674BE7" w:rsidR="00FB6400">
        <w:t xml:space="preserve"> </w:t>
      </w:r>
      <w:r w:rsidRPr="00674BE7" w:rsidR="008005FD">
        <w:t>(</w:t>
      </w:r>
      <w:r w:rsidRPr="00674BE7" w:rsidR="00C5688F">
        <w:t>IPCC</w:t>
      </w:r>
      <w:r w:rsidRPr="00674BE7" w:rsidR="008005FD">
        <w:t>)</w:t>
      </w:r>
      <w:r w:rsidRPr="00674BE7" w:rsidR="00C5688F">
        <w:t xml:space="preserve"> </w:t>
      </w:r>
      <w:r w:rsidRPr="00674BE7" w:rsidR="008005FD">
        <w:t xml:space="preserve">AR6 Synthesis </w:t>
      </w:r>
      <w:r w:rsidRPr="00674BE7" w:rsidR="00C5688F">
        <w:t>Report</w:t>
      </w:r>
      <w:r w:rsidRPr="00674BE7" w:rsidR="008005FD">
        <w:t xml:space="preserve"> (SYR), which</w:t>
      </w:r>
      <w:r w:rsidRPr="00674BE7" w:rsidR="00C5688F">
        <w:t xml:space="preserve"> provid</w:t>
      </w:r>
      <w:r w:rsidRPr="00674BE7" w:rsidR="008005FD">
        <w:t>es</w:t>
      </w:r>
      <w:r w:rsidRPr="00674BE7" w:rsidR="00C5688F">
        <w:t xml:space="preserve"> a stark reminder that even with drastic reductions in </w:t>
      </w:r>
      <w:r w:rsidRPr="00674BE7" w:rsidR="008005FD">
        <w:t>g</w:t>
      </w:r>
      <w:r w:rsidRPr="00674BE7" w:rsidR="00C5688F">
        <w:t xml:space="preserve">reenhouse </w:t>
      </w:r>
      <w:r w:rsidRPr="00674BE7" w:rsidR="008005FD">
        <w:t>g</w:t>
      </w:r>
      <w:r w:rsidRPr="00674BE7" w:rsidR="00C5688F">
        <w:t>as emissions, global warming</w:t>
      </w:r>
      <w:r w:rsidRPr="00674BE7" w:rsidR="008005FD">
        <w:t xml:space="preserve"> </w:t>
      </w:r>
      <w:r w:rsidRPr="00674BE7" w:rsidR="00800BE1">
        <w:t>is likely to</w:t>
      </w:r>
      <w:r w:rsidRPr="00674BE7" w:rsidR="00C5688F">
        <w:t xml:space="preserve"> exceed</w:t>
      </w:r>
      <w:r w:rsidRPr="00674BE7" w:rsidR="00FB6400">
        <w:t xml:space="preserve"> </w:t>
      </w:r>
      <w:r w:rsidRPr="00674BE7" w:rsidR="008005FD">
        <w:t xml:space="preserve">1.5°C </w:t>
      </w:r>
      <w:r w:rsidRPr="00674BE7" w:rsidR="00C5688F">
        <w:t>this century</w:t>
      </w:r>
      <w:r w:rsidRPr="00674BE7" w:rsidR="008005FD">
        <w:t>;</w:t>
      </w:r>
    </w:p>
    <w:p w:rsidRPr="008005FD" w:rsidR="008005FD" w:rsidP="008005FD" w:rsidRDefault="008005FD" w14:paraId="6647D0B2" w14:textId="77777777"/>
    <w:p w:rsidRPr="00674BE7" w:rsidR="008005FD" w:rsidP="008005FD" w:rsidRDefault="00800BE1" w14:paraId="08D02F68" w14:textId="679FB7EA">
      <w:pPr>
        <w:pStyle w:val="Heading1"/>
        <w:ind w:left="567" w:hanging="567"/>
      </w:pPr>
      <w:r w:rsidRPr="00674BE7">
        <w:t>recalls</w:t>
      </w:r>
      <w:r w:rsidRPr="00674BE7" w:rsidR="008005FD">
        <w:t xml:space="preserve"> that the IPCC recognises effective multilevel governance as a key enabler of climate action, </w:t>
      </w:r>
      <w:r w:rsidRPr="00674BE7" w:rsidR="007859AF">
        <w:t>which</w:t>
      </w:r>
      <w:r w:rsidRPr="00674BE7" w:rsidR="003407F5">
        <w:t xml:space="preserve"> requires</w:t>
      </w:r>
      <w:r w:rsidRPr="00674BE7" w:rsidR="008005FD">
        <w:t xml:space="preserve"> inclusive decision processes in planning and implementation, allocation of appropriate resources, institutional review, monitoring and evaluation;</w:t>
      </w:r>
    </w:p>
    <w:p w:rsidR="008005FD" w:rsidP="00595543" w:rsidRDefault="008005FD" w14:paraId="0707145D" w14:textId="63E6ECE8">
      <w:pPr>
        <w:pStyle w:val="Heading1"/>
        <w:numPr>
          <w:ilvl w:val="0"/>
          <w:numId w:val="0"/>
        </w:numPr>
        <w:ind w:left="567"/>
      </w:pPr>
    </w:p>
    <w:p w:rsidR="00595543" w:rsidP="00595543" w:rsidRDefault="007817E3" w14:paraId="4B7CB3BC" w14:textId="7CB3131C">
      <w:pPr>
        <w:pStyle w:val="Heading1"/>
        <w:ind w:left="567" w:hanging="567"/>
      </w:pPr>
      <w:r w:rsidRPr="00674BE7">
        <w:t xml:space="preserve">while </w:t>
      </w:r>
      <w:r w:rsidRPr="00674BE7" w:rsidR="008005FD">
        <w:t>welcom</w:t>
      </w:r>
      <w:r w:rsidRPr="00674BE7">
        <w:t>ing</w:t>
      </w:r>
      <w:r w:rsidRPr="00674BE7" w:rsidR="008005FD">
        <w:t xml:space="preserve"> the decision to </w:t>
      </w:r>
      <w:r w:rsidRPr="00674BE7">
        <w:t xml:space="preserve">establish new </w:t>
      </w:r>
      <w:r w:rsidRPr="00674BE7" w:rsidR="008005FD">
        <w:t>funding</w:t>
      </w:r>
      <w:r w:rsidRPr="00674BE7">
        <w:t xml:space="preserve"> arrangements</w:t>
      </w:r>
      <w:r w:rsidRPr="00674BE7" w:rsidR="008005FD">
        <w:t xml:space="preserve"> </w:t>
      </w:r>
      <w:r w:rsidRPr="00674BE7">
        <w:t xml:space="preserve">in response to </w:t>
      </w:r>
      <w:r w:rsidRPr="00674BE7" w:rsidR="008005FD">
        <w:t>loss and damage</w:t>
      </w:r>
      <w:r w:rsidRPr="00674BE7">
        <w:t xml:space="preserve"> </w:t>
      </w:r>
      <w:r w:rsidRPr="00674BE7" w:rsidR="008005FD">
        <w:t xml:space="preserve">at </w:t>
      </w:r>
      <w:r w:rsidRPr="00674BE7">
        <w:t>the 27th Conference of Parties of the UNFCCC (</w:t>
      </w:r>
      <w:r w:rsidRPr="00674BE7" w:rsidR="008005FD">
        <w:t>COP27</w:t>
      </w:r>
      <w:r w:rsidRPr="00674BE7">
        <w:t>)</w:t>
      </w:r>
      <w:r w:rsidRPr="00674BE7" w:rsidR="00595543">
        <w:t>,</w:t>
      </w:r>
      <w:r w:rsidRPr="00674BE7" w:rsidR="008005FD">
        <w:t xml:space="preserve"> </w:t>
      </w:r>
      <w:r w:rsidRPr="00674BE7" w:rsidR="00D3677B">
        <w:t>regrets</w:t>
      </w:r>
      <w:r w:rsidRPr="00674BE7" w:rsidR="008005FD">
        <w:t xml:space="preserve"> </w:t>
      </w:r>
      <w:r w:rsidRPr="00674BE7" w:rsidR="00595543">
        <w:t xml:space="preserve">that </w:t>
      </w:r>
      <w:r w:rsidRPr="00674BE7" w:rsidR="008005FD">
        <w:t xml:space="preserve">COP27 fell short of reaching a consensus </w:t>
      </w:r>
      <w:r w:rsidRPr="00674BE7" w:rsidR="007859AF">
        <w:t>to include</w:t>
      </w:r>
      <w:r w:rsidRPr="00674BE7" w:rsidR="008005FD">
        <w:t xml:space="preserve"> a clear path to</w:t>
      </w:r>
      <w:r w:rsidRPr="00674BE7" w:rsidR="00595543">
        <w:t xml:space="preserve"> limit global temperature rise to</w:t>
      </w:r>
      <w:r w:rsidRPr="00674BE7" w:rsidR="008005FD">
        <w:t xml:space="preserve"> 1.</w:t>
      </w:r>
      <w:r w:rsidRPr="00C95345" w:rsidR="008005FD">
        <w:t>5</w:t>
      </w:r>
      <w:r w:rsidRPr="00C95345" w:rsidR="008005FD">
        <w:rPr>
          <w:vertAlign w:val="superscript"/>
        </w:rPr>
        <w:t>o</w:t>
      </w:r>
      <w:r w:rsidRPr="00674BE7" w:rsidR="008005FD">
        <w:t>C</w:t>
      </w:r>
      <w:r w:rsidRPr="00674BE7" w:rsidR="00595543">
        <w:t>,</w:t>
      </w:r>
      <w:r w:rsidRPr="00674BE7" w:rsidR="008005FD">
        <w:t xml:space="preserve"> including a target for </w:t>
      </w:r>
      <w:r w:rsidRPr="00674BE7" w:rsidR="00D3677B">
        <w:t xml:space="preserve">peaking </w:t>
      </w:r>
      <w:r w:rsidRPr="00674BE7" w:rsidR="008005FD">
        <w:t xml:space="preserve">global emissions </w:t>
      </w:r>
      <w:r w:rsidRPr="00674BE7" w:rsidR="00595543">
        <w:t xml:space="preserve">by </w:t>
      </w:r>
      <w:r w:rsidRPr="00674BE7" w:rsidR="008005FD">
        <w:t>2025 and the phase</w:t>
      </w:r>
      <w:r w:rsidRPr="00674BE7" w:rsidR="002868F8">
        <w:t>-</w:t>
      </w:r>
      <w:r w:rsidRPr="00674BE7" w:rsidR="008005FD">
        <w:t>out of unabated fossil fuels</w:t>
      </w:r>
      <w:r w:rsidRPr="00674BE7" w:rsidR="00595543">
        <w:t>;</w:t>
      </w:r>
    </w:p>
    <w:p w:rsidRPr="00595543" w:rsidR="00595543" w:rsidP="00595543" w:rsidRDefault="00595543" w14:paraId="1A0C9862" w14:textId="77777777"/>
    <w:p w:rsidRPr="00595543" w:rsidR="00595543" w:rsidP="00595543" w:rsidRDefault="00CA0485" w14:paraId="2E06A671" w14:textId="4FB32002">
      <w:pPr>
        <w:pStyle w:val="Heading1"/>
        <w:ind w:left="567" w:hanging="567"/>
      </w:pPr>
      <w:r w:rsidRPr="00674BE7">
        <w:t>emphasises that</w:t>
      </w:r>
      <w:r w:rsidRPr="00674BE7" w:rsidR="00595543">
        <w:t xml:space="preserve"> climate risks will be magnified by any delay in providing effective measures to mitigate and adapt to climate change, therefore resulting</w:t>
      </w:r>
      <w:r w:rsidRPr="00674BE7" w:rsidR="009934E6">
        <w:t xml:space="preserve"> in increasing</w:t>
      </w:r>
      <w:r w:rsidRPr="00674BE7" w:rsidR="00595543">
        <w:t xml:space="preserve"> loss and damages;</w:t>
      </w:r>
      <w:r w:rsidRPr="00674BE7" w:rsidR="00C51571">
        <w:t xml:space="preserve"> </w:t>
      </w:r>
      <w:r w:rsidRPr="00674BE7">
        <w:t>notes</w:t>
      </w:r>
      <w:r w:rsidRPr="00674BE7" w:rsidR="00C51571">
        <w:t xml:space="preserve"> that the </w:t>
      </w:r>
      <w:hyperlink w:history="1" r:id="rId21">
        <w:r w:rsidRPr="00033B04" w:rsidR="00C51571">
          <w:rPr>
            <w:rStyle w:val="Hyperlink"/>
            <w:rFonts w:eastAsiaTheme="majorEastAsia"/>
          </w:rPr>
          <w:t xml:space="preserve">Summary for Urban Policymakers of the IPCC </w:t>
        </w:r>
        <w:r w:rsidR="00C51571">
          <w:rPr>
            <w:rStyle w:val="Hyperlink"/>
            <w:rFonts w:eastAsiaTheme="majorEastAsia"/>
          </w:rPr>
          <w:t>AR6 SYR</w:t>
        </w:r>
        <w:r w:rsidRPr="00674BE7" w:rsidR="00C51571">
          <w:rPr>
            <w:rFonts w:eastAsiaTheme="majorEastAsia"/>
          </w:rPr>
          <w:t xml:space="preserve"> </w:t>
        </w:r>
      </w:hyperlink>
      <w:r w:rsidRPr="00674BE7" w:rsidR="00C51571">
        <w:t>underlines that cities and urban areas will experience the most significant effects of climate change,</w:t>
      </w:r>
      <w:r w:rsidRPr="00674BE7" w:rsidR="009934E6">
        <w:t xml:space="preserve"> </w:t>
      </w:r>
      <w:r w:rsidRPr="00674BE7" w:rsidR="00C51571">
        <w:t xml:space="preserve">with local and regional authorities (LRAs) </w:t>
      </w:r>
      <w:r w:rsidRPr="00674BE7" w:rsidR="00095FA6">
        <w:t xml:space="preserve">already </w:t>
      </w:r>
      <w:r w:rsidRPr="00674BE7" w:rsidR="00C51571">
        <w:t xml:space="preserve">facing </w:t>
      </w:r>
      <w:r w:rsidRPr="00674BE7">
        <w:t xml:space="preserve">escalating and more severe </w:t>
      </w:r>
      <w:r w:rsidRPr="00674BE7" w:rsidR="00C51571">
        <w:t>extreme weather events</w:t>
      </w:r>
      <w:r w:rsidRPr="00674BE7">
        <w:t>;</w:t>
      </w:r>
    </w:p>
    <w:p w:rsidRPr="009934E6" w:rsidR="009934E6" w:rsidP="009934E6" w:rsidRDefault="009934E6" w14:paraId="401BFC55" w14:textId="77777777">
      <w:pPr>
        <w:rPr>
          <w:lang w:val="en-IE"/>
        </w:rPr>
      </w:pPr>
    </w:p>
    <w:p w:rsidRPr="009934E6" w:rsidR="009934E6" w:rsidP="009934E6" w:rsidRDefault="00095FA6" w14:paraId="427B14D5" w14:textId="566FE528">
      <w:pPr>
        <w:pStyle w:val="Heading1"/>
        <w:ind w:left="567" w:hanging="567"/>
      </w:pPr>
      <w:r w:rsidRPr="00674BE7">
        <w:t>highlights</w:t>
      </w:r>
      <w:r w:rsidRPr="00674BE7" w:rsidR="009934E6">
        <w:t xml:space="preserve"> that cities and regions are key allies in</w:t>
      </w:r>
      <w:r w:rsidRPr="00674BE7" w:rsidR="004F1C99">
        <w:t xml:space="preserve"> </w:t>
      </w:r>
      <w:r w:rsidRPr="00674BE7" w:rsidR="009934E6">
        <w:t>driving ambition further</w:t>
      </w:r>
      <w:r w:rsidRPr="00674BE7">
        <w:t>, both</w:t>
      </w:r>
      <w:r w:rsidRPr="00674BE7" w:rsidR="009934E6">
        <w:t xml:space="preserve"> </w:t>
      </w:r>
      <w:r w:rsidRPr="00674BE7">
        <w:t xml:space="preserve">in the lead-up and at COPs, by </w:t>
      </w:r>
      <w:r w:rsidRPr="00674BE7" w:rsidR="009934E6">
        <w:t xml:space="preserve">providing national negotiators with confidence that the Paris Agreement goals are implemented on the ground; </w:t>
      </w:r>
      <w:r w:rsidRPr="00674BE7">
        <w:t>recalls</w:t>
      </w:r>
      <w:r w:rsidRPr="00674BE7" w:rsidR="009934E6">
        <w:t xml:space="preserve"> that cities are</w:t>
      </w:r>
      <w:r w:rsidRPr="00674BE7" w:rsidR="008005FD">
        <w:t xml:space="preserve"> responsible for over 70% of global </w:t>
      </w:r>
      <w:r w:rsidRPr="00674BE7" w:rsidR="00800BE1">
        <w:t>greenhouse gas</w:t>
      </w:r>
      <w:r w:rsidRPr="00674BE7" w:rsidR="008005FD">
        <w:t xml:space="preserve"> emissions and consume about 80% of the world's energy</w:t>
      </w:r>
      <w:r w:rsidRPr="00D76014" w:rsidR="00674BE7">
        <w:rPr>
          <w:rStyle w:val="FootnoteReference"/>
          <w:sz w:val="24"/>
          <w:szCs w:val="22"/>
        </w:rPr>
        <w:footnoteReference w:id="1"/>
      </w:r>
      <w:r w:rsidRPr="00674BE7" w:rsidR="00CA0485">
        <w:t xml:space="preserve"> and </w:t>
      </w:r>
      <w:r w:rsidRPr="00674BE7" w:rsidR="009934E6">
        <w:t xml:space="preserve">that </w:t>
      </w:r>
      <w:r w:rsidRPr="00674BE7" w:rsidR="00C51571">
        <w:t>LRAs</w:t>
      </w:r>
      <w:r w:rsidRPr="00674BE7" w:rsidR="008005FD">
        <w:t xml:space="preserve"> are the closest level to citizens, </w:t>
      </w:r>
      <w:r w:rsidRPr="00674BE7">
        <w:t>showcasing</w:t>
      </w:r>
      <w:r w:rsidRPr="00674BE7" w:rsidR="008D3045">
        <w:t xml:space="preserve"> </w:t>
      </w:r>
      <w:r w:rsidRPr="00674BE7" w:rsidR="002868F8">
        <w:t xml:space="preserve">the </w:t>
      </w:r>
      <w:r w:rsidRPr="00674BE7" w:rsidR="008D3045">
        <w:t>visibility and credibility of climate action;</w:t>
      </w:r>
    </w:p>
    <w:p w:rsidRPr="00595543" w:rsidR="00595543" w:rsidP="009934E6" w:rsidRDefault="00595543" w14:paraId="7CE37B7E" w14:textId="77777777">
      <w:pPr>
        <w:pStyle w:val="Heading1"/>
        <w:numPr>
          <w:ilvl w:val="0"/>
          <w:numId w:val="0"/>
        </w:numPr>
        <w:ind w:left="567"/>
      </w:pPr>
    </w:p>
    <w:p w:rsidRPr="004F23E1" w:rsidR="004F23E1" w:rsidP="009934E6" w:rsidRDefault="00595543" w14:paraId="45C4F3B9" w14:textId="236B3CFA">
      <w:pPr>
        <w:pStyle w:val="Heading1"/>
        <w:ind w:left="567" w:hanging="567"/>
      </w:pPr>
      <w:r w:rsidRPr="00D76014">
        <w:t>underlines that cities and regions are spearheading ambitious action against climate change</w:t>
      </w:r>
      <w:r w:rsidRPr="00674BE7" w:rsidR="003D645A">
        <w:t xml:space="preserve"> </w:t>
      </w:r>
      <w:r w:rsidRPr="00D76014" w:rsidR="003D645A">
        <w:t>despite growing responsibilities placed on them</w:t>
      </w:r>
      <w:r w:rsidRPr="00D76014" w:rsidR="008E2085">
        <w:t>. This is</w:t>
      </w:r>
      <w:r w:rsidRPr="00D76014">
        <w:t xml:space="preserve"> </w:t>
      </w:r>
      <w:r w:rsidRPr="00D76014" w:rsidR="00DD789B">
        <w:t>evidenced</w:t>
      </w:r>
      <w:r w:rsidRPr="00D76014">
        <w:t xml:space="preserve"> by the </w:t>
      </w:r>
      <w:hyperlink w:history="1" r:id="rId22">
        <w:r w:rsidRPr="00595543">
          <w:rPr>
            <w:rStyle w:val="Hyperlink"/>
            <w:rFonts w:eastAsiaTheme="majorEastAsia"/>
          </w:rPr>
          <w:t>Global Covenant of Mayors for Climate and Energy (GCoM) 2022 Impact Report</w:t>
        </w:r>
      </w:hyperlink>
      <w:r w:rsidRPr="00D76014">
        <w:rPr>
          <w:rFonts w:eastAsiaTheme="majorEastAsia"/>
        </w:rPr>
        <w:t xml:space="preserve">, </w:t>
      </w:r>
      <w:r w:rsidRPr="00D76014">
        <w:t>which shows that over 12</w:t>
      </w:r>
      <w:r w:rsidRPr="00D76014" w:rsidR="002868F8">
        <w:t xml:space="preserve"> </w:t>
      </w:r>
      <w:r w:rsidRPr="00D76014">
        <w:t xml:space="preserve">500 GCoM signatories across 144 countries are already tackling climate change by </w:t>
      </w:r>
      <w:r w:rsidRPr="00674BE7">
        <w:t>improving</w:t>
      </w:r>
      <w:r w:rsidRPr="00D76014">
        <w:t xml:space="preserve"> energy efficiency</w:t>
      </w:r>
      <w:r w:rsidRPr="00D76014" w:rsidR="00F669E3">
        <w:t xml:space="preserve"> and sufficiency</w:t>
      </w:r>
      <w:r w:rsidRPr="00D76014">
        <w:t>, investing in renewable energy, addressing energy access and adapting to climate change;</w:t>
      </w:r>
    </w:p>
    <w:p w:rsidRPr="008005FD" w:rsidR="008005FD" w:rsidP="008005FD" w:rsidRDefault="008005FD" w14:paraId="1B4C6B2D" w14:textId="77777777"/>
    <w:p w:rsidRPr="00D76014" w:rsidR="008005FD" w:rsidP="00CC133A" w:rsidRDefault="008005FD" w14:paraId="303CCDE7" w14:textId="30B1C940">
      <w:pPr>
        <w:pStyle w:val="Heading1"/>
        <w:ind w:left="567" w:hanging="567"/>
      </w:pPr>
      <w:r w:rsidRPr="00D76014">
        <w:t>underlines</w:t>
      </w:r>
      <w:r w:rsidRPr="00D76014" w:rsidR="00F47008">
        <w:t xml:space="preserve"> that</w:t>
      </w:r>
      <w:r w:rsidRPr="00D76014">
        <w:t xml:space="preserve"> the </w:t>
      </w:r>
      <w:r w:rsidRPr="00D76014" w:rsidR="00BE7002">
        <w:t>f</w:t>
      </w:r>
      <w:r w:rsidRPr="00D76014">
        <w:t xml:space="preserve">irst </w:t>
      </w:r>
      <w:r w:rsidRPr="00674BE7" w:rsidR="00F47008">
        <w:rPr>
          <w:rFonts w:eastAsiaTheme="majorEastAsia"/>
        </w:rPr>
        <w:t xml:space="preserve">Global Stocktake </w:t>
      </w:r>
      <w:r w:rsidRPr="00674BE7" w:rsidR="009934E6">
        <w:rPr>
          <w:rFonts w:eastAsiaTheme="majorEastAsia"/>
        </w:rPr>
        <w:t xml:space="preserve">(GST) </w:t>
      </w:r>
      <w:r w:rsidRPr="00D76014">
        <w:t>must lead all Parties</w:t>
      </w:r>
      <w:r w:rsidRPr="00D76014" w:rsidR="00F47008">
        <w:t xml:space="preserve"> and</w:t>
      </w:r>
      <w:r w:rsidRPr="00D76014">
        <w:t xml:space="preserve"> non-</w:t>
      </w:r>
      <w:r w:rsidRPr="00D76014" w:rsidR="00C51571">
        <w:t xml:space="preserve">Party stakeholders </w:t>
      </w:r>
      <w:r w:rsidRPr="00D76014">
        <w:t xml:space="preserve">on an urgent path to accelerate </w:t>
      </w:r>
      <w:r w:rsidRPr="00674BE7">
        <w:t>climate</w:t>
      </w:r>
      <w:r w:rsidRPr="00D76014">
        <w:t xml:space="preserve"> action</w:t>
      </w:r>
      <w:r w:rsidRPr="00D76014" w:rsidR="00EF64C6">
        <w:t xml:space="preserve">; </w:t>
      </w:r>
      <w:r w:rsidRPr="00D76014" w:rsidR="00466896">
        <w:t>considers that</w:t>
      </w:r>
      <w:r w:rsidRPr="00D76014">
        <w:t xml:space="preserve"> </w:t>
      </w:r>
      <w:r w:rsidRPr="00D76014" w:rsidR="009934E6">
        <w:t>the GST</w:t>
      </w:r>
      <w:r w:rsidRPr="00D76014">
        <w:t xml:space="preserve"> </w:t>
      </w:r>
      <w:r w:rsidRPr="00D76014" w:rsidR="00466896">
        <w:t>presents</w:t>
      </w:r>
      <w:r w:rsidRPr="00D76014">
        <w:t xml:space="preserve"> an unmissable opportunity to scale up </w:t>
      </w:r>
      <w:r w:rsidRPr="00674BE7" w:rsidR="00466896">
        <w:t>climate action</w:t>
      </w:r>
      <w:r w:rsidRPr="00D76014">
        <w:t xml:space="preserve"> by working across </w:t>
      </w:r>
      <w:r w:rsidRPr="00D76014" w:rsidR="00F47008">
        <w:t xml:space="preserve">all </w:t>
      </w:r>
      <w:r w:rsidRPr="00D76014">
        <w:t>level</w:t>
      </w:r>
      <w:r w:rsidRPr="00D76014" w:rsidR="00F47008">
        <w:t>s of governance</w:t>
      </w:r>
      <w:r w:rsidRPr="00D76014">
        <w:t xml:space="preserve"> and sector</w:t>
      </w:r>
      <w:r w:rsidRPr="00D76014" w:rsidR="00F47008">
        <w:t>s</w:t>
      </w:r>
      <w:r w:rsidRPr="00D76014">
        <w:t xml:space="preserve">, </w:t>
      </w:r>
      <w:r w:rsidRPr="00D76014" w:rsidR="00466896">
        <w:t>fostering trust, citizen engagement, transparency and accountability;</w:t>
      </w:r>
    </w:p>
    <w:p w:rsidRPr="00F6640B" w:rsidR="00F47008" w:rsidP="00F47008" w:rsidRDefault="00582955" w14:paraId="6CDE1D5F" w14:textId="633664F2">
      <w:pPr>
        <w:keepNext/>
        <w:rPr>
          <w:b/>
          <w:bCs/>
          <w:i/>
          <w:iCs/>
          <w:color w:val="000000"/>
        </w:rPr>
      </w:pPr>
      <w:r w:rsidRPr="00F6640B">
        <w:rPr>
          <w:b/>
          <w:i/>
          <w:iCs/>
          <w:color w:val="000000"/>
        </w:rPr>
        <w:t>A</w:t>
      </w:r>
      <w:r w:rsidR="0001456B">
        <w:rPr>
          <w:b/>
          <w:i/>
          <w:iCs/>
          <w:color w:val="000000"/>
        </w:rPr>
        <w:t xml:space="preserve">n </w:t>
      </w:r>
      <w:r w:rsidRPr="00F6640B">
        <w:rPr>
          <w:b/>
          <w:i/>
          <w:iCs/>
          <w:color w:val="000000"/>
        </w:rPr>
        <w:t>opportunity for the EU: working for continued cooperation towards, during and beyond COP28</w:t>
      </w:r>
    </w:p>
    <w:p w:rsidRPr="00F47008" w:rsidR="00F47008" w:rsidP="00F47008" w:rsidRDefault="00F47008" w14:paraId="2DE47E6E" w14:textId="77777777"/>
    <w:p w:rsidR="00F47008" w:rsidP="00F47008" w:rsidRDefault="00F47008" w14:paraId="100AFF89" w14:textId="1990B9F6">
      <w:pPr>
        <w:pStyle w:val="Heading1"/>
        <w:ind w:left="567" w:hanging="567"/>
        <w:rPr>
          <w:color w:val="000000"/>
        </w:rPr>
      </w:pPr>
      <w:r>
        <w:rPr>
          <w:color w:val="000000"/>
        </w:rPr>
        <w:t xml:space="preserve">welcomes the successful cooperation with the European Commission and co-legislators at COP27 and reaffirms its commitment </w:t>
      </w:r>
      <w:r w:rsidRPr="007D6E87" w:rsidR="007D6E87">
        <w:rPr>
          <w:color w:val="000000"/>
        </w:rPr>
        <w:t xml:space="preserve">to strengthening synergies </w:t>
      </w:r>
      <w:r w:rsidR="007D6E87">
        <w:rPr>
          <w:color w:val="000000"/>
        </w:rPr>
        <w:t>and</w:t>
      </w:r>
      <w:r w:rsidRPr="007D6E87" w:rsidR="007D6E87">
        <w:rPr>
          <w:color w:val="000000"/>
        </w:rPr>
        <w:t xml:space="preserve"> promot</w:t>
      </w:r>
      <w:r w:rsidR="002868F8">
        <w:rPr>
          <w:color w:val="000000"/>
        </w:rPr>
        <w:t>ing</w:t>
      </w:r>
      <w:r w:rsidRPr="007D6E87" w:rsidR="007D6E87">
        <w:rPr>
          <w:color w:val="000000"/>
        </w:rPr>
        <w:t xml:space="preserve"> the engagement of LRAs in UNFCCC processes</w:t>
      </w:r>
      <w:r w:rsidR="00997615">
        <w:rPr>
          <w:color w:val="000000"/>
        </w:rPr>
        <w:t>; i</w:t>
      </w:r>
      <w:r w:rsidR="007D6E87">
        <w:rPr>
          <w:color w:val="000000"/>
        </w:rPr>
        <w:t>nvites</w:t>
      </w:r>
      <w:r>
        <w:rPr>
          <w:color w:val="000000"/>
        </w:rPr>
        <w:t xml:space="preserve"> the </w:t>
      </w:r>
      <w:r w:rsidR="00EF64C6">
        <w:rPr>
          <w:color w:val="000000"/>
        </w:rPr>
        <w:t xml:space="preserve">European </w:t>
      </w:r>
      <w:r w:rsidR="00876512">
        <w:rPr>
          <w:color w:val="000000"/>
        </w:rPr>
        <w:t>C</w:t>
      </w:r>
      <w:r>
        <w:rPr>
          <w:color w:val="000000"/>
        </w:rPr>
        <w:t xml:space="preserve">ommission to </w:t>
      </w:r>
      <w:r w:rsidR="00D06474">
        <w:rPr>
          <w:color w:val="000000"/>
        </w:rPr>
        <w:t xml:space="preserve">further </w:t>
      </w:r>
      <w:r>
        <w:rPr>
          <w:color w:val="000000"/>
        </w:rPr>
        <w:t xml:space="preserve">support the </w:t>
      </w:r>
      <w:r w:rsidR="007D6E87">
        <w:rPr>
          <w:color w:val="000000"/>
        </w:rPr>
        <w:t>participation</w:t>
      </w:r>
      <w:r>
        <w:rPr>
          <w:color w:val="000000"/>
        </w:rPr>
        <w:t xml:space="preserve"> of European Climate Pact Ambassadors at COP28;</w:t>
      </w:r>
    </w:p>
    <w:p w:rsidRPr="00F47008" w:rsidR="00F47008" w:rsidP="00F47008" w:rsidRDefault="00F47008" w14:paraId="5EEF301D" w14:textId="77777777"/>
    <w:p w:rsidR="00F47008" w:rsidP="00F47008" w:rsidRDefault="00F47008" w14:paraId="05A61A66" w14:textId="4B64E358">
      <w:pPr>
        <w:pStyle w:val="Heading1"/>
        <w:ind w:left="567" w:hanging="567"/>
        <w:rPr>
          <w:color w:val="000000"/>
        </w:rPr>
      </w:pPr>
      <w:r w:rsidRPr="00F47008">
        <w:rPr>
          <w:color w:val="000000"/>
        </w:rPr>
        <w:t xml:space="preserve">calls on the Spanish Presidency of the Council of the </w:t>
      </w:r>
      <w:r w:rsidR="009D12B5">
        <w:rPr>
          <w:color w:val="000000"/>
        </w:rPr>
        <w:t>EU</w:t>
      </w:r>
      <w:r w:rsidRPr="00F47008">
        <w:rPr>
          <w:color w:val="000000"/>
        </w:rPr>
        <w:t xml:space="preserve"> to recognise in the Council Conclusions on the preparations for COP28 the leadership of </w:t>
      </w:r>
      <w:r w:rsidR="009D12B5">
        <w:rPr>
          <w:color w:val="000000"/>
        </w:rPr>
        <w:t>LRAs</w:t>
      </w:r>
      <w:r w:rsidRPr="00F47008">
        <w:rPr>
          <w:color w:val="000000"/>
        </w:rPr>
        <w:t xml:space="preserve"> in accelerating and broadening climate mitigation and adaptation action</w:t>
      </w:r>
      <w:r w:rsidR="009D12B5">
        <w:rPr>
          <w:color w:val="000000"/>
        </w:rPr>
        <w:t>,</w:t>
      </w:r>
      <w:r w:rsidRPr="00F47008">
        <w:rPr>
          <w:color w:val="000000"/>
        </w:rPr>
        <w:t xml:space="preserve"> while effectively </w:t>
      </w:r>
      <w:r w:rsidRPr="00F47008">
        <w:t>engaging</w:t>
      </w:r>
      <w:r w:rsidRPr="00F47008">
        <w:rPr>
          <w:color w:val="000000"/>
        </w:rPr>
        <w:t xml:space="preserve"> citizens in the transformative process to sustainable lifestyles and patterns of consumption and production</w:t>
      </w:r>
      <w:r w:rsidR="00876512">
        <w:rPr>
          <w:color w:val="000000"/>
        </w:rPr>
        <w:t xml:space="preserve">, as well as </w:t>
      </w:r>
      <w:r w:rsidRPr="00F47008">
        <w:rPr>
          <w:color w:val="000000"/>
        </w:rPr>
        <w:t xml:space="preserve">to </w:t>
      </w:r>
      <w:r w:rsidR="00D06474">
        <w:rPr>
          <w:color w:val="000000"/>
        </w:rPr>
        <w:t xml:space="preserve">stress </w:t>
      </w:r>
      <w:r w:rsidRPr="00D06474" w:rsidR="00D06474">
        <w:rPr>
          <w:color w:val="000000"/>
        </w:rPr>
        <w:t xml:space="preserve">the need for increased involvement of </w:t>
      </w:r>
      <w:r w:rsidR="009D12B5">
        <w:rPr>
          <w:color w:val="000000"/>
        </w:rPr>
        <w:t>LRAs</w:t>
      </w:r>
      <w:r w:rsidRPr="00D06474" w:rsidR="00D06474">
        <w:rPr>
          <w:color w:val="000000"/>
        </w:rPr>
        <w:t xml:space="preserve"> in the process of updating and implementing nationally determined contributions</w:t>
      </w:r>
      <w:r w:rsidR="00D06474">
        <w:rPr>
          <w:color w:val="000000"/>
        </w:rPr>
        <w:t xml:space="preserve"> (NDCs)</w:t>
      </w:r>
      <w:r w:rsidRPr="00D06474" w:rsidR="00D06474">
        <w:rPr>
          <w:color w:val="000000"/>
        </w:rPr>
        <w:t xml:space="preserve">, national adaptation plans </w:t>
      </w:r>
      <w:r w:rsidR="00D06474">
        <w:rPr>
          <w:color w:val="000000"/>
        </w:rPr>
        <w:t>(NAPs</w:t>
      </w:r>
      <w:r w:rsidR="00180EB8">
        <w:rPr>
          <w:color w:val="000000"/>
        </w:rPr>
        <w:t>)</w:t>
      </w:r>
      <w:r w:rsidR="00D06474">
        <w:rPr>
          <w:color w:val="000000"/>
        </w:rPr>
        <w:t xml:space="preserve"> </w:t>
      </w:r>
      <w:r w:rsidRPr="00D06474" w:rsidR="00D06474">
        <w:rPr>
          <w:color w:val="000000"/>
        </w:rPr>
        <w:t>and long-term strategies;</w:t>
      </w:r>
    </w:p>
    <w:p w:rsidRPr="00F47008" w:rsidR="00F47008" w:rsidP="00F47008" w:rsidRDefault="00F47008" w14:paraId="46AF4135" w14:textId="77777777"/>
    <w:p w:rsidR="00F47008" w:rsidP="00F47008" w:rsidRDefault="00F47008" w14:paraId="504F8070" w14:textId="7E763C47">
      <w:pPr>
        <w:pStyle w:val="Heading1"/>
        <w:ind w:left="567" w:hanging="567"/>
        <w:rPr>
          <w:color w:val="000000"/>
        </w:rPr>
      </w:pPr>
      <w:r>
        <w:rPr>
          <w:color w:val="000000"/>
        </w:rPr>
        <w:t>welcomes the recognition of the role of subnational governments in the European Parliament Resolution on COP27 and encourages the European Parliament to further develop these messages in its Resolution on COP28</w:t>
      </w:r>
      <w:r w:rsidR="00997615">
        <w:rPr>
          <w:color w:val="000000"/>
        </w:rPr>
        <w:t>; h</w:t>
      </w:r>
      <w:r>
        <w:rPr>
          <w:color w:val="000000"/>
        </w:rPr>
        <w:t>ighlights the importance of strong coordinated action between the European Parliament and the CoR delegations to COP28;</w:t>
      </w:r>
    </w:p>
    <w:p w:rsidRPr="005C7A9F" w:rsidR="005C7A9F" w:rsidP="005C7A9F" w:rsidRDefault="005C7A9F" w14:paraId="3EE264F4" w14:textId="77777777"/>
    <w:p w:rsidR="004F23E1" w:rsidP="00876512" w:rsidRDefault="00EF64C6" w14:paraId="59B03A86" w14:textId="37C228EC">
      <w:pPr>
        <w:pStyle w:val="Heading1"/>
        <w:ind w:left="567" w:hanging="567"/>
        <w:rPr>
          <w:color w:val="000000"/>
        </w:rPr>
      </w:pPr>
      <w:r>
        <w:rPr>
          <w:color w:val="000000"/>
        </w:rPr>
        <w:t>a</w:t>
      </w:r>
      <w:r w:rsidRPr="00EF64C6">
        <w:rPr>
          <w:color w:val="000000"/>
        </w:rPr>
        <w:t>cknowledges the EU's leadership in</w:t>
      </w:r>
      <w:r w:rsidR="00F6640B">
        <w:rPr>
          <w:color w:val="000000"/>
        </w:rPr>
        <w:t xml:space="preserve"> becoming the first climate neutral continent </w:t>
      </w:r>
      <w:r w:rsidR="00471128">
        <w:rPr>
          <w:color w:val="000000"/>
        </w:rPr>
        <w:t xml:space="preserve">by 2050 </w:t>
      </w:r>
      <w:r w:rsidR="00F6640B">
        <w:rPr>
          <w:color w:val="000000"/>
        </w:rPr>
        <w:t>and</w:t>
      </w:r>
      <w:r w:rsidR="007D6E87">
        <w:rPr>
          <w:color w:val="000000"/>
        </w:rPr>
        <w:t xml:space="preserve"> the</w:t>
      </w:r>
      <w:r w:rsidR="00F6640B">
        <w:rPr>
          <w:color w:val="000000"/>
        </w:rPr>
        <w:t xml:space="preserve"> </w:t>
      </w:r>
      <w:r w:rsidRPr="00EF64C6">
        <w:rPr>
          <w:color w:val="000000"/>
        </w:rPr>
        <w:t xml:space="preserve">progress made </w:t>
      </w:r>
      <w:r w:rsidR="00F6640B">
        <w:rPr>
          <w:color w:val="000000"/>
        </w:rPr>
        <w:t>in the adoption of</w:t>
      </w:r>
      <w:r w:rsidRPr="00EF64C6">
        <w:rPr>
          <w:color w:val="000000"/>
        </w:rPr>
        <w:t xml:space="preserve"> the Fit for 55 package and efforts to strengthen the 55% reduction target for 2030</w:t>
      </w:r>
      <w:r w:rsidR="00F6640B">
        <w:rPr>
          <w:color w:val="000000"/>
        </w:rPr>
        <w:t xml:space="preserve">; </w:t>
      </w:r>
      <w:r w:rsidR="00471128">
        <w:rPr>
          <w:color w:val="000000"/>
        </w:rPr>
        <w:t xml:space="preserve">stands ready to contribute to the establishment of a new EU </w:t>
      </w:r>
      <w:r w:rsidRPr="00F6640B" w:rsidR="00F6640B">
        <w:rPr>
          <w:color w:val="000000"/>
        </w:rPr>
        <w:t>climate target</w:t>
      </w:r>
      <w:r w:rsidR="00F964CA">
        <w:rPr>
          <w:color w:val="000000"/>
        </w:rPr>
        <w:t xml:space="preserve"> for 2040</w:t>
      </w:r>
      <w:r w:rsidR="00F6640B">
        <w:rPr>
          <w:color w:val="000000"/>
        </w:rPr>
        <w:t>;</w:t>
      </w:r>
    </w:p>
    <w:p w:rsidRPr="004F23E1" w:rsidR="004F23E1" w:rsidP="004F23E1" w:rsidRDefault="004F23E1" w14:paraId="262D5965" w14:textId="77777777"/>
    <w:p w:rsidRPr="00F6640B" w:rsidR="00F6640B" w:rsidP="00F6640B" w:rsidRDefault="00876512" w14:paraId="2F5248A3" w14:textId="2BF84E4C">
      <w:pPr>
        <w:pStyle w:val="Heading1"/>
        <w:ind w:left="567" w:hanging="567"/>
        <w:rPr>
          <w:rStyle w:val="CommentReference"/>
          <w:b/>
          <w:bCs/>
          <w:i/>
          <w:iCs/>
          <w:color w:val="000000"/>
          <w:sz w:val="22"/>
          <w:szCs w:val="20"/>
        </w:rPr>
      </w:pPr>
      <w:r>
        <w:rPr>
          <w:color w:val="000000"/>
        </w:rPr>
        <w:t>remains</w:t>
      </w:r>
      <w:r w:rsidR="005C7A9F">
        <w:rPr>
          <w:color w:val="000000"/>
        </w:rPr>
        <w:t xml:space="preserve"> committed to contribu</w:t>
      </w:r>
      <w:r>
        <w:rPr>
          <w:color w:val="000000"/>
        </w:rPr>
        <w:t xml:space="preserve">te to the EU's leadership in international climate negotiations </w:t>
      </w:r>
      <w:r w:rsidR="005C7A9F">
        <w:rPr>
          <w:color w:val="000000"/>
        </w:rPr>
        <w:t>through enhanced subnational climate diplomacy</w:t>
      </w:r>
      <w:r w:rsidR="00F6640B">
        <w:rPr>
          <w:color w:val="000000"/>
        </w:rPr>
        <w:t xml:space="preserve"> </w:t>
      </w:r>
      <w:r w:rsidR="00F964CA">
        <w:rPr>
          <w:color w:val="000000"/>
        </w:rPr>
        <w:t>and to engage</w:t>
      </w:r>
      <w:r w:rsidRPr="00876512" w:rsidR="005C7A9F">
        <w:rPr>
          <w:color w:val="000000"/>
        </w:rPr>
        <w:t xml:space="preserve"> all CoR external relations bodies (ARLEM, CORLEAP, </w:t>
      </w:r>
      <w:r>
        <w:rPr>
          <w:color w:val="000000"/>
        </w:rPr>
        <w:t>J</w:t>
      </w:r>
      <w:r w:rsidRPr="00876512" w:rsidR="005C7A9F">
        <w:rPr>
          <w:color w:val="000000"/>
        </w:rPr>
        <w:t xml:space="preserve">oint </w:t>
      </w:r>
      <w:r>
        <w:rPr>
          <w:color w:val="000000"/>
        </w:rPr>
        <w:t>C</w:t>
      </w:r>
      <w:r w:rsidRPr="00876512" w:rsidR="005C7A9F">
        <w:rPr>
          <w:color w:val="000000"/>
        </w:rPr>
        <w:t xml:space="preserve">onsultative </w:t>
      </w:r>
      <w:r>
        <w:rPr>
          <w:color w:val="000000"/>
        </w:rPr>
        <w:t>C</w:t>
      </w:r>
      <w:r w:rsidRPr="00876512" w:rsidR="005C7A9F">
        <w:rPr>
          <w:color w:val="000000"/>
        </w:rPr>
        <w:t xml:space="preserve">ommittees, peer-to-peer cooperation) </w:t>
      </w:r>
      <w:r w:rsidR="00F6640B">
        <w:rPr>
          <w:color w:val="000000"/>
        </w:rPr>
        <w:t xml:space="preserve">with a view to </w:t>
      </w:r>
      <w:r w:rsidR="00F964CA">
        <w:rPr>
          <w:color w:val="000000"/>
        </w:rPr>
        <w:t>ensur</w:t>
      </w:r>
      <w:r w:rsidR="002868F8">
        <w:rPr>
          <w:color w:val="000000"/>
        </w:rPr>
        <w:t>ing</w:t>
      </w:r>
      <w:r w:rsidR="00F6640B">
        <w:rPr>
          <w:color w:val="000000"/>
        </w:rPr>
        <w:t xml:space="preserve"> that commitments made at global level are translated into </w:t>
      </w:r>
      <w:r w:rsidR="00F964CA">
        <w:rPr>
          <w:color w:val="000000"/>
        </w:rPr>
        <w:t>tangible</w:t>
      </w:r>
      <w:r w:rsidR="00F6640B">
        <w:rPr>
          <w:color w:val="000000"/>
        </w:rPr>
        <w:t xml:space="preserve"> action </w:t>
      </w:r>
      <w:r w:rsidR="00F964CA">
        <w:rPr>
          <w:color w:val="000000"/>
        </w:rPr>
        <w:t>on the ground</w:t>
      </w:r>
      <w:r w:rsidR="00F6640B">
        <w:rPr>
          <w:color w:val="000000"/>
        </w:rPr>
        <w:t>;</w:t>
      </w:r>
    </w:p>
    <w:p w:rsidR="00F6640B" w:rsidP="00F6640B" w:rsidRDefault="00F6640B" w14:paraId="1C6DDA36" w14:textId="77777777">
      <w:pPr>
        <w:pStyle w:val="Heading1"/>
        <w:numPr>
          <w:ilvl w:val="0"/>
          <w:numId w:val="0"/>
        </w:numPr>
        <w:ind w:left="567"/>
        <w:rPr>
          <w:rStyle w:val="CommentReference"/>
          <w:kern w:val="0"/>
          <w:lang w:val="en-US"/>
        </w:rPr>
      </w:pPr>
    </w:p>
    <w:p w:rsidRPr="008A363B" w:rsidR="00F47008" w:rsidP="00F6640B" w:rsidRDefault="00F47008" w14:paraId="756E4484" w14:textId="02B95E93">
      <w:pPr>
        <w:keepNext/>
        <w:rPr>
          <w:b/>
          <w:bCs/>
          <w:i/>
          <w:iCs/>
          <w:color w:val="000000"/>
        </w:rPr>
      </w:pPr>
      <w:r w:rsidRPr="00F6640B">
        <w:rPr>
          <w:b/>
          <w:i/>
          <w:iCs/>
          <w:color w:val="000000"/>
        </w:rPr>
        <w:t>Advancing local mitigation and adaptation action to meet the Paris Agreement goals</w:t>
      </w:r>
    </w:p>
    <w:p w:rsidRPr="008A363B" w:rsidR="00D06474" w:rsidP="00F47008" w:rsidRDefault="00D06474" w14:paraId="58A48D7F" w14:textId="3BD52444">
      <w:pPr>
        <w:rPr>
          <w:b/>
          <w:bCs/>
          <w:i/>
          <w:iCs/>
          <w:color w:val="000000"/>
        </w:rPr>
      </w:pPr>
    </w:p>
    <w:p w:rsidRPr="00F6640B" w:rsidR="00D06474" w:rsidP="008F5103" w:rsidRDefault="008A363B" w14:paraId="7ADD2A74" w14:textId="22392076">
      <w:pPr>
        <w:rPr>
          <w:color w:val="000000"/>
          <w:u w:val="single"/>
        </w:rPr>
      </w:pPr>
      <w:r w:rsidRPr="00F6640B">
        <w:rPr>
          <w:color w:val="000000"/>
          <w:u w:val="single"/>
        </w:rPr>
        <w:t>Mitigation</w:t>
      </w:r>
      <w:r w:rsidRPr="00F6640B" w:rsidR="00BE40B2">
        <w:rPr>
          <w:color w:val="000000"/>
          <w:u w:val="single"/>
        </w:rPr>
        <w:t xml:space="preserve"> </w:t>
      </w:r>
      <w:r w:rsidRPr="008F5103" w:rsidR="00BE40B2">
        <w:rPr>
          <w:u w:val="single"/>
          <w:lang w:val="en-IE"/>
        </w:rPr>
        <w:t>action</w:t>
      </w:r>
      <w:r w:rsidRPr="00F6640B" w:rsidR="00BE40B2">
        <w:rPr>
          <w:color w:val="000000"/>
          <w:u w:val="single"/>
        </w:rPr>
        <w:t xml:space="preserve"> </w:t>
      </w:r>
    </w:p>
    <w:p w:rsidRPr="00D95E3A" w:rsidR="00F669E3" w:rsidP="00D95E3A" w:rsidRDefault="00F669E3" w14:paraId="32856A0A" w14:textId="77777777">
      <w:pPr>
        <w:pStyle w:val="Heading1"/>
        <w:numPr>
          <w:ilvl w:val="0"/>
          <w:numId w:val="0"/>
        </w:numPr>
        <w:ind w:left="567"/>
        <w:rPr>
          <w:color w:val="000000"/>
        </w:rPr>
      </w:pPr>
    </w:p>
    <w:p w:rsidRPr="00D76014" w:rsidR="00690821" w:rsidP="00D95E3A" w:rsidRDefault="00690821" w14:paraId="031169F7" w14:textId="189D0E3C">
      <w:pPr>
        <w:pStyle w:val="Heading1"/>
        <w:ind w:left="567" w:hanging="567"/>
      </w:pPr>
      <w:r w:rsidRPr="00D76014">
        <w:t xml:space="preserve">highlights that the objective of global energy security is not to be considered </w:t>
      </w:r>
      <w:r w:rsidRPr="00D76014" w:rsidR="00F6640B">
        <w:t>an</w:t>
      </w:r>
      <w:r w:rsidRPr="00D76014">
        <w:t xml:space="preserve"> alternative to the</w:t>
      </w:r>
      <w:r w:rsidRPr="00D76014" w:rsidR="00F6640B">
        <w:t xml:space="preserve"> objectives of</w:t>
      </w:r>
      <w:r w:rsidRPr="00D76014" w:rsidR="00ED4C14">
        <w:t xml:space="preserve"> the</w:t>
      </w:r>
      <w:r w:rsidRPr="00D76014">
        <w:t xml:space="preserve"> Paris Agreement and </w:t>
      </w:r>
      <w:r w:rsidRPr="00D76014" w:rsidR="00B677BF">
        <w:t>urges</w:t>
      </w:r>
      <w:r w:rsidRPr="00D76014">
        <w:t xml:space="preserve"> Parties not to compromise between these objectives</w:t>
      </w:r>
      <w:r w:rsidRPr="00D76014" w:rsidR="00B677BF">
        <w:t xml:space="preserve"> by </w:t>
      </w:r>
      <w:r w:rsidRPr="00D76014">
        <w:t xml:space="preserve">speeding up the shift to renewable energy, </w:t>
      </w:r>
      <w:r w:rsidRPr="00674BE7" w:rsidR="0068190A">
        <w:t xml:space="preserve">low carbon safe and sustainable </w:t>
      </w:r>
      <w:r w:rsidR="00B86427">
        <w:t>energy</w:t>
      </w:r>
      <w:r w:rsidRPr="00674BE7" w:rsidR="00B86427">
        <w:t xml:space="preserve"> </w:t>
      </w:r>
      <w:r w:rsidRPr="00674BE7" w:rsidR="0068190A">
        <w:t>production</w:t>
      </w:r>
      <w:r w:rsidRPr="00674BE7" w:rsidR="0081608F">
        <w:t>,</w:t>
      </w:r>
      <w:r w:rsidRPr="00D76014" w:rsidR="0068190A">
        <w:t xml:space="preserve"> </w:t>
      </w:r>
      <w:r w:rsidRPr="00D76014">
        <w:t>and phasing-out subsidies for fossil fuels;</w:t>
      </w:r>
    </w:p>
    <w:p w:rsidRPr="00690821" w:rsidR="00690821" w:rsidP="00690821" w:rsidRDefault="00690821" w14:paraId="7708D43A" w14:textId="77777777"/>
    <w:p w:rsidR="00690821" w:rsidP="00D95E3A" w:rsidRDefault="0023377B" w14:paraId="6A0C05A3" w14:textId="1DB71091">
      <w:pPr>
        <w:pStyle w:val="Heading1"/>
        <w:ind w:left="567" w:hanging="567"/>
        <w:rPr>
          <w:color w:val="000000"/>
        </w:rPr>
      </w:pPr>
      <w:r w:rsidRPr="00D76014">
        <w:t>rea</w:t>
      </w:r>
      <w:r w:rsidRPr="00D76014" w:rsidR="00B677BF">
        <w:t xml:space="preserve">ffirms the steadfast commitment of LRAs to </w:t>
      </w:r>
      <w:r w:rsidRPr="00D76014" w:rsidR="00690821">
        <w:t>accelerat</w:t>
      </w:r>
      <w:r w:rsidRPr="00D76014" w:rsidR="00B677BF">
        <w:t>e</w:t>
      </w:r>
      <w:r w:rsidRPr="00D76014" w:rsidR="00690821">
        <w:t xml:space="preserve"> climate </w:t>
      </w:r>
      <w:r w:rsidRPr="00D76014" w:rsidR="00B677BF">
        <w:t>action</w:t>
      </w:r>
      <w:r w:rsidRPr="00D76014" w:rsidR="00690821">
        <w:t xml:space="preserve">, sometimes </w:t>
      </w:r>
      <w:r w:rsidRPr="00D76014" w:rsidR="00B677BF">
        <w:t>demonstrating greater</w:t>
      </w:r>
      <w:r w:rsidRPr="00D76014" w:rsidR="00690821">
        <w:t xml:space="preserve"> </w:t>
      </w:r>
      <w:r w:rsidRPr="00D76014" w:rsidR="00B677BF">
        <w:t>ambition</w:t>
      </w:r>
      <w:r w:rsidRPr="00D76014" w:rsidR="00690821">
        <w:t xml:space="preserve"> than their national governments</w:t>
      </w:r>
      <w:r w:rsidRPr="00D76014" w:rsidR="00674BE7">
        <w:rPr>
          <w:rStyle w:val="FootnoteReference"/>
          <w:color w:val="000000"/>
          <w:sz w:val="24"/>
          <w:szCs w:val="22"/>
        </w:rPr>
        <w:footnoteReference w:id="2"/>
      </w:r>
      <w:r w:rsidRPr="00D76014" w:rsidR="00690821">
        <w:t xml:space="preserve">, as </w:t>
      </w:r>
      <w:r w:rsidRPr="00D76014" w:rsidR="00B677BF">
        <w:t>shown</w:t>
      </w:r>
      <w:r w:rsidRPr="00D76014" w:rsidR="00690821">
        <w:t xml:space="preserve"> by cities and regions in initiatives such as the Race</w:t>
      </w:r>
      <w:r w:rsidRPr="00D76014">
        <w:t xml:space="preserve"> to </w:t>
      </w:r>
      <w:r w:rsidRPr="00D76014" w:rsidR="00690821">
        <w:t>Zero, Race</w:t>
      </w:r>
      <w:r w:rsidRPr="00D76014">
        <w:t xml:space="preserve"> to </w:t>
      </w:r>
      <w:r w:rsidRPr="00D76014" w:rsidR="00690821">
        <w:t>Resilience</w:t>
      </w:r>
      <w:r w:rsidRPr="00674BE7" w:rsidR="00690821">
        <w:t>,</w:t>
      </w:r>
      <w:r w:rsidRPr="00D76014" w:rsidR="00690821">
        <w:t xml:space="preserve"> </w:t>
      </w:r>
      <w:r w:rsidRPr="00D76014" w:rsidR="0091359A">
        <w:t>MI Urban Transitions Mission</w:t>
      </w:r>
      <w:r w:rsidRPr="00D76014" w:rsidR="00B677BF">
        <w:t xml:space="preserve">, </w:t>
      </w:r>
      <w:r w:rsidRPr="00D76014" w:rsidR="00690821">
        <w:t>Climate Action Pathways, the Global Covenant of Mayors, Local Green Deals, and networks such as ICLEI, Regions4, Under2 Coalition, C40 cities,</w:t>
      </w:r>
      <w:r w:rsidRPr="00D76014" w:rsidR="0091359A">
        <w:t xml:space="preserve"> Climate Alliance</w:t>
      </w:r>
      <w:r w:rsidRPr="00D76014" w:rsidR="00690821">
        <w:t xml:space="preserve"> and many others;</w:t>
      </w:r>
    </w:p>
    <w:p w:rsidRPr="008A363B" w:rsidR="008A363B" w:rsidP="008A363B" w:rsidRDefault="008A363B" w14:paraId="03228BFB" w14:textId="77777777"/>
    <w:p w:rsidRPr="00674BE7" w:rsidR="008A363B" w:rsidP="008A363B" w:rsidRDefault="002868F8" w14:paraId="61C8142C" w14:textId="7031AD49">
      <w:pPr>
        <w:pStyle w:val="Heading1"/>
        <w:ind w:left="567" w:hanging="567"/>
      </w:pPr>
      <w:r w:rsidRPr="00D76014">
        <w:t>h</w:t>
      </w:r>
      <w:r w:rsidRPr="00D76014" w:rsidR="008A363B">
        <w:t xml:space="preserve">ighlights that </w:t>
      </w:r>
      <w:r w:rsidRPr="00D76014" w:rsidR="00C57705">
        <w:t>within</w:t>
      </w:r>
      <w:r w:rsidRPr="00D76014" w:rsidR="008A363B">
        <w:t xml:space="preserve"> the EU, over </w:t>
      </w:r>
      <w:r w:rsidRPr="00D76014">
        <w:t xml:space="preserve">11 000 </w:t>
      </w:r>
      <w:r w:rsidRPr="00D76014" w:rsidR="008A363B">
        <w:t xml:space="preserve">municipalities signatories of the Covenant of Mayors are working to reduce their emissions, increase their resilience and tackle energy poverty, and </w:t>
      </w:r>
      <w:r w:rsidRPr="00D76014" w:rsidR="00C57705">
        <w:t>over 100 cities participating in the EU Mission on 100 Climate-Neutral and Smart Cities are committed to achieving climate neutrality by 2030;</w:t>
      </w:r>
    </w:p>
    <w:p w:rsidRPr="00690821" w:rsidR="00690821" w:rsidP="00690821" w:rsidRDefault="00690821" w14:paraId="6CFD5D7A" w14:textId="77777777"/>
    <w:p w:rsidRPr="00674BE7" w:rsidR="00D95E3A" w:rsidP="00D95E3A" w:rsidRDefault="008C15DB" w14:paraId="0EAF8FB4" w14:textId="73A7E4F3">
      <w:pPr>
        <w:pStyle w:val="Heading1"/>
        <w:ind w:left="567" w:hanging="567"/>
      </w:pPr>
      <w:r w:rsidRPr="00674BE7">
        <w:t xml:space="preserve">highlights the </w:t>
      </w:r>
      <w:r w:rsidRPr="00674BE7" w:rsidR="00C57705">
        <w:t>importance of</w:t>
      </w:r>
      <w:r w:rsidRPr="00674BE7">
        <w:t xml:space="preserve"> vertical integration </w:t>
      </w:r>
      <w:r w:rsidRPr="00674BE7" w:rsidR="00C57705">
        <w:t>in</w:t>
      </w:r>
      <w:r w:rsidRPr="00674BE7">
        <w:t xml:space="preserve"> climate policies and </w:t>
      </w:r>
      <w:r w:rsidRPr="00674BE7" w:rsidR="00180EB8">
        <w:t>urges</w:t>
      </w:r>
      <w:r w:rsidRPr="00674BE7" w:rsidR="005C7A9F">
        <w:t xml:space="preserve"> Parties to include subnational climate commitments, actions and achievements in their NDCs and NAPs</w:t>
      </w:r>
      <w:r w:rsidRPr="00674BE7" w:rsidR="00D95E3A">
        <w:t xml:space="preserve">; points out that LRAs </w:t>
      </w:r>
      <w:r w:rsidRPr="00674BE7" w:rsidR="00C57705">
        <w:t>possess</w:t>
      </w:r>
      <w:r w:rsidRPr="00674BE7" w:rsidR="00D95E3A">
        <w:t xml:space="preserve"> mandate</w:t>
      </w:r>
      <w:r w:rsidRPr="00674BE7" w:rsidR="002868F8">
        <w:t>s</w:t>
      </w:r>
      <w:r w:rsidRPr="00674BE7" w:rsidR="00D95E3A">
        <w:t xml:space="preserve"> and responsibilities </w:t>
      </w:r>
      <w:r w:rsidRPr="00674BE7" w:rsidR="00C57705">
        <w:t>in crucial</w:t>
      </w:r>
      <w:r w:rsidRPr="00674BE7" w:rsidR="00D95E3A">
        <w:t xml:space="preserve"> emitting sectors, such as transport and land use</w:t>
      </w:r>
      <w:r w:rsidRPr="00674BE7" w:rsidR="00C57705">
        <w:t>,</w:t>
      </w:r>
      <w:r w:rsidRPr="00674BE7" w:rsidR="00D95E3A">
        <w:t xml:space="preserve"> and that tracking progress in </w:t>
      </w:r>
      <w:r w:rsidRPr="00674BE7" w:rsidR="0091359A">
        <w:t>such</w:t>
      </w:r>
      <w:r w:rsidRPr="00674BE7" w:rsidR="00D95E3A">
        <w:t xml:space="preserve"> sectors is </w:t>
      </w:r>
      <w:r w:rsidRPr="00674BE7" w:rsidR="0091359A">
        <w:t>needed</w:t>
      </w:r>
      <w:r w:rsidRPr="00674BE7" w:rsidR="00D95E3A">
        <w:t xml:space="preserve"> to meet national targets;</w:t>
      </w:r>
    </w:p>
    <w:p w:rsidRPr="00D95E3A" w:rsidR="00D95E3A" w:rsidP="00D95E3A" w:rsidRDefault="00D95E3A" w14:paraId="68111E22" w14:textId="77777777"/>
    <w:p w:rsidRPr="00674BE7" w:rsidR="008005FD" w:rsidP="00CE5A81" w:rsidRDefault="002D06A3" w14:paraId="4E329E64" w14:textId="5C615C54">
      <w:pPr>
        <w:pStyle w:val="Heading1"/>
        <w:ind w:left="567" w:hanging="567"/>
      </w:pPr>
      <w:r w:rsidRPr="00D76014">
        <w:t>highlights that in the EU, the contributions of LRAs to achieve national targets should be formally recognised by including a call on EU Member States to quantify subnational action in the upcoming revision of the Regulation on the Governance of the Energy Union</w:t>
      </w:r>
      <w:r w:rsidRPr="00D76014" w:rsidR="00DD3DD1">
        <w:t xml:space="preserve"> and Climate Action</w:t>
      </w:r>
      <w:r w:rsidRPr="00D76014" w:rsidR="00D95E3A">
        <w:t>;</w:t>
      </w:r>
    </w:p>
    <w:p w:rsidRPr="008005FD" w:rsidR="008005FD" w:rsidP="008005FD" w:rsidRDefault="008005FD" w14:paraId="3D5503EA" w14:textId="77777777"/>
    <w:p w:rsidRPr="00AD0854" w:rsidR="00AD0854" w:rsidP="00AD0854" w:rsidRDefault="00BE7002" w14:paraId="095AC7A0" w14:textId="130346C5">
      <w:pPr>
        <w:pStyle w:val="Heading1"/>
        <w:ind w:left="567" w:hanging="567"/>
      </w:pPr>
      <w:r w:rsidRPr="00674BE7">
        <w:t>welcomes</w:t>
      </w:r>
      <w:r w:rsidRPr="00674BE7" w:rsidR="008005FD">
        <w:t xml:space="preserve"> the recommendations of the High-Level Expert Group on the Net-Zero Emissions Commitments of Non-State Entities</w:t>
      </w:r>
      <w:r w:rsidRPr="00D76014" w:rsidR="00674BE7">
        <w:rPr>
          <w:rStyle w:val="FootnoteReference"/>
          <w:sz w:val="24"/>
          <w:szCs w:val="22"/>
        </w:rPr>
        <w:footnoteReference w:id="3"/>
      </w:r>
      <w:r w:rsidRPr="00674BE7">
        <w:t>, emphasising the need</w:t>
      </w:r>
      <w:r w:rsidRPr="00674BE7" w:rsidR="008005FD">
        <w:t xml:space="preserve"> to develop stronger and clearer standards for net-zero emissions pledges by </w:t>
      </w:r>
      <w:r w:rsidRPr="00674BE7" w:rsidR="00D95E3A">
        <w:t>businesses, financial institutions, cities and regions</w:t>
      </w:r>
      <w:r w:rsidRPr="00674BE7" w:rsidR="008005FD">
        <w:t xml:space="preserve">; </w:t>
      </w:r>
      <w:r w:rsidRPr="00674BE7">
        <w:t>encourages</w:t>
      </w:r>
      <w:r w:rsidRPr="00674BE7" w:rsidR="008005FD">
        <w:t xml:space="preserve"> Parties to</w:t>
      </w:r>
      <w:r w:rsidRPr="00674BE7" w:rsidR="00AD0854">
        <w:t xml:space="preserve"> </w:t>
      </w:r>
      <w:r w:rsidRPr="00674BE7" w:rsidR="00DD3DD1">
        <w:t>facilitate</w:t>
      </w:r>
      <w:r w:rsidRPr="00674BE7" w:rsidR="00AD0854">
        <w:t xml:space="preserve"> data access and support LRAs with tools and capacity to develop data-driven scenarios, track progress and </w:t>
      </w:r>
      <w:r w:rsidRPr="00674BE7" w:rsidR="002F5B9F">
        <w:t>implement</w:t>
      </w:r>
      <w:r w:rsidRPr="00674BE7" w:rsidR="00AD0854">
        <w:t xml:space="preserve"> science-based policy</w:t>
      </w:r>
      <w:r w:rsidRPr="00674BE7" w:rsidR="002868F8">
        <w:t>-</w:t>
      </w:r>
      <w:r w:rsidRPr="00674BE7" w:rsidR="00AD0854">
        <w:t>making, which can align national goals and local plans</w:t>
      </w:r>
      <w:r w:rsidRPr="00674BE7" w:rsidR="002868F8">
        <w:t xml:space="preserve"> more effectively</w:t>
      </w:r>
      <w:r w:rsidRPr="00674BE7" w:rsidR="00416AFC">
        <w:t>;</w:t>
      </w:r>
      <w:r w:rsidRPr="00D76014" w:rsidR="00AD0854">
        <w:rPr>
          <w:rFonts w:eastAsiaTheme="minorEastAsia"/>
        </w:rPr>
        <w:t xml:space="preserve"> </w:t>
      </w:r>
    </w:p>
    <w:p w:rsidR="00BE7002" w:rsidP="008266BE" w:rsidRDefault="00BE7002" w14:paraId="42AE6535" w14:textId="77777777">
      <w:pPr>
        <w:rPr>
          <w:b/>
          <w:bCs/>
          <w:i/>
          <w:iCs/>
          <w:lang w:val="en-IE"/>
        </w:rPr>
      </w:pPr>
    </w:p>
    <w:p w:rsidRPr="008B408D" w:rsidR="008A363B" w:rsidP="008266BE" w:rsidRDefault="008A363B" w14:paraId="78C40263" w14:textId="4F531DE3">
      <w:pPr>
        <w:rPr>
          <w:u w:val="single"/>
          <w:lang w:val="en-IE"/>
        </w:rPr>
      </w:pPr>
      <w:r w:rsidRPr="008B408D">
        <w:rPr>
          <w:u w:val="single"/>
          <w:lang w:val="en-IE"/>
        </w:rPr>
        <w:t>Adaptation</w:t>
      </w:r>
      <w:r w:rsidRPr="008B408D" w:rsidR="0025436B">
        <w:rPr>
          <w:u w:val="single"/>
          <w:lang w:val="en-IE"/>
        </w:rPr>
        <w:t xml:space="preserve"> to climate change</w:t>
      </w:r>
    </w:p>
    <w:p w:rsidR="00BE40B2" w:rsidP="008266BE" w:rsidRDefault="00BE40B2" w14:paraId="096DF3C8" w14:textId="21D1D784">
      <w:pPr>
        <w:rPr>
          <w:b/>
          <w:bCs/>
          <w:i/>
          <w:iCs/>
          <w:lang w:val="en-IE"/>
        </w:rPr>
      </w:pPr>
    </w:p>
    <w:p w:rsidRPr="00674BE7" w:rsidR="00BE40B2" w:rsidP="008A79AF" w:rsidRDefault="00BE40B2" w14:paraId="39E3A21B" w14:textId="330B63C1">
      <w:pPr>
        <w:pStyle w:val="Heading1"/>
        <w:ind w:left="567" w:hanging="567"/>
      </w:pPr>
      <w:r w:rsidRPr="00674BE7">
        <w:t xml:space="preserve">welcomes the decision taken at COP27 to initiate the development of a framework for the Global Goal on Adaptation (GGA) and reiterates that LRAs are the most suitable actors to define adaptation goals, as they retain first-hand knowledge of both the resilience needs and solutions of </w:t>
      </w:r>
      <w:r w:rsidRPr="00674BE7" w:rsidR="008A79AF">
        <w:t>their population and territories</w:t>
      </w:r>
      <w:r w:rsidRPr="00674BE7">
        <w:t xml:space="preserve">; </w:t>
      </w:r>
      <w:r w:rsidRPr="00674BE7" w:rsidR="00BD32EA">
        <w:t>therefore,</w:t>
      </w:r>
      <w:r w:rsidRPr="00674BE7" w:rsidR="00C57705">
        <w:t xml:space="preserve"> </w:t>
      </w:r>
      <w:r w:rsidRPr="00674BE7">
        <w:t>strongly recommends</w:t>
      </w:r>
      <w:r w:rsidRPr="00674BE7" w:rsidR="008A79AF">
        <w:t xml:space="preserve"> </w:t>
      </w:r>
      <w:r w:rsidRPr="00674BE7" w:rsidR="002868F8">
        <w:t xml:space="preserve">that </w:t>
      </w:r>
      <w:r w:rsidRPr="00674BE7" w:rsidR="008A79AF">
        <w:t xml:space="preserve">Parties </w:t>
      </w:r>
      <w:r w:rsidRPr="00674BE7">
        <w:t>buil</w:t>
      </w:r>
      <w:r w:rsidRPr="00674BE7" w:rsidR="008A79AF">
        <w:t>d NAPs that are based</w:t>
      </w:r>
      <w:r w:rsidRPr="00674BE7">
        <w:t xml:space="preserve"> on subnational actions</w:t>
      </w:r>
      <w:r w:rsidRPr="00674BE7" w:rsidR="008A79AF">
        <w:t>;</w:t>
      </w:r>
    </w:p>
    <w:p w:rsidRPr="00BE40B2" w:rsidR="00BE40B2" w:rsidP="00BE40B2" w:rsidRDefault="00BE40B2" w14:paraId="02B5589D" w14:textId="77777777"/>
    <w:p w:rsidRPr="00D76014" w:rsidR="00BE40B2" w:rsidP="00BE40B2" w:rsidRDefault="008A79AF" w14:paraId="2BCB15D6" w14:textId="7FBEC0F7">
      <w:pPr>
        <w:pStyle w:val="Heading1"/>
        <w:ind w:left="567" w:hanging="567"/>
      </w:pPr>
      <w:r w:rsidRPr="00674BE7">
        <w:t>r</w:t>
      </w:r>
      <w:r w:rsidRPr="00674BE7" w:rsidR="00BE40B2">
        <w:t xml:space="preserve">ecalls that in the EU, natural disasters affected nearly 50 million people between 1980 and 2020 and caused an </w:t>
      </w:r>
      <w:r w:rsidRPr="00D76014" w:rsidR="00BE40B2">
        <w:t>average</w:t>
      </w:r>
      <w:r w:rsidRPr="00674BE7" w:rsidR="00BE40B2">
        <w:t xml:space="preserve"> of </w:t>
      </w:r>
      <w:r w:rsidRPr="00674BE7" w:rsidR="002868F8">
        <w:t xml:space="preserve">EUR </w:t>
      </w:r>
      <w:r w:rsidRPr="00674BE7" w:rsidR="00BE40B2">
        <w:t>12 billion in economic losses each year</w:t>
      </w:r>
      <w:r w:rsidRPr="00D76014" w:rsidR="00674BE7">
        <w:rPr>
          <w:rStyle w:val="FootnoteReference"/>
          <w:sz w:val="24"/>
          <w:szCs w:val="22"/>
        </w:rPr>
        <w:footnoteReference w:id="4"/>
      </w:r>
      <w:r w:rsidRPr="00D76014" w:rsidR="00144CDF">
        <w:t>; r</w:t>
      </w:r>
      <w:r w:rsidRPr="00D76014">
        <w:t>ecogni</w:t>
      </w:r>
      <w:r w:rsidRPr="00D76014" w:rsidR="00972C18">
        <w:t>s</w:t>
      </w:r>
      <w:r w:rsidRPr="00D76014">
        <w:t>es the unequal distribution of these losses,</w:t>
      </w:r>
      <w:r w:rsidRPr="00D76014" w:rsidR="00BE40B2">
        <w:t xml:space="preserve"> harming cities and regions that already face challenges such as low economic growth or high youth unemployment;</w:t>
      </w:r>
    </w:p>
    <w:p w:rsidRPr="00BE40B2" w:rsidR="00BE40B2" w:rsidP="00BE40B2" w:rsidRDefault="00BE40B2" w14:paraId="16449263" w14:textId="77777777">
      <w:pPr>
        <w:rPr>
          <w:lang w:val="en-IE"/>
        </w:rPr>
      </w:pPr>
    </w:p>
    <w:p w:rsidR="00BE40B2" w:rsidP="00BE40B2" w:rsidRDefault="0025436B" w14:paraId="60A79006" w14:textId="017F4678">
      <w:pPr>
        <w:pStyle w:val="Heading1"/>
        <w:ind w:left="567" w:hanging="567"/>
      </w:pPr>
      <w:r w:rsidRPr="00E336C5">
        <w:t xml:space="preserve">calls for locally-led </w:t>
      </w:r>
      <w:r w:rsidR="00C57705">
        <w:t xml:space="preserve">adaptation </w:t>
      </w:r>
      <w:r w:rsidRPr="00E336C5">
        <w:t>approaches that enable affected communities to act as the primary agents of change</w:t>
      </w:r>
      <w:r>
        <w:t xml:space="preserve"> and</w:t>
      </w:r>
      <w:r w:rsidRPr="00E336C5">
        <w:t xml:space="preserve"> </w:t>
      </w:r>
      <w:r w:rsidR="00BE40B2">
        <w:rPr>
          <w:lang w:val="en-IE"/>
        </w:rPr>
        <w:t>reiterat</w:t>
      </w:r>
      <w:r>
        <w:rPr>
          <w:lang w:val="en-IE"/>
        </w:rPr>
        <w:t>es</w:t>
      </w:r>
      <w:r w:rsidR="00BE40B2">
        <w:rPr>
          <w:lang w:val="en-IE"/>
        </w:rPr>
        <w:t xml:space="preserve"> the importance of r</w:t>
      </w:r>
      <w:r w:rsidRPr="00E336C5" w:rsidR="00BE40B2">
        <w:rPr>
          <w:lang w:val="en-IE"/>
        </w:rPr>
        <w:t xml:space="preserve">educing the risks and effects of </w:t>
      </w:r>
      <w:r w:rsidRPr="00674BE7" w:rsidR="00BE40B2">
        <w:t>"maladaptation"; points out that climate change disproportionately affects the most vulnerable, including women, the elderly, people with disabilities and indigenous groups;</w:t>
      </w:r>
    </w:p>
    <w:p w:rsidRPr="00402236" w:rsidR="00BE40B2" w:rsidP="00BE40B2" w:rsidRDefault="00BE40B2" w14:paraId="1ED85DFF" w14:textId="77777777">
      <w:pPr>
        <w:pStyle w:val="ListParagraph"/>
        <w:rPr>
          <w:lang w:val="en-IE"/>
        </w:rPr>
      </w:pPr>
    </w:p>
    <w:p w:rsidR="00BE40B2" w:rsidP="00E006EE" w:rsidRDefault="00BE40B2" w14:paraId="49A4F068" w14:textId="3ED13692">
      <w:pPr>
        <w:pStyle w:val="Heading1"/>
        <w:ind w:left="567" w:hanging="567"/>
        <w:rPr>
          <w:lang w:val="en-IE"/>
        </w:rPr>
      </w:pPr>
      <w:r w:rsidRPr="00C21709">
        <w:rPr>
          <w:szCs w:val="22"/>
          <w:lang w:val="en-IE"/>
        </w:rPr>
        <w:t xml:space="preserve">underlines how, despite the progress made at COP27 with the launch of the </w:t>
      </w:r>
      <w:hyperlink w:history="1" r:id="rId23">
        <w:r w:rsidRPr="00C21709">
          <w:rPr>
            <w:rStyle w:val="Hyperlink"/>
            <w:szCs w:val="22"/>
            <w:shd w:val="clear" w:color="auto" w:fill="FFFFFF"/>
            <w:lang w:val="en-IE"/>
          </w:rPr>
          <w:t>Sharm el-Sheikh Adaptation Agenda</w:t>
        </w:r>
      </w:hyperlink>
      <w:r w:rsidRPr="00D76014">
        <w:t>, current global financial flows for adaptation are insufficient</w:t>
      </w:r>
      <w:r w:rsidRPr="00D76014" w:rsidR="0025436B">
        <w:t xml:space="preserve"> and</w:t>
      </w:r>
      <w:r w:rsidRPr="00D76014">
        <w:t xml:space="preserve"> encourages Parties to provide credible targets and plans for deploying this capital</w:t>
      </w:r>
      <w:r w:rsidRPr="00D76014" w:rsidR="0025436B">
        <w:t>;</w:t>
      </w:r>
    </w:p>
    <w:p w:rsidRPr="00D76014" w:rsidR="007F463B" w:rsidP="00D76014" w:rsidRDefault="007F463B" w14:paraId="7B276311" w14:textId="77777777">
      <w:pPr>
        <w:rPr>
          <w:lang w:val="en-IE"/>
        </w:rPr>
      </w:pPr>
    </w:p>
    <w:p w:rsidR="00BE40B2" w:rsidP="00BE40B2" w:rsidRDefault="00BE40B2" w14:paraId="57A7A3D1" w14:textId="1DFC175B">
      <w:pPr>
        <w:pStyle w:val="Heading1"/>
        <w:ind w:left="567" w:hanging="567"/>
      </w:pPr>
      <w:r w:rsidRPr="00E336C5">
        <w:t xml:space="preserve">welcomes the inclusion of biodiversity as one of the themes under consideration for the GGA framework and, in line with the Sharm el-Sheikh Implementation Plan, encourages the Parties to consider </w:t>
      </w:r>
      <w:r w:rsidR="00C57705">
        <w:t>n</w:t>
      </w:r>
      <w:r w:rsidRPr="00E336C5">
        <w:t>ature-</w:t>
      </w:r>
      <w:r w:rsidR="00C57705">
        <w:t>b</w:t>
      </w:r>
      <w:r w:rsidRPr="00E336C5">
        <w:t xml:space="preserve">ased </w:t>
      </w:r>
      <w:r w:rsidR="00C57705">
        <w:t>s</w:t>
      </w:r>
      <w:r w:rsidRPr="00E336C5">
        <w:t>olutions as key tools supporting climate change mitigation and adaptation, while producing significant co-benefits in terms of health and quality of life</w:t>
      </w:r>
      <w:r w:rsidR="0025436B">
        <w:t>;</w:t>
      </w:r>
    </w:p>
    <w:p w:rsidRPr="00E336C5" w:rsidR="00BE40B2" w:rsidP="00BE40B2" w:rsidRDefault="00BE40B2" w14:paraId="55446131" w14:textId="77777777">
      <w:pPr>
        <w:pStyle w:val="Heading1"/>
        <w:numPr>
          <w:ilvl w:val="0"/>
          <w:numId w:val="0"/>
        </w:numPr>
        <w:ind w:left="567"/>
      </w:pPr>
    </w:p>
    <w:p w:rsidR="00BE40B2" w:rsidP="0025436B" w:rsidRDefault="00972C18" w14:paraId="3FF5B52C" w14:textId="504E000B">
      <w:pPr>
        <w:pStyle w:val="Heading1"/>
        <w:ind w:left="567" w:hanging="567"/>
      </w:pPr>
      <w:r>
        <w:t>e</w:t>
      </w:r>
      <w:r w:rsidRPr="00972C18">
        <w:t>mphasi</w:t>
      </w:r>
      <w:r>
        <w:t>s</w:t>
      </w:r>
      <w:r w:rsidRPr="00972C18">
        <w:t>es the importance</w:t>
      </w:r>
      <w:r>
        <w:t xml:space="preserve"> of </w:t>
      </w:r>
      <w:r w:rsidRPr="00E336C5" w:rsidR="00BE40B2">
        <w:t>addressing the interlinkages between climate, biodiversity and the Sustainable Development Goals (SDGs)</w:t>
      </w:r>
      <w:r w:rsidR="00C57705">
        <w:t xml:space="preserve">; </w:t>
      </w:r>
      <w:r>
        <w:t>is committed</w:t>
      </w:r>
      <w:r w:rsidRPr="00972C18">
        <w:t xml:space="preserve"> to ongoing efforts in aligning and coordinating processes among the UNFCCC, UN Convention on Biological Diversity (CBD) and UN SDGs to promote synergy and harmoni</w:t>
      </w:r>
      <w:r w:rsidR="002868F8">
        <w:t>s</w:t>
      </w:r>
      <w:r w:rsidRPr="00972C18">
        <w:t>ation</w:t>
      </w:r>
      <w:r>
        <w:t>;</w:t>
      </w:r>
    </w:p>
    <w:p w:rsidR="0025436B" w:rsidP="0025436B" w:rsidRDefault="0025436B" w14:paraId="4C0CEDA4" w14:textId="27057C87"/>
    <w:p w:rsidRPr="008B408D" w:rsidR="0025436B" w:rsidP="0025436B" w:rsidRDefault="0025436B" w14:paraId="1887199E" w14:textId="7DDD546C">
      <w:pPr>
        <w:rPr>
          <w:u w:val="single"/>
        </w:rPr>
      </w:pPr>
      <w:r w:rsidRPr="008B408D">
        <w:rPr>
          <w:u w:val="single"/>
          <w:lang w:val="en-IE"/>
        </w:rPr>
        <w:t>Loss and damage</w:t>
      </w:r>
    </w:p>
    <w:p w:rsidRPr="00BE40B2" w:rsidR="00BE40B2" w:rsidP="00BE40B2" w:rsidRDefault="00BE40B2" w14:paraId="183D4852" w14:textId="77777777"/>
    <w:p w:rsidRPr="00BE40B2" w:rsidR="00BE40B2" w:rsidP="00BE40B2" w:rsidRDefault="00BE40B2" w14:paraId="503421F7" w14:textId="37812ECF">
      <w:pPr>
        <w:pStyle w:val="Heading1"/>
        <w:ind w:left="567" w:hanging="567"/>
      </w:pPr>
      <w:r w:rsidRPr="008A0945">
        <w:t xml:space="preserve">welcomes the progress made at COP27 </w:t>
      </w:r>
      <w:r w:rsidR="00C57705">
        <w:t>in</w:t>
      </w:r>
      <w:r w:rsidRPr="008A0945">
        <w:t xml:space="preserve"> operationalising the Santiago Network</w:t>
      </w:r>
      <w:r>
        <w:t xml:space="preserve"> and </w:t>
      </w:r>
      <w:r w:rsidR="0025436B">
        <w:t>t</w:t>
      </w:r>
      <w:r w:rsidRPr="00BE40B2">
        <w:t>he decision to establish new funding arrangements for</w:t>
      </w:r>
      <w:r w:rsidR="00C57705">
        <w:t xml:space="preserve"> responding to loss and damage in</w:t>
      </w:r>
      <w:r w:rsidRPr="00BE40B2">
        <w:t xml:space="preserve"> developing countries that are particularly vulnerable to climate change;</w:t>
      </w:r>
      <w:r w:rsidRPr="008A0945">
        <w:t xml:space="preserve"> recalls that LRAs have already shown leadership in addressing loss and damage</w:t>
      </w:r>
      <w:r w:rsidR="00C57705">
        <w:t>, as evidenced by</w:t>
      </w:r>
      <w:r w:rsidRPr="008A0945">
        <w:t xml:space="preserve"> financial pledges from </w:t>
      </w:r>
      <w:hyperlink w:tgtFrame="_blank" w:history="1" r:id="rId24">
        <w:r w:rsidRPr="00D219F4">
          <w:rPr>
            <w:rStyle w:val="Hyperlink"/>
          </w:rPr>
          <w:t>Scotland</w:t>
        </w:r>
      </w:hyperlink>
      <w:r w:rsidRPr="008A0945">
        <w:t xml:space="preserve"> and </w:t>
      </w:r>
      <w:hyperlink w:history="1" r:id="rId25">
        <w:r w:rsidRPr="00D219F4">
          <w:rPr>
            <w:rStyle w:val="Hyperlink"/>
          </w:rPr>
          <w:t>Wallonia</w:t>
        </w:r>
      </w:hyperlink>
      <w:r w:rsidRPr="008A0945">
        <w:t xml:space="preserve">, </w:t>
      </w:r>
      <w:r w:rsidR="00C57705">
        <w:t>demonstrating</w:t>
      </w:r>
      <w:r w:rsidRPr="008A0945">
        <w:t xml:space="preserve"> </w:t>
      </w:r>
      <w:r w:rsidR="005066A9">
        <w:t>that</w:t>
      </w:r>
      <w:r w:rsidRPr="008A0945">
        <w:t xml:space="preserve"> cooperation between </w:t>
      </w:r>
      <w:r w:rsidR="005066A9">
        <w:t xml:space="preserve">the </w:t>
      </w:r>
      <w:r w:rsidRPr="008A0945">
        <w:t xml:space="preserve">Global North and Global South </w:t>
      </w:r>
      <w:r w:rsidR="005066A9">
        <w:t>is raising</w:t>
      </w:r>
      <w:r w:rsidRPr="008A0945">
        <w:t xml:space="preserve"> ambition</w:t>
      </w:r>
      <w:r w:rsidR="0025436B">
        <w:t>;</w:t>
      </w:r>
    </w:p>
    <w:p w:rsidRPr="00BE40B2" w:rsidR="00BE40B2" w:rsidP="00BE40B2" w:rsidRDefault="00BE40B2" w14:paraId="7B07D76B" w14:textId="77777777">
      <w:pPr>
        <w:pStyle w:val="Heading1"/>
        <w:numPr>
          <w:ilvl w:val="0"/>
          <w:numId w:val="0"/>
        </w:numPr>
        <w:ind w:left="567"/>
      </w:pPr>
    </w:p>
    <w:p w:rsidRPr="00F2103E" w:rsidR="00BE40B2" w:rsidP="00BE40B2" w:rsidRDefault="00BE40B2" w14:paraId="76E02A24" w14:textId="2FDE4855">
      <w:pPr>
        <w:pStyle w:val="Heading1"/>
        <w:ind w:left="567" w:hanging="567"/>
      </w:pPr>
      <w:r w:rsidRPr="00E7550F">
        <w:t>emphasi</w:t>
      </w:r>
      <w:r w:rsidRPr="00E7550F" w:rsidR="002868F8">
        <w:t>s</w:t>
      </w:r>
      <w:r w:rsidRPr="00E7550F">
        <w:t xml:space="preserve">es that LRAs have an essential role in diagnosing, assessing and shaping responses based on the best available data concerning the needs, risks and threats of their population and territories, as highlighted in the Scottish Government's </w:t>
      </w:r>
      <w:hyperlink w:history="1" r:id="rId26">
        <w:r w:rsidRPr="00F2103E">
          <w:rPr>
            <w:rStyle w:val="Hyperlink"/>
          </w:rPr>
          <w:t>Practical Action for Addressing Loss and Damage</w:t>
        </w:r>
      </w:hyperlink>
      <w:r w:rsidRPr="006B6D26">
        <w:t>;</w:t>
      </w:r>
    </w:p>
    <w:p w:rsidRPr="006B6D26" w:rsidR="00BE40B2" w:rsidP="00BE40B2" w:rsidRDefault="00BE40B2" w14:paraId="10BD941A" w14:textId="77777777">
      <w:pPr>
        <w:pStyle w:val="Heading1"/>
        <w:numPr>
          <w:ilvl w:val="0"/>
          <w:numId w:val="0"/>
        </w:numPr>
        <w:ind w:left="567"/>
      </w:pPr>
    </w:p>
    <w:p w:rsidR="008005FD" w:rsidP="008005FD" w:rsidRDefault="00BE40B2" w14:paraId="35DD8F95" w14:textId="5A40018D">
      <w:pPr>
        <w:pStyle w:val="Heading1"/>
        <w:ind w:left="567" w:hanging="567"/>
      </w:pPr>
      <w:r w:rsidRPr="00380D26">
        <w:t xml:space="preserve">highlights that decentralised delivery of loss and damage finance through local governments can guarantee that finance is more readily available at local level when shocks occur, and that </w:t>
      </w:r>
      <w:r w:rsidRPr="00BE40B2">
        <w:t>investments are geared to respond to local conditions</w:t>
      </w:r>
      <w:r w:rsidR="00C73345">
        <w:t xml:space="preserve"> and</w:t>
      </w:r>
      <w:r w:rsidRPr="00BE40B2">
        <w:t xml:space="preserve"> </w:t>
      </w:r>
      <w:r w:rsidRPr="00BE40B2" w:rsidR="00C73345">
        <w:t>channelled</w:t>
      </w:r>
      <w:r w:rsidRPr="00BE40B2">
        <w:t xml:space="preserve"> more effectively towards </w:t>
      </w:r>
      <w:r w:rsidR="00394682">
        <w:t>citizens'</w:t>
      </w:r>
      <w:r w:rsidRPr="00BE40B2">
        <w:t xml:space="preserve"> priorities;</w:t>
      </w:r>
    </w:p>
    <w:p w:rsidRPr="00C73345" w:rsidR="00C73345" w:rsidP="00C73345" w:rsidRDefault="00C73345" w14:paraId="41B9F083" w14:textId="77777777"/>
    <w:p w:rsidR="009D12B5" w:rsidP="008005FD" w:rsidRDefault="009D12B5" w14:paraId="22D98B61" w14:textId="444BAD6C">
      <w:pPr>
        <w:rPr>
          <w:b/>
          <w:bCs/>
          <w:color w:val="000000"/>
        </w:rPr>
      </w:pPr>
      <w:r w:rsidRPr="004F23E1">
        <w:rPr>
          <w:b/>
          <w:bCs/>
          <w:i/>
          <w:iCs/>
          <w:color w:val="000000"/>
        </w:rPr>
        <w:t>From commitments to implementation:</w:t>
      </w:r>
      <w:r>
        <w:rPr>
          <w:b/>
          <w:bCs/>
          <w:color w:val="000000"/>
        </w:rPr>
        <w:t xml:space="preserve"> </w:t>
      </w:r>
      <w:r w:rsidRPr="007805EF" w:rsidR="004F23E1">
        <w:rPr>
          <w:b/>
          <w:i/>
          <w:szCs w:val="22"/>
        </w:rPr>
        <w:t xml:space="preserve">bridging gaps to </w:t>
      </w:r>
      <w:r w:rsidR="00096080">
        <w:rPr>
          <w:b/>
          <w:i/>
          <w:szCs w:val="22"/>
        </w:rPr>
        <w:t>meet</w:t>
      </w:r>
      <w:r w:rsidRPr="007805EF" w:rsidR="004F23E1">
        <w:rPr>
          <w:b/>
          <w:i/>
          <w:szCs w:val="22"/>
        </w:rPr>
        <w:t xml:space="preserve"> the Paris Agreement </w:t>
      </w:r>
      <w:r w:rsidR="00096080">
        <w:rPr>
          <w:b/>
          <w:i/>
          <w:szCs w:val="22"/>
        </w:rPr>
        <w:t xml:space="preserve">goals </w:t>
      </w:r>
      <w:r w:rsidR="004F23E1">
        <w:rPr>
          <w:b/>
          <w:i/>
          <w:szCs w:val="22"/>
        </w:rPr>
        <w:t xml:space="preserve">through </w:t>
      </w:r>
      <w:r w:rsidR="00096080">
        <w:rPr>
          <w:b/>
          <w:i/>
          <w:szCs w:val="22"/>
        </w:rPr>
        <w:t xml:space="preserve">accelerated </w:t>
      </w:r>
      <w:r w:rsidR="004F23E1">
        <w:rPr>
          <w:b/>
          <w:i/>
          <w:szCs w:val="22"/>
        </w:rPr>
        <w:t>local and subnational action</w:t>
      </w:r>
    </w:p>
    <w:p w:rsidRPr="008005FD" w:rsidR="009D12B5" w:rsidP="008005FD" w:rsidRDefault="009D12B5" w14:paraId="0F221B92" w14:textId="77777777">
      <w:pPr>
        <w:rPr>
          <w:lang w:val="en-IE"/>
        </w:rPr>
      </w:pPr>
    </w:p>
    <w:p w:rsidR="00D955D7" w:rsidP="00D955D7" w:rsidRDefault="00D955D7" w14:paraId="389F2C0E" w14:textId="14954FF4">
      <w:pPr>
        <w:pStyle w:val="Heading1"/>
        <w:ind w:left="567" w:hanging="567"/>
        <w:rPr>
          <w:color w:val="000000"/>
        </w:rPr>
      </w:pPr>
      <w:r>
        <w:rPr>
          <w:color w:val="000000"/>
        </w:rPr>
        <w:t xml:space="preserve">notes that investing in local climate action will </w:t>
      </w:r>
      <w:r w:rsidR="009E40C2">
        <w:rPr>
          <w:color w:val="000000"/>
        </w:rPr>
        <w:t>result in the creation of</w:t>
      </w:r>
      <w:r w:rsidR="008F14C0">
        <w:rPr>
          <w:color w:val="000000"/>
        </w:rPr>
        <w:t xml:space="preserve"> additional</w:t>
      </w:r>
      <w:r>
        <w:rPr>
          <w:color w:val="000000"/>
        </w:rPr>
        <w:t xml:space="preserve"> green jobs</w:t>
      </w:r>
      <w:r w:rsidR="004F05B3">
        <w:rPr>
          <w:color w:val="000000"/>
        </w:rPr>
        <w:t>,</w:t>
      </w:r>
      <w:r>
        <w:rPr>
          <w:color w:val="000000"/>
        </w:rPr>
        <w:t xml:space="preserve"> </w:t>
      </w:r>
      <w:r w:rsidR="008F14C0">
        <w:rPr>
          <w:color w:val="000000"/>
        </w:rPr>
        <w:t>revitalised</w:t>
      </w:r>
      <w:r>
        <w:rPr>
          <w:color w:val="000000"/>
        </w:rPr>
        <w:t xml:space="preserve"> </w:t>
      </w:r>
      <w:r w:rsidR="004F05B3">
        <w:rPr>
          <w:color w:val="000000"/>
        </w:rPr>
        <w:t xml:space="preserve">local </w:t>
      </w:r>
      <w:r>
        <w:rPr>
          <w:color w:val="000000"/>
        </w:rPr>
        <w:t xml:space="preserve">economies and </w:t>
      </w:r>
      <w:r w:rsidR="008F14C0">
        <w:rPr>
          <w:color w:val="000000"/>
        </w:rPr>
        <w:t>reduced</w:t>
      </w:r>
      <w:r>
        <w:rPr>
          <w:color w:val="000000"/>
        </w:rPr>
        <w:t xml:space="preserve"> unemployment</w:t>
      </w:r>
      <w:r w:rsidR="008F14C0">
        <w:rPr>
          <w:color w:val="000000"/>
        </w:rPr>
        <w:t xml:space="preserve"> rates</w:t>
      </w:r>
      <w:r>
        <w:rPr>
          <w:color w:val="000000"/>
        </w:rPr>
        <w:t xml:space="preserve">, as well as healthier communities and </w:t>
      </w:r>
      <w:r w:rsidR="004F05B3">
        <w:rPr>
          <w:color w:val="000000"/>
        </w:rPr>
        <w:t xml:space="preserve">more </w:t>
      </w:r>
      <w:r>
        <w:rPr>
          <w:color w:val="000000"/>
        </w:rPr>
        <w:t>health-related economic benefits;</w:t>
      </w:r>
    </w:p>
    <w:p w:rsidRPr="00D955D7" w:rsidR="00D955D7" w:rsidP="00D955D7" w:rsidRDefault="00D955D7" w14:paraId="5D97353A" w14:textId="77777777">
      <w:pPr>
        <w:rPr>
          <w:lang w:val="en-IE"/>
        </w:rPr>
      </w:pPr>
    </w:p>
    <w:p w:rsidR="008005FD" w:rsidP="001D252D" w:rsidRDefault="00BD32EA" w14:paraId="70130497" w14:textId="328636E0">
      <w:pPr>
        <w:pStyle w:val="Heading1"/>
        <w:ind w:left="567" w:hanging="567"/>
        <w:rPr>
          <w:lang w:val="en-IE"/>
        </w:rPr>
      </w:pPr>
      <w:r w:rsidRPr="00A0230B">
        <w:rPr>
          <w:color w:val="191B1C"/>
          <w:szCs w:val="22"/>
        </w:rPr>
        <w:t>underlines</w:t>
      </w:r>
      <w:r w:rsidRPr="009E40C2" w:rsidR="008005FD">
        <w:rPr>
          <w:lang w:val="en-IE"/>
        </w:rPr>
        <w:t xml:space="preserve"> </w:t>
      </w:r>
      <w:r w:rsidRPr="009E40C2" w:rsidR="009B3297">
        <w:rPr>
          <w:lang w:val="en-IE"/>
        </w:rPr>
        <w:t>the need to</w:t>
      </w:r>
      <w:r w:rsidRPr="009E40C2" w:rsidR="008005FD">
        <w:rPr>
          <w:lang w:val="en-IE"/>
        </w:rPr>
        <w:t xml:space="preserve"> mov</w:t>
      </w:r>
      <w:r w:rsidRPr="009E40C2" w:rsidR="009B3297">
        <w:rPr>
          <w:lang w:val="en-IE"/>
        </w:rPr>
        <w:t>e</w:t>
      </w:r>
      <w:r w:rsidRPr="009E40C2" w:rsidR="008005FD">
        <w:rPr>
          <w:lang w:val="en-IE"/>
        </w:rPr>
        <w:t xml:space="preserve"> from finance commitment to disbursement and strongly </w:t>
      </w:r>
      <w:r w:rsidRPr="009E40C2" w:rsidR="009B3297">
        <w:rPr>
          <w:lang w:val="en-IE"/>
        </w:rPr>
        <w:t xml:space="preserve">calls for </w:t>
      </w:r>
      <w:r w:rsidRPr="009E40C2" w:rsidR="008005FD">
        <w:rPr>
          <w:lang w:val="en-IE"/>
        </w:rPr>
        <w:t xml:space="preserve">direct access to </w:t>
      </w:r>
      <w:r w:rsidRPr="009E40C2" w:rsidR="009B3297">
        <w:rPr>
          <w:lang w:val="en-IE"/>
        </w:rPr>
        <w:t xml:space="preserve">climate </w:t>
      </w:r>
      <w:r w:rsidRPr="009E40C2" w:rsidR="008005FD">
        <w:rPr>
          <w:lang w:val="en-IE"/>
        </w:rPr>
        <w:t xml:space="preserve">funding for LRAs </w:t>
      </w:r>
      <w:r w:rsidRPr="009E40C2" w:rsidR="009B3297">
        <w:rPr>
          <w:lang w:val="en-IE"/>
        </w:rPr>
        <w:t>as this is essential</w:t>
      </w:r>
      <w:r w:rsidRPr="009E40C2" w:rsidR="009E40C2">
        <w:rPr>
          <w:lang w:val="en-IE"/>
        </w:rPr>
        <w:t xml:space="preserve"> </w:t>
      </w:r>
      <w:r w:rsidRPr="009E40C2" w:rsidR="008005FD">
        <w:rPr>
          <w:lang w:val="en-IE"/>
        </w:rPr>
        <w:t>to provide tailored</w:t>
      </w:r>
      <w:r w:rsidRPr="009E40C2" w:rsidR="009E40C2">
        <w:rPr>
          <w:lang w:val="en-IE"/>
        </w:rPr>
        <w:t xml:space="preserve"> and</w:t>
      </w:r>
      <w:r w:rsidRPr="009E40C2" w:rsidR="008005FD">
        <w:rPr>
          <w:lang w:val="en-IE"/>
        </w:rPr>
        <w:t xml:space="preserve"> effective solutions </w:t>
      </w:r>
      <w:r w:rsidRPr="009E40C2" w:rsidR="009E40C2">
        <w:rPr>
          <w:lang w:val="en-IE"/>
        </w:rPr>
        <w:t>that address the unique challenges faced by communities within their respective territories</w:t>
      </w:r>
      <w:r w:rsidR="009E40C2">
        <w:rPr>
          <w:lang w:val="en-IE"/>
        </w:rPr>
        <w:t>;</w:t>
      </w:r>
    </w:p>
    <w:p w:rsidRPr="00BD32EA" w:rsidR="00BD32EA" w:rsidP="00BD32EA" w:rsidRDefault="00BD32EA" w14:paraId="7104CD8A" w14:textId="77777777">
      <w:pPr>
        <w:rPr>
          <w:lang w:val="en-IE"/>
        </w:rPr>
      </w:pPr>
    </w:p>
    <w:p w:rsidR="008005FD" w:rsidP="008005FD" w:rsidRDefault="008005FD" w14:paraId="78BDE797" w14:textId="2E30DFCA">
      <w:pPr>
        <w:pStyle w:val="Heading1"/>
        <w:ind w:left="567" w:hanging="567"/>
      </w:pPr>
      <w:r w:rsidRPr="008005FD">
        <w:rPr>
          <w:lang w:val="en-IE"/>
        </w:rPr>
        <w:t>strongly recommends increas</w:t>
      </w:r>
      <w:r w:rsidR="002868F8">
        <w:rPr>
          <w:lang w:val="en-IE"/>
        </w:rPr>
        <w:t>ing</w:t>
      </w:r>
      <w:r w:rsidRPr="008005FD">
        <w:rPr>
          <w:lang w:val="en-IE"/>
        </w:rPr>
        <w:t xml:space="preserve"> direct support and technical assistance to LRAs</w:t>
      </w:r>
      <w:r w:rsidR="00F669E3">
        <w:rPr>
          <w:lang w:val="en-IE"/>
        </w:rPr>
        <w:t>;</w:t>
      </w:r>
      <w:r w:rsidR="00582955">
        <w:rPr>
          <w:lang w:val="en-IE"/>
        </w:rPr>
        <w:t xml:space="preserve"> reiterates the importance of </w:t>
      </w:r>
      <w:r w:rsidRPr="00984F78" w:rsidR="00582955">
        <w:t>supporting capacity building and targeted training</w:t>
      </w:r>
      <w:r w:rsidR="009E40C2">
        <w:t xml:space="preserve"> program</w:t>
      </w:r>
      <w:r w:rsidR="002868F8">
        <w:t>mes</w:t>
      </w:r>
      <w:r w:rsidRPr="00984F78" w:rsidR="00582955">
        <w:t xml:space="preserve"> </w:t>
      </w:r>
      <w:r w:rsidR="00183624">
        <w:t>to facilitate</w:t>
      </w:r>
      <w:r w:rsidRPr="00984F78" w:rsidR="00582955">
        <w:t xml:space="preserve"> the use of </w:t>
      </w:r>
      <w:r w:rsidR="00CC4E8A">
        <w:t xml:space="preserve">climate </w:t>
      </w:r>
      <w:r w:rsidRPr="00984F78" w:rsidR="00582955">
        <w:t xml:space="preserve">funds and financing options </w:t>
      </w:r>
      <w:r w:rsidR="00CC4E8A">
        <w:t>through the creation of clear implementation pipelines</w:t>
      </w:r>
      <w:r w:rsidR="008F14C0">
        <w:t>;</w:t>
      </w:r>
    </w:p>
    <w:p w:rsidRPr="00BD3619" w:rsidR="00BD3619" w:rsidP="00BD3619" w:rsidRDefault="00BD3619" w14:paraId="6084539C" w14:textId="77777777"/>
    <w:p w:rsidRPr="00BD3619" w:rsidR="00BD3619" w:rsidP="00BD3619" w:rsidRDefault="00BD32EA" w14:paraId="6ABEABD8" w14:textId="03DCD06B">
      <w:pPr>
        <w:pStyle w:val="Heading1"/>
        <w:ind w:left="567" w:hanging="567"/>
      </w:pPr>
      <w:r>
        <w:rPr>
          <w:lang w:val="en-IE"/>
        </w:rPr>
        <w:t>welcomes</w:t>
      </w:r>
      <w:r w:rsidR="00BD3619">
        <w:rPr>
          <w:color w:val="000000"/>
        </w:rPr>
        <w:t xml:space="preserve"> </w:t>
      </w:r>
      <w:r w:rsidRPr="00D955D7" w:rsidR="00BD3619">
        <w:rPr>
          <w:color w:val="000000"/>
        </w:rPr>
        <w:t xml:space="preserve">the EU Missions on Climate-Neutral and Smart Cities and on Adaptation to Climate Change </w:t>
      </w:r>
      <w:r w:rsidRPr="009E40C2" w:rsidR="009E40C2">
        <w:rPr>
          <w:color w:val="000000"/>
        </w:rPr>
        <w:t>as</w:t>
      </w:r>
      <w:r w:rsidR="002868F8">
        <w:rPr>
          <w:color w:val="000000"/>
        </w:rPr>
        <w:t xml:space="preserve"> </w:t>
      </w:r>
      <w:r w:rsidRPr="009E40C2" w:rsidR="009E40C2">
        <w:rPr>
          <w:color w:val="000000"/>
        </w:rPr>
        <w:t>replicable model</w:t>
      </w:r>
      <w:r w:rsidR="002868F8">
        <w:rPr>
          <w:color w:val="000000"/>
        </w:rPr>
        <w:t>s</w:t>
      </w:r>
      <w:r w:rsidRPr="009E40C2" w:rsidR="009E40C2">
        <w:rPr>
          <w:color w:val="000000"/>
        </w:rPr>
        <w:t xml:space="preserve"> that could be expanded not only within the EU but also in other regions worldwide</w:t>
      </w:r>
      <w:r w:rsidRPr="00D955D7" w:rsidR="00BD3619">
        <w:rPr>
          <w:color w:val="000000"/>
        </w:rPr>
        <w:t>;</w:t>
      </w:r>
      <w:r w:rsidR="004F05B3">
        <w:rPr>
          <w:color w:val="000000"/>
        </w:rPr>
        <w:t xml:space="preserve"> </w:t>
      </w:r>
      <w:r w:rsidR="004F05B3">
        <w:rPr>
          <w:kern w:val="0"/>
        </w:rPr>
        <w:t>c</w:t>
      </w:r>
      <w:r w:rsidRPr="00F1269B" w:rsidR="004F05B3">
        <w:rPr>
          <w:color w:val="000000"/>
        </w:rPr>
        <w:t xml:space="preserve">alls on the European Commission to propose direct funds via the </w:t>
      </w:r>
      <w:r w:rsidRPr="00D955D7" w:rsidR="00723C9D">
        <w:rPr>
          <w:color w:val="000000"/>
        </w:rPr>
        <w:t xml:space="preserve">EU Mission on Climate-Neutral and Smart Cities </w:t>
      </w:r>
      <w:r w:rsidRPr="00F1269B" w:rsidR="004F05B3">
        <w:rPr>
          <w:color w:val="000000"/>
        </w:rPr>
        <w:t>to implement Green Deal projects on the ground;</w:t>
      </w:r>
    </w:p>
    <w:p w:rsidRPr="008005FD" w:rsidR="008005FD" w:rsidP="008005FD" w:rsidRDefault="008005FD" w14:paraId="195B3AE8" w14:textId="77777777">
      <w:pPr>
        <w:pStyle w:val="Heading1"/>
        <w:numPr>
          <w:ilvl w:val="0"/>
          <w:numId w:val="0"/>
        </w:numPr>
        <w:ind w:left="567"/>
        <w:rPr>
          <w:color w:val="000000"/>
          <w:sz w:val="24"/>
          <w:szCs w:val="24"/>
        </w:rPr>
      </w:pPr>
    </w:p>
    <w:p w:rsidR="008005FD" w:rsidP="008005FD" w:rsidRDefault="00BD3619" w14:paraId="12DB09A1" w14:textId="0EDD0836">
      <w:pPr>
        <w:pStyle w:val="Heading1"/>
        <w:ind w:left="567" w:hanging="567"/>
      </w:pPr>
      <w:r>
        <w:rPr>
          <w:lang w:val="en-IE"/>
        </w:rPr>
        <w:t>underscores</w:t>
      </w:r>
      <w:r w:rsidRPr="00582955" w:rsidR="00582955">
        <w:rPr>
          <w:lang w:val="en-IE"/>
        </w:rPr>
        <w:t xml:space="preserve"> the importance of mobili</w:t>
      </w:r>
      <w:r w:rsidR="00582955">
        <w:rPr>
          <w:lang w:val="en-IE"/>
        </w:rPr>
        <w:t>s</w:t>
      </w:r>
      <w:r w:rsidRPr="00582955" w:rsidR="00582955">
        <w:rPr>
          <w:lang w:val="en-IE"/>
        </w:rPr>
        <w:t>ing financial resources from all sources</w:t>
      </w:r>
      <w:r>
        <w:rPr>
          <w:lang w:val="en-IE"/>
        </w:rPr>
        <w:t xml:space="preserve">, including </w:t>
      </w:r>
      <w:r w:rsidR="00E65B91">
        <w:rPr>
          <w:lang w:val="en-IE"/>
        </w:rPr>
        <w:t xml:space="preserve">the </w:t>
      </w:r>
      <w:r w:rsidRPr="00582955" w:rsidR="00582955">
        <w:rPr>
          <w:lang w:val="en-IE"/>
        </w:rPr>
        <w:t>private and public</w:t>
      </w:r>
      <w:r>
        <w:rPr>
          <w:lang w:val="en-IE"/>
        </w:rPr>
        <w:t xml:space="preserve"> sector at</w:t>
      </w:r>
      <w:r w:rsidRPr="00582955" w:rsidR="00582955">
        <w:rPr>
          <w:lang w:val="en-IE"/>
        </w:rPr>
        <w:t xml:space="preserve"> regional, national and international</w:t>
      </w:r>
      <w:r>
        <w:rPr>
          <w:lang w:val="en-IE"/>
        </w:rPr>
        <w:t xml:space="preserve"> levels; recognises the </w:t>
      </w:r>
      <w:r w:rsidR="00582955">
        <w:rPr>
          <w:lang w:val="en-IE"/>
        </w:rPr>
        <w:t>role of</w:t>
      </w:r>
      <w:r>
        <w:rPr>
          <w:lang w:val="en-IE"/>
        </w:rPr>
        <w:t xml:space="preserve"> </w:t>
      </w:r>
      <w:r w:rsidR="00F625A8">
        <w:rPr>
          <w:lang w:val="en-IE"/>
        </w:rPr>
        <w:t>i</w:t>
      </w:r>
      <w:r>
        <w:rPr>
          <w:lang w:val="en-IE"/>
        </w:rPr>
        <w:t xml:space="preserve">nternational </w:t>
      </w:r>
      <w:r w:rsidR="00F625A8">
        <w:rPr>
          <w:lang w:val="en-IE"/>
        </w:rPr>
        <w:t>f</w:t>
      </w:r>
      <w:r>
        <w:rPr>
          <w:lang w:val="en-IE"/>
        </w:rPr>
        <w:t xml:space="preserve">inancial </w:t>
      </w:r>
      <w:r w:rsidR="00F625A8">
        <w:rPr>
          <w:lang w:val="en-IE"/>
        </w:rPr>
        <w:t>i</w:t>
      </w:r>
      <w:r>
        <w:rPr>
          <w:lang w:val="en-IE"/>
        </w:rPr>
        <w:t>nstitutions and</w:t>
      </w:r>
      <w:r w:rsidR="00582955">
        <w:rPr>
          <w:lang w:val="en-IE"/>
        </w:rPr>
        <w:t xml:space="preserve"> Multilateral Development Banks in mobilising climate </w:t>
      </w:r>
      <w:r w:rsidR="00F625A8">
        <w:rPr>
          <w:lang w:val="en-IE"/>
        </w:rPr>
        <w:t>finance</w:t>
      </w:r>
      <w:r>
        <w:rPr>
          <w:lang w:val="en-IE"/>
        </w:rPr>
        <w:t xml:space="preserve"> and </w:t>
      </w:r>
      <w:r w:rsidR="00582955">
        <w:rPr>
          <w:lang w:val="en-IE"/>
        </w:rPr>
        <w:t>c</w:t>
      </w:r>
      <w:r w:rsidRPr="00582955" w:rsidR="00582955">
        <w:rPr>
          <w:lang w:val="en-IE"/>
        </w:rPr>
        <w:t xml:space="preserve">alls </w:t>
      </w:r>
      <w:r>
        <w:rPr>
          <w:lang w:val="en-IE"/>
        </w:rPr>
        <w:t>upon these institutions</w:t>
      </w:r>
      <w:r w:rsidRPr="00582955" w:rsidR="00582955">
        <w:rPr>
          <w:lang w:val="en-IE"/>
        </w:rPr>
        <w:t xml:space="preserve"> to </w:t>
      </w:r>
      <w:r w:rsidR="00F625A8">
        <w:rPr>
          <w:lang w:val="en-IE"/>
        </w:rPr>
        <w:t xml:space="preserve">ensure that LRAs </w:t>
      </w:r>
      <w:r w:rsidR="00E65B91">
        <w:rPr>
          <w:lang w:val="en-IE"/>
        </w:rPr>
        <w:t>h</w:t>
      </w:r>
      <w:r w:rsidRPr="00E65B91" w:rsidR="00E65B91">
        <w:rPr>
          <w:lang w:val="en-IE"/>
        </w:rPr>
        <w:t>ave streamlined access to funding without unnecessary bureaucratic hurdles</w:t>
      </w:r>
      <w:r w:rsidR="00E65B91">
        <w:rPr>
          <w:lang w:val="en-IE"/>
        </w:rPr>
        <w:t>;</w:t>
      </w:r>
    </w:p>
    <w:p w:rsidRPr="00E7550F" w:rsidR="008A363B" w:rsidP="008A363B" w:rsidRDefault="008A363B" w14:paraId="2DA9EAFE" w14:textId="77777777"/>
    <w:p w:rsidR="008A363B" w:rsidP="00BE40B2" w:rsidRDefault="002868F8" w14:paraId="790D0F24" w14:textId="53FDB5EC">
      <w:pPr>
        <w:pStyle w:val="Heading1"/>
        <w:ind w:left="567" w:hanging="567"/>
        <w:rPr>
          <w:szCs w:val="22"/>
          <w:lang w:eastAsia="en-GB"/>
        </w:rPr>
      </w:pPr>
      <w:r w:rsidRPr="00C21709">
        <w:t>s</w:t>
      </w:r>
      <w:r w:rsidRPr="00C21709" w:rsidR="008A363B">
        <w:t>tresses the</w:t>
      </w:r>
      <w:r w:rsidRPr="00C21709" w:rsidR="00BE40B2">
        <w:t xml:space="preserve"> need for</w:t>
      </w:r>
      <w:r w:rsidRPr="006B6D26" w:rsidR="008A363B">
        <w:t xml:space="preserve"> </w:t>
      </w:r>
      <w:r w:rsidRPr="00D76014" w:rsidR="008A363B">
        <w:t xml:space="preserve">closer cooperation with LRAs in defining relevant fiscal measures, in line with the </w:t>
      </w:r>
      <w:r w:rsidRPr="00C21709" w:rsidR="008A363B">
        <w:t xml:space="preserve">Paris Agreement's </w:t>
      </w:r>
      <w:r w:rsidRPr="00D76014" w:rsidR="008A363B">
        <w:t>recognition of "the importance of integrated, holistic and balanced non-market approaches to enable voluntary cooperation being available to Parties to assist in the implementation of their NDCs, (...), in a coordinated and effective manner</w:t>
      </w:r>
      <w:r w:rsidRPr="00D76014" w:rsidR="00674BE7">
        <w:rPr>
          <w:rStyle w:val="FootnoteReference"/>
          <w:sz w:val="24"/>
          <w:szCs w:val="24"/>
          <w:lang w:eastAsia="en-GB"/>
        </w:rPr>
        <w:footnoteReference w:id="5"/>
      </w:r>
      <w:r w:rsidRPr="00D76014" w:rsidR="008A363B">
        <w:t xml:space="preserve">", and underlines </w:t>
      </w:r>
      <w:r w:rsidRPr="00D76014" w:rsidR="00917328">
        <w:t>that</w:t>
      </w:r>
      <w:r w:rsidRPr="00D76014" w:rsidR="008A363B">
        <w:t xml:space="preserve"> this would encourage </w:t>
      </w:r>
      <w:r w:rsidRPr="00D76014" w:rsidR="00941765">
        <w:t>P</w:t>
      </w:r>
      <w:r w:rsidRPr="00D76014" w:rsidR="008A363B">
        <w:t xml:space="preserve">arties, LRAs, </w:t>
      </w:r>
      <w:r w:rsidRPr="00D76014">
        <w:t xml:space="preserve">the </w:t>
      </w:r>
      <w:r w:rsidRPr="00D76014" w:rsidR="008A363B">
        <w:t>private sector and civil society to actively engage in the research, development and implementation of non-market approaches</w:t>
      </w:r>
      <w:r w:rsidRPr="00D76014" w:rsidR="00BE40B2">
        <w:t>;</w:t>
      </w:r>
    </w:p>
    <w:p w:rsidRPr="00BE40B2" w:rsidR="00BE40B2" w:rsidP="00BE40B2" w:rsidRDefault="00BE40B2" w14:paraId="5E65BCC6" w14:textId="77777777">
      <w:pPr>
        <w:rPr>
          <w:lang w:eastAsia="en-GB"/>
        </w:rPr>
      </w:pPr>
    </w:p>
    <w:p w:rsidRPr="00BE40B2" w:rsidR="00BE40B2" w:rsidP="00BE40B2" w:rsidRDefault="00BE40B2" w14:paraId="005B415A" w14:textId="53F4850E">
      <w:pPr>
        <w:pStyle w:val="Heading1"/>
        <w:ind w:left="567" w:hanging="567"/>
        <w:rPr>
          <w:lang w:eastAsia="en-GB"/>
        </w:rPr>
      </w:pPr>
      <w:r w:rsidRPr="00BE40B2">
        <w:rPr>
          <w:szCs w:val="22"/>
        </w:rPr>
        <w:t>calls for increased coordination to respond to misinformation and disinformation campaigns aiming to discredit local climate action</w:t>
      </w:r>
      <w:r w:rsidR="00C048E4">
        <w:rPr>
          <w:szCs w:val="22"/>
        </w:rPr>
        <w:t xml:space="preserve"> and</w:t>
      </w:r>
      <w:r w:rsidRPr="00C048E4" w:rsidR="00C048E4">
        <w:rPr>
          <w:szCs w:val="22"/>
        </w:rPr>
        <w:t xml:space="preserve"> for adequate resources to raise awareness,</w:t>
      </w:r>
      <w:r w:rsidR="00941765">
        <w:rPr>
          <w:szCs w:val="22"/>
        </w:rPr>
        <w:t xml:space="preserve"> </w:t>
      </w:r>
      <w:r w:rsidRPr="00C048E4" w:rsidR="00C048E4">
        <w:rPr>
          <w:szCs w:val="22"/>
        </w:rPr>
        <w:t>build capacity and engage local communities with climate action</w:t>
      </w:r>
      <w:r w:rsidR="00C048E4">
        <w:rPr>
          <w:szCs w:val="22"/>
        </w:rPr>
        <w:t>;</w:t>
      </w:r>
    </w:p>
    <w:p w:rsidRPr="008005FD" w:rsidR="008005FD" w:rsidP="008005FD" w:rsidRDefault="008005FD" w14:paraId="43ECE452" w14:textId="77777777"/>
    <w:p w:rsidR="003A043C" w:rsidP="003A043C" w:rsidRDefault="00B1364A" w14:paraId="092F531E" w14:textId="7ECBB277">
      <w:pPr>
        <w:rPr>
          <w:b/>
          <w:bCs/>
          <w:color w:val="000000"/>
        </w:rPr>
      </w:pPr>
      <w:r w:rsidRPr="007805EF">
        <w:rPr>
          <w:b/>
          <w:i/>
        </w:rPr>
        <w:t>From recognition to partnership</w:t>
      </w:r>
      <w:r w:rsidR="004F05B3">
        <w:rPr>
          <w:b/>
          <w:i/>
        </w:rPr>
        <w:t>: c</w:t>
      </w:r>
      <w:r w:rsidRPr="000755D1">
        <w:rPr>
          <w:b/>
          <w:i/>
        </w:rPr>
        <w:t>atalysing subnational contributions to UNFCCC processes</w:t>
      </w:r>
    </w:p>
    <w:p w:rsidRPr="0034337E" w:rsidR="0034337E" w:rsidP="0034337E" w:rsidRDefault="0034337E" w14:paraId="0E2365A6" w14:textId="77777777">
      <w:pPr>
        <w:rPr>
          <w:lang w:val="en-IE"/>
        </w:rPr>
      </w:pPr>
    </w:p>
    <w:p w:rsidR="0034337E" w:rsidP="0034337E" w:rsidRDefault="0034337E" w14:paraId="4EDC3DDF" w14:textId="35AD3C2A">
      <w:pPr>
        <w:pStyle w:val="Heading1"/>
        <w:ind w:left="567" w:hanging="567"/>
        <w:rPr>
          <w:szCs w:val="22"/>
        </w:rPr>
      </w:pPr>
      <w:r w:rsidRPr="0034337E">
        <w:rPr>
          <w:color w:val="000000"/>
          <w:szCs w:val="22"/>
        </w:rPr>
        <w:t>welcomes the launch of the COP27 Presidency Sustainable Urban Resilience for the Next Generation (</w:t>
      </w:r>
      <w:r w:rsidRPr="0034337E">
        <w:rPr>
          <w:szCs w:val="22"/>
          <w:lang w:val="en-IE"/>
        </w:rPr>
        <w:t>SURGe</w:t>
      </w:r>
      <w:r w:rsidRPr="0034337E">
        <w:rPr>
          <w:color w:val="000000"/>
          <w:szCs w:val="22"/>
        </w:rPr>
        <w:t xml:space="preserve">) Initiative, as well as the organisation of the first Ministerial Meeting on Urbanization and Climate and invites the </w:t>
      </w:r>
      <w:r w:rsidRPr="0034337E">
        <w:rPr>
          <w:szCs w:val="22"/>
        </w:rPr>
        <w:t>United</w:t>
      </w:r>
      <w:r w:rsidRPr="0034337E">
        <w:rPr>
          <w:color w:val="000000"/>
          <w:szCs w:val="22"/>
        </w:rPr>
        <w:t xml:space="preserve"> Arab Emirates</w:t>
      </w:r>
      <w:r w:rsidR="002E3A46">
        <w:rPr>
          <w:color w:val="000000"/>
          <w:szCs w:val="22"/>
        </w:rPr>
        <w:t xml:space="preserve"> (UAE)</w:t>
      </w:r>
      <w:r w:rsidRPr="0034337E">
        <w:rPr>
          <w:color w:val="000000"/>
          <w:szCs w:val="22"/>
        </w:rPr>
        <w:t xml:space="preserve"> Presidency to continue this Ministerial Meeting at COP28</w:t>
      </w:r>
      <w:r w:rsidR="00F11FD5">
        <w:rPr>
          <w:color w:val="000000"/>
          <w:szCs w:val="22"/>
        </w:rPr>
        <w:t xml:space="preserve"> and a</w:t>
      </w:r>
      <w:r w:rsidRPr="00F11FD5" w:rsidR="00F11FD5">
        <w:rPr>
          <w:color w:val="000000"/>
          <w:szCs w:val="22"/>
        </w:rPr>
        <w:t xml:space="preserve">ctively participate </w:t>
      </w:r>
      <w:r w:rsidR="00F11FD5">
        <w:rPr>
          <w:color w:val="000000"/>
          <w:szCs w:val="22"/>
        </w:rPr>
        <w:t>in the SURGe initiative</w:t>
      </w:r>
      <w:r w:rsidRPr="0034337E">
        <w:rPr>
          <w:szCs w:val="22"/>
        </w:rPr>
        <w:t>;</w:t>
      </w:r>
    </w:p>
    <w:p w:rsidRPr="0093731B" w:rsidR="0093731B" w:rsidP="0093731B" w:rsidRDefault="0093731B" w14:paraId="4B1F3328" w14:textId="77777777"/>
    <w:p w:rsidRPr="0093731B" w:rsidR="0093731B" w:rsidP="0093731B" w:rsidRDefault="0093731B" w14:paraId="06883354" w14:textId="51E9F3A5">
      <w:pPr>
        <w:pStyle w:val="Heading1"/>
        <w:ind w:left="567" w:hanging="567"/>
      </w:pPr>
      <w:r w:rsidRPr="0093731B">
        <w:rPr>
          <w:szCs w:val="22"/>
          <w:lang w:val="en-IE"/>
        </w:rPr>
        <w:t>welcomes the COP28 Presidency</w:t>
      </w:r>
      <w:r w:rsidR="002868F8">
        <w:rPr>
          <w:szCs w:val="22"/>
        </w:rPr>
        <w:t>'s</w:t>
      </w:r>
      <w:r w:rsidRPr="0093731B">
        <w:rPr>
          <w:szCs w:val="22"/>
          <w:lang w:val="en-IE"/>
        </w:rPr>
        <w:t xml:space="preserve"> commitment to ensure the first-ever global delegation of mayors at the </w:t>
      </w:r>
      <w:r w:rsidRPr="002868F8" w:rsidR="002868F8">
        <w:rPr>
          <w:szCs w:val="22"/>
          <w:lang w:val="en-IE"/>
        </w:rPr>
        <w:t xml:space="preserve">World Climate Action Summit </w:t>
      </w:r>
      <w:r w:rsidRPr="0093731B">
        <w:rPr>
          <w:szCs w:val="22"/>
          <w:lang w:val="en-IE"/>
        </w:rPr>
        <w:t>and include local climate priorities and contributions in the COP28 program</w:t>
      </w:r>
      <w:r w:rsidR="00C46D42">
        <w:rPr>
          <w:szCs w:val="22"/>
          <w:lang w:val="en-IE"/>
        </w:rPr>
        <w:t>me</w:t>
      </w:r>
      <w:r w:rsidR="00BD32EA">
        <w:rPr>
          <w:szCs w:val="22"/>
          <w:lang w:val="en-IE"/>
        </w:rPr>
        <w:t>;</w:t>
      </w:r>
    </w:p>
    <w:p w:rsidRPr="0034337E" w:rsidR="0034337E" w:rsidP="0034337E" w:rsidRDefault="0034337E" w14:paraId="051D6C00" w14:textId="77777777">
      <w:pPr>
        <w:rPr>
          <w:szCs w:val="22"/>
          <w:highlight w:val="yellow"/>
        </w:rPr>
      </w:pPr>
    </w:p>
    <w:p w:rsidR="00BD32EA" w:rsidP="00BD32EA" w:rsidRDefault="0034337E" w14:paraId="005BB898" w14:textId="1734D95C">
      <w:pPr>
        <w:pStyle w:val="Heading1"/>
        <w:ind w:left="567" w:hanging="567"/>
        <w:rPr>
          <w:szCs w:val="22"/>
        </w:rPr>
      </w:pPr>
      <w:r w:rsidRPr="0034337E">
        <w:rPr>
          <w:color w:val="000000"/>
          <w:szCs w:val="22"/>
        </w:rPr>
        <w:t>welcomes the 2023 G7 Climate, Energy and Environment Ministers</w:t>
      </w:r>
      <w:r w:rsidRPr="0034337E">
        <w:rPr>
          <w:szCs w:val="22"/>
        </w:rPr>
        <w:t xml:space="preserve">' </w:t>
      </w:r>
      <w:r w:rsidRPr="0034337E">
        <w:rPr>
          <w:color w:val="000000"/>
          <w:szCs w:val="22"/>
        </w:rPr>
        <w:t xml:space="preserve">Communiqué, which acknowledges the vital role of subnational actors in realising the transformation towards net-zero, climate-resilient, </w:t>
      </w:r>
      <w:r w:rsidRPr="0034337E">
        <w:rPr>
          <w:szCs w:val="22"/>
          <w:lang w:val="en-IE"/>
        </w:rPr>
        <w:t>circular</w:t>
      </w:r>
      <w:r w:rsidRPr="0034337E">
        <w:rPr>
          <w:color w:val="000000"/>
          <w:szCs w:val="22"/>
        </w:rPr>
        <w:t xml:space="preserve"> and nature</w:t>
      </w:r>
      <w:r w:rsidRPr="0034337E">
        <w:rPr>
          <w:szCs w:val="22"/>
        </w:rPr>
        <w:t>-</w:t>
      </w:r>
      <w:r w:rsidRPr="0034337E">
        <w:rPr>
          <w:color w:val="000000"/>
          <w:szCs w:val="22"/>
        </w:rPr>
        <w:t>positive economies, and the establishment of the G7 Roundtable on Subnational Climate Actions that will inform the G20 and COP28</w:t>
      </w:r>
      <w:r w:rsidRPr="0034337E">
        <w:rPr>
          <w:szCs w:val="22"/>
        </w:rPr>
        <w:t>;</w:t>
      </w:r>
    </w:p>
    <w:p w:rsidRPr="000568BF" w:rsidR="000568BF" w:rsidP="000568BF" w:rsidRDefault="000568BF" w14:paraId="61835EC9" w14:textId="77777777"/>
    <w:p w:rsidRPr="00D76014" w:rsidR="0093731B" w:rsidP="0093731B" w:rsidRDefault="007024FE" w14:paraId="6DD9D591" w14:textId="55869344">
      <w:pPr>
        <w:pStyle w:val="Heading1"/>
        <w:ind w:left="567" w:hanging="567"/>
      </w:pPr>
      <w:r w:rsidRPr="00E7550F">
        <w:t>highlights the crucial role of the Local Governments and Municipal Authorities (LGMA) Constituency in bringing together LRAs' voices globally and in continuously reinforcing a worldwide network of subnational governments willing to fight climate change</w:t>
      </w:r>
      <w:r w:rsidRPr="00E7550F" w:rsidR="000568BF">
        <w:t xml:space="preserve">; </w:t>
      </w:r>
      <w:r w:rsidRPr="00D76014">
        <w:t>i</w:t>
      </w:r>
      <w:r w:rsidRPr="00D76014" w:rsidR="0034337E">
        <w:t>nvites the Parties to leverage partnerships and collaboration with the</w:t>
      </w:r>
      <w:r w:rsidRPr="00D76014">
        <w:t xml:space="preserve"> </w:t>
      </w:r>
      <w:r w:rsidRPr="00D76014" w:rsidR="0034337E">
        <w:t xml:space="preserve">LGMA Constituency and </w:t>
      </w:r>
      <w:r w:rsidRPr="00D76014" w:rsidR="004A1D35">
        <w:t xml:space="preserve">the Marrakesh Partnership for Global Climate Action, </w:t>
      </w:r>
      <w:r w:rsidRPr="00D76014" w:rsidR="0034337E">
        <w:t>as well as with the High-Level Climate Champions;</w:t>
      </w:r>
    </w:p>
    <w:p w:rsidRPr="00D76014" w:rsidR="007F463B" w:rsidP="00D76014" w:rsidRDefault="007F463B" w14:paraId="26CC7A03" w14:textId="77777777"/>
    <w:p w:rsidRPr="0093731B" w:rsidR="0093731B" w:rsidP="0093731B" w:rsidRDefault="0093731B" w14:paraId="2979E379" w14:textId="3DF09C3E">
      <w:pPr>
        <w:pStyle w:val="Heading1"/>
        <w:ind w:left="567" w:hanging="567"/>
        <w:rPr>
          <w:color w:val="202020"/>
          <w:szCs w:val="22"/>
          <w:shd w:val="clear" w:color="auto" w:fill="FFFFFF"/>
        </w:rPr>
      </w:pPr>
      <w:r w:rsidRPr="0093731B">
        <w:rPr>
          <w:color w:val="000000"/>
        </w:rPr>
        <w:t xml:space="preserve">invites the High-Level Champions to explore the </w:t>
      </w:r>
      <w:r w:rsidR="0007118F">
        <w:rPr>
          <w:color w:val="000000"/>
        </w:rPr>
        <w:t>possibility</w:t>
      </w:r>
      <w:r w:rsidRPr="0093731B">
        <w:rPr>
          <w:color w:val="000000"/>
        </w:rPr>
        <w:t xml:space="preserve"> </w:t>
      </w:r>
      <w:r w:rsidR="0055273B">
        <w:rPr>
          <w:color w:val="000000"/>
        </w:rPr>
        <w:t>of expanding</w:t>
      </w:r>
      <w:r w:rsidR="00BD32EA">
        <w:rPr>
          <w:color w:val="000000"/>
        </w:rPr>
        <w:t xml:space="preserve"> </w:t>
      </w:r>
      <w:r w:rsidRPr="0093731B">
        <w:rPr>
          <w:color w:val="000000"/>
        </w:rPr>
        <w:t>Regional Climate Weeks to Europe</w:t>
      </w:r>
      <w:r w:rsidR="0055273B">
        <w:rPr>
          <w:color w:val="000000"/>
        </w:rPr>
        <w:t xml:space="preserve"> in the near future</w:t>
      </w:r>
      <w:r w:rsidRPr="0093731B">
        <w:rPr>
          <w:color w:val="000000"/>
        </w:rPr>
        <w:t>;</w:t>
      </w:r>
    </w:p>
    <w:p w:rsidRPr="0093731B" w:rsidR="0093731B" w:rsidP="0093731B" w:rsidRDefault="0093731B" w14:paraId="3F35AD74" w14:textId="77777777"/>
    <w:p w:rsidRPr="00744427" w:rsidR="0034337E" w:rsidP="00744427" w:rsidRDefault="008B3F9E" w14:paraId="2BD1CA39" w14:textId="44938954">
      <w:pPr>
        <w:pStyle w:val="Heading1"/>
        <w:ind w:left="567" w:hanging="567"/>
        <w:rPr>
          <w:szCs w:val="22"/>
        </w:rPr>
      </w:pPr>
      <w:r>
        <w:rPr>
          <w:szCs w:val="22"/>
        </w:rPr>
        <w:t>w</w:t>
      </w:r>
      <w:r w:rsidRPr="00522AE3" w:rsidR="00744427">
        <w:rPr>
          <w:szCs w:val="22"/>
        </w:rPr>
        <w:t xml:space="preserve">elcomes the adoption of the Kunming-Montreal Global Biodiversity Framework (GBF) at </w:t>
      </w:r>
      <w:r w:rsidR="00744427">
        <w:rPr>
          <w:szCs w:val="22"/>
        </w:rPr>
        <w:t xml:space="preserve">CBD </w:t>
      </w:r>
      <w:r w:rsidRPr="00522AE3" w:rsidR="00744427">
        <w:rPr>
          <w:szCs w:val="22"/>
        </w:rPr>
        <w:t xml:space="preserve">COP15 </w:t>
      </w:r>
      <w:r w:rsidR="00744427">
        <w:rPr>
          <w:szCs w:val="22"/>
        </w:rPr>
        <w:t xml:space="preserve">and </w:t>
      </w:r>
      <w:r w:rsidRPr="00744427" w:rsidR="00744427">
        <w:rPr>
          <w:szCs w:val="22"/>
        </w:rPr>
        <w:t xml:space="preserve">the endorsement of the key role of local governments in contributing to </w:t>
      </w:r>
      <w:r w:rsidR="00905C5C">
        <w:rPr>
          <w:szCs w:val="22"/>
        </w:rPr>
        <w:t>it</w:t>
      </w:r>
      <w:r>
        <w:rPr>
          <w:szCs w:val="22"/>
        </w:rPr>
        <w:t xml:space="preserve">, particularly through </w:t>
      </w:r>
      <w:r w:rsidRPr="00744427" w:rsidR="00744427">
        <w:rPr>
          <w:szCs w:val="22"/>
        </w:rPr>
        <w:t>the formal inclusion of subnational governments as key partners in developing and implementing national biodiversity strategies and actions plans</w:t>
      </w:r>
      <w:r w:rsidR="00905C5C">
        <w:rPr>
          <w:szCs w:val="22"/>
        </w:rPr>
        <w:t xml:space="preserve">; </w:t>
      </w:r>
      <w:r w:rsidRPr="00744427" w:rsidR="00744427">
        <w:rPr>
          <w:szCs w:val="22"/>
        </w:rPr>
        <w:t>strongly encourages the Parties to the Paris Agreement to adopt similar provisions of this exemplary approach;</w:t>
      </w:r>
    </w:p>
    <w:p w:rsidRPr="0093731B" w:rsidR="0093731B" w:rsidP="0093731B" w:rsidRDefault="0093731B" w14:paraId="5157869D" w14:textId="77777777"/>
    <w:p w:rsidR="0034337E" w:rsidP="0034337E" w:rsidRDefault="0034337E" w14:paraId="2A47BB9C" w14:textId="44B274D1">
      <w:pPr>
        <w:pStyle w:val="Heading1"/>
        <w:ind w:left="567" w:hanging="567"/>
        <w:rPr>
          <w:sz w:val="24"/>
          <w:szCs w:val="24"/>
        </w:rPr>
      </w:pPr>
      <w:r w:rsidRPr="0034337E">
        <w:rPr>
          <w:szCs w:val="22"/>
        </w:rPr>
        <w:t>commits to acting as a direct link, providing access to information and regular updates to CoR members and LRAs in Europe on the</w:t>
      </w:r>
      <w:r w:rsidR="00CF2DC1">
        <w:rPr>
          <w:szCs w:val="22"/>
        </w:rPr>
        <w:t xml:space="preserve"> preparation and</w:t>
      </w:r>
      <w:r w:rsidRPr="0034337E">
        <w:rPr>
          <w:szCs w:val="22"/>
        </w:rPr>
        <w:t xml:space="preserve"> progress of the negotiations, </w:t>
      </w:r>
      <w:r w:rsidR="00CF2DC1">
        <w:rPr>
          <w:szCs w:val="22"/>
        </w:rPr>
        <w:t>during</w:t>
      </w:r>
      <w:r w:rsidRPr="0034337E">
        <w:rPr>
          <w:szCs w:val="22"/>
        </w:rPr>
        <w:t xml:space="preserve"> the COP28</w:t>
      </w:r>
      <w:r w:rsidR="00CF2DC1">
        <w:rPr>
          <w:szCs w:val="22"/>
        </w:rPr>
        <w:t xml:space="preserve"> and beyond</w:t>
      </w:r>
      <w:r w:rsidRPr="0034337E">
        <w:rPr>
          <w:szCs w:val="22"/>
        </w:rPr>
        <w:t>; welcomes the partnership and support of other EU institutions in delivering this information regularly, bringing LRAs closer to the international climate negotiations.</w:t>
      </w:r>
    </w:p>
    <w:p w:rsidRPr="0034337E" w:rsidR="0034337E" w:rsidP="0034337E" w:rsidRDefault="0034337E" w14:paraId="5B89C1CA" w14:textId="77777777">
      <w:pPr>
        <w:rPr>
          <w:lang w:val="en-IE"/>
        </w:rPr>
      </w:pPr>
    </w:p>
    <w:p w:rsidRPr="00334D96" w:rsidR="009D12B5" w:rsidP="003A043C" w:rsidRDefault="009D12B5" w14:paraId="3289D128" w14:textId="77777777"/>
    <w:p w:rsidRPr="00334D96" w:rsidR="00444A98" w:rsidP="0020209C" w:rsidRDefault="00444A98" w14:paraId="1312B415" w14:textId="40AA98F2">
      <w:pPr>
        <w:textAlignment w:val="auto"/>
      </w:pPr>
      <w:r w:rsidRPr="00334D96">
        <w:t xml:space="preserve">Brussels, </w:t>
      </w:r>
    </w:p>
    <w:p w:rsidRPr="00334D96" w:rsidR="00444A98" w:rsidP="0025436B" w:rsidRDefault="00444A98" w14:paraId="4F934319" w14:textId="77777777">
      <w:pPr>
        <w:numPr>
          <w:ilvl w:val="0"/>
          <w:numId w:val="2"/>
        </w:numPr>
        <w:ind w:left="567" w:hanging="567"/>
        <w:rPr>
          <w:b/>
          <w:bCs/>
        </w:rPr>
      </w:pPr>
      <w:r w:rsidRPr="00334D96">
        <w:br w:type="page"/>
      </w:r>
      <w:r w:rsidRPr="00334D96">
        <w:rPr>
          <w:b/>
          <w:bCs/>
        </w:rPr>
        <w:t>PROCEDURE</w:t>
      </w:r>
    </w:p>
    <w:p w:rsidR="00444A98" w:rsidP="003A043C" w:rsidRDefault="00444A98" w14:paraId="5F81FC22" w14:textId="13888E13"/>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334D96" w:rsidR="007037BF" w:rsidTr="00BA7443" w14:paraId="62794384" w14:textId="77777777">
        <w:tc>
          <w:tcPr>
            <w:tcW w:w="3848" w:type="dxa"/>
            <w:noWrap/>
          </w:tcPr>
          <w:p w:rsidRPr="00334D96" w:rsidR="007037BF" w:rsidP="00BA7443" w:rsidRDefault="007037BF" w14:paraId="451F356E" w14:textId="77777777">
            <w:pPr>
              <w:jc w:val="left"/>
              <w:rPr>
                <w:b/>
                <w:bCs/>
              </w:rPr>
            </w:pPr>
            <w:r w:rsidRPr="00334D96">
              <w:rPr>
                <w:b/>
                <w:bCs/>
              </w:rPr>
              <w:t>Title</w:t>
            </w:r>
          </w:p>
          <w:p w:rsidRPr="00334D96" w:rsidR="007037BF" w:rsidP="00BA7443" w:rsidRDefault="007037BF" w14:paraId="595197B3" w14:textId="77777777">
            <w:pPr>
              <w:jc w:val="left"/>
            </w:pPr>
          </w:p>
        </w:tc>
        <w:tc>
          <w:tcPr>
            <w:tcW w:w="5441" w:type="dxa"/>
            <w:noWrap/>
          </w:tcPr>
          <w:p w:rsidRPr="00334D96" w:rsidR="007037BF" w:rsidP="00BA7443" w:rsidRDefault="007037BF" w14:paraId="2A358698" w14:textId="7A4FDF2D">
            <w:r w:rsidRPr="001A4185">
              <w:rPr>
                <w:bCs/>
              </w:rPr>
              <w:t>UNFCCC COP28: the role of subnational authorities in keeping climate ambition on track</w:t>
            </w:r>
          </w:p>
        </w:tc>
      </w:tr>
      <w:tr w:rsidRPr="00334D96" w:rsidR="007037BF" w:rsidTr="00BA7443" w14:paraId="69C43FAA" w14:textId="77777777">
        <w:tc>
          <w:tcPr>
            <w:tcW w:w="3848" w:type="dxa"/>
            <w:noWrap/>
          </w:tcPr>
          <w:p w:rsidRPr="00334D96" w:rsidR="007037BF" w:rsidP="00BA7443" w:rsidRDefault="007037BF" w14:paraId="61201809" w14:textId="77777777">
            <w:pPr>
              <w:jc w:val="left"/>
              <w:rPr>
                <w:b/>
                <w:bCs/>
              </w:rPr>
            </w:pPr>
            <w:r w:rsidRPr="00334D96">
              <w:rPr>
                <w:b/>
                <w:bCs/>
              </w:rPr>
              <w:t xml:space="preserve">Reference(s) </w:t>
            </w:r>
          </w:p>
        </w:tc>
        <w:tc>
          <w:tcPr>
            <w:tcW w:w="5441" w:type="dxa"/>
            <w:noWrap/>
          </w:tcPr>
          <w:p w:rsidRPr="00334D96" w:rsidR="007037BF" w:rsidP="00BA7443" w:rsidRDefault="007037BF" w14:paraId="2746FF7E" w14:textId="77777777"/>
        </w:tc>
      </w:tr>
      <w:tr w:rsidRPr="00334D96" w:rsidR="007037BF" w:rsidTr="00BA7443" w14:paraId="563758EC" w14:textId="77777777">
        <w:tc>
          <w:tcPr>
            <w:tcW w:w="3848" w:type="dxa"/>
            <w:noWrap/>
          </w:tcPr>
          <w:p w:rsidRPr="00334D96" w:rsidR="007037BF" w:rsidP="00BA7443" w:rsidRDefault="007037BF" w14:paraId="28CB541F" w14:textId="77777777">
            <w:pPr>
              <w:jc w:val="left"/>
              <w:rPr>
                <w:b/>
                <w:bCs/>
              </w:rPr>
            </w:pPr>
            <w:r w:rsidRPr="00334D96">
              <w:rPr>
                <w:b/>
                <w:bCs/>
              </w:rPr>
              <w:t>Legal basis</w:t>
            </w:r>
          </w:p>
        </w:tc>
        <w:tc>
          <w:tcPr>
            <w:tcW w:w="5441" w:type="dxa"/>
            <w:noWrap/>
          </w:tcPr>
          <w:p w:rsidRPr="00334D96" w:rsidR="007037BF" w:rsidP="00BA7443" w:rsidRDefault="007037BF" w14:paraId="1B66EA4D" w14:textId="3B7F2F4C">
            <w:r>
              <w:t>Own initiative opinion</w:t>
            </w:r>
          </w:p>
        </w:tc>
      </w:tr>
      <w:tr w:rsidRPr="00334D96" w:rsidR="007037BF" w:rsidTr="00BA7443" w14:paraId="3FF6D5CA" w14:textId="77777777">
        <w:tc>
          <w:tcPr>
            <w:tcW w:w="3848" w:type="dxa"/>
            <w:noWrap/>
          </w:tcPr>
          <w:p w:rsidRPr="00334D96" w:rsidR="007037BF" w:rsidP="00BA7443" w:rsidRDefault="007037BF" w14:paraId="245B447B" w14:textId="77777777">
            <w:pPr>
              <w:jc w:val="left"/>
              <w:rPr>
                <w:b/>
                <w:bCs/>
              </w:rPr>
            </w:pPr>
            <w:r w:rsidRPr="00334D96">
              <w:rPr>
                <w:b/>
                <w:bCs/>
              </w:rPr>
              <w:t>Procedural basis</w:t>
            </w:r>
          </w:p>
        </w:tc>
        <w:tc>
          <w:tcPr>
            <w:tcW w:w="5441" w:type="dxa"/>
            <w:noWrap/>
          </w:tcPr>
          <w:p w:rsidRPr="00334D96" w:rsidR="007037BF" w:rsidP="00BA7443" w:rsidRDefault="007037BF" w14:paraId="5C5EE7FE" w14:textId="7866BEE5">
            <w:r w:rsidRPr="007805EF">
              <w:t>Rule 41 b) ii RoP</w:t>
            </w:r>
          </w:p>
        </w:tc>
      </w:tr>
      <w:tr w:rsidRPr="00334D96" w:rsidR="007037BF" w:rsidTr="00BA7443" w14:paraId="0D13DF25" w14:textId="77777777">
        <w:tc>
          <w:tcPr>
            <w:tcW w:w="3848" w:type="dxa"/>
          </w:tcPr>
          <w:p w:rsidRPr="00334D96" w:rsidR="007037BF" w:rsidP="00BA7443" w:rsidRDefault="007037BF" w14:paraId="7B746A0A" w14:textId="77777777">
            <w:pPr>
              <w:jc w:val="left"/>
            </w:pPr>
            <w:r w:rsidRPr="00334D96">
              <w:rPr>
                <w:b/>
                <w:bCs/>
              </w:rPr>
              <w:t>Date of Council/EP referral/Date of Commission letter</w:t>
            </w:r>
          </w:p>
        </w:tc>
        <w:tc>
          <w:tcPr>
            <w:tcW w:w="5441" w:type="dxa"/>
            <w:noWrap/>
          </w:tcPr>
          <w:p w:rsidRPr="00334D96" w:rsidR="007037BF" w:rsidP="00BA7443" w:rsidRDefault="007037BF" w14:paraId="3C1502A9" w14:textId="77777777"/>
        </w:tc>
      </w:tr>
      <w:tr w:rsidRPr="00334D96" w:rsidR="007037BF" w:rsidTr="00BA7443" w14:paraId="2679C9E0" w14:textId="77777777">
        <w:tc>
          <w:tcPr>
            <w:tcW w:w="3848" w:type="dxa"/>
          </w:tcPr>
          <w:p w:rsidRPr="00334D96" w:rsidR="007037BF" w:rsidP="00BA7443" w:rsidRDefault="007037BF" w14:paraId="4E64486F" w14:textId="77777777">
            <w:pPr>
              <w:jc w:val="left"/>
            </w:pPr>
            <w:r w:rsidRPr="00334D96">
              <w:rPr>
                <w:b/>
                <w:bCs/>
              </w:rPr>
              <w:t>Date of Bureau/President's decision</w:t>
            </w:r>
          </w:p>
        </w:tc>
        <w:tc>
          <w:tcPr>
            <w:tcW w:w="5441" w:type="dxa"/>
            <w:noWrap/>
          </w:tcPr>
          <w:p w:rsidRPr="00334D96" w:rsidR="007037BF" w:rsidP="00BA7443" w:rsidRDefault="007037BF" w14:paraId="783BBACA" w14:textId="4E7035AE">
            <w:r>
              <w:t>Scheduled for 7 February 2023</w:t>
            </w:r>
          </w:p>
        </w:tc>
      </w:tr>
      <w:tr w:rsidRPr="00334D96" w:rsidR="007037BF" w:rsidTr="00BA7443" w14:paraId="24104C6D" w14:textId="77777777">
        <w:tc>
          <w:tcPr>
            <w:tcW w:w="3848" w:type="dxa"/>
            <w:noWrap/>
          </w:tcPr>
          <w:p w:rsidRPr="00334D96" w:rsidR="007037BF" w:rsidP="00BA7443" w:rsidRDefault="007037BF" w14:paraId="29425ED5" w14:textId="77777777">
            <w:pPr>
              <w:jc w:val="left"/>
              <w:rPr>
                <w:b/>
                <w:bCs/>
              </w:rPr>
            </w:pPr>
            <w:r w:rsidRPr="00334D96">
              <w:rPr>
                <w:b/>
                <w:bCs/>
              </w:rPr>
              <w:t>Commission responsible</w:t>
            </w:r>
          </w:p>
        </w:tc>
        <w:tc>
          <w:tcPr>
            <w:tcW w:w="5441" w:type="dxa"/>
            <w:noWrap/>
          </w:tcPr>
          <w:p w:rsidRPr="00334D96" w:rsidR="007037BF" w:rsidP="00BA7443" w:rsidRDefault="007037BF" w14:paraId="723CDDA7" w14:textId="6CFEF7FD">
            <w:r>
              <w:t>Commission for the Environment, Climate change and Energy (ENVE)</w:t>
            </w:r>
          </w:p>
        </w:tc>
      </w:tr>
      <w:tr w:rsidRPr="00334D96" w:rsidR="007037BF" w:rsidTr="00BA7443" w14:paraId="68420384" w14:textId="77777777">
        <w:tc>
          <w:tcPr>
            <w:tcW w:w="3848" w:type="dxa"/>
            <w:noWrap/>
          </w:tcPr>
          <w:p w:rsidRPr="00334D96" w:rsidR="007037BF" w:rsidP="00BA7443" w:rsidRDefault="007037BF" w14:paraId="2050B5B6" w14:textId="77777777">
            <w:pPr>
              <w:jc w:val="left"/>
              <w:rPr>
                <w:b/>
                <w:bCs/>
              </w:rPr>
            </w:pPr>
            <w:r w:rsidRPr="00334D96">
              <w:rPr>
                <w:b/>
                <w:bCs/>
              </w:rPr>
              <w:t>Rapporteur</w:t>
            </w:r>
          </w:p>
        </w:tc>
        <w:tc>
          <w:tcPr>
            <w:tcW w:w="5441" w:type="dxa"/>
            <w:noWrap/>
          </w:tcPr>
          <w:p w:rsidRPr="00334D96" w:rsidR="007037BF" w:rsidP="00BA7443" w:rsidRDefault="007037BF" w14:paraId="5357BEDD" w14:textId="307E6B2C">
            <w:r w:rsidRPr="002868F8">
              <w:rPr>
                <w:lang w:val="pl-PL"/>
              </w:rPr>
              <w:t>Rafał TRZASKOWSKI (PL/EPP), Mayor of Warsaw</w:t>
            </w:r>
          </w:p>
        </w:tc>
      </w:tr>
      <w:tr w:rsidRPr="00334D96" w:rsidR="007037BF" w:rsidTr="00BA7443" w14:paraId="4FD6C0D3" w14:textId="77777777">
        <w:tc>
          <w:tcPr>
            <w:tcW w:w="3848" w:type="dxa"/>
            <w:noWrap/>
          </w:tcPr>
          <w:p w:rsidRPr="00334D96" w:rsidR="007037BF" w:rsidP="00BA7443" w:rsidRDefault="007037BF" w14:paraId="478DD9FC" w14:textId="77777777">
            <w:pPr>
              <w:jc w:val="left"/>
              <w:rPr>
                <w:b/>
                <w:bCs/>
              </w:rPr>
            </w:pPr>
            <w:r w:rsidRPr="00334D96">
              <w:rPr>
                <w:b/>
                <w:bCs/>
              </w:rPr>
              <w:t xml:space="preserve">Discussed in commission </w:t>
            </w:r>
          </w:p>
        </w:tc>
        <w:tc>
          <w:tcPr>
            <w:tcW w:w="5441" w:type="dxa"/>
            <w:noWrap/>
          </w:tcPr>
          <w:p w:rsidRPr="00334D96" w:rsidR="007037BF" w:rsidP="00BA7443" w:rsidRDefault="007037BF" w14:paraId="27F07C21" w14:textId="130A4AAD">
            <w:r>
              <w:t>10 May 2023</w:t>
            </w:r>
          </w:p>
        </w:tc>
      </w:tr>
      <w:tr w:rsidRPr="00334D96" w:rsidR="007037BF" w:rsidTr="00BA7443" w14:paraId="1D34E4A5" w14:textId="77777777">
        <w:tc>
          <w:tcPr>
            <w:tcW w:w="3848" w:type="dxa"/>
            <w:noWrap/>
          </w:tcPr>
          <w:p w:rsidRPr="00334D96" w:rsidR="007037BF" w:rsidP="00BA7443" w:rsidRDefault="007037BF" w14:paraId="7CB03963" w14:textId="77777777">
            <w:pPr>
              <w:jc w:val="left"/>
              <w:rPr>
                <w:b/>
                <w:bCs/>
              </w:rPr>
            </w:pPr>
            <w:r w:rsidRPr="00334D96">
              <w:rPr>
                <w:b/>
                <w:bCs/>
              </w:rPr>
              <w:t xml:space="preserve">Date adopted by commission </w:t>
            </w:r>
          </w:p>
        </w:tc>
        <w:tc>
          <w:tcPr>
            <w:tcW w:w="5441" w:type="dxa"/>
            <w:noWrap/>
          </w:tcPr>
          <w:p w:rsidRPr="00334D96" w:rsidR="007037BF" w:rsidP="00BA7443" w:rsidRDefault="007037BF" w14:paraId="0F9689E6" w14:textId="2D356CA3">
            <w:r>
              <w:t>Scheduled for 29 June 2023</w:t>
            </w:r>
          </w:p>
        </w:tc>
      </w:tr>
      <w:tr w:rsidRPr="00334D96" w:rsidR="007037BF" w:rsidTr="00BA7443" w14:paraId="1A9F9D25" w14:textId="77777777">
        <w:tc>
          <w:tcPr>
            <w:tcW w:w="3848" w:type="dxa"/>
            <w:noWrap/>
          </w:tcPr>
          <w:p w:rsidRPr="00334D96" w:rsidR="007037BF" w:rsidP="00BA7443" w:rsidRDefault="007037BF" w14:paraId="1134483D" w14:textId="77777777">
            <w:pPr>
              <w:jc w:val="left"/>
              <w:rPr>
                <w:b/>
                <w:bCs/>
              </w:rPr>
            </w:pPr>
            <w:r w:rsidRPr="00334D96">
              <w:rPr>
                <w:b/>
                <w:bCs/>
              </w:rPr>
              <w:t>Result of the vote in commission</w:t>
            </w:r>
          </w:p>
          <w:p w:rsidRPr="00334D96" w:rsidR="007037BF" w:rsidP="00BA7443" w:rsidRDefault="007037BF" w14:paraId="1DC40BC7" w14:textId="77777777">
            <w:pPr>
              <w:jc w:val="left"/>
              <w:rPr>
                <w:b/>
                <w:bCs/>
              </w:rPr>
            </w:pPr>
            <w:r w:rsidRPr="00334D96">
              <w:rPr>
                <w:b/>
                <w:bCs/>
              </w:rPr>
              <w:t>(majority, unanimity)</w:t>
            </w:r>
          </w:p>
        </w:tc>
        <w:tc>
          <w:tcPr>
            <w:tcW w:w="5441" w:type="dxa"/>
            <w:noWrap/>
          </w:tcPr>
          <w:p w:rsidRPr="00334D96" w:rsidR="007037BF" w:rsidP="00BA7443" w:rsidRDefault="007037BF" w14:paraId="05048CF1" w14:textId="77777777"/>
        </w:tc>
      </w:tr>
      <w:tr w:rsidRPr="00334D96" w:rsidR="007037BF" w:rsidTr="00BA7443" w14:paraId="500BA9D3" w14:textId="77777777">
        <w:tc>
          <w:tcPr>
            <w:tcW w:w="3848" w:type="dxa"/>
            <w:noWrap/>
          </w:tcPr>
          <w:p w:rsidRPr="00334D96" w:rsidR="007037BF" w:rsidP="00BA7443" w:rsidRDefault="007037BF" w14:paraId="785C52A1" w14:textId="77777777">
            <w:pPr>
              <w:jc w:val="left"/>
              <w:rPr>
                <w:b/>
                <w:bCs/>
              </w:rPr>
            </w:pPr>
            <w:r w:rsidRPr="00334D96">
              <w:rPr>
                <w:b/>
                <w:bCs/>
              </w:rPr>
              <w:t xml:space="preserve">Date adopted in plenary </w:t>
            </w:r>
          </w:p>
        </w:tc>
        <w:tc>
          <w:tcPr>
            <w:tcW w:w="5441" w:type="dxa"/>
            <w:noWrap/>
          </w:tcPr>
          <w:p w:rsidRPr="00334D96" w:rsidR="007037BF" w:rsidP="00BA7443" w:rsidRDefault="007037BF" w14:paraId="08DAE18E" w14:textId="64A57E32">
            <w:r>
              <w:t>Scheduled for 9-11 October 2023</w:t>
            </w:r>
          </w:p>
        </w:tc>
      </w:tr>
      <w:tr w:rsidRPr="00334D96" w:rsidR="007037BF" w:rsidTr="00BA7443" w14:paraId="10C0CD64" w14:textId="77777777">
        <w:tc>
          <w:tcPr>
            <w:tcW w:w="3848" w:type="dxa"/>
            <w:noWrap/>
          </w:tcPr>
          <w:p w:rsidRPr="00334D96" w:rsidR="007037BF" w:rsidP="00BA7443" w:rsidRDefault="007037BF" w14:paraId="6A7EE80E" w14:textId="77777777">
            <w:pPr>
              <w:jc w:val="left"/>
              <w:rPr>
                <w:b/>
                <w:bCs/>
              </w:rPr>
            </w:pPr>
            <w:r w:rsidRPr="00334D96">
              <w:rPr>
                <w:b/>
                <w:bCs/>
              </w:rPr>
              <w:t xml:space="preserve">Previous Committee opinions </w:t>
            </w:r>
          </w:p>
        </w:tc>
        <w:tc>
          <w:tcPr>
            <w:tcW w:w="5441" w:type="dxa"/>
            <w:noWrap/>
          </w:tcPr>
          <w:p w:rsidRPr="00334D96" w:rsidR="007037BF" w:rsidP="00BA7443" w:rsidRDefault="007037BF" w14:paraId="21994A36" w14:textId="77777777"/>
        </w:tc>
      </w:tr>
      <w:tr w:rsidRPr="00334D96" w:rsidR="007037BF" w:rsidTr="00BA7443" w14:paraId="096E6477" w14:textId="77777777">
        <w:tc>
          <w:tcPr>
            <w:tcW w:w="3848" w:type="dxa"/>
            <w:noWrap/>
          </w:tcPr>
          <w:p w:rsidRPr="00334D96" w:rsidR="007037BF" w:rsidP="00BA7443" w:rsidRDefault="007037BF" w14:paraId="4F942BA7" w14:textId="77777777">
            <w:pPr>
              <w:jc w:val="left"/>
              <w:rPr>
                <w:b/>
                <w:bCs/>
              </w:rPr>
            </w:pPr>
            <w:r>
              <w:rPr>
                <w:b/>
                <w:bCs/>
              </w:rPr>
              <w:t>Subsidiarity reference</w:t>
            </w:r>
          </w:p>
        </w:tc>
        <w:tc>
          <w:tcPr>
            <w:tcW w:w="5441" w:type="dxa"/>
            <w:noWrap/>
          </w:tcPr>
          <w:p w:rsidRPr="00334D96" w:rsidR="007037BF" w:rsidP="00BA7443" w:rsidRDefault="007037BF" w14:paraId="025B7399" w14:textId="77777777"/>
        </w:tc>
      </w:tr>
    </w:tbl>
    <w:p w:rsidRPr="00334D96" w:rsidR="00444A98" w:rsidP="003A043C" w:rsidRDefault="00444A98" w14:paraId="687C1475" w14:textId="77777777"/>
    <w:p w:rsidRPr="00334D96" w:rsidR="00444A98" w:rsidP="003A043C" w:rsidRDefault="00444A98" w14:paraId="7B29C18A" w14:textId="77777777">
      <w:pPr>
        <w:jc w:val="center"/>
      </w:pPr>
      <w:r w:rsidRPr="00334D96">
        <w:t>_____________</w:t>
      </w:r>
    </w:p>
    <w:p w:rsidRPr="00334D96" w:rsidR="00444A98" w:rsidP="003A043C" w:rsidRDefault="00444A98" w14:paraId="0BF2C0B3" w14:textId="77777777"/>
    <w:sectPr w:rsidRPr="00334D96" w:rsidR="00444A98" w:rsidSect="00190B51">
      <w:headerReference w:type="even" r:id="rId27"/>
      <w:headerReference w:type="default" r:id="rId28"/>
      <w:footerReference w:type="even" r:id="rId29"/>
      <w:footerReference w:type="default" r:id="rId30"/>
      <w:headerReference w:type="first" r:id="rId31"/>
      <w:footerReference w:type="first" r:id="rId32"/>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A98" w:rsidRDefault="00444A98" w14:paraId="5236770B" w14:textId="77777777">
      <w:r>
        <w:separator/>
      </w:r>
    </w:p>
  </w:endnote>
  <w:endnote w:type="continuationSeparator" w:id="0">
    <w:p w:rsidR="00444A98" w:rsidRDefault="00444A98" w14:paraId="226ACF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A13A9D" w:rsidP="007037BF" w:rsidRDefault="00A13A9D" w14:paraId="742589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037BF" w:rsidR="006D78CA" w:rsidP="007037BF" w:rsidRDefault="007037BF" w14:paraId="13792AE8" w14:textId="4BF0780D">
    <w:pPr>
      <w:pStyle w:val="Footer"/>
    </w:pPr>
    <w:r>
      <w:t xml:space="preserve">COR-2023-00904-00-01-PA-TRA (EN) </w:t>
    </w:r>
    <w:r>
      <w:fldChar w:fldCharType="begin"/>
    </w:r>
    <w:r>
      <w:instrText xml:space="preserve"> PAGE  \* Arabic  \* MERGEFORMAT </w:instrText>
    </w:r>
    <w:r>
      <w:fldChar w:fldCharType="separate"/>
    </w:r>
    <w:r w:rsidR="00BD1566">
      <w:rPr>
        <w:noProof/>
      </w:rPr>
      <w:t>1</w:t>
    </w:r>
    <w:r>
      <w:fldChar w:fldCharType="end"/>
    </w:r>
    <w:r>
      <w:t>/</w:t>
    </w:r>
    <w:r>
      <w:fldChar w:fldCharType="begin"/>
    </w:r>
    <w:r>
      <w:instrText xml:space="preserve"> NUMPAGES </w:instrText>
    </w:r>
    <w:r>
      <w:fldChar w:fldCharType="separate"/>
    </w:r>
    <w:r w:rsidR="00BD156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A13A9D" w:rsidP="007037BF" w:rsidRDefault="00A13A9D" w14:paraId="5896EAD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7F463B" w:rsidP="007037BF" w:rsidRDefault="007F463B" w14:paraId="13AF2B2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037BF" w:rsidR="007F463B" w:rsidP="007037BF" w:rsidRDefault="007037BF" w14:paraId="10839DC6" w14:textId="3F590B02">
    <w:pPr>
      <w:pStyle w:val="Footer"/>
    </w:pPr>
    <w:r>
      <w:t xml:space="preserve">COR-2023-00904-00-01-PA-TRA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7F463B" w:rsidP="007037BF" w:rsidRDefault="007F463B" w14:paraId="701D9F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A98" w:rsidRDefault="00444A98" w14:paraId="678A0E50" w14:textId="77777777">
      <w:r>
        <w:separator/>
      </w:r>
    </w:p>
  </w:footnote>
  <w:footnote w:type="continuationSeparator" w:id="0">
    <w:p w:rsidR="00444A98" w:rsidRDefault="00444A98" w14:paraId="514BD6B2" w14:textId="77777777">
      <w:r>
        <w:continuationSeparator/>
      </w:r>
    </w:p>
  </w:footnote>
  <w:footnote w:id="1">
    <w:p w:rsidRPr="00674BE7" w:rsidR="00674BE7" w:rsidP="00674BE7" w:rsidRDefault="00674BE7" w14:paraId="32E5E046" w14:textId="5F029AB3">
      <w:pPr>
        <w:pStyle w:val="FootnoteText"/>
        <w:ind w:left="567" w:hanging="567"/>
      </w:pPr>
      <w:r w:rsidRPr="00D76014">
        <w:rPr>
          <w:rStyle w:val="FootnoteReference"/>
          <w:sz w:val="24"/>
          <w:szCs w:val="32"/>
        </w:rPr>
        <w:footnoteRef/>
      </w:r>
      <w:r>
        <w:t xml:space="preserve"> </w:t>
      </w:r>
      <w:r>
        <w:tab/>
      </w:r>
      <w:hyperlink w:history="1" r:id="rId1">
        <w:r w:rsidRPr="00C51571">
          <w:rPr>
            <w:rStyle w:val="Hyperlink"/>
          </w:rPr>
          <w:t>UN-Habitat Strategic Plan 2020-2023</w:t>
        </w:r>
      </w:hyperlink>
      <w:r w:rsidRPr="00D76014">
        <w:t>.</w:t>
      </w:r>
    </w:p>
  </w:footnote>
  <w:footnote w:id="2">
    <w:p w:rsidRPr="00674BE7" w:rsidR="00674BE7" w:rsidP="00D76014" w:rsidRDefault="00674BE7" w14:paraId="2F2068EF" w14:textId="5530FF05">
      <w:pPr>
        <w:pStyle w:val="FootnoteText"/>
        <w:ind w:left="567" w:hanging="567"/>
      </w:pPr>
      <w:r w:rsidRPr="00D76014">
        <w:rPr>
          <w:rStyle w:val="FootnoteReference"/>
          <w:sz w:val="24"/>
          <w:szCs w:val="32"/>
        </w:rPr>
        <w:footnoteRef/>
      </w:r>
      <w:r>
        <w:t xml:space="preserve"> </w:t>
      </w:r>
      <w:r>
        <w:tab/>
      </w:r>
      <w:hyperlink w:history="1" r:id="rId2">
        <w:r w:rsidRPr="008D3045">
          <w:rPr>
            <w:rStyle w:val="Hyperlink"/>
          </w:rPr>
          <w:t>For instance, 75% of C40 cities are cutting emissions faster than their respective national average</w:t>
        </w:r>
      </w:hyperlink>
      <w:r w:rsidRPr="00D76014">
        <w:t>.</w:t>
      </w:r>
    </w:p>
  </w:footnote>
  <w:footnote w:id="3">
    <w:p w:rsidRPr="00674BE7" w:rsidR="00674BE7" w:rsidP="00D76014" w:rsidRDefault="00674BE7" w14:paraId="537D1D3A" w14:textId="16F22191">
      <w:pPr>
        <w:pStyle w:val="FootnoteText"/>
        <w:ind w:left="567" w:hanging="567"/>
      </w:pPr>
      <w:r w:rsidRPr="00D76014">
        <w:rPr>
          <w:rStyle w:val="FootnoteReference"/>
          <w:sz w:val="24"/>
          <w:szCs w:val="32"/>
        </w:rPr>
        <w:footnoteRef/>
      </w:r>
      <w:r>
        <w:t xml:space="preserve"> </w:t>
      </w:r>
      <w:r>
        <w:tab/>
      </w:r>
      <w:hyperlink w:history="1" r:id="rId3">
        <w:r w:rsidRPr="005C7A9F">
          <w:rPr>
            <w:rStyle w:val="Hyperlink"/>
          </w:rPr>
          <w:t>Integrity matters: net zero commitments by businesses, financial institutions, cities and regions</w:t>
        </w:r>
      </w:hyperlink>
      <w:r w:rsidRPr="00D76014">
        <w:t>.</w:t>
      </w:r>
    </w:p>
  </w:footnote>
  <w:footnote w:id="4">
    <w:p w:rsidRPr="00674BE7" w:rsidR="00674BE7" w:rsidP="00D76014" w:rsidRDefault="00674BE7" w14:paraId="0F1D58D3" w14:textId="353E28C7">
      <w:pPr>
        <w:pStyle w:val="FootnoteText"/>
        <w:ind w:left="567" w:hanging="567"/>
      </w:pPr>
      <w:r w:rsidRPr="00D76014">
        <w:rPr>
          <w:rStyle w:val="FootnoteReference"/>
          <w:sz w:val="24"/>
          <w:szCs w:val="32"/>
        </w:rPr>
        <w:footnoteRef/>
      </w:r>
      <w:r>
        <w:t xml:space="preserve"> </w:t>
      </w:r>
      <w:r>
        <w:tab/>
      </w:r>
      <w:hyperlink w:history="1" r:id="rId4">
        <w:r w:rsidRPr="00B40C30">
          <w:rPr>
            <w:rStyle w:val="Hyperlink"/>
          </w:rPr>
          <w:t>Overview of natural and man-made disaster risks the European Union may face: 2020 edition</w:t>
        </w:r>
      </w:hyperlink>
      <w:r w:rsidRPr="00D76014">
        <w:t>.</w:t>
      </w:r>
    </w:p>
  </w:footnote>
  <w:footnote w:id="5">
    <w:p w:rsidRPr="00674BE7" w:rsidR="00674BE7" w:rsidRDefault="00674BE7" w14:paraId="46762224" w14:textId="3F341811">
      <w:pPr>
        <w:pStyle w:val="FootnoteText"/>
      </w:pPr>
      <w:r w:rsidRPr="00D76014">
        <w:rPr>
          <w:rStyle w:val="FootnoteReference"/>
          <w:sz w:val="24"/>
          <w:szCs w:val="32"/>
        </w:rPr>
        <w:footnoteRef/>
      </w:r>
      <w:r>
        <w:tab/>
      </w:r>
      <w:r w:rsidRPr="002F5B9F">
        <w:t>Article 6 of the Paris Agreement allows countries to voluntarily cooperate with each other to achieve emission reduction targets set out in their NDCs. Under Article 6, a country is able to transfer carbon credits earned from the reduction of GHG emissions to help one or more countries meet climate targets</w:t>
      </w:r>
      <w:r>
        <w:t>.</w:t>
      </w:r>
      <w:r w:rsidRPr="002F5B9F">
        <w:t xml:space="preserve"> Article 6.8 recognizes non-market approaches to promote mitigation and adaptation, introducing cooperation through finance, technology transfer, and capacity building, where no trading of emission reductions is involved.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A13A9D" w:rsidP="00190B51" w:rsidRDefault="00A13A9D" w14:paraId="7FE734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A13A9D" w:rsidP="00190B51" w:rsidRDefault="00A13A9D" w14:paraId="639B18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A13A9D" w:rsidP="00190B51" w:rsidRDefault="00A13A9D" w14:paraId="3215115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7F463B" w:rsidP="00190B51" w:rsidRDefault="007F463B" w14:paraId="5642850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7F463B" w:rsidP="00190B51" w:rsidRDefault="007F463B" w14:paraId="61CE94DB" w14:textId="3AB67F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B51" w:rsidR="007F463B" w:rsidP="00190B51" w:rsidRDefault="007F463B" w14:paraId="370C0E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3348A74"/>
    <w:lvl w:ilvl="0">
      <w:start w:val="1"/>
      <w:numFmt w:val="decimal"/>
      <w:pStyle w:val="Heading1"/>
      <w:lvlText w:val="%1."/>
      <w:legacy w:legacy="1" w:legacySpace="0" w:legacyIndent="0"/>
      <w:lvlJc w:val="left"/>
      <w:rPr>
        <w:rFonts w:cs="Times New Roman"/>
        <w:b w:val="0"/>
        <w:bCs w:val="0"/>
        <w:i w:val="0"/>
        <w:iCs w:val="0"/>
        <w:color w:val="000000" w:themeColor="text1"/>
        <w:sz w:val="22"/>
        <w:szCs w:val="22"/>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53581C0E"/>
    <w:multiLevelType w:val="multilevel"/>
    <w:tmpl w:val="A288E48A"/>
    <w:lvl w:ilvl="0">
      <w:start w:val="1"/>
      <w:numFmt w:val="decimal"/>
      <w:lvlText w:val="%1."/>
      <w:lvlJc w:val="left"/>
      <w:pPr>
        <w:ind w:left="720" w:hanging="360"/>
      </w:pPr>
      <w:rPr>
        <w:rFonts w:ascii="Courier New" w:eastAsia="Courier New" w:hAnsi="Courier New" w:cs="Courier New"/>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D7572DE"/>
    <w:multiLevelType w:val="multilevel"/>
    <w:tmpl w:val="0914A88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E70757D"/>
    <w:multiLevelType w:val="hybridMultilevel"/>
    <w:tmpl w:val="B5A298FC"/>
    <w:lvl w:ilvl="0" w:tplc="8C4EF0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2"/>
  </w:num>
  <w:num w:numId="15">
    <w:abstractNumId w:val="0"/>
  </w:num>
  <w:num w:numId="16">
    <w:abstractNumId w:val="0"/>
  </w:num>
  <w:num w:numId="17">
    <w:abstractNumId w:val="4"/>
  </w:num>
  <w:num w:numId="18">
    <w:abstractNumId w:val="0"/>
  </w:num>
  <w:num w:numId="19">
    <w:abstractNumId w:val="0"/>
  </w:num>
  <w:num w:numId="20">
    <w:abstractNumId w:val="0"/>
  </w:num>
  <w:num w:numId="21">
    <w:abstractNumId w:val="0"/>
  </w:num>
  <w:num w:numId="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1456B"/>
    <w:rsid w:val="00020D7F"/>
    <w:rsid w:val="00034469"/>
    <w:rsid w:val="000568BF"/>
    <w:rsid w:val="000615B3"/>
    <w:rsid w:val="00067BA8"/>
    <w:rsid w:val="0007118F"/>
    <w:rsid w:val="00083577"/>
    <w:rsid w:val="00083AE8"/>
    <w:rsid w:val="00086B7A"/>
    <w:rsid w:val="00095FA6"/>
    <w:rsid w:val="00096080"/>
    <w:rsid w:val="000B74D3"/>
    <w:rsid w:val="000C3BC1"/>
    <w:rsid w:val="000C4748"/>
    <w:rsid w:val="000D6A84"/>
    <w:rsid w:val="00101FBB"/>
    <w:rsid w:val="001022AB"/>
    <w:rsid w:val="00112E32"/>
    <w:rsid w:val="00117A16"/>
    <w:rsid w:val="0012190B"/>
    <w:rsid w:val="00144C19"/>
    <w:rsid w:val="00144CDF"/>
    <w:rsid w:val="0015094F"/>
    <w:rsid w:val="0015645B"/>
    <w:rsid w:val="00163E38"/>
    <w:rsid w:val="001661E8"/>
    <w:rsid w:val="00180EB8"/>
    <w:rsid w:val="00183624"/>
    <w:rsid w:val="00190B51"/>
    <w:rsid w:val="001A4185"/>
    <w:rsid w:val="001B33A4"/>
    <w:rsid w:val="001C32BB"/>
    <w:rsid w:val="001C66A9"/>
    <w:rsid w:val="001E5620"/>
    <w:rsid w:val="001F1AB8"/>
    <w:rsid w:val="0020209C"/>
    <w:rsid w:val="002033F5"/>
    <w:rsid w:val="002054D0"/>
    <w:rsid w:val="002302F1"/>
    <w:rsid w:val="0023377B"/>
    <w:rsid w:val="0023523A"/>
    <w:rsid w:val="0025436B"/>
    <w:rsid w:val="00254B94"/>
    <w:rsid w:val="0026767E"/>
    <w:rsid w:val="002868F8"/>
    <w:rsid w:val="00293319"/>
    <w:rsid w:val="002A67BF"/>
    <w:rsid w:val="002B1E5E"/>
    <w:rsid w:val="002D06A3"/>
    <w:rsid w:val="002D618D"/>
    <w:rsid w:val="002E3A46"/>
    <w:rsid w:val="002F03D6"/>
    <w:rsid w:val="002F5B9F"/>
    <w:rsid w:val="00313AC7"/>
    <w:rsid w:val="00322488"/>
    <w:rsid w:val="00334D96"/>
    <w:rsid w:val="003407F5"/>
    <w:rsid w:val="0034337E"/>
    <w:rsid w:val="003563A4"/>
    <w:rsid w:val="00356B27"/>
    <w:rsid w:val="00367564"/>
    <w:rsid w:val="00373ED4"/>
    <w:rsid w:val="00383975"/>
    <w:rsid w:val="00394682"/>
    <w:rsid w:val="003A043C"/>
    <w:rsid w:val="003B0723"/>
    <w:rsid w:val="003B1C77"/>
    <w:rsid w:val="003C0F98"/>
    <w:rsid w:val="003C2330"/>
    <w:rsid w:val="003D645A"/>
    <w:rsid w:val="003E1CB2"/>
    <w:rsid w:val="003E420C"/>
    <w:rsid w:val="003F4F4F"/>
    <w:rsid w:val="00406724"/>
    <w:rsid w:val="00416AFC"/>
    <w:rsid w:val="004336B4"/>
    <w:rsid w:val="004349E3"/>
    <w:rsid w:val="00440D98"/>
    <w:rsid w:val="00444A98"/>
    <w:rsid w:val="00454AD9"/>
    <w:rsid w:val="004615D5"/>
    <w:rsid w:val="00466896"/>
    <w:rsid w:val="00471128"/>
    <w:rsid w:val="00472BB2"/>
    <w:rsid w:val="00475484"/>
    <w:rsid w:val="0049627F"/>
    <w:rsid w:val="004A0C7C"/>
    <w:rsid w:val="004A1D35"/>
    <w:rsid w:val="004A41CF"/>
    <w:rsid w:val="004B0FCA"/>
    <w:rsid w:val="004D4DA0"/>
    <w:rsid w:val="004D6B23"/>
    <w:rsid w:val="004E605D"/>
    <w:rsid w:val="004F05B3"/>
    <w:rsid w:val="004F1C99"/>
    <w:rsid w:val="004F23E1"/>
    <w:rsid w:val="005066A9"/>
    <w:rsid w:val="005320EC"/>
    <w:rsid w:val="0053605F"/>
    <w:rsid w:val="00544DE7"/>
    <w:rsid w:val="0055273B"/>
    <w:rsid w:val="00575FC1"/>
    <w:rsid w:val="00582955"/>
    <w:rsid w:val="00583866"/>
    <w:rsid w:val="005849B6"/>
    <w:rsid w:val="00587267"/>
    <w:rsid w:val="005918A5"/>
    <w:rsid w:val="00595543"/>
    <w:rsid w:val="005A41BB"/>
    <w:rsid w:val="005A7F8D"/>
    <w:rsid w:val="005B2905"/>
    <w:rsid w:val="005C36CD"/>
    <w:rsid w:val="005C4B78"/>
    <w:rsid w:val="005C4F1C"/>
    <w:rsid w:val="005C7A9F"/>
    <w:rsid w:val="005D31A6"/>
    <w:rsid w:val="005E58C7"/>
    <w:rsid w:val="006178E4"/>
    <w:rsid w:val="006311E4"/>
    <w:rsid w:val="00674BE7"/>
    <w:rsid w:val="00677691"/>
    <w:rsid w:val="0068190A"/>
    <w:rsid w:val="00681A2E"/>
    <w:rsid w:val="00690821"/>
    <w:rsid w:val="006A262F"/>
    <w:rsid w:val="006A4A0A"/>
    <w:rsid w:val="006B6D26"/>
    <w:rsid w:val="006D0087"/>
    <w:rsid w:val="006D78CA"/>
    <w:rsid w:val="007024FE"/>
    <w:rsid w:val="007037BF"/>
    <w:rsid w:val="00716960"/>
    <w:rsid w:val="00720994"/>
    <w:rsid w:val="00723C9D"/>
    <w:rsid w:val="00744427"/>
    <w:rsid w:val="0075508D"/>
    <w:rsid w:val="00776718"/>
    <w:rsid w:val="007817E3"/>
    <w:rsid w:val="00785967"/>
    <w:rsid w:val="007859AF"/>
    <w:rsid w:val="007928AB"/>
    <w:rsid w:val="007A6D76"/>
    <w:rsid w:val="007B10B2"/>
    <w:rsid w:val="007B2E4D"/>
    <w:rsid w:val="007B4E1D"/>
    <w:rsid w:val="007D6E87"/>
    <w:rsid w:val="007F0079"/>
    <w:rsid w:val="007F463B"/>
    <w:rsid w:val="007F68C4"/>
    <w:rsid w:val="008005FD"/>
    <w:rsid w:val="00800BE1"/>
    <w:rsid w:val="00810512"/>
    <w:rsid w:val="00814EF3"/>
    <w:rsid w:val="0081608F"/>
    <w:rsid w:val="008224B6"/>
    <w:rsid w:val="008266BE"/>
    <w:rsid w:val="00837FA5"/>
    <w:rsid w:val="00847E17"/>
    <w:rsid w:val="00866F5C"/>
    <w:rsid w:val="00876512"/>
    <w:rsid w:val="008767AD"/>
    <w:rsid w:val="008836EF"/>
    <w:rsid w:val="008A363B"/>
    <w:rsid w:val="008A37D3"/>
    <w:rsid w:val="008A79AF"/>
    <w:rsid w:val="008B3F9E"/>
    <w:rsid w:val="008B408D"/>
    <w:rsid w:val="008B7189"/>
    <w:rsid w:val="008C15DB"/>
    <w:rsid w:val="008D3045"/>
    <w:rsid w:val="008D3638"/>
    <w:rsid w:val="008D5CBC"/>
    <w:rsid w:val="008E2085"/>
    <w:rsid w:val="008F14C0"/>
    <w:rsid w:val="008F5103"/>
    <w:rsid w:val="008F5A2C"/>
    <w:rsid w:val="00905C5C"/>
    <w:rsid w:val="0091359A"/>
    <w:rsid w:val="00913B7D"/>
    <w:rsid w:val="00917328"/>
    <w:rsid w:val="0092623B"/>
    <w:rsid w:val="009352AE"/>
    <w:rsid w:val="0093731B"/>
    <w:rsid w:val="00941765"/>
    <w:rsid w:val="00944E32"/>
    <w:rsid w:val="00972C18"/>
    <w:rsid w:val="009934E6"/>
    <w:rsid w:val="00997615"/>
    <w:rsid w:val="009A16C1"/>
    <w:rsid w:val="009A6E15"/>
    <w:rsid w:val="009B3297"/>
    <w:rsid w:val="009B404F"/>
    <w:rsid w:val="009D12B5"/>
    <w:rsid w:val="009E40C2"/>
    <w:rsid w:val="009F0B69"/>
    <w:rsid w:val="009F7D37"/>
    <w:rsid w:val="00A012E5"/>
    <w:rsid w:val="00A0230B"/>
    <w:rsid w:val="00A07488"/>
    <w:rsid w:val="00A13A9D"/>
    <w:rsid w:val="00A14FA9"/>
    <w:rsid w:val="00A402C8"/>
    <w:rsid w:val="00A543A1"/>
    <w:rsid w:val="00A57B8F"/>
    <w:rsid w:val="00A70ECF"/>
    <w:rsid w:val="00A72623"/>
    <w:rsid w:val="00A84676"/>
    <w:rsid w:val="00A911A9"/>
    <w:rsid w:val="00A91F95"/>
    <w:rsid w:val="00AA77B1"/>
    <w:rsid w:val="00AB0937"/>
    <w:rsid w:val="00AD03C0"/>
    <w:rsid w:val="00AD0854"/>
    <w:rsid w:val="00AD7163"/>
    <w:rsid w:val="00AE4401"/>
    <w:rsid w:val="00AF7E73"/>
    <w:rsid w:val="00B1364A"/>
    <w:rsid w:val="00B33430"/>
    <w:rsid w:val="00B65DB1"/>
    <w:rsid w:val="00B677BF"/>
    <w:rsid w:val="00B86427"/>
    <w:rsid w:val="00B9703B"/>
    <w:rsid w:val="00BB4B32"/>
    <w:rsid w:val="00BD1566"/>
    <w:rsid w:val="00BD32EA"/>
    <w:rsid w:val="00BD3619"/>
    <w:rsid w:val="00BD4BB6"/>
    <w:rsid w:val="00BE061F"/>
    <w:rsid w:val="00BE3E20"/>
    <w:rsid w:val="00BE40B2"/>
    <w:rsid w:val="00BE7002"/>
    <w:rsid w:val="00BF7AE7"/>
    <w:rsid w:val="00C048E4"/>
    <w:rsid w:val="00C21709"/>
    <w:rsid w:val="00C3552F"/>
    <w:rsid w:val="00C36901"/>
    <w:rsid w:val="00C46D42"/>
    <w:rsid w:val="00C51571"/>
    <w:rsid w:val="00C5688F"/>
    <w:rsid w:val="00C57705"/>
    <w:rsid w:val="00C639CA"/>
    <w:rsid w:val="00C72AC8"/>
    <w:rsid w:val="00C73345"/>
    <w:rsid w:val="00C82639"/>
    <w:rsid w:val="00CA0485"/>
    <w:rsid w:val="00CA2804"/>
    <w:rsid w:val="00CA6B49"/>
    <w:rsid w:val="00CB43D0"/>
    <w:rsid w:val="00CB7BAE"/>
    <w:rsid w:val="00CC133A"/>
    <w:rsid w:val="00CC4E8A"/>
    <w:rsid w:val="00CE5929"/>
    <w:rsid w:val="00CE5A81"/>
    <w:rsid w:val="00CF2DC1"/>
    <w:rsid w:val="00D06474"/>
    <w:rsid w:val="00D219F4"/>
    <w:rsid w:val="00D3677B"/>
    <w:rsid w:val="00D46F0D"/>
    <w:rsid w:val="00D76014"/>
    <w:rsid w:val="00D955D7"/>
    <w:rsid w:val="00D95E3A"/>
    <w:rsid w:val="00DA0453"/>
    <w:rsid w:val="00DA085F"/>
    <w:rsid w:val="00DA3DEA"/>
    <w:rsid w:val="00DC55CB"/>
    <w:rsid w:val="00DD3DD1"/>
    <w:rsid w:val="00DD66B3"/>
    <w:rsid w:val="00DD789B"/>
    <w:rsid w:val="00DE14FD"/>
    <w:rsid w:val="00DE5160"/>
    <w:rsid w:val="00DE664B"/>
    <w:rsid w:val="00DF5986"/>
    <w:rsid w:val="00DF7D46"/>
    <w:rsid w:val="00E006EE"/>
    <w:rsid w:val="00E15DFD"/>
    <w:rsid w:val="00E279ED"/>
    <w:rsid w:val="00E30D3A"/>
    <w:rsid w:val="00E50E2A"/>
    <w:rsid w:val="00E52232"/>
    <w:rsid w:val="00E5664A"/>
    <w:rsid w:val="00E65B91"/>
    <w:rsid w:val="00E67837"/>
    <w:rsid w:val="00E74685"/>
    <w:rsid w:val="00E7550F"/>
    <w:rsid w:val="00E83AE3"/>
    <w:rsid w:val="00E83E7B"/>
    <w:rsid w:val="00EB3B52"/>
    <w:rsid w:val="00EC38D6"/>
    <w:rsid w:val="00ED4C14"/>
    <w:rsid w:val="00EF003D"/>
    <w:rsid w:val="00EF64C6"/>
    <w:rsid w:val="00F02C55"/>
    <w:rsid w:val="00F11FD5"/>
    <w:rsid w:val="00F2103E"/>
    <w:rsid w:val="00F40F26"/>
    <w:rsid w:val="00F42EDA"/>
    <w:rsid w:val="00F45402"/>
    <w:rsid w:val="00F47008"/>
    <w:rsid w:val="00F55286"/>
    <w:rsid w:val="00F625A8"/>
    <w:rsid w:val="00F6640B"/>
    <w:rsid w:val="00F669E3"/>
    <w:rsid w:val="00F8000A"/>
    <w:rsid w:val="00F84BCE"/>
    <w:rsid w:val="00F85741"/>
    <w:rsid w:val="00F90F5A"/>
    <w:rsid w:val="00F964CA"/>
    <w:rsid w:val="00FA1EEE"/>
    <w:rsid w:val="00FB6400"/>
    <w:rsid w:val="00FB6D90"/>
    <w:rsid w:val="00FE7B56"/>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82F7A"/>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kern w:val="28"/>
      <w:sz w:val="22"/>
      <w:lang w:val="en-GB" w:eastAsia="en-US"/>
    </w:rPr>
  </w:style>
  <w:style w:type="character" w:customStyle="1" w:styleId="Heading2Char">
    <w:name w:val="Heading 2 Char"/>
    <w:basedOn w:val="DefaultParagraphFont"/>
    <w:link w:val="Heading2"/>
    <w:uiPriority w:val="9"/>
    <w:rsid w:val="009D66A8"/>
    <w:rPr>
      <w:sz w:val="22"/>
      <w:lang w:val="en-GB" w:eastAsia="en-US"/>
    </w:rPr>
  </w:style>
  <w:style w:type="character" w:customStyle="1" w:styleId="Heading3Char">
    <w:name w:val="Heading 3 Char"/>
    <w:basedOn w:val="DefaultParagraphFont"/>
    <w:link w:val="Heading3"/>
    <w:uiPriority w:val="9"/>
    <w:rsid w:val="009D66A8"/>
    <w:rPr>
      <w:sz w:val="22"/>
      <w:lang w:val="en-GB" w:eastAsia="en-US"/>
    </w:rPr>
  </w:style>
  <w:style w:type="character" w:customStyle="1" w:styleId="Heading4Char">
    <w:name w:val="Heading 4 Char"/>
    <w:basedOn w:val="DefaultParagraphFont"/>
    <w:link w:val="Heading4"/>
    <w:uiPriority w:val="9"/>
    <w:rsid w:val="009D66A8"/>
    <w:rPr>
      <w:sz w:val="22"/>
      <w:lang w:val="en-GB" w:eastAsia="en-US"/>
    </w:rPr>
  </w:style>
  <w:style w:type="character" w:customStyle="1" w:styleId="Heading5Char">
    <w:name w:val="Heading 5 Char"/>
    <w:basedOn w:val="DefaultParagraphFont"/>
    <w:link w:val="Heading5"/>
    <w:uiPriority w:val="9"/>
    <w:rsid w:val="009D66A8"/>
    <w:rPr>
      <w:sz w:val="22"/>
      <w:lang w:val="en-GB" w:eastAsia="en-US"/>
    </w:rPr>
  </w:style>
  <w:style w:type="character" w:customStyle="1" w:styleId="Heading6Char">
    <w:name w:val="Heading 6 Char"/>
    <w:basedOn w:val="DefaultParagraphFont"/>
    <w:link w:val="Heading6"/>
    <w:uiPriority w:val="9"/>
    <w:rsid w:val="009D66A8"/>
    <w:rPr>
      <w:sz w:val="22"/>
      <w:lang w:val="en-GB" w:eastAsia="en-US"/>
    </w:rPr>
  </w:style>
  <w:style w:type="character" w:customStyle="1" w:styleId="Heading7Char">
    <w:name w:val="Heading 7 Char"/>
    <w:basedOn w:val="DefaultParagraphFont"/>
    <w:link w:val="Heading7"/>
    <w:uiPriority w:val="9"/>
    <w:rsid w:val="009D66A8"/>
    <w:rPr>
      <w:sz w:val="22"/>
      <w:lang w:val="en-GB" w:eastAsia="en-US"/>
    </w:rPr>
  </w:style>
  <w:style w:type="character" w:customStyle="1" w:styleId="Heading8Char">
    <w:name w:val="Heading 8 Char"/>
    <w:basedOn w:val="DefaultParagraphFont"/>
    <w:link w:val="Heading8"/>
    <w:uiPriority w:val="9"/>
    <w:rsid w:val="009D66A8"/>
    <w:rPr>
      <w:sz w:val="22"/>
      <w:lang w:val="en-GB" w:eastAsia="en-US"/>
    </w:rPr>
  </w:style>
  <w:style w:type="character" w:customStyle="1" w:styleId="Heading9Char">
    <w:name w:val="Heading 9 Char"/>
    <w:basedOn w:val="DefaultParagraphFont"/>
    <w:link w:val="Heading9"/>
    <w:uiPriority w:val="9"/>
    <w:rsid w:val="009D66A8"/>
    <w:rPr>
      <w:sz w:val="22"/>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val="en-GB" w:eastAsia="en-US"/>
    </w:rPr>
  </w:style>
  <w:style w:type="paragraph" w:styleId="FootnoteText">
    <w:name w:val="footnote text"/>
    <w:aliases w:val="AF Fußnotentext,Fußnote,Schriftart: 9 pt,Schriftart: 10 pt,Schriftart: 8 pt,Podrozdział,Footnote,Fußnotentext Char,Fußnotentext Char1 Char,Schriftart: 9 pt Char1 Char,Schriftart: 8 pt Char Char1 Char,Fußnotentext Char Char Cha,CoR Footnote"/>
    <w:basedOn w:val="Normal"/>
    <w:link w:val="FootnoteTextChar"/>
    <w:uiPriority w:val="99"/>
    <w:qFormat/>
    <w:rsid w:val="00847E17"/>
    <w:pPr>
      <w:keepLines/>
      <w:spacing w:after="60" w:line="240" w:lineRule="auto"/>
      <w:ind w:left="720" w:hanging="720"/>
    </w:pPr>
    <w:rPr>
      <w:sz w:val="16"/>
    </w:rPr>
  </w:style>
  <w:style w:type="character" w:customStyle="1" w:styleId="FootnoteTextChar">
    <w:name w:val="Footnote Text Char"/>
    <w:aliases w:val="AF Fußnotentext Char,Fußnote Char,Schriftart: 9 pt Char,Schriftart: 10 pt Char,Schriftart: 8 pt Char,Podrozdział Char,Footnote Char,Fußnotentext Char Char,Fußnotentext Char1 Char Char,Schriftart: 9 pt Char1 Char Char,CoR Footnote Char"/>
    <w:basedOn w:val="DefaultParagraphFont"/>
    <w:link w:val="FootnoteText"/>
    <w:uiPriority w:val="99"/>
    <w:qFormat/>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val="en-GB"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character" w:styleId="CommentReference">
    <w:name w:val="annotation reference"/>
    <w:basedOn w:val="DefaultParagraphFont"/>
    <w:uiPriority w:val="99"/>
    <w:semiHidden/>
    <w:unhideWhenUsed/>
    <w:rsid w:val="008005FD"/>
    <w:rPr>
      <w:sz w:val="16"/>
      <w:szCs w:val="16"/>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
    <w:link w:val="ListParagraphChar"/>
    <w:uiPriority w:val="34"/>
    <w:qFormat/>
    <w:rsid w:val="00BE40B2"/>
    <w:pPr>
      <w:overflowPunct/>
      <w:autoSpaceDE/>
      <w:autoSpaceDN/>
      <w:adjustRightInd/>
      <w:ind w:left="720"/>
      <w:contextualSpacing/>
      <w:textAlignment w:val="auto"/>
    </w:pPr>
    <w:rPr>
      <w:szCs w:val="22"/>
      <w:lang w:val="en-US"/>
    </w:r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link w:val="ListParagraph"/>
    <w:uiPriority w:val="34"/>
    <w:qFormat/>
    <w:locked/>
    <w:rsid w:val="00BE40B2"/>
    <w:rPr>
      <w:sz w:val="22"/>
      <w:szCs w:val="22"/>
      <w:lang w:val="en-US" w:eastAsia="en-US"/>
    </w:rPr>
  </w:style>
  <w:style w:type="character" w:styleId="FootnoteReference">
    <w:name w:val="footnote reference"/>
    <w:basedOn w:val="DefaultParagraphFont"/>
    <w:semiHidden/>
    <w:unhideWhenUsed/>
    <w:qFormat/>
    <w:rsid w:val="00674BE7"/>
    <w:rPr>
      <w:vertAlign w:val="superscript"/>
    </w:rPr>
  </w:style>
  <w:style w:type="character" w:customStyle="1" w:styleId="UnresolvedMention1">
    <w:name w:val="Unresolved Mention1"/>
    <w:basedOn w:val="DefaultParagraphFont"/>
    <w:uiPriority w:val="99"/>
    <w:semiHidden/>
    <w:unhideWhenUsed/>
    <w:rsid w:val="00F21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5115">
      <w:bodyDiv w:val="1"/>
      <w:marLeft w:val="0"/>
      <w:marRight w:val="0"/>
      <w:marTop w:val="0"/>
      <w:marBottom w:val="0"/>
      <w:divBdr>
        <w:top w:val="none" w:sz="0" w:space="0" w:color="auto"/>
        <w:left w:val="none" w:sz="0" w:space="0" w:color="auto"/>
        <w:bottom w:val="none" w:sz="0" w:space="0" w:color="auto"/>
        <w:right w:val="none" w:sz="0" w:space="0" w:color="auto"/>
      </w:divBdr>
    </w:div>
    <w:div w:id="183833753">
      <w:bodyDiv w:val="1"/>
      <w:marLeft w:val="0"/>
      <w:marRight w:val="0"/>
      <w:marTop w:val="0"/>
      <w:marBottom w:val="0"/>
      <w:divBdr>
        <w:top w:val="none" w:sz="0" w:space="0" w:color="auto"/>
        <w:left w:val="none" w:sz="0" w:space="0" w:color="auto"/>
        <w:bottom w:val="none" w:sz="0" w:space="0" w:color="auto"/>
        <w:right w:val="none" w:sz="0" w:space="0" w:color="auto"/>
      </w:divBdr>
    </w:div>
    <w:div w:id="231046675">
      <w:bodyDiv w:val="1"/>
      <w:marLeft w:val="0"/>
      <w:marRight w:val="0"/>
      <w:marTop w:val="0"/>
      <w:marBottom w:val="0"/>
      <w:divBdr>
        <w:top w:val="none" w:sz="0" w:space="0" w:color="auto"/>
        <w:left w:val="none" w:sz="0" w:space="0" w:color="auto"/>
        <w:bottom w:val="none" w:sz="0" w:space="0" w:color="auto"/>
        <w:right w:val="none" w:sz="0" w:space="0" w:color="auto"/>
      </w:divBdr>
    </w:div>
    <w:div w:id="374428013">
      <w:bodyDiv w:val="1"/>
      <w:marLeft w:val="0"/>
      <w:marRight w:val="0"/>
      <w:marTop w:val="0"/>
      <w:marBottom w:val="0"/>
      <w:divBdr>
        <w:top w:val="none" w:sz="0" w:space="0" w:color="auto"/>
        <w:left w:val="none" w:sz="0" w:space="0" w:color="auto"/>
        <w:bottom w:val="none" w:sz="0" w:space="0" w:color="auto"/>
        <w:right w:val="none" w:sz="0" w:space="0" w:color="auto"/>
      </w:divBdr>
    </w:div>
    <w:div w:id="1277329134">
      <w:bodyDiv w:val="1"/>
      <w:marLeft w:val="0"/>
      <w:marRight w:val="0"/>
      <w:marTop w:val="0"/>
      <w:marBottom w:val="0"/>
      <w:divBdr>
        <w:top w:val="none" w:sz="0" w:space="0" w:color="auto"/>
        <w:left w:val="none" w:sz="0" w:space="0" w:color="auto"/>
        <w:bottom w:val="none" w:sz="0" w:space="0" w:color="auto"/>
        <w:right w:val="none" w:sz="0" w:space="0" w:color="auto"/>
      </w:divBdr>
    </w:div>
    <w:div w:id="1278296903">
      <w:bodyDiv w:val="1"/>
      <w:marLeft w:val="0"/>
      <w:marRight w:val="0"/>
      <w:marTop w:val="0"/>
      <w:marBottom w:val="0"/>
      <w:divBdr>
        <w:top w:val="none" w:sz="0" w:space="0" w:color="auto"/>
        <w:left w:val="none" w:sz="0" w:space="0" w:color="auto"/>
        <w:bottom w:val="none" w:sz="0" w:space="0" w:color="auto"/>
        <w:right w:val="none" w:sz="0" w:space="0" w:color="auto"/>
      </w:divBdr>
    </w:div>
    <w:div w:id="13317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mportal.cor.europa.eu/" TargetMode="External"/><Relationship Id="rId18" Type="http://schemas.openxmlformats.org/officeDocument/2006/relationships/footer" Target="footer2.xml"/><Relationship Id="rId26" Type="http://schemas.openxmlformats.org/officeDocument/2006/relationships/hyperlink" Target="https://www.gov.scot/binaries/content/documents/govscot/publications/research-and-analysis/2023/03/practical-action-addressing-loss-damage/documents/practical-action-addressing-loss-damage/practical-action-addressing-loss-damage/govscot%3Adocument/practical-action-addressing-loss-damage.pdf" TargetMode="External"/><Relationship Id="rId21" Type="http://schemas.openxmlformats.org/officeDocument/2006/relationships/hyperlink" Target="https://supforclimate.com/consolidated-repor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brusselstimes.com/321733/cop27-wallonia-to-double-funding-for-countries-impacted-by-loss-and-damage" TargetMode="External"/><Relationship Id="rId33" Type="http://schemas.openxmlformats.org/officeDocument/2006/relationships/fontTable" Target="fontTable.xml"/><Relationship Id="rId38" Type="http://schemas.openxmlformats.org/officeDocument/2006/relationships/customXml" Target="../customXml/item4.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scot/news/funding-pledge-for-loss-and-damage/" TargetMode="External"/><Relationship Id="rId32" Type="http://schemas.openxmlformats.org/officeDocument/2006/relationships/footer" Target="footer6.xml"/><Relationship Id="rId37"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climatechampions.unfccc.int/cop27-presidency-announces-ambitous-climate-resilience-agenda/" TargetMode="External"/><Relationship Id="rId28" Type="http://schemas.openxmlformats.org/officeDocument/2006/relationships/header" Target="header5.xml"/><Relationship Id="rId36"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6.xml"/><Relationship Id="rId9" Type="http://schemas.openxmlformats.org/officeDocument/2006/relationships/footnotes" Target="footnotes.xml"/><Relationship Id="rId14" Type="http://schemas.openxmlformats.org/officeDocument/2006/relationships/hyperlink" Target="https://memportal.cor.europa.eu/Home/UserGuide" TargetMode="External"/><Relationship Id="rId22" Type="http://schemas.openxmlformats.org/officeDocument/2006/relationships/hyperlink" Target="https://www.globalcovenantofmayors.org/wp-content/uploads/2022/11/2022-GCoM-Impact-Report.pdf"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customXml" Target="../customXml/item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sites/un2.un.org/files/high-level_expert_group_n7b.pdf" TargetMode="External"/><Relationship Id="rId2" Type="http://schemas.openxmlformats.org/officeDocument/2006/relationships/hyperlink" Target="https://www.c40.org/news/2023-must-be-the-year/" TargetMode="External"/><Relationship Id="rId1" Type="http://schemas.openxmlformats.org/officeDocument/2006/relationships/hyperlink" Target="https://unhabitat.org/sites/default/files/documents/2019-09/strategic_plan_2020-2023.pdf" TargetMode="External"/><Relationship Id="rId4" Type="http://schemas.openxmlformats.org/officeDocument/2006/relationships/hyperlink" Target="https://op.europa.eu/en/publication-detail/-/publication/89fcf0fc-edb9-11eb-a71c-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A573E6032E086149B6A08F00F1A9CFCF" ma:contentTypeVersion="4" ma:contentTypeDescription="Defines the documents for Document Manager V2" ma:contentTypeScope="" ma:versionID="354298c1611d07aecb5a06f980eab985">
  <xsd:schema xmlns:xsd="http://www.w3.org/2001/XMLSchema" xmlns:xs="http://www.w3.org/2001/XMLSchema" xmlns:p="http://schemas.microsoft.com/office/2006/metadata/properties" xmlns:ns2="eff9f743-c5e6-45b1-888b-0c3422c38b02" xmlns:ns3="http://schemas.microsoft.com/sharepoint/v3/fields" xmlns:ns4="7a5557d5-8840-4824-be7b-8c920d988270" targetNamespace="http://schemas.microsoft.com/office/2006/metadata/properties" ma:root="true" ma:fieldsID="7aa6668f3138135077726ac3b32f9a89" ns2:_="" ns3:_="" ns4:_="">
    <xsd:import namespace="eff9f743-c5e6-45b1-888b-0c3422c38b02"/>
    <xsd:import namespace="http://schemas.microsoft.com/sharepoint/v3/fields"/>
    <xsd:import namespace="7a5557d5-8840-4824-be7b-8c920d98827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557d5-8840-4824-be7b-8c920d98827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PWMHTDDKQ3QZ-1287546590-6708</_dlc_DocId>
    <_dlc_DocIdUrl xmlns="eff9f743-c5e6-45b1-888b-0c3422c38b02">
      <Url>http://dm2016/cor/2023/_layouts/15/DocIdRedir.aspx?ID=PWMHTDDKQ3QZ-1287546590-6708</Url>
      <Description>PWMHTDDKQ3QZ-1287546590-6708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eff9f743-c5e6-45b1-888b-0c3422c38b02"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2023-05-31T12:00:00+00:00</ProductionDate>
    <FicheYear xmlns="eff9f743-c5e6-45b1-888b-0c3422c38b02" xsi:nil="true"/>
    <DocumentNumber xmlns="7a5557d5-8840-4824-be7b-8c920d988270">904</DocumentNumber>
    <DocumentVersion xmlns="eff9f743-c5e6-45b1-888b-0c3422c38b02">1</DocumentVersion>
    <DossierNumber xmlns="eff9f743-c5e6-45b1-888b-0c3422c38b02">38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2023-06-29T12:00:00+00:00</MeetingDate>
    <TaxCatchAll xmlns="eff9f743-c5e6-45b1-888b-0c3422c38b02">
      <Value>79</Value>
      <Value>57</Value>
      <Value>38</Value>
      <Value>36</Value>
      <Value>35</Value>
      <Value>33</Value>
      <Value>32</Value>
      <Value>31</Value>
      <Value>28</Value>
      <Value>27</Value>
      <Value>26</Value>
      <Value>25</Value>
      <Value>24</Value>
      <Value>23</Value>
      <Value>22</Value>
      <Value>21</Value>
      <Value>20</Value>
      <Value>19</Value>
      <Value>18</Value>
      <Value>17</Value>
      <Value>16</Value>
      <Value>15</Value>
      <Value>14</Value>
      <Value>13</Value>
      <Value>10</Value>
      <Value>7</Value>
      <Value>95</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eff9f743-c5e6-45b1-888b-0c3422c38b02">TRZASKOWSKI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6526</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 xsi:nil="true"/>
    <RequestingService xmlns="eff9f743-c5e6-45b1-888b-0c3422c38b02">Commission ENVE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5d1f267f-9c7e-4fe3-8e59-b8926529a13e</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a5557d5-8840-4824-be7b-8c920d98827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6ee8e51f-c3cc-464b-aceb-beb6545d7e0a</TermId>
        </TermInfo>
      </Terms>
    </DossierName_0>
  </documentManagement>
</p:properties>
</file>

<file path=customXml/itemProps1.xml><?xml version="1.0" encoding="utf-8"?>
<ds:datastoreItem xmlns:ds="http://schemas.openxmlformats.org/officeDocument/2006/customXml" ds:itemID="{70405AD9-2E92-4F08-8C9F-FD947A012E2A}"/>
</file>

<file path=customXml/itemProps2.xml><?xml version="1.0" encoding="utf-8"?>
<ds:datastoreItem xmlns:ds="http://schemas.openxmlformats.org/officeDocument/2006/customXml" ds:itemID="{0CEC35A2-23D2-4BFF-97BE-19BF791CC94B}"/>
</file>

<file path=customXml/itemProps3.xml><?xml version="1.0" encoding="utf-8"?>
<ds:datastoreItem xmlns:ds="http://schemas.openxmlformats.org/officeDocument/2006/customXml" ds:itemID="{BF13E885-41FC-4149-B82F-97E71EEB7A98}"/>
</file>

<file path=customXml/itemProps4.xml><?xml version="1.0" encoding="utf-8"?>
<ds:datastoreItem xmlns:ds="http://schemas.openxmlformats.org/officeDocument/2006/customXml" ds:itemID="{8960EB03-D2E6-4BEE-89F0-5416DFB45A43}"/>
</file>

<file path=docProps/app.xml><?xml version="1.0" encoding="utf-8"?>
<Properties xmlns="http://schemas.openxmlformats.org/officeDocument/2006/extended-properties" xmlns:vt="http://schemas.openxmlformats.org/officeDocument/2006/docPropsVTypes">
  <Template>Normal</Template>
  <TotalTime>0</TotalTime>
  <Pages>1</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CoR PA model</vt:lpstr>
    </vt:vector>
  </TitlesOfParts>
  <Company>CESE-CdR</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UNFCCC COP28: the role of subnational authorities in keeping climate ambition on track</dc:title>
  <dc:subject>Draft opinion</dc:subject>
  <dc:creator>Emma Nieddu</dc:creator>
  <cp:keywords>COR-2023-00904-00-01-PA-TRA-EN</cp:keywords>
  <dc:description>Rapporteur: - TRZASKOWSKI Original language: - EN Date of document: - 31/05/2023 Date of meeting: - 29/06/2023 External documents: -  Administrator responsible: -  GARCÍA PÉREZ Teresa</dc:description>
  <cp:lastModifiedBy>TDriveSVCUserProd</cp:lastModifiedBy>
  <cp:revision>5</cp:revision>
  <cp:lastPrinted>2023-05-25T13:34:00Z</cp:lastPrinted>
  <dcterms:created xsi:type="dcterms:W3CDTF">2023-05-31T09:44:00Z</dcterms:created>
  <dcterms:modified xsi:type="dcterms:W3CDTF">2023-05-31T09:57:00Z</dcterms:modified>
  <cp:category>ENVE-VII/38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31/05/2023, 30/05/2023</vt:lpwstr>
  </property>
  <property fmtid="{D5CDD505-2E9C-101B-9397-08002B2CF9AE}" pid="4" name="Pref_Time">
    <vt:lpwstr>11:36:04, 15:34:25</vt:lpwstr>
  </property>
  <property fmtid="{D5CDD505-2E9C-101B-9397-08002B2CF9AE}" pid="5" name="Pref_User">
    <vt:lpwstr>pacup, jhvi</vt:lpwstr>
  </property>
  <property fmtid="{D5CDD505-2E9C-101B-9397-08002B2CF9AE}" pid="6" name="Pref_FileName">
    <vt:lpwstr>COR-2023-00904-00-01-PA-TRA.docx, COR-2023-00904-00-00-PA-ORI.docx</vt:lpwstr>
  </property>
  <property fmtid="{D5CDD505-2E9C-101B-9397-08002B2CF9AE}" pid="7" name="ContentTypeId">
    <vt:lpwstr>0x010100EA97B91038054C99906057A708A1480A00A573E6032E086149B6A08F00F1A9CFCF</vt:lpwstr>
  </property>
  <property fmtid="{D5CDD505-2E9C-101B-9397-08002B2CF9AE}" pid="8" name="_dlc_DocIdItemGuid">
    <vt:lpwstr>bf7676eb-b530-413e-b877-c7072efa55e4</vt:lpwstr>
  </property>
  <property fmtid="{D5CDD505-2E9C-101B-9397-08002B2CF9AE}" pid="9" name="AvailableTranslations">
    <vt:lpwstr>23;#PT|50ccc04a-eadd-42ae-a0cb-acaf45f812ba;#27;#ET|ff6c3f4c-b02c-4c3c-ab07-2c37995a7a0a;#16;#IT|0774613c-01ed-4e5d-a25d-11d2388de825;#36;#LT|a7ff5ce7-6123-4f68-865a-a57c31810414;#31;#HR|2f555653-ed1a-4fe6-8362-9082d95989e5;#15;#DA|5d49c027-8956-412b-aa16-e85a0f96ad0e;#28;#BG|1a1b3951-7821-4e6a-85f5-5673fc08bd2c;#33;#SL|98a412ae-eb01-49e9-ae3d-585a81724cfc;#13;#MT|7df99101-6854-4a26-b53a-b88c0da02c26;#17;#DE|f6b31e5a-26fa-4935-b661-318e46daf27e;#14;#RO|feb747a2-64cd-4299-af12-4833ddc30497;#21;#CS|72f9705b-0217-4fd3-bea2-cbc7ed80e26e;#10;#SV|c2ed69e7-a339-43d7-8f22-d93680a92aa0;#32;#FI|87606a43-d45f-42d6-b8c9-e1a3457db5b7;#4;#EN|f2175f21-25d7-44a3-96da-d6a61b075e1b;#35;#EL|6d4f4d51-af9b-4650-94b4-4276bee85c91;#24;#FR|d2afafd3-4c81-4f60-8f52-ee33f2f54ff3;#26;#LV|46f7e311-5d9f-4663-b433-18aeccb7ace7;#20;#NL|55c6556c-b4f4-441d-9acf-c498d4f838bd;#19;#SK|46d9fce0-ef79-4f71-b89b-cd6aa82426b8;#38;#GA|762d2456-c427-4ecb-b312-af3dad8e258c;#18;#PL|1e03da61-4678-4e07-b136-b5024ca9197b;#22;#HU|6b229040-c589-4408-b4c1-4285663d20a8;#25;#ES|e7a6b05b-ae16-40c8-add9-68b64b03aeba</vt:lpwstr>
  </property>
  <property fmtid="{D5CDD505-2E9C-101B-9397-08002B2CF9AE}" pid="10" name="DocumentType_0">
    <vt:lpwstr>PA|ef6fd07e-7d84-45ad-8a75-9a9414a8759c</vt:lpwstr>
  </property>
  <property fmtid="{D5CDD505-2E9C-101B-9397-08002B2CF9AE}" pid="11" name="DossierName_0">
    <vt:lpwstr>ENVE-VII|6ee8e51f-c3cc-464b-aceb-beb6545d7e0a</vt:lpwstr>
  </property>
  <property fmtid="{D5CDD505-2E9C-101B-9397-08002B2CF9AE}" pid="12" name="DocumentSource_0">
    <vt:lpwstr>CoR|cb2d75ef-4a7d-4393-b797-49ed6298a5ea</vt:lpwstr>
  </property>
  <property fmtid="{D5CDD505-2E9C-101B-9397-08002B2CF9AE}" pid="13" name="DocumentNumber">
    <vt:i4>904</vt:i4>
  </property>
  <property fmtid="{D5CDD505-2E9C-101B-9397-08002B2CF9AE}" pid="14" name="FicheYear">
    <vt:i4>2023</vt:i4>
  </property>
  <property fmtid="{D5CDD505-2E9C-101B-9397-08002B2CF9AE}" pid="15" name="DocumentVersion">
    <vt:i4>1</vt:i4>
  </property>
  <property fmtid="{D5CDD505-2E9C-101B-9397-08002B2CF9AE}" pid="16" name="DossierNumber">
    <vt:i4>38</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79;#ENVE-VII|6ee8e51f-c3cc-464b-aceb-beb6545d7e0a</vt:lpwstr>
  </property>
  <property fmtid="{D5CDD505-2E9C-101B-9397-08002B2CF9AE}" pid="20" name="DocumentSource">
    <vt:lpwstr>1;#CoR|cb2d75ef-4a7d-4393-b797-49ed6298a5ea</vt:lpwstr>
  </property>
  <property fmtid="{D5CDD505-2E9C-101B-9397-08002B2CF9AE}" pid="22" name="DocumentType">
    <vt:lpwstr>95;#PA|ef6fd07e-7d84-45ad-8a75-9a9414a8759c</vt:lpwstr>
  </property>
  <property fmtid="{D5CDD505-2E9C-101B-9397-08002B2CF9AE}" pid="23" name="RequestingService">
    <vt:lpwstr>Commission ENVE</vt:lpwstr>
  </property>
  <property fmtid="{D5CDD505-2E9C-101B-9397-08002B2CF9AE}" pid="24" name="Confidentiality">
    <vt:lpwstr>5;#Unrestricted|826e22d7-d029-4ec0-a450-0c28ff673572</vt:lpwstr>
  </property>
  <property fmtid="{D5CDD505-2E9C-101B-9397-08002B2CF9AE}" pid="25" name="MeetingName_0">
    <vt:lpwstr>ENVE-VII|5d1f267f-9c7e-4fe3-8e59-b8926529a13e</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57;#ENVE-VII|5d1f267f-9c7e-4fe3-8e59-b8926529a13e</vt:lpwstr>
  </property>
  <property fmtid="{D5CDD505-2E9C-101B-9397-08002B2CF9AE}" pid="29" name="MeetingDate">
    <vt:filetime>2023-06-29T12:00:00Z</vt:filetime>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79;#ENVE-VII|6ee8e51f-c3cc-464b-aceb-beb6545d7e0a;#95;#PA|ef6fd07e-7d84-45ad-8a75-9a9414a8759c;#7;#Final|ea5e6674-7b27-4bac-b091-73adbb394efe;#57;#ENVE-VII|5d1f267f-9c7e-4fe3-8e59-b8926529a13e;#5;#Unrestricted|826e22d7-d029-4ec0-a450-0c28ff673572;#4;#EN|f2175f21-25d7-44a3-96da-d6a61b075e1b;#2;#TRA|150d2a88-1431-44e6-a8ca-0bb753ab8672;#1;#CoR|cb2d75ef-4a7d-4393-b797-49ed6298a5ea</vt:lpwstr>
  </property>
  <property fmtid="{D5CDD505-2E9C-101B-9397-08002B2CF9AE}" pid="34" name="Rapporteur">
    <vt:lpwstr>TRZASKOWSKI</vt:lpwstr>
  </property>
  <property fmtid="{D5CDD505-2E9C-101B-9397-08002B2CF9AE}" pid="35" name="VersionStatus_0">
    <vt:lpwstr>Final|ea5e6674-7b27-4bac-b091-73adbb394efe</vt:lpwstr>
  </property>
  <property fmtid="{D5CDD505-2E9C-101B-9397-08002B2CF9AE}" pid="36" name="VersionStatus">
    <vt:lpwstr>7;#Final|ea5e6674-7b27-4bac-b091-73adbb394efe</vt:lpwstr>
  </property>
  <property fmtid="{D5CDD505-2E9C-101B-9397-08002B2CF9AE}" pid="37" name="DocumentYear">
    <vt:i4>2023</vt:i4>
  </property>
  <property fmtid="{D5CDD505-2E9C-101B-9397-08002B2CF9AE}" pid="38" name="FicheNumber">
    <vt:i4>6526</vt:i4>
  </property>
  <property fmtid="{D5CDD505-2E9C-101B-9397-08002B2CF9AE}" pid="39" name="DocumentLanguage">
    <vt:lpwstr>4;#EN|f2175f21-25d7-44a3-96da-d6a61b075e1b</vt:lpwstr>
  </property>
  <property fmtid="{D5CDD505-2E9C-101B-9397-08002B2CF9AE}" pid="40" name="_docset_NoMedatataSyncRequired">
    <vt:lpwstr>False</vt:lpwstr>
  </property>
</Properties>
</file>