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C93A60" w:rsidRPr="00946BF8" w:rsidTr="00A25871">
        <w:trPr>
          <w:trHeight w:hRule="exact" w:val="1418"/>
        </w:trPr>
        <w:tc>
          <w:tcPr>
            <w:tcW w:w="6804" w:type="dxa"/>
            <w:shd w:val="clear" w:color="auto" w:fill="auto"/>
            <w:vAlign w:val="center"/>
          </w:tcPr>
          <w:p w:rsidR="00C93A60" w:rsidRPr="00946BF8" w:rsidRDefault="00E17902" w:rsidP="00A25871">
            <w:pPr>
              <w:pStyle w:val="EPName"/>
            </w:pPr>
            <w:r w:rsidRPr="00946BF8">
              <w:t>European Parliament</w:t>
            </w:r>
          </w:p>
          <w:p w:rsidR="00C93A60" w:rsidRPr="00946BF8" w:rsidRDefault="00384F4E" w:rsidP="00384F4E">
            <w:pPr>
              <w:pStyle w:val="EPTerm"/>
            </w:pPr>
            <w:r w:rsidRPr="00946BF8">
              <w:t>2019-2024</w:t>
            </w:r>
          </w:p>
        </w:tc>
        <w:tc>
          <w:tcPr>
            <w:tcW w:w="2268" w:type="dxa"/>
            <w:shd w:val="clear" w:color="auto" w:fill="auto"/>
          </w:tcPr>
          <w:p w:rsidR="00C93A60" w:rsidRPr="00946BF8" w:rsidRDefault="00C93A60" w:rsidP="00A25871">
            <w:pPr>
              <w:pStyle w:val="EPLogo"/>
            </w:pPr>
            <w:r w:rsidRPr="00946BF8">
              <w:rPr>
                <w:noProof/>
                <w:lang w:val="fr-FR" w:eastAsia="fr-FR"/>
              </w:rPr>
              <w:drawing>
                <wp:inline distT="0" distB="0" distL="0" distR="0" wp14:anchorId="16316ECB" wp14:editId="01741E5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E3537C" w:rsidRPr="00946BF8" w:rsidRDefault="00E3537C" w:rsidP="00E3537C">
      <w:pPr>
        <w:pStyle w:val="LineTop"/>
      </w:pPr>
    </w:p>
    <w:p w:rsidR="00E3537C" w:rsidRPr="00946BF8" w:rsidRDefault="00E3537C" w:rsidP="00E3537C">
      <w:pPr>
        <w:pStyle w:val="EPBody"/>
      </w:pPr>
      <w:r w:rsidRPr="00946BF8">
        <w:rPr>
          <w:rStyle w:val="HideTWBExt"/>
          <w:i w:val="0"/>
        </w:rPr>
        <w:t>&lt;Commission&gt;</w:t>
      </w:r>
      <w:r w:rsidR="00384F4E" w:rsidRPr="00946BF8">
        <w:rPr>
          <w:rStyle w:val="HideTWBInt"/>
        </w:rPr>
        <w:t>{ECON}</w:t>
      </w:r>
      <w:r w:rsidR="00384F4E" w:rsidRPr="00946BF8">
        <w:t>Committee on Economic and Monetary Affairs</w:t>
      </w:r>
      <w:r w:rsidRPr="00946BF8">
        <w:rPr>
          <w:rStyle w:val="HideTWBExt"/>
          <w:i w:val="0"/>
        </w:rPr>
        <w:t>&lt;/Commission&gt;</w:t>
      </w:r>
    </w:p>
    <w:p w:rsidR="00E3537C" w:rsidRPr="00946BF8" w:rsidRDefault="00E3537C" w:rsidP="00E3537C">
      <w:pPr>
        <w:pStyle w:val="LineBottom"/>
      </w:pPr>
    </w:p>
    <w:p w:rsidR="00100069" w:rsidRPr="002F6220" w:rsidRDefault="00100069">
      <w:pPr>
        <w:pStyle w:val="CoverReference"/>
        <w:rPr>
          <w:lang w:val="it-IT"/>
        </w:rPr>
      </w:pPr>
      <w:r w:rsidRPr="002F6220">
        <w:rPr>
          <w:rStyle w:val="HideTWBExt"/>
          <w:b w:val="0"/>
          <w:lang w:val="it-IT"/>
        </w:rPr>
        <w:t>&lt;RefProc&gt;</w:t>
      </w:r>
      <w:r w:rsidR="00384F4E" w:rsidRPr="002F6220">
        <w:rPr>
          <w:lang w:val="it-IT"/>
        </w:rPr>
        <w:t>2023/2077</w:t>
      </w:r>
      <w:r w:rsidRPr="002F6220">
        <w:rPr>
          <w:rStyle w:val="HideTWBExt"/>
          <w:b w:val="0"/>
          <w:lang w:val="it-IT"/>
        </w:rPr>
        <w:t>&lt;/RefProc&gt;&lt;RefTypeProc&gt;</w:t>
      </w:r>
      <w:r w:rsidRPr="002F6220">
        <w:rPr>
          <w:lang w:val="it-IT"/>
        </w:rPr>
        <w:t>(INI)</w:t>
      </w:r>
      <w:r w:rsidRPr="002F6220">
        <w:rPr>
          <w:rStyle w:val="HideTWBExt"/>
          <w:b w:val="0"/>
          <w:lang w:val="it-IT"/>
        </w:rPr>
        <w:t>&lt;/RefTypeProc&gt;</w:t>
      </w:r>
    </w:p>
    <w:p w:rsidR="00100069" w:rsidRPr="002F6220" w:rsidRDefault="00100069">
      <w:pPr>
        <w:pStyle w:val="CoverDate"/>
        <w:rPr>
          <w:lang w:val="it-IT"/>
        </w:rPr>
      </w:pPr>
      <w:r w:rsidRPr="002F6220">
        <w:rPr>
          <w:rStyle w:val="HideTWBExt"/>
          <w:lang w:val="it-IT"/>
        </w:rPr>
        <w:t>&lt;Date&gt;</w:t>
      </w:r>
      <w:r w:rsidR="0081546D" w:rsidRPr="002F6220">
        <w:rPr>
          <w:rStyle w:val="HideTWBInt"/>
          <w:lang w:val="it-IT"/>
        </w:rPr>
        <w:t>{20</w:t>
      </w:r>
      <w:r w:rsidR="00384F4E" w:rsidRPr="002F6220">
        <w:rPr>
          <w:rStyle w:val="HideTWBInt"/>
          <w:lang w:val="it-IT"/>
        </w:rPr>
        <w:t>/09/2023}</w:t>
      </w:r>
      <w:r w:rsidR="0081546D" w:rsidRPr="002F6220">
        <w:rPr>
          <w:lang w:val="it-IT"/>
        </w:rPr>
        <w:t>20</w:t>
      </w:r>
      <w:r w:rsidR="00384F4E" w:rsidRPr="002F6220">
        <w:rPr>
          <w:lang w:val="it-IT"/>
        </w:rPr>
        <w:t>.9.2023</w:t>
      </w:r>
      <w:r w:rsidRPr="002F6220">
        <w:rPr>
          <w:rStyle w:val="HideTWBExt"/>
          <w:lang w:val="it-IT"/>
        </w:rPr>
        <w:t>&lt;/Date&gt;</w:t>
      </w:r>
    </w:p>
    <w:p w:rsidR="00100069" w:rsidRPr="002F6220" w:rsidRDefault="00100069">
      <w:pPr>
        <w:pStyle w:val="CoverDocType24a"/>
        <w:rPr>
          <w:lang w:val="it-IT"/>
        </w:rPr>
      </w:pPr>
      <w:r w:rsidRPr="002F6220">
        <w:rPr>
          <w:rStyle w:val="HideTWBExt"/>
          <w:b w:val="0"/>
          <w:lang w:val="it-IT"/>
        </w:rPr>
        <w:t>&lt;TitreType&gt;</w:t>
      </w:r>
      <w:r w:rsidR="00D718C6" w:rsidRPr="002F6220">
        <w:rPr>
          <w:lang w:val="it-IT"/>
        </w:rPr>
        <w:t>CA Document D</w:t>
      </w:r>
      <w:r w:rsidR="00E17902" w:rsidRPr="002F6220">
        <w:rPr>
          <w:lang w:val="it-IT"/>
        </w:rPr>
        <w:t>RAFT REPORT</w:t>
      </w:r>
      <w:r w:rsidRPr="002F6220">
        <w:rPr>
          <w:rStyle w:val="HideTWBExt"/>
          <w:b w:val="0"/>
          <w:lang w:val="it-IT"/>
        </w:rPr>
        <w:t>&lt;/TitreType&gt;</w:t>
      </w:r>
    </w:p>
    <w:p w:rsidR="00100069" w:rsidRPr="00946BF8" w:rsidRDefault="00100069">
      <w:pPr>
        <w:pStyle w:val="CoverNormal"/>
      </w:pPr>
      <w:r w:rsidRPr="00946BF8">
        <w:rPr>
          <w:rStyle w:val="HideTWBExt"/>
        </w:rPr>
        <w:t>&lt;Titre&gt;</w:t>
      </w:r>
      <w:r w:rsidR="00384F4E" w:rsidRPr="00946BF8">
        <w:t>on competition policy – annual report 2023</w:t>
      </w:r>
      <w:r w:rsidRPr="00946BF8">
        <w:rPr>
          <w:rStyle w:val="HideTWBExt"/>
        </w:rPr>
        <w:t>&lt;/Titre&gt;</w:t>
      </w:r>
    </w:p>
    <w:p w:rsidR="00100069" w:rsidRPr="00946BF8" w:rsidRDefault="00100069">
      <w:pPr>
        <w:pStyle w:val="CoverNormal24a"/>
      </w:pPr>
      <w:r w:rsidRPr="00946BF8">
        <w:rPr>
          <w:rStyle w:val="HideTWBExt"/>
        </w:rPr>
        <w:t>&lt;DocRef&gt;</w:t>
      </w:r>
      <w:r w:rsidR="00E17902" w:rsidRPr="00946BF8">
        <w:t>(</w:t>
      </w:r>
      <w:r w:rsidR="00384F4E" w:rsidRPr="00946BF8">
        <w:t>2023/2077</w:t>
      </w:r>
      <w:r w:rsidR="00E17902" w:rsidRPr="00946BF8">
        <w:t>(INI))</w:t>
      </w:r>
      <w:r w:rsidRPr="00946BF8">
        <w:rPr>
          <w:rStyle w:val="HideTWBExt"/>
        </w:rPr>
        <w:t>&lt;/DocRef&gt;</w:t>
      </w:r>
    </w:p>
    <w:p w:rsidR="00100069" w:rsidRPr="00946BF8" w:rsidRDefault="00100069">
      <w:pPr>
        <w:pStyle w:val="CoverNormal24a"/>
      </w:pPr>
      <w:r w:rsidRPr="00946BF8">
        <w:rPr>
          <w:rStyle w:val="HideTWBExt"/>
        </w:rPr>
        <w:t>&lt;Commission&gt;</w:t>
      </w:r>
      <w:r w:rsidR="00384F4E" w:rsidRPr="00946BF8">
        <w:rPr>
          <w:rStyle w:val="HideTWBInt"/>
        </w:rPr>
        <w:t>{ECON}</w:t>
      </w:r>
      <w:r w:rsidR="00384F4E" w:rsidRPr="00946BF8">
        <w:t>Committee on Economic and Monetary Affairs</w:t>
      </w:r>
      <w:r w:rsidRPr="00946BF8">
        <w:rPr>
          <w:rStyle w:val="HideTWBExt"/>
        </w:rPr>
        <w:t>&lt;/Commission&gt;</w:t>
      </w:r>
    </w:p>
    <w:p w:rsidR="007D1A63" w:rsidRPr="006C2C7B" w:rsidRDefault="00E17902">
      <w:pPr>
        <w:pStyle w:val="CoverNormal24a"/>
        <w:rPr>
          <w:lang w:val="fr-FR"/>
        </w:rPr>
      </w:pPr>
      <w:r w:rsidRPr="006C2C7B">
        <w:rPr>
          <w:lang w:val="fr-FR"/>
        </w:rPr>
        <w:t>Rapporteur:</w:t>
      </w:r>
      <w:r w:rsidR="00100069" w:rsidRPr="006C2C7B">
        <w:rPr>
          <w:lang w:val="fr-FR"/>
        </w:rPr>
        <w:t xml:space="preserve"> </w:t>
      </w:r>
      <w:r w:rsidR="00100069" w:rsidRPr="006C2C7B">
        <w:rPr>
          <w:rStyle w:val="HideTWBExt"/>
          <w:lang w:val="fr-FR"/>
        </w:rPr>
        <w:t>&lt;Depute&gt;</w:t>
      </w:r>
      <w:r w:rsidR="00384F4E" w:rsidRPr="006C2C7B">
        <w:rPr>
          <w:lang w:val="fr-FR"/>
        </w:rPr>
        <w:t>Stéphanie Yon</w:t>
      </w:r>
      <w:r w:rsidR="00384F4E" w:rsidRPr="006C2C7B">
        <w:rPr>
          <w:lang w:val="fr-FR"/>
        </w:rPr>
        <w:noBreakHyphen/>
        <w:t>Courtin</w:t>
      </w:r>
    </w:p>
    <w:p w:rsidR="007D1A63" w:rsidRPr="006C2C7B" w:rsidRDefault="007D1A63">
      <w:pPr>
        <w:pStyle w:val="CoverNormal24a"/>
        <w:rPr>
          <w:lang w:val="fr-FR"/>
        </w:rPr>
      </w:pPr>
    </w:p>
    <w:p w:rsidR="00100069" w:rsidRPr="00946BF8" w:rsidRDefault="006F1546" w:rsidP="002544DF">
      <w:pPr>
        <w:widowControl/>
        <w:tabs>
          <w:tab w:val="center" w:pos="4677"/>
        </w:tabs>
        <w:rPr>
          <w:lang w:val="fr-FR"/>
        </w:rPr>
      </w:pPr>
      <w:r w:rsidRPr="006C2C7B">
        <w:rPr>
          <w:b/>
          <w:highlight w:val="yellow"/>
          <w:lang w:val="fr-FR"/>
        </w:rPr>
        <w:t xml:space="preserve">Latest changes after written comments </w:t>
      </w:r>
      <w:r w:rsidR="00100069" w:rsidRPr="006C2C7B">
        <w:rPr>
          <w:lang w:val="fr-FR"/>
        </w:rPr>
        <w:br w:type="page"/>
      </w:r>
      <w:r w:rsidR="00E17902" w:rsidRPr="00946BF8">
        <w:rPr>
          <w:lang w:val="fr-FR"/>
        </w:rPr>
        <w:t>PR_INI</w:t>
      </w:r>
    </w:p>
    <w:p w:rsidR="00100069" w:rsidRPr="00946BF8" w:rsidRDefault="00E17902">
      <w:pPr>
        <w:pStyle w:val="TOCHeading"/>
        <w:rPr>
          <w:lang w:val="fr-FR"/>
        </w:rPr>
      </w:pPr>
      <w:r w:rsidRPr="00946BF8">
        <w:rPr>
          <w:lang w:val="fr-FR"/>
        </w:rPr>
        <w:t>CONTENTS</w:t>
      </w:r>
    </w:p>
    <w:p w:rsidR="00100069" w:rsidRPr="002F6220" w:rsidRDefault="00E17902">
      <w:pPr>
        <w:pStyle w:val="TOCPage"/>
      </w:pPr>
      <w:r w:rsidRPr="002F6220">
        <w:t>Page</w:t>
      </w:r>
    </w:p>
    <w:p w:rsidR="00946BF8" w:rsidRPr="002F6220" w:rsidRDefault="002544DF">
      <w:pPr>
        <w:pStyle w:val="TOC1"/>
        <w:tabs>
          <w:tab w:val="right" w:leader="dot" w:pos="9060"/>
        </w:tabs>
        <w:rPr>
          <w:rFonts w:asciiTheme="minorHAnsi" w:eastAsiaTheme="minorEastAsia" w:hAnsiTheme="minorHAnsi" w:cstheme="minorBidi"/>
          <w:noProof/>
          <w:sz w:val="22"/>
          <w:szCs w:val="22"/>
        </w:rPr>
      </w:pPr>
      <w:r w:rsidRPr="00946BF8">
        <w:rPr>
          <w:b/>
        </w:rPr>
        <w:fldChar w:fldCharType="begin"/>
      </w:r>
      <w:r w:rsidRPr="002F6220">
        <w:rPr>
          <w:b/>
        </w:rPr>
        <w:instrText xml:space="preserve"> TOC \t "PageHeading</w:instrText>
      </w:r>
      <w:r w:rsidR="0000299F" w:rsidRPr="002F6220">
        <w:rPr>
          <w:b/>
        </w:rPr>
        <w:instrText>;</w:instrText>
      </w:r>
      <w:r w:rsidRPr="002F6220">
        <w:rPr>
          <w:b/>
        </w:rPr>
        <w:instrText xml:space="preserve">1" </w:instrText>
      </w:r>
      <w:r w:rsidRPr="00946BF8">
        <w:rPr>
          <w:b/>
        </w:rPr>
        <w:fldChar w:fldCharType="separate"/>
      </w:r>
      <w:r w:rsidR="00946BF8" w:rsidRPr="002F6220">
        <w:rPr>
          <w:noProof/>
        </w:rPr>
        <w:t>MOTION FOR A EUROPEAN PARLIAMENT RESOLUTION</w:t>
      </w:r>
      <w:r w:rsidR="00946BF8" w:rsidRPr="002F6220">
        <w:rPr>
          <w:noProof/>
        </w:rPr>
        <w:tab/>
      </w:r>
      <w:r w:rsidR="00946BF8">
        <w:rPr>
          <w:noProof/>
        </w:rPr>
        <w:fldChar w:fldCharType="begin"/>
      </w:r>
      <w:r w:rsidR="00946BF8" w:rsidRPr="002F6220">
        <w:rPr>
          <w:noProof/>
        </w:rPr>
        <w:instrText xml:space="preserve"> PAGEREF _Toc146196726 \h </w:instrText>
      </w:r>
      <w:r w:rsidR="00946BF8">
        <w:rPr>
          <w:noProof/>
        </w:rPr>
      </w:r>
      <w:r w:rsidR="00946BF8">
        <w:rPr>
          <w:noProof/>
        </w:rPr>
        <w:fldChar w:fldCharType="separate"/>
      </w:r>
      <w:r w:rsidR="00EB61B1" w:rsidRPr="002F6220">
        <w:rPr>
          <w:noProof/>
        </w:rPr>
        <w:t>3</w:t>
      </w:r>
      <w:r w:rsidR="00946BF8">
        <w:rPr>
          <w:noProof/>
        </w:rPr>
        <w:fldChar w:fldCharType="end"/>
      </w:r>
    </w:p>
    <w:p w:rsidR="00E155CA" w:rsidRPr="002F6220" w:rsidRDefault="002544DF" w:rsidP="0023245A">
      <w:r w:rsidRPr="00946BF8">
        <w:rPr>
          <w:b/>
        </w:rPr>
        <w:fldChar w:fldCharType="end"/>
      </w:r>
    </w:p>
    <w:p w:rsidR="00100069" w:rsidRPr="00D47736" w:rsidRDefault="00100069">
      <w:pPr>
        <w:pStyle w:val="PageHeading"/>
      </w:pPr>
      <w:r w:rsidRPr="006C2C7B">
        <w:br w:type="page"/>
      </w:r>
      <w:bookmarkStart w:id="0" w:name="_Toc146196726"/>
      <w:r w:rsidR="00E17902" w:rsidRPr="00D47736">
        <w:t>MOTION FOR A EUROPEAN PARLIAMENT RESOLUTION</w:t>
      </w:r>
      <w:bookmarkEnd w:id="0"/>
    </w:p>
    <w:p w:rsidR="00100069" w:rsidRPr="00D47736" w:rsidRDefault="00384F4E">
      <w:pPr>
        <w:pStyle w:val="NormalBold"/>
      </w:pPr>
      <w:r w:rsidRPr="00D47736">
        <w:t>on competition policy – annual report 2023</w:t>
      </w:r>
    </w:p>
    <w:p w:rsidR="00100069" w:rsidRPr="008C458A" w:rsidRDefault="00E17902" w:rsidP="00335F69">
      <w:pPr>
        <w:pStyle w:val="NormalBold"/>
      </w:pPr>
      <w:r w:rsidRPr="008C458A">
        <w:t>(</w:t>
      </w:r>
      <w:r w:rsidR="00384F4E" w:rsidRPr="008C458A">
        <w:t>2023/2077</w:t>
      </w:r>
      <w:r w:rsidRPr="008C458A">
        <w:t>(INI))</w:t>
      </w:r>
    </w:p>
    <w:p w:rsidR="00353E5F" w:rsidRPr="008C458A" w:rsidRDefault="00353E5F" w:rsidP="00335F69">
      <w:pPr>
        <w:pStyle w:val="NormalBold"/>
      </w:pPr>
    </w:p>
    <w:p w:rsidR="00353E5F" w:rsidRPr="006F1546" w:rsidRDefault="00353E5F" w:rsidP="00335F69">
      <w:pPr>
        <w:pStyle w:val="NormalBold"/>
      </w:pPr>
      <w:r w:rsidRPr="0051365C">
        <w:t>COMPROMISE D</w:t>
      </w:r>
    </w:p>
    <w:p w:rsidR="009D12D3" w:rsidRPr="00D8039B" w:rsidRDefault="009D12D3" w:rsidP="00335F69">
      <w:pPr>
        <w:pStyle w:val="NormalBold"/>
      </w:pPr>
      <w:r w:rsidRPr="006F1546">
        <w:rPr>
          <w:highlight w:val="cyan"/>
        </w:rPr>
        <w:t>Covers AM 1-21</w:t>
      </w:r>
    </w:p>
    <w:p w:rsidR="00100069" w:rsidRPr="008C458A" w:rsidRDefault="00E17902" w:rsidP="00335F69">
      <w:pPr>
        <w:pStyle w:val="EPComma"/>
      </w:pPr>
      <w:r w:rsidRPr="008C458A">
        <w:rPr>
          <w:i/>
        </w:rPr>
        <w:t>The European Parliament</w:t>
      </w:r>
      <w:r w:rsidRPr="008C458A">
        <w:t>,</w:t>
      </w:r>
    </w:p>
    <w:p w:rsidR="0081016C" w:rsidRPr="00946BF8" w:rsidRDefault="002F4DBE" w:rsidP="0081016C">
      <w:pPr>
        <w:pStyle w:val="NormalHanging12a"/>
      </w:pPr>
      <w:r w:rsidRPr="00946BF8">
        <w:t>–</w:t>
      </w:r>
      <w:r w:rsidR="0081016C" w:rsidRPr="00946BF8">
        <w:tab/>
      </w:r>
      <w:r w:rsidRPr="00946BF8">
        <w:t>having regard to the Treaty on the Functioning of the European Union, in particular to Articles</w:t>
      </w:r>
      <w:r w:rsidR="0081016C" w:rsidRPr="00946BF8">
        <w:t> </w:t>
      </w:r>
      <w:r w:rsidRPr="00946BF8">
        <w:t>101 to</w:t>
      </w:r>
      <w:r w:rsidR="0081016C" w:rsidRPr="00946BF8">
        <w:t> </w:t>
      </w:r>
      <w:r w:rsidRPr="00946BF8">
        <w:t>109 thereof,</w:t>
      </w:r>
    </w:p>
    <w:p w:rsidR="0081016C" w:rsidRPr="00946BF8" w:rsidRDefault="002F4DBE" w:rsidP="0081016C">
      <w:pPr>
        <w:pStyle w:val="NormalHanging12a"/>
      </w:pPr>
      <w:r w:rsidRPr="00946BF8">
        <w:t>–</w:t>
      </w:r>
      <w:r w:rsidR="0081016C" w:rsidRPr="00946BF8">
        <w:tab/>
      </w:r>
      <w:r w:rsidRPr="00946BF8">
        <w:t>having regard to the relevant Commission rules, guidelines, resolutions, public consultations, communications and papers on the subject of competition,</w:t>
      </w:r>
    </w:p>
    <w:p w:rsidR="0081016C" w:rsidRPr="00946BF8" w:rsidRDefault="002F4DBE" w:rsidP="0081016C">
      <w:pPr>
        <w:pStyle w:val="NormalHanging12a"/>
      </w:pPr>
      <w:r w:rsidRPr="00946BF8">
        <w:t>–</w:t>
      </w:r>
      <w:r w:rsidR="0081016C" w:rsidRPr="00946BF8">
        <w:tab/>
      </w:r>
      <w:r w:rsidRPr="00946BF8">
        <w:t xml:space="preserve">having regard to the Commission report of 4 April 2023 entitled </w:t>
      </w:r>
      <w:r w:rsidR="00946BF8">
        <w:t>‘</w:t>
      </w:r>
      <w:r w:rsidRPr="00946BF8">
        <w:t>Report on Competition Policy 2022</w:t>
      </w:r>
      <w:r w:rsidR="00946BF8">
        <w:t>’</w:t>
      </w:r>
      <w:r w:rsidRPr="00946BF8">
        <w:t xml:space="preserve"> (COM(2023)</w:t>
      </w:r>
      <w:r w:rsidR="007264C3" w:rsidRPr="00946BF8">
        <w:t>0</w:t>
      </w:r>
      <w:r w:rsidRPr="00946BF8">
        <w:t>184) and to the accompanying Commission staff working document (SWD(2023)</w:t>
      </w:r>
      <w:r w:rsidR="007264C3" w:rsidRPr="00946BF8">
        <w:t>00</w:t>
      </w:r>
      <w:r w:rsidRPr="00946BF8">
        <w:t>76),</w:t>
      </w:r>
    </w:p>
    <w:p w:rsidR="0081016C" w:rsidRPr="00946BF8" w:rsidRDefault="002F4DBE" w:rsidP="0081016C">
      <w:pPr>
        <w:pStyle w:val="NormalHanging12a"/>
      </w:pPr>
      <w:r w:rsidRPr="00946BF8">
        <w:t>–</w:t>
      </w:r>
      <w:r w:rsidR="0081016C" w:rsidRPr="00946BF8">
        <w:tab/>
      </w:r>
      <w:r w:rsidRPr="00946BF8">
        <w:t xml:space="preserve">having regard to its resolution of 13 June 2023 on competition policy </w:t>
      </w:r>
      <w:r w:rsidR="0081016C" w:rsidRPr="00946BF8">
        <w:t>– a</w:t>
      </w:r>
      <w:r w:rsidRPr="00946BF8">
        <w:t>nnual report</w:t>
      </w:r>
      <w:r w:rsidR="0081016C" w:rsidRPr="00946BF8">
        <w:t> </w:t>
      </w:r>
      <w:r w:rsidRPr="00946BF8">
        <w:t>2022</w:t>
      </w:r>
      <w:r w:rsidRPr="00946BF8">
        <w:rPr>
          <w:rStyle w:val="FootnoteReference"/>
          <w:color w:val="000000"/>
        </w:rPr>
        <w:footnoteReference w:id="1"/>
      </w:r>
      <w:r w:rsidRPr="00946BF8">
        <w:t>,</w:t>
      </w:r>
    </w:p>
    <w:p w:rsidR="0081016C" w:rsidRDefault="002F4DBE" w:rsidP="0081016C">
      <w:pPr>
        <w:pStyle w:val="NormalHanging12a"/>
      </w:pPr>
      <w:r w:rsidRPr="00946BF8">
        <w:t>–</w:t>
      </w:r>
      <w:r w:rsidR="0081016C" w:rsidRPr="00946BF8">
        <w:tab/>
      </w:r>
      <w:r w:rsidRPr="00946BF8">
        <w:t xml:space="preserve">having regard to the Commission communication of 11 December 2019 entitled </w:t>
      </w:r>
      <w:r w:rsidR="00946BF8">
        <w:t>‘</w:t>
      </w:r>
      <w:r w:rsidRPr="00946BF8">
        <w:t>The European Green Deal</w:t>
      </w:r>
      <w:r w:rsidR="00946BF8">
        <w:t>’</w:t>
      </w:r>
      <w:r w:rsidRPr="00946BF8">
        <w:t xml:space="preserve"> (COM(2019)0640),</w:t>
      </w:r>
    </w:p>
    <w:p w:rsidR="0060385F" w:rsidRPr="00B90723" w:rsidRDefault="0060385F" w:rsidP="0060385F">
      <w:pPr>
        <w:pStyle w:val="NormalHanging12a"/>
        <w:rPr>
          <w:b/>
          <w:color w:val="538135" w:themeColor="accent6" w:themeShade="BF"/>
        </w:rPr>
      </w:pPr>
      <w:r w:rsidRPr="0060385F">
        <w:rPr>
          <w:color w:val="538135" w:themeColor="accent6" w:themeShade="BF"/>
        </w:rPr>
        <w:t>–</w:t>
      </w:r>
      <w:r w:rsidRPr="00B90723">
        <w:rPr>
          <w:b/>
          <w:color w:val="538135" w:themeColor="accent6" w:themeShade="BF"/>
        </w:rPr>
        <w:tab/>
      </w:r>
    </w:p>
    <w:p w:rsidR="0060385F" w:rsidRPr="0060385F" w:rsidRDefault="0060385F" w:rsidP="0060385F">
      <w:pPr>
        <w:pStyle w:val="NormalHanging12a"/>
        <w:rPr>
          <w:color w:val="538135" w:themeColor="accent6" w:themeShade="BF"/>
        </w:rPr>
      </w:pPr>
      <w:r w:rsidRPr="00B90723">
        <w:rPr>
          <w:b/>
        </w:rPr>
        <w:t>–</w:t>
      </w:r>
      <w:r w:rsidRPr="0060385F">
        <w:tab/>
      </w:r>
      <w:r w:rsidRPr="00B90723">
        <w:rPr>
          <w:b/>
        </w:rPr>
        <w:t>having regard to the Commission revised Guidelines on State aid to promote risk finance investments published on 6 December 2021, (AM</w:t>
      </w:r>
      <w:r w:rsidR="00B70899">
        <w:rPr>
          <w:b/>
        </w:rPr>
        <w:t xml:space="preserve"> </w:t>
      </w:r>
      <w:r w:rsidRPr="00B90723">
        <w:rPr>
          <w:b/>
        </w:rPr>
        <w:t>3 Gruffat)</w:t>
      </w:r>
    </w:p>
    <w:p w:rsidR="0081016C" w:rsidRPr="00946BF8" w:rsidRDefault="002F4DBE" w:rsidP="0081016C">
      <w:pPr>
        <w:pStyle w:val="NormalHanging12a"/>
      </w:pPr>
      <w:r w:rsidRPr="00946BF8">
        <w:t>–</w:t>
      </w:r>
      <w:r w:rsidR="0081016C" w:rsidRPr="00946BF8">
        <w:tab/>
      </w:r>
      <w:r w:rsidRPr="00946BF8">
        <w:t xml:space="preserve">having regard to the judgment of the </w:t>
      </w:r>
      <w:r w:rsidR="006753FD" w:rsidRPr="00946BF8">
        <w:t>Court of Justice of the European Union (</w:t>
      </w:r>
      <w:r w:rsidRPr="00946BF8">
        <w:t>CJEU</w:t>
      </w:r>
      <w:r w:rsidR="006753FD" w:rsidRPr="00946BF8">
        <w:t>) of 13 July 2022</w:t>
      </w:r>
      <w:r w:rsidRPr="00946BF8">
        <w:t xml:space="preserve"> in Case T-227/21</w:t>
      </w:r>
      <w:r w:rsidRPr="00946BF8">
        <w:rPr>
          <w:rStyle w:val="FootnoteReference"/>
          <w:color w:val="000000"/>
        </w:rPr>
        <w:footnoteReference w:id="2"/>
      </w:r>
      <w:r w:rsidRPr="00946BF8">
        <w:t>,</w:t>
      </w:r>
    </w:p>
    <w:p w:rsidR="0081016C" w:rsidRPr="00946BF8" w:rsidRDefault="002F4DBE" w:rsidP="0081016C">
      <w:pPr>
        <w:pStyle w:val="NormalHanging12a"/>
      </w:pPr>
      <w:r w:rsidRPr="00946BF8">
        <w:t>–</w:t>
      </w:r>
      <w:r w:rsidR="0081016C" w:rsidRPr="00946BF8">
        <w:tab/>
      </w:r>
      <w:r w:rsidRPr="00946BF8">
        <w:t xml:space="preserve">having regard to the Commission communication </w:t>
      </w:r>
      <w:r w:rsidR="006753FD" w:rsidRPr="00946BF8">
        <w:t xml:space="preserve">of 24 March 2022 </w:t>
      </w:r>
      <w:r w:rsidRPr="00946BF8">
        <w:t xml:space="preserve">entitled </w:t>
      </w:r>
      <w:r w:rsidR="00946BF8">
        <w:t>‘</w:t>
      </w:r>
      <w:r w:rsidRPr="00946BF8">
        <w:t>Temporary Crisis Framework for State Aid measures to support the economy following the aggression against Ukraine by Russia</w:t>
      </w:r>
      <w:r w:rsidR="00946BF8">
        <w:t>’</w:t>
      </w:r>
      <w:r w:rsidRPr="00946BF8">
        <w:rPr>
          <w:rStyle w:val="FootnoteReference"/>
          <w:color w:val="000000"/>
        </w:rPr>
        <w:footnoteReference w:id="3"/>
      </w:r>
      <w:r w:rsidRPr="00946BF8">
        <w:t>,</w:t>
      </w:r>
    </w:p>
    <w:p w:rsidR="0081016C" w:rsidRPr="00946BF8" w:rsidRDefault="002F4DBE" w:rsidP="0081016C">
      <w:pPr>
        <w:pStyle w:val="NormalHanging12a"/>
      </w:pPr>
      <w:r w:rsidRPr="00946BF8">
        <w:t>–</w:t>
      </w:r>
      <w:r w:rsidR="0081016C" w:rsidRPr="00946BF8">
        <w:tab/>
      </w:r>
      <w:r w:rsidRPr="00946BF8">
        <w:t>having regard to Council Regulation (EC) No 139/2004 of 20 January 2004 on the control of concentrations between undertakings (the EC Merger Regulation)</w:t>
      </w:r>
      <w:r w:rsidRPr="00946BF8">
        <w:rPr>
          <w:rStyle w:val="FootnoteReference"/>
          <w:color w:val="000000"/>
        </w:rPr>
        <w:footnoteReference w:id="4"/>
      </w:r>
      <w:r w:rsidRPr="00946BF8">
        <w:t>,</w:t>
      </w:r>
    </w:p>
    <w:p w:rsidR="0081016C" w:rsidRPr="00946BF8" w:rsidRDefault="002F4DBE" w:rsidP="0081016C">
      <w:pPr>
        <w:pStyle w:val="NormalHanging12a"/>
      </w:pPr>
      <w:r w:rsidRPr="00946BF8">
        <w:t>–</w:t>
      </w:r>
      <w:r w:rsidR="0081016C" w:rsidRPr="00946BF8">
        <w:tab/>
      </w:r>
      <w:r w:rsidRPr="00946BF8">
        <w:t>having regard to Regulation (EU) 2022/1925 of the European Parliament and of the Council of 14 September 2022 on contestable and fair markets in the digital sector and amending Directives (EU) 2019/1937 and (EU) 2020/1828 (Digital Markets Act)</w:t>
      </w:r>
      <w:r w:rsidRPr="00946BF8">
        <w:rPr>
          <w:rStyle w:val="FootnoteReference"/>
          <w:color w:val="000000"/>
        </w:rPr>
        <w:footnoteReference w:id="5"/>
      </w:r>
      <w:r w:rsidRPr="00946BF8">
        <w:t>,</w:t>
      </w:r>
    </w:p>
    <w:p w:rsidR="0081016C" w:rsidRPr="00946BF8" w:rsidRDefault="002F4DBE" w:rsidP="0081016C">
      <w:pPr>
        <w:pStyle w:val="NormalHanging12a"/>
      </w:pPr>
      <w:r w:rsidRPr="00946BF8">
        <w:t>–</w:t>
      </w:r>
      <w:r w:rsidR="0081016C" w:rsidRPr="00946BF8">
        <w:tab/>
      </w:r>
      <w:r w:rsidRPr="00946BF8">
        <w:t>having regard to Directive (EU) 2019/1 of the European Parliament and of the Council of 11 December 2018 to empower the competition authorities of the Member States to be more effective enforcers and to ensure the proper functioning of the internal market</w:t>
      </w:r>
      <w:r w:rsidRPr="00946BF8">
        <w:rPr>
          <w:rStyle w:val="FootnoteReference"/>
          <w:color w:val="000000"/>
        </w:rPr>
        <w:footnoteReference w:id="6"/>
      </w:r>
      <w:r w:rsidRPr="00946BF8">
        <w:t>,</w:t>
      </w:r>
    </w:p>
    <w:p w:rsidR="0081016C" w:rsidRPr="00946BF8" w:rsidRDefault="002F4DBE" w:rsidP="0081016C">
      <w:pPr>
        <w:pStyle w:val="NormalHanging12a"/>
      </w:pPr>
      <w:r w:rsidRPr="00946BF8">
        <w:t>–</w:t>
      </w:r>
      <w:r w:rsidR="0081016C" w:rsidRPr="00946BF8">
        <w:tab/>
      </w:r>
      <w:r w:rsidRPr="00946BF8">
        <w:t>having regard to Council Regulation (EC) No 1/2003 of 16 December 2002 on the implementation of the rules on competition laid down in Articles 81 and 82 of the Treaty</w:t>
      </w:r>
      <w:r w:rsidRPr="00946BF8">
        <w:rPr>
          <w:rStyle w:val="FootnoteReference"/>
          <w:color w:val="000000"/>
        </w:rPr>
        <w:footnoteReference w:id="7"/>
      </w:r>
      <w:r w:rsidRPr="00946BF8">
        <w:t>,</w:t>
      </w:r>
    </w:p>
    <w:p w:rsidR="0081016C" w:rsidRPr="00946BF8" w:rsidRDefault="002F4DBE" w:rsidP="0081016C">
      <w:pPr>
        <w:pStyle w:val="NormalHanging12a"/>
      </w:pPr>
      <w:r w:rsidRPr="00946BF8">
        <w:t>–</w:t>
      </w:r>
      <w:r w:rsidR="0081016C" w:rsidRPr="00946BF8">
        <w:tab/>
      </w:r>
      <w:r w:rsidRPr="00946BF8">
        <w:t>having regard to Commission Regulation (EC) No 773/2004 of 7 April 2004 relating to the conduct of proceedings by the Commission pursuant to Articles 81 and 82 of the EC Treaty</w:t>
      </w:r>
      <w:r w:rsidRPr="00946BF8">
        <w:rPr>
          <w:rStyle w:val="FootnoteReference"/>
          <w:color w:val="000000"/>
        </w:rPr>
        <w:footnoteReference w:id="8"/>
      </w:r>
      <w:r w:rsidRPr="00946BF8">
        <w:t>,</w:t>
      </w:r>
    </w:p>
    <w:p w:rsidR="0081016C" w:rsidRPr="00946BF8" w:rsidRDefault="002F4DBE" w:rsidP="0081016C">
      <w:pPr>
        <w:pStyle w:val="NormalHanging12a"/>
      </w:pPr>
      <w:r w:rsidRPr="00946BF8">
        <w:t>–</w:t>
      </w:r>
      <w:r w:rsidR="0081016C" w:rsidRPr="00946BF8">
        <w:tab/>
      </w:r>
      <w:r w:rsidRPr="00946BF8">
        <w:t xml:space="preserve">having regard to the Commission communication </w:t>
      </w:r>
      <w:r w:rsidR="00EF7780" w:rsidRPr="00946BF8">
        <w:t xml:space="preserve">of 18 February 2022 </w:t>
      </w:r>
      <w:r w:rsidRPr="00946BF8">
        <w:t xml:space="preserve">entitled </w:t>
      </w:r>
      <w:r w:rsidR="00946BF8">
        <w:t>‘</w:t>
      </w:r>
      <w:r w:rsidRPr="00946BF8">
        <w:t>Guidelines on State aid for climate, environmental protection and energy 2022</w:t>
      </w:r>
      <w:r w:rsidR="00946BF8">
        <w:t>’</w:t>
      </w:r>
      <w:r w:rsidRPr="00946BF8">
        <w:rPr>
          <w:rStyle w:val="FootnoteReference"/>
          <w:color w:val="000000"/>
        </w:rPr>
        <w:footnoteReference w:id="9"/>
      </w:r>
      <w:r w:rsidRPr="00946BF8">
        <w:t>,</w:t>
      </w:r>
    </w:p>
    <w:p w:rsidR="0081016C" w:rsidRPr="00946BF8" w:rsidRDefault="002F4DBE" w:rsidP="0081016C">
      <w:pPr>
        <w:pStyle w:val="NormalHanging12a"/>
      </w:pPr>
      <w:r w:rsidRPr="00946BF8">
        <w:t>–</w:t>
      </w:r>
      <w:r w:rsidR="0081016C" w:rsidRPr="00946BF8">
        <w:tab/>
      </w:r>
      <w:r w:rsidRPr="00946BF8">
        <w:t xml:space="preserve">having regard to the Commission communication of </w:t>
      </w:r>
      <w:r w:rsidR="00F77C28" w:rsidRPr="00946BF8">
        <w:t>31</w:t>
      </w:r>
      <w:r w:rsidRPr="00946BF8">
        <w:t> </w:t>
      </w:r>
      <w:r w:rsidR="00F77C28" w:rsidRPr="00946BF8">
        <w:t>January</w:t>
      </w:r>
      <w:r w:rsidRPr="00946BF8">
        <w:t> 202</w:t>
      </w:r>
      <w:r w:rsidR="00F77C28" w:rsidRPr="00946BF8">
        <w:t>3</w:t>
      </w:r>
      <w:r w:rsidRPr="00946BF8">
        <w:t xml:space="preserve"> entitled </w:t>
      </w:r>
      <w:r w:rsidR="00946BF8">
        <w:t>‘</w:t>
      </w:r>
      <w:r w:rsidRPr="00946BF8">
        <w:t>Guidelines on State aid for broadband networks</w:t>
      </w:r>
      <w:r w:rsidR="00946BF8">
        <w:t>’</w:t>
      </w:r>
      <w:r w:rsidRPr="00946BF8">
        <w:rPr>
          <w:rStyle w:val="FootnoteReference"/>
          <w:color w:val="000000"/>
        </w:rPr>
        <w:footnoteReference w:id="10"/>
      </w:r>
      <w:r w:rsidRPr="00946BF8">
        <w:t>,</w:t>
      </w:r>
    </w:p>
    <w:p w:rsidR="0081016C" w:rsidRPr="00946BF8" w:rsidRDefault="002F4DBE" w:rsidP="0081016C">
      <w:pPr>
        <w:pStyle w:val="NormalHanging12a"/>
      </w:pPr>
      <w:r w:rsidRPr="00946BF8">
        <w:t>–</w:t>
      </w:r>
      <w:r w:rsidR="0081016C" w:rsidRPr="00946BF8">
        <w:tab/>
      </w:r>
      <w:r w:rsidRPr="00946BF8">
        <w:t>having regard to the draft Commission notice on the definition of the relevant market for the purposes of Union competition law,</w:t>
      </w:r>
    </w:p>
    <w:p w:rsidR="0081016C" w:rsidRPr="00946BF8" w:rsidRDefault="002F4DBE" w:rsidP="0081016C">
      <w:pPr>
        <w:pStyle w:val="NormalHanging12a"/>
      </w:pPr>
      <w:r w:rsidRPr="00946BF8">
        <w:t>–</w:t>
      </w:r>
      <w:r w:rsidR="0081016C" w:rsidRPr="00946BF8">
        <w:tab/>
      </w:r>
      <w:r w:rsidRPr="00946BF8">
        <w:t xml:space="preserve">having regard to the Commission staff working document of 1 December 2022 entitled </w:t>
      </w:r>
      <w:r w:rsidR="00946BF8">
        <w:t>‘</w:t>
      </w:r>
      <w:r w:rsidRPr="00946BF8">
        <w:t>Evaluation of the State subsidy rules for health and social services of general economic interest (</w:t>
      </w:r>
      <w:r w:rsidR="00946BF8">
        <w:t>‘</w:t>
      </w:r>
      <w:r w:rsidRPr="00946BF8">
        <w:t>SGEIs</w:t>
      </w:r>
      <w:r w:rsidR="00946BF8">
        <w:t>’</w:t>
      </w:r>
      <w:r w:rsidRPr="00946BF8">
        <w:t>) and of the SGEI de minimis Regulation</w:t>
      </w:r>
      <w:r w:rsidR="00946BF8">
        <w:t>’</w:t>
      </w:r>
      <w:r w:rsidRPr="00946BF8">
        <w:t xml:space="preserve"> (SWD(2022)0388),</w:t>
      </w:r>
    </w:p>
    <w:p w:rsidR="0081016C" w:rsidRPr="00946BF8" w:rsidRDefault="002F4DBE" w:rsidP="0081016C">
      <w:pPr>
        <w:pStyle w:val="NormalHanging12a"/>
      </w:pPr>
      <w:r w:rsidRPr="00946BF8">
        <w:t>–</w:t>
      </w:r>
      <w:r w:rsidR="0081016C" w:rsidRPr="00946BF8">
        <w:tab/>
      </w:r>
      <w:r w:rsidRPr="00946BF8">
        <w:t>having regard to the entry into force on 1</w:t>
      </w:r>
      <w:r w:rsidR="0081016C" w:rsidRPr="00946BF8">
        <w:t> </w:t>
      </w:r>
      <w:r w:rsidRPr="00946BF8">
        <w:t>September</w:t>
      </w:r>
      <w:r w:rsidR="0081016C" w:rsidRPr="00946BF8">
        <w:t> </w:t>
      </w:r>
      <w:r w:rsidRPr="00946BF8">
        <w:t>2023 of the package of measures adopted on 20</w:t>
      </w:r>
      <w:r w:rsidR="0081016C" w:rsidRPr="00946BF8">
        <w:t> </w:t>
      </w:r>
      <w:r w:rsidRPr="00946BF8">
        <w:t>April</w:t>
      </w:r>
      <w:r w:rsidR="0081016C" w:rsidRPr="00946BF8">
        <w:t> </w:t>
      </w:r>
      <w:r w:rsidRPr="00946BF8">
        <w:t>2023, designed to simplify and streamline the procedures for reviewing certain mergers that do not raise competition concerns (C(2023)2400, C(2023)2401, C(2023)2402),</w:t>
      </w:r>
    </w:p>
    <w:p w:rsidR="0081016C" w:rsidRPr="00946BF8" w:rsidRDefault="002F4DBE" w:rsidP="0081016C">
      <w:pPr>
        <w:pStyle w:val="NormalHanging12a"/>
      </w:pPr>
      <w:r w:rsidRPr="00946BF8">
        <w:t>–</w:t>
      </w:r>
      <w:r w:rsidR="0081016C" w:rsidRPr="00946BF8">
        <w:tab/>
      </w:r>
      <w:r w:rsidRPr="00946BF8">
        <w:t>having regard to Regulation (EU) 2022/2560 of the European Parliament and of the Council of 14</w:t>
      </w:r>
      <w:r w:rsidR="0081016C" w:rsidRPr="00946BF8">
        <w:t> </w:t>
      </w:r>
      <w:r w:rsidRPr="00946BF8">
        <w:t>December</w:t>
      </w:r>
      <w:r w:rsidR="0081016C" w:rsidRPr="00946BF8">
        <w:t> </w:t>
      </w:r>
      <w:r w:rsidRPr="00946BF8">
        <w:t>2022 on foreign subsidies distorting the internal market</w:t>
      </w:r>
      <w:r w:rsidRPr="00946BF8">
        <w:rPr>
          <w:rStyle w:val="FootnoteReference"/>
          <w:color w:val="000000"/>
        </w:rPr>
        <w:footnoteReference w:id="11"/>
      </w:r>
      <w:r w:rsidRPr="00946BF8">
        <w:t>,</w:t>
      </w:r>
    </w:p>
    <w:p w:rsidR="0081016C" w:rsidRPr="00946BF8" w:rsidRDefault="002F4DBE" w:rsidP="0081016C">
      <w:pPr>
        <w:pStyle w:val="NormalHanging12a"/>
      </w:pPr>
      <w:r w:rsidRPr="00946BF8">
        <w:t>–</w:t>
      </w:r>
      <w:r w:rsidR="0081016C" w:rsidRPr="00946BF8">
        <w:tab/>
      </w:r>
      <w:r w:rsidRPr="00946BF8">
        <w:t>having regard to the 2023 State of the Union Address by the President of the European Commission Ursula von der Leyen</w:t>
      </w:r>
      <w:r w:rsidRPr="00946BF8">
        <w:rPr>
          <w:rStyle w:val="FootnoteReference"/>
          <w:color w:val="000000"/>
        </w:rPr>
        <w:footnoteReference w:id="12"/>
      </w:r>
      <w:r w:rsidRPr="00946BF8">
        <w:t>,</w:t>
      </w:r>
    </w:p>
    <w:p w:rsidR="0081016C" w:rsidRPr="00946BF8" w:rsidRDefault="002F4DBE" w:rsidP="0081016C">
      <w:pPr>
        <w:pStyle w:val="NormalHanging12a"/>
      </w:pPr>
      <w:r w:rsidRPr="00946BF8">
        <w:t>–</w:t>
      </w:r>
      <w:r w:rsidR="0081016C" w:rsidRPr="00946BF8">
        <w:tab/>
      </w:r>
      <w:r w:rsidRPr="00946BF8">
        <w:t>having regard to the Commission</w:t>
      </w:r>
      <w:r w:rsidR="00946BF8">
        <w:t>’</w:t>
      </w:r>
      <w:r w:rsidRPr="00946BF8">
        <w:t xml:space="preserve">s decision </w:t>
      </w:r>
      <w:r w:rsidR="009246BC" w:rsidRPr="00946BF8">
        <w:t xml:space="preserve">of 6 September 2023 </w:t>
      </w:r>
      <w:r w:rsidRPr="00946BF8">
        <w:t>on the designation of gatekeepers under the Digital Markets Act,</w:t>
      </w:r>
    </w:p>
    <w:p w:rsidR="0081016C" w:rsidRPr="00946BF8" w:rsidRDefault="002F4DBE" w:rsidP="0081016C">
      <w:pPr>
        <w:pStyle w:val="NormalHanging12a"/>
      </w:pPr>
      <w:r w:rsidRPr="00946BF8">
        <w:t>–</w:t>
      </w:r>
      <w:r w:rsidR="0081016C" w:rsidRPr="00946BF8">
        <w:tab/>
      </w:r>
      <w:r w:rsidRPr="00946BF8">
        <w:t>having regard to Commission Implementing Regulation (EU) 2023/914 of 20 April</w:t>
      </w:r>
      <w:r w:rsidR="0081016C" w:rsidRPr="00946BF8">
        <w:t> </w:t>
      </w:r>
      <w:r w:rsidRPr="00946BF8">
        <w:t>2023 implementing Council Regulation (EC) No 139/2004 on the control of concentrations between undertakings and repealing Commission Regulation (EC) No 802/2004</w:t>
      </w:r>
      <w:r w:rsidRPr="00946BF8">
        <w:rPr>
          <w:rStyle w:val="FootnoteReference"/>
          <w:color w:val="000000"/>
        </w:rPr>
        <w:footnoteReference w:id="13"/>
      </w:r>
      <w:r w:rsidRPr="00946BF8">
        <w:t>,</w:t>
      </w:r>
    </w:p>
    <w:p w:rsidR="0081016C" w:rsidRPr="00946BF8" w:rsidRDefault="001011B8" w:rsidP="0081016C">
      <w:pPr>
        <w:pStyle w:val="NormalHanging12a"/>
      </w:pPr>
      <w:r w:rsidRPr="00946BF8">
        <w:t>–</w:t>
      </w:r>
      <w:r w:rsidR="0081016C" w:rsidRPr="00946BF8">
        <w:tab/>
      </w:r>
      <w:r w:rsidR="002F4DBE" w:rsidRPr="00946BF8">
        <w:t xml:space="preserve">having regard to the joint European Declaration on Digital Rights and Principles for the Digital Decade </w:t>
      </w:r>
      <w:r w:rsidR="009246BC" w:rsidRPr="00946BF8">
        <w:t xml:space="preserve">of 23 January 2023 </w:t>
      </w:r>
      <w:r w:rsidR="002F4DBE" w:rsidRPr="00946BF8">
        <w:t>by the European Parliament, the Council and the European Commission</w:t>
      </w:r>
      <w:r w:rsidR="002F4DBE" w:rsidRPr="00946BF8">
        <w:rPr>
          <w:rStyle w:val="FootnoteReference"/>
          <w:color w:val="000000"/>
        </w:rPr>
        <w:footnoteReference w:id="14"/>
      </w:r>
      <w:r w:rsidR="002F4DBE" w:rsidRPr="00946BF8">
        <w:t>,</w:t>
      </w:r>
    </w:p>
    <w:p w:rsidR="0081016C" w:rsidRPr="00946BF8" w:rsidRDefault="001011B8" w:rsidP="0081016C">
      <w:pPr>
        <w:pStyle w:val="NormalHanging12a"/>
      </w:pPr>
      <w:r w:rsidRPr="00946BF8">
        <w:t>–</w:t>
      </w:r>
      <w:r w:rsidR="0081016C" w:rsidRPr="00946BF8">
        <w:tab/>
      </w:r>
      <w:r w:rsidR="002F4DBE" w:rsidRPr="00946BF8">
        <w:t xml:space="preserve">having regard to the judgment of the CJEU </w:t>
      </w:r>
      <w:r w:rsidR="006B03A1" w:rsidRPr="00946BF8">
        <w:t xml:space="preserve">of 4 July 2023 </w:t>
      </w:r>
      <w:r w:rsidR="002F4DBE" w:rsidRPr="00946BF8">
        <w:t>in Case C-252/21</w:t>
      </w:r>
      <w:r w:rsidR="002F4DBE" w:rsidRPr="00946BF8">
        <w:rPr>
          <w:rStyle w:val="FootnoteReference"/>
          <w:color w:val="000000"/>
        </w:rPr>
        <w:footnoteReference w:id="15"/>
      </w:r>
      <w:r w:rsidR="002F4DBE" w:rsidRPr="00946BF8">
        <w:t>,</w:t>
      </w:r>
    </w:p>
    <w:p w:rsidR="0081016C" w:rsidRDefault="001011B8" w:rsidP="0081016C">
      <w:pPr>
        <w:pStyle w:val="NormalHanging12a"/>
      </w:pPr>
      <w:r w:rsidRPr="00946BF8">
        <w:t>–</w:t>
      </w:r>
      <w:r w:rsidR="0081016C" w:rsidRPr="00946BF8">
        <w:tab/>
      </w:r>
      <w:r w:rsidR="002F4DBE" w:rsidRPr="00946BF8">
        <w:t xml:space="preserve">having regard to </w:t>
      </w:r>
      <w:r w:rsidR="006B03A1" w:rsidRPr="00946BF8">
        <w:t xml:space="preserve">the </w:t>
      </w:r>
      <w:r w:rsidR="00A5399F" w:rsidRPr="00946BF8">
        <w:t xml:space="preserve">document entitled </w:t>
      </w:r>
      <w:r w:rsidR="00946BF8">
        <w:t>‘</w:t>
      </w:r>
      <w:r w:rsidR="002F4DBE" w:rsidRPr="00946BF8">
        <w:t>DG COMP Code of good practices for a transparent, inclusive, faster design and assessment of IPCEIs</w:t>
      </w:r>
      <w:r w:rsidR="00946BF8">
        <w:t>’</w:t>
      </w:r>
      <w:r w:rsidR="002F4DBE" w:rsidRPr="00946BF8">
        <w:t xml:space="preserve"> of 17</w:t>
      </w:r>
      <w:r w:rsidR="0081016C" w:rsidRPr="00946BF8">
        <w:t> </w:t>
      </w:r>
      <w:r w:rsidR="002F4DBE" w:rsidRPr="00946BF8">
        <w:t>May</w:t>
      </w:r>
      <w:r w:rsidR="0081016C" w:rsidRPr="00946BF8">
        <w:t> </w:t>
      </w:r>
      <w:r w:rsidR="002F4DBE" w:rsidRPr="00946BF8">
        <w:t>2023</w:t>
      </w:r>
      <w:r w:rsidR="002F4DBE" w:rsidRPr="00946BF8">
        <w:rPr>
          <w:rStyle w:val="FootnoteReference"/>
          <w:color w:val="000000"/>
        </w:rPr>
        <w:footnoteReference w:id="16"/>
      </w:r>
      <w:r w:rsidR="002F4DBE" w:rsidRPr="00946BF8">
        <w:t>,</w:t>
      </w:r>
    </w:p>
    <w:p w:rsidR="0060385F" w:rsidRPr="00946BF8" w:rsidRDefault="0060385F" w:rsidP="0081016C">
      <w:pPr>
        <w:pStyle w:val="NormalHanging12a"/>
      </w:pPr>
      <w:r>
        <w:rPr>
          <w:b/>
          <w:i/>
        </w:rPr>
        <w:t>–</w:t>
      </w:r>
      <w:r>
        <w:tab/>
      </w:r>
      <w:r w:rsidRPr="00B90723">
        <w:rPr>
          <w:b/>
        </w:rPr>
        <w:t>having regard to the European Securities and Markets Authority (ESMA), "Report on CRA Market Share Calculation" of 15 December 2022, (AM 4 Tang, Fernández, Lalucq, Repasi)</w:t>
      </w:r>
    </w:p>
    <w:p w:rsidR="0081016C" w:rsidRPr="00946BF8" w:rsidRDefault="001011B8" w:rsidP="0081016C">
      <w:pPr>
        <w:pStyle w:val="NormalHanging12a"/>
      </w:pPr>
      <w:r w:rsidRPr="00946BF8">
        <w:t>–</w:t>
      </w:r>
      <w:r w:rsidR="0081016C" w:rsidRPr="00946BF8">
        <w:tab/>
      </w:r>
      <w:r w:rsidR="002F4DBE" w:rsidRPr="00946BF8">
        <w:t xml:space="preserve">having regard to the Commission notice </w:t>
      </w:r>
      <w:r w:rsidR="006D1704" w:rsidRPr="00946BF8">
        <w:t xml:space="preserve">of 27 April 2004 </w:t>
      </w:r>
      <w:r w:rsidR="002F4DBE" w:rsidRPr="00946BF8">
        <w:t>on informal guidance relating to novel questions concerning Articles</w:t>
      </w:r>
      <w:r w:rsidR="0081016C" w:rsidRPr="00946BF8">
        <w:t> </w:t>
      </w:r>
      <w:r w:rsidR="002F4DBE" w:rsidRPr="00946BF8">
        <w:t>81 and 82 of the EC Treaty that arise in individual cases (guidance letters)</w:t>
      </w:r>
      <w:r w:rsidR="002F4DBE" w:rsidRPr="00946BF8">
        <w:rPr>
          <w:rStyle w:val="FootnoteReference"/>
          <w:color w:val="000000"/>
        </w:rPr>
        <w:footnoteReference w:id="17"/>
      </w:r>
      <w:r w:rsidR="002F4DBE" w:rsidRPr="00946BF8">
        <w:t>,</w:t>
      </w:r>
    </w:p>
    <w:p w:rsidR="0081016C" w:rsidRDefault="001011B8" w:rsidP="0081016C">
      <w:pPr>
        <w:pStyle w:val="NormalHanging12a"/>
      </w:pPr>
      <w:r w:rsidRPr="00946BF8">
        <w:t>–</w:t>
      </w:r>
      <w:r w:rsidR="0081016C" w:rsidRPr="00946BF8">
        <w:tab/>
      </w:r>
      <w:r w:rsidRPr="00946BF8">
        <w:t xml:space="preserve">having regard to the </w:t>
      </w:r>
      <w:r w:rsidR="002F4DBE" w:rsidRPr="00946BF8">
        <w:t>Commission communication of 21</w:t>
      </w:r>
      <w:r w:rsidR="0081016C" w:rsidRPr="00946BF8">
        <w:t> </w:t>
      </w:r>
      <w:r w:rsidR="002F4DBE" w:rsidRPr="00946BF8">
        <w:t>July</w:t>
      </w:r>
      <w:r w:rsidR="0081016C" w:rsidRPr="00946BF8">
        <w:t> </w:t>
      </w:r>
      <w:r w:rsidR="002F4DBE" w:rsidRPr="00946BF8">
        <w:t xml:space="preserve">2023 entitled </w:t>
      </w:r>
      <w:r w:rsidR="00946BF8">
        <w:t>‘</w:t>
      </w:r>
      <w:r w:rsidR="002F4DBE" w:rsidRPr="00946BF8">
        <w:t>Guidelines on the applicability of Article</w:t>
      </w:r>
      <w:r w:rsidR="0081016C" w:rsidRPr="00946BF8">
        <w:t> </w:t>
      </w:r>
      <w:r w:rsidR="002F4DBE" w:rsidRPr="00946BF8">
        <w:t>101 of the Treaty on the Functioning of the European Union to horizontal co-operation agreements</w:t>
      </w:r>
      <w:r w:rsidR="00946BF8">
        <w:t>’</w:t>
      </w:r>
      <w:r w:rsidR="002F4DBE" w:rsidRPr="00946BF8">
        <w:rPr>
          <w:rStyle w:val="FootnoteReference"/>
          <w:color w:val="000000"/>
        </w:rPr>
        <w:footnoteReference w:id="18"/>
      </w:r>
      <w:r w:rsidRPr="00946BF8">
        <w:t>,</w:t>
      </w:r>
    </w:p>
    <w:p w:rsidR="0060385F" w:rsidRPr="00946BF8" w:rsidRDefault="0060385F" w:rsidP="0081016C">
      <w:pPr>
        <w:pStyle w:val="NormalHanging12a"/>
      </w:pPr>
      <w:r>
        <w:rPr>
          <w:b/>
          <w:i/>
        </w:rPr>
        <w:t>–</w:t>
      </w:r>
      <w:r>
        <w:tab/>
      </w:r>
      <w:r w:rsidRPr="00B90723">
        <w:rPr>
          <w:b/>
        </w:rPr>
        <w:t>having regard to the Commission Decision of 25 September 2023 prohibiting the acquisition of Flugo Group Holdings AB (‘eTraveli') by Booking Holdings (‘Booking'), (AM 5 Repasi)</w:t>
      </w:r>
    </w:p>
    <w:p w:rsidR="0081016C" w:rsidRPr="00946BF8" w:rsidRDefault="00100069" w:rsidP="0081016C">
      <w:pPr>
        <w:pStyle w:val="NormalHanging12a"/>
      </w:pPr>
      <w:r w:rsidRPr="00946BF8">
        <w:t>–</w:t>
      </w:r>
      <w:r w:rsidR="0081016C" w:rsidRPr="00946BF8">
        <w:tab/>
      </w:r>
      <w:r w:rsidR="00384F4E" w:rsidRPr="00946BF8">
        <w:t>having regard to Rule</w:t>
      </w:r>
      <w:r w:rsidR="0081016C" w:rsidRPr="00946BF8">
        <w:t> </w:t>
      </w:r>
      <w:r w:rsidR="00384F4E" w:rsidRPr="00946BF8">
        <w:t>54 of its Rules of Procedure,</w:t>
      </w:r>
    </w:p>
    <w:p w:rsidR="0081016C" w:rsidRPr="00946BF8" w:rsidRDefault="00531F4C" w:rsidP="0081016C">
      <w:pPr>
        <w:pStyle w:val="NormalHanging12a"/>
      </w:pPr>
      <w:r w:rsidRPr="00946BF8">
        <w:t>–</w:t>
      </w:r>
      <w:r w:rsidR="0081016C" w:rsidRPr="00946BF8">
        <w:tab/>
      </w:r>
      <w:r w:rsidR="00E17902" w:rsidRPr="00946BF8">
        <w:t xml:space="preserve">having regard to the report of the </w:t>
      </w:r>
      <w:r w:rsidR="00384F4E" w:rsidRPr="00946BF8">
        <w:t>Committee on Economic and Monetary Affairs</w:t>
      </w:r>
      <w:r w:rsidR="00E17902" w:rsidRPr="00946BF8">
        <w:t xml:space="preserve"> (</w:t>
      </w:r>
      <w:r w:rsidR="00384F4E" w:rsidRPr="00946BF8">
        <w:t>A9</w:t>
      </w:r>
      <w:r w:rsidR="00384F4E" w:rsidRPr="00946BF8">
        <w:noBreakHyphen/>
      </w:r>
      <w:r w:rsidR="00E17902" w:rsidRPr="00946BF8">
        <w:t>0000/</w:t>
      </w:r>
      <w:r w:rsidR="00384F4E" w:rsidRPr="00946BF8">
        <w:t>2023</w:t>
      </w:r>
      <w:r w:rsidR="00E17902" w:rsidRPr="00946BF8">
        <w:t>),</w:t>
      </w:r>
    </w:p>
    <w:p w:rsidR="0081016C" w:rsidRPr="0060385F" w:rsidRDefault="001011B8" w:rsidP="0081016C">
      <w:pPr>
        <w:pStyle w:val="NormalHanging12a"/>
        <w:rPr>
          <w:b/>
        </w:rPr>
      </w:pPr>
      <w:r w:rsidRPr="00946BF8">
        <w:t>A.</w:t>
      </w:r>
      <w:r w:rsidR="0081016C" w:rsidRPr="00946BF8">
        <w:tab/>
      </w:r>
      <w:r w:rsidRPr="0060385F">
        <w:t xml:space="preserve">whereas EU competition policy has an important role in </w:t>
      </w:r>
      <w:r w:rsidRPr="00B90723">
        <w:rPr>
          <w:b/>
          <w:strike/>
        </w:rPr>
        <w:t>addressing</w:t>
      </w:r>
      <w:r w:rsidR="00946BF8" w:rsidRPr="00B90723">
        <w:rPr>
          <w:b/>
          <w:strike/>
        </w:rPr>
        <w:t xml:space="preserve"> </w:t>
      </w:r>
      <w:r w:rsidR="006D1704" w:rsidRPr="00B90723">
        <w:rPr>
          <w:b/>
          <w:strike/>
        </w:rPr>
        <w:t xml:space="preserve">the </w:t>
      </w:r>
      <w:r w:rsidRPr="00B90723">
        <w:rPr>
          <w:b/>
          <w:strike/>
        </w:rPr>
        <w:t>consequences</w:t>
      </w:r>
      <w:r w:rsidR="006D1704" w:rsidRPr="00B90723">
        <w:rPr>
          <w:b/>
          <w:strike/>
        </w:rPr>
        <w:t xml:space="preserve"> of crises</w:t>
      </w:r>
      <w:r w:rsidRPr="00B90723">
        <w:rPr>
          <w:b/>
          <w:strike/>
        </w:rPr>
        <w:t xml:space="preserve">, </w:t>
      </w:r>
      <w:r w:rsidRPr="0060385F">
        <w:t>set</w:t>
      </w:r>
      <w:r w:rsidR="006D1704" w:rsidRPr="0060385F">
        <w:t>ting</w:t>
      </w:r>
      <w:r w:rsidRPr="0060385F">
        <w:t xml:space="preserve"> fair conditions </w:t>
      </w:r>
      <w:r w:rsidR="0060385F" w:rsidRPr="00B90723">
        <w:rPr>
          <w:b/>
        </w:rPr>
        <w:t>for doing business in the single market, to protect markets against concentrations and the undue accumulation of market power,</w:t>
      </w:r>
      <w:r w:rsidR="0060385F" w:rsidRPr="0060385F">
        <w:t xml:space="preserve"> </w:t>
      </w:r>
      <w:r w:rsidRPr="0060385F">
        <w:t xml:space="preserve">to encourage innovation and </w:t>
      </w:r>
      <w:r w:rsidR="0060385F" w:rsidRPr="00B90723">
        <w:rPr>
          <w:b/>
        </w:rPr>
        <w:t>growth for the companies - especially SMEs- within the single market and, consequently,</w:t>
      </w:r>
      <w:r w:rsidR="0060385F" w:rsidRPr="0060385F">
        <w:t xml:space="preserve">  </w:t>
      </w:r>
      <w:r w:rsidR="0060385F" w:rsidRPr="0060385F">
        <w:rPr>
          <w:b/>
        </w:rPr>
        <w:t xml:space="preserve">(AM 7 Schwab) </w:t>
      </w:r>
      <w:r w:rsidR="00EE4EB8">
        <w:rPr>
          <w:b/>
        </w:rPr>
        <w:t xml:space="preserve">advancing consumer welfare (AM 8 Repasi) and </w:t>
      </w:r>
      <w:r w:rsidRPr="0060385F">
        <w:t>provid</w:t>
      </w:r>
      <w:r w:rsidR="006D1704" w:rsidRPr="0060385F">
        <w:t>ing</w:t>
      </w:r>
      <w:r w:rsidRPr="0060385F">
        <w:t xml:space="preserve"> greater choice for consumers</w:t>
      </w:r>
      <w:r w:rsidR="0060385F" w:rsidRPr="0060385F">
        <w:t xml:space="preserve"> </w:t>
      </w:r>
      <w:r w:rsidR="0060385F" w:rsidRPr="00B90723">
        <w:rPr>
          <w:b/>
        </w:rPr>
        <w:t>and businesses; (AM 6 Ferber, Martusciello)</w:t>
      </w:r>
    </w:p>
    <w:p w:rsidR="0081016C" w:rsidRDefault="001011B8" w:rsidP="0081016C">
      <w:pPr>
        <w:pStyle w:val="NormalHanging12a"/>
        <w:rPr>
          <w:b/>
        </w:rPr>
      </w:pPr>
      <w:r w:rsidRPr="00946BF8">
        <w:t>B.</w:t>
      </w:r>
      <w:r w:rsidR="0081016C" w:rsidRPr="00946BF8">
        <w:tab/>
      </w:r>
      <w:r w:rsidR="00DB3010" w:rsidRPr="00B90723">
        <w:rPr>
          <w:b/>
        </w:rPr>
        <w:t>whereas a fruitful interplay is necessary between competition policy and other sectoral policies (AM 14 Gruffat)</w:t>
      </w:r>
      <w:r w:rsidR="00DB3010">
        <w:rPr>
          <w:b/>
        </w:rPr>
        <w:t xml:space="preserve">; </w:t>
      </w:r>
      <w:r w:rsidRPr="00946BF8">
        <w:t xml:space="preserve">whereas competition policy could contribute to </w:t>
      </w:r>
      <w:r w:rsidR="006D1704" w:rsidRPr="00946BF8">
        <w:t xml:space="preserve">bolstering </w:t>
      </w:r>
      <w:r w:rsidRPr="00946BF8">
        <w:t>the resilience</w:t>
      </w:r>
      <w:r w:rsidR="00EE4EB8">
        <w:t xml:space="preserve">, </w:t>
      </w:r>
      <w:r w:rsidR="00EE4EB8">
        <w:rPr>
          <w:b/>
        </w:rPr>
        <w:t>integrity and competitiveness (AM 11 Pereira)</w:t>
      </w:r>
      <w:r w:rsidRPr="00946BF8">
        <w:t xml:space="preserve"> of the internal market, as well as </w:t>
      </w:r>
      <w:r w:rsidR="006D1704" w:rsidRPr="00946BF8">
        <w:t xml:space="preserve">achieving </w:t>
      </w:r>
      <w:r w:rsidRPr="00946BF8">
        <w:t xml:space="preserve">the </w:t>
      </w:r>
      <w:r w:rsidR="006D1704" w:rsidRPr="00946BF8">
        <w:t xml:space="preserve">goals of the </w:t>
      </w:r>
      <w:r w:rsidRPr="003E5B48">
        <w:t xml:space="preserve">European Green Deal and </w:t>
      </w:r>
      <w:r w:rsidR="006D1704" w:rsidRPr="003E5B48">
        <w:t xml:space="preserve">the </w:t>
      </w:r>
      <w:r w:rsidRPr="003E5B48">
        <w:t>Digital Compass</w:t>
      </w:r>
      <w:r w:rsidR="0060385F">
        <w:t xml:space="preserve"> </w:t>
      </w:r>
      <w:r w:rsidR="0060385F" w:rsidRPr="00B90723">
        <w:rPr>
          <w:b/>
        </w:rPr>
        <w:t>and of the Union’s objectives as enshrined in Article 3 TEU</w:t>
      </w:r>
      <w:r w:rsidRPr="00B90723">
        <w:rPr>
          <w:b/>
        </w:rPr>
        <w:t>;</w:t>
      </w:r>
      <w:r w:rsidR="0060385F">
        <w:rPr>
          <w:b/>
        </w:rPr>
        <w:t xml:space="preserve"> (AM 10 Repasi)</w:t>
      </w:r>
      <w:r w:rsidR="00DB3010">
        <w:rPr>
          <w:b/>
        </w:rPr>
        <w:t xml:space="preserve"> </w:t>
      </w:r>
    </w:p>
    <w:p w:rsidR="0081016C" w:rsidRDefault="001011B8" w:rsidP="0081016C">
      <w:pPr>
        <w:pStyle w:val="NormalHanging12a"/>
      </w:pPr>
      <w:r w:rsidRPr="00946BF8">
        <w:t>C.</w:t>
      </w:r>
      <w:r w:rsidR="0081016C" w:rsidRPr="00946BF8">
        <w:tab/>
      </w:r>
      <w:r w:rsidRPr="00946BF8">
        <w:t xml:space="preserve">whereas international exchange and cooperation </w:t>
      </w:r>
      <w:r w:rsidR="006D1704" w:rsidRPr="00946BF8">
        <w:t>are</w:t>
      </w:r>
      <w:r w:rsidRPr="00946BF8">
        <w:t xml:space="preserve"> essential to achiev</w:t>
      </w:r>
      <w:r w:rsidR="006D1704" w:rsidRPr="00946BF8">
        <w:t>ing</w:t>
      </w:r>
      <w:r w:rsidRPr="00946BF8">
        <w:t xml:space="preserve"> a global and competitive level playing field and tackl</w:t>
      </w:r>
      <w:r w:rsidR="006D1704" w:rsidRPr="00946BF8">
        <w:t>ing</w:t>
      </w:r>
      <w:r w:rsidRPr="00946BF8">
        <w:t xml:space="preserve"> the challenges of </w:t>
      </w:r>
      <w:r w:rsidRPr="003E5B48">
        <w:t>the twin digital and green transition</w:t>
      </w:r>
      <w:r w:rsidR="006D1704" w:rsidRPr="003E5B48">
        <w:t>s</w:t>
      </w:r>
      <w:r w:rsidRPr="003E5B48">
        <w:t xml:space="preserve"> in a coordinated manner;</w:t>
      </w:r>
    </w:p>
    <w:p w:rsidR="00D718C6" w:rsidRDefault="00D718C6" w:rsidP="0081016C">
      <w:pPr>
        <w:pStyle w:val="NormalHanging12a"/>
        <w:rPr>
          <w:b/>
        </w:rPr>
      </w:pPr>
      <w:r w:rsidRPr="008C458A">
        <w:rPr>
          <w:b/>
        </w:rPr>
        <w:t>Ca.</w:t>
      </w:r>
      <w:r w:rsidRPr="008C458A">
        <w:tab/>
      </w:r>
      <w:r w:rsidR="00EE4EB8" w:rsidRPr="008C458A">
        <w:rPr>
          <w:b/>
          <w:i/>
        </w:rPr>
        <w:t>whereas the global geopolitical circumstances also require responsible, competitive solutions in the field of competition policy;</w:t>
      </w:r>
      <w:r w:rsidR="00EE4EB8" w:rsidRPr="008C458A">
        <w:t xml:space="preserve"> </w:t>
      </w:r>
      <w:r w:rsidR="00EE4EB8" w:rsidRPr="008C458A">
        <w:rPr>
          <w:b/>
          <w:i/>
        </w:rPr>
        <w:t>whereas the European Union should use all the political and legislative tools at its disposal to defend the integrity, resilience and competitiveness of its internal market in view of the challenges posed by the increasing number of conflicts in the world, trade tensions among competing countries</w:t>
      </w:r>
      <w:r w:rsidR="006C5C64" w:rsidRPr="008C458A">
        <w:rPr>
          <w:b/>
          <w:i/>
        </w:rPr>
        <w:t>, climate change crisis</w:t>
      </w:r>
      <w:r w:rsidR="00EE4EB8" w:rsidRPr="008C458A">
        <w:rPr>
          <w:b/>
          <w:i/>
        </w:rPr>
        <w:t xml:space="preserve"> and the pressure of inflation and low levels of economic growth; </w:t>
      </w:r>
      <w:r w:rsidR="00EE4EB8" w:rsidRPr="008C458A">
        <w:rPr>
          <w:b/>
        </w:rPr>
        <w:t>(AM 16 Pereira)</w:t>
      </w:r>
      <w:r w:rsidR="00EE4EB8" w:rsidRPr="008C458A">
        <w:rPr>
          <w:b/>
          <w:i/>
        </w:rPr>
        <w:t xml:space="preserve"> </w:t>
      </w:r>
      <w:r w:rsidRPr="008C458A">
        <w:rPr>
          <w:b/>
        </w:rPr>
        <w:t xml:space="preserve">whereas </w:t>
      </w:r>
      <w:r w:rsidR="00DB3010" w:rsidRPr="008C458A">
        <w:rPr>
          <w:b/>
        </w:rPr>
        <w:t xml:space="preserve">there is a need for </w:t>
      </w:r>
      <w:r w:rsidR="00CE7A25" w:rsidRPr="006F1546">
        <w:rPr>
          <w:b/>
        </w:rPr>
        <w:t xml:space="preserve">reducing harmful dependencies of </w:t>
      </w:r>
      <w:r w:rsidR="00DB3010" w:rsidRPr="006F1546">
        <w:rPr>
          <w:b/>
        </w:rPr>
        <w:t xml:space="preserve">the </w:t>
      </w:r>
      <w:r w:rsidRPr="006F1546">
        <w:rPr>
          <w:b/>
        </w:rPr>
        <w:t xml:space="preserve">European </w:t>
      </w:r>
      <w:r w:rsidR="00DB3010" w:rsidRPr="006F1546">
        <w:rPr>
          <w:b/>
        </w:rPr>
        <w:t>Union</w:t>
      </w:r>
      <w:r w:rsidR="00EE4EB8" w:rsidRPr="006F1546">
        <w:rPr>
          <w:b/>
        </w:rPr>
        <w:t xml:space="preserve"> </w:t>
      </w:r>
      <w:r w:rsidRPr="008C458A">
        <w:rPr>
          <w:b/>
        </w:rPr>
        <w:t>on third countries and global powers in areas such as energy, medicines, technology or raw materials</w:t>
      </w:r>
      <w:r w:rsidR="00EE4EB8" w:rsidRPr="008C458A">
        <w:rPr>
          <w:b/>
        </w:rPr>
        <w:t xml:space="preserve"> </w:t>
      </w:r>
      <w:r w:rsidRPr="006F1546">
        <w:rPr>
          <w:b/>
        </w:rPr>
        <w:t>; (AM 17 Gruffat)</w:t>
      </w:r>
    </w:p>
    <w:p w:rsidR="00D718C6" w:rsidRDefault="00D718C6" w:rsidP="0081016C">
      <w:pPr>
        <w:pStyle w:val="NormalHanging12a"/>
        <w:rPr>
          <w:b/>
        </w:rPr>
      </w:pPr>
      <w:r w:rsidRPr="00B90723">
        <w:rPr>
          <w:b/>
        </w:rPr>
        <w:t>C</w:t>
      </w:r>
      <w:r>
        <w:rPr>
          <w:b/>
        </w:rPr>
        <w:t>b</w:t>
      </w:r>
      <w:r w:rsidRPr="00B90723">
        <w:rPr>
          <w:b/>
        </w:rPr>
        <w:t>.</w:t>
      </w:r>
      <w:r w:rsidRPr="00D718C6">
        <w:tab/>
      </w:r>
      <w:r w:rsidRPr="00B90723">
        <w:rPr>
          <w:b/>
        </w:rPr>
        <w:t xml:space="preserve">whereas the European Commission and national competition authorities need to act in an impartial and objective way in order to preserve the credibility of the EU's competition policy; </w:t>
      </w:r>
      <w:r w:rsidRPr="00D718C6">
        <w:rPr>
          <w:b/>
        </w:rPr>
        <w:t>(AM 18 Ferber, Martusciello)</w:t>
      </w:r>
    </w:p>
    <w:p w:rsidR="00D718C6" w:rsidRDefault="00D718C6" w:rsidP="0081016C">
      <w:pPr>
        <w:pStyle w:val="NormalHanging12a"/>
        <w:rPr>
          <w:b/>
        </w:rPr>
      </w:pPr>
      <w:r w:rsidRPr="00B90723">
        <w:rPr>
          <w:b/>
        </w:rPr>
        <w:t>Cc.</w:t>
      </w:r>
      <w:r w:rsidRPr="00D718C6">
        <w:tab/>
      </w:r>
      <w:r w:rsidRPr="00B90723">
        <w:rPr>
          <w:b/>
        </w:rPr>
        <w:t>emphasises that the global strength and importance of the EU Single Market derives from its internal competitiveness and equalised level-playing field;</w:t>
      </w:r>
      <w:r>
        <w:rPr>
          <w:b/>
        </w:rPr>
        <w:t xml:space="preserve"> </w:t>
      </w:r>
      <w:r w:rsidRPr="00471B98">
        <w:rPr>
          <w:b/>
        </w:rPr>
        <w:t xml:space="preserve">(AM </w:t>
      </w:r>
      <w:r w:rsidR="00EE4EB8">
        <w:rPr>
          <w:b/>
        </w:rPr>
        <w:t xml:space="preserve">19 </w:t>
      </w:r>
      <w:r w:rsidRPr="00471B98">
        <w:rPr>
          <w:b/>
        </w:rPr>
        <w:t xml:space="preserve"> Tang, Fernández, Lalucq, Repasi)</w:t>
      </w:r>
    </w:p>
    <w:p w:rsidR="009D12D3" w:rsidRPr="006F1546" w:rsidRDefault="00353E5F" w:rsidP="006C2C7B">
      <w:pPr>
        <w:pStyle w:val="NormalHanging12a"/>
        <w:ind w:left="0" w:firstLine="0"/>
        <w:rPr>
          <w:u w:val="single"/>
        </w:rPr>
      </w:pPr>
      <w:r w:rsidRPr="0051365C">
        <w:rPr>
          <w:b/>
        </w:rPr>
        <w:t>COMPROMISE A</w:t>
      </w:r>
      <w:r w:rsidR="006C2C7B">
        <w:rPr>
          <w:b/>
        </w:rPr>
        <w:br/>
      </w:r>
      <w:r w:rsidR="009D12D3" w:rsidRPr="006F1546">
        <w:rPr>
          <w:b/>
          <w:highlight w:val="cyan"/>
          <w:u w:val="single"/>
        </w:rPr>
        <w:t xml:space="preserve">Covers AM 22-86 , 132, 175 and IMCO </w:t>
      </w:r>
      <w:r w:rsidR="009D12D3" w:rsidRPr="00D8039B">
        <w:rPr>
          <w:b/>
          <w:highlight w:val="cyan"/>
          <w:u w:val="single"/>
        </w:rPr>
        <w:t>1</w:t>
      </w:r>
      <w:r w:rsidR="009D12D3">
        <w:rPr>
          <w:b/>
          <w:highlight w:val="cyan"/>
          <w:u w:val="single"/>
        </w:rPr>
        <w:t xml:space="preserve"> and </w:t>
      </w:r>
      <w:r w:rsidR="009D12D3" w:rsidRPr="00D8039B">
        <w:rPr>
          <w:b/>
          <w:highlight w:val="cyan"/>
          <w:u w:val="single"/>
        </w:rPr>
        <w:t>3</w:t>
      </w:r>
    </w:p>
    <w:p w:rsidR="0081016C" w:rsidRPr="00E66362" w:rsidRDefault="006D1704" w:rsidP="0081016C">
      <w:pPr>
        <w:pStyle w:val="NormalHanging12a"/>
        <w:ind w:left="0" w:firstLine="0"/>
        <w:rPr>
          <w:b/>
          <w:i/>
        </w:rPr>
      </w:pPr>
      <w:r w:rsidRPr="00946BF8">
        <w:rPr>
          <w:b/>
          <w:i/>
        </w:rPr>
        <w:t>The</w:t>
      </w:r>
      <w:r w:rsidR="001011B8" w:rsidRPr="00946BF8">
        <w:rPr>
          <w:b/>
          <w:i/>
        </w:rPr>
        <w:t xml:space="preserve"> role </w:t>
      </w:r>
      <w:r w:rsidR="00C909F6" w:rsidRPr="00946BF8">
        <w:rPr>
          <w:b/>
          <w:i/>
        </w:rPr>
        <w:t xml:space="preserve">of competition </w:t>
      </w:r>
      <w:r w:rsidR="001011B8" w:rsidRPr="00946BF8">
        <w:rPr>
          <w:b/>
          <w:i/>
        </w:rPr>
        <w:t xml:space="preserve">and </w:t>
      </w:r>
      <w:r w:rsidR="00C909F6" w:rsidRPr="00946BF8">
        <w:rPr>
          <w:b/>
          <w:i/>
        </w:rPr>
        <w:t xml:space="preserve">the </w:t>
      </w:r>
      <w:r w:rsidR="001011B8" w:rsidRPr="00946BF8">
        <w:rPr>
          <w:b/>
          <w:i/>
        </w:rPr>
        <w:t xml:space="preserve">policy response to the war in Ukraine, the US Inflation Reduction Act and </w:t>
      </w:r>
      <w:r w:rsidRPr="00946BF8">
        <w:rPr>
          <w:b/>
          <w:i/>
        </w:rPr>
        <w:t xml:space="preserve">the </w:t>
      </w:r>
      <w:r w:rsidR="001011B8" w:rsidRPr="00946BF8">
        <w:rPr>
          <w:b/>
          <w:i/>
        </w:rPr>
        <w:t>continuing challenges resulting from the COVID</w:t>
      </w:r>
      <w:r w:rsidRPr="00946BF8">
        <w:rPr>
          <w:b/>
          <w:i/>
        </w:rPr>
        <w:t>-</w:t>
      </w:r>
      <w:r w:rsidR="001011B8" w:rsidRPr="00946BF8">
        <w:rPr>
          <w:b/>
          <w:i/>
        </w:rPr>
        <w:t xml:space="preserve">19 </w:t>
      </w:r>
      <w:r w:rsidR="001011B8" w:rsidRPr="00E66362">
        <w:rPr>
          <w:b/>
          <w:i/>
        </w:rPr>
        <w:t>pandemic</w:t>
      </w:r>
    </w:p>
    <w:p w:rsidR="0081016C" w:rsidRPr="0038285F" w:rsidRDefault="001011B8" w:rsidP="0081016C">
      <w:pPr>
        <w:pStyle w:val="NormalHanging12a"/>
      </w:pPr>
      <w:r w:rsidRPr="008C458A">
        <w:t>1.</w:t>
      </w:r>
      <w:r w:rsidR="0081016C" w:rsidRPr="008C458A">
        <w:tab/>
      </w:r>
      <w:r w:rsidRPr="008C458A">
        <w:t xml:space="preserve">Calls on the Commission to safeguard the integrity of the single market; recalls that </w:t>
      </w:r>
      <w:r w:rsidR="006D1704" w:rsidRPr="008C458A">
        <w:t xml:space="preserve">the </w:t>
      </w:r>
      <w:r w:rsidRPr="008C458A">
        <w:t xml:space="preserve">response to the US Inflation Reduction Act </w:t>
      </w:r>
      <w:r w:rsidR="006D1704" w:rsidRPr="008C458A">
        <w:t>must</w:t>
      </w:r>
      <w:r w:rsidRPr="006F1546">
        <w:t xml:space="preserve"> not be solely based on</w:t>
      </w:r>
      <w:r w:rsidR="003750DB" w:rsidRPr="006F1546">
        <w:t xml:space="preserve"> </w:t>
      </w:r>
      <w:r w:rsidR="003750DB" w:rsidRPr="006F1546">
        <w:rPr>
          <w:b/>
        </w:rPr>
        <w:t>the</w:t>
      </w:r>
      <w:r w:rsidRPr="006F1546">
        <w:t xml:space="preserve"> use of State aid, but also </w:t>
      </w:r>
      <w:r w:rsidR="006D1704" w:rsidRPr="006F1546">
        <w:t>o</w:t>
      </w:r>
      <w:r w:rsidRPr="006F1546">
        <w:t>n</w:t>
      </w:r>
      <w:r w:rsidR="003750DB" w:rsidRPr="006F1546">
        <w:rPr>
          <w:b/>
        </w:rPr>
        <w:t xml:space="preserve"> creating a more favourable environment for doing business, </w:t>
      </w:r>
      <w:r w:rsidRPr="008C458A">
        <w:rPr>
          <w:b/>
        </w:rPr>
        <w:t xml:space="preserve"> </w:t>
      </w:r>
      <w:r w:rsidR="003750DB" w:rsidRPr="008C458A">
        <w:rPr>
          <w:b/>
        </w:rPr>
        <w:t xml:space="preserve">(AM 24 Ferber, Martusciello) </w:t>
      </w:r>
      <w:r w:rsidRPr="008C458A">
        <w:t xml:space="preserve">a renewed competition framework, </w:t>
      </w:r>
      <w:r w:rsidR="006D1704" w:rsidRPr="008C458A">
        <w:t xml:space="preserve">providing </w:t>
      </w:r>
      <w:r w:rsidRPr="008C458A">
        <w:t>speed and flexibility for companies investing and competing fairly in Europe</w:t>
      </w:r>
      <w:r w:rsidR="00EE4EB8" w:rsidRPr="008C458A">
        <w:t xml:space="preserve"> </w:t>
      </w:r>
      <w:r w:rsidR="00EE4EB8" w:rsidRPr="008C458A">
        <w:rPr>
          <w:b/>
          <w:i/>
        </w:rPr>
        <w:t>while complying with the EU climate goals</w:t>
      </w:r>
      <w:r w:rsidRPr="008C458A">
        <w:t>;</w:t>
      </w:r>
      <w:r w:rsidR="00EE4EB8" w:rsidRPr="008C458A">
        <w:t xml:space="preserve"> (AM 26 Gruffat)</w:t>
      </w:r>
    </w:p>
    <w:p w:rsidR="003D5BCA" w:rsidRDefault="00A8671C" w:rsidP="0081016C">
      <w:pPr>
        <w:pStyle w:val="NormalHanging12a"/>
        <w:rPr>
          <w:b/>
        </w:rPr>
      </w:pPr>
      <w:r>
        <w:rPr>
          <w:b/>
        </w:rPr>
        <w:t xml:space="preserve">27 </w:t>
      </w:r>
      <w:r w:rsidR="001011B8" w:rsidRPr="00946BF8">
        <w:t>2.</w:t>
      </w:r>
      <w:r w:rsidR="0081016C" w:rsidRPr="00946BF8">
        <w:tab/>
      </w:r>
      <w:r w:rsidR="001011B8" w:rsidRPr="00946BF8">
        <w:t>Takes note</w:t>
      </w:r>
      <w:r w:rsidR="00714ED3" w:rsidRPr="00946BF8">
        <w:t xml:space="preserve"> of</w:t>
      </w:r>
      <w:r w:rsidR="001011B8" w:rsidRPr="00946BF8">
        <w:t xml:space="preserve"> the Temporary Crisis and Transition Framework</w:t>
      </w:r>
      <w:r w:rsidR="006D1704" w:rsidRPr="00946BF8">
        <w:t xml:space="preserve"> (TCTF),</w:t>
      </w:r>
      <w:r w:rsidR="001011B8" w:rsidRPr="00946BF8">
        <w:t xml:space="preserve"> as well as </w:t>
      </w:r>
      <w:r w:rsidR="006D1704" w:rsidRPr="00946BF8">
        <w:t xml:space="preserve">of </w:t>
      </w:r>
      <w:r w:rsidR="001011B8" w:rsidRPr="00946BF8">
        <w:t xml:space="preserve">the update of the State aid rulebook that allows investments for the </w:t>
      </w:r>
      <w:r w:rsidR="001011B8" w:rsidRPr="003E5B48">
        <w:t>green and digital transition</w:t>
      </w:r>
      <w:r w:rsidR="006D1704" w:rsidRPr="003E5B48">
        <w:t>s</w:t>
      </w:r>
      <w:r w:rsidR="001011B8" w:rsidRPr="00946BF8">
        <w:t xml:space="preserve">; </w:t>
      </w:r>
      <w:r w:rsidR="001011B8" w:rsidRPr="00B90723">
        <w:rPr>
          <w:b/>
          <w:strike/>
        </w:rPr>
        <w:t>welcomes</w:t>
      </w:r>
      <w:r w:rsidR="001011B8" w:rsidRPr="00946BF8">
        <w:t xml:space="preserve"> </w:t>
      </w:r>
      <w:r w:rsidR="001B23E0" w:rsidRPr="00B90723">
        <w:rPr>
          <w:b/>
        </w:rPr>
        <w:t>takes note of</w:t>
      </w:r>
      <w:r w:rsidR="001B23E0">
        <w:t xml:space="preserve"> </w:t>
      </w:r>
      <w:r w:rsidR="001011B8" w:rsidRPr="00946BF8">
        <w:t xml:space="preserve">the 2023 </w:t>
      </w:r>
      <w:r w:rsidR="001011B8" w:rsidRPr="00B90723">
        <w:rPr>
          <w:b/>
          <w:strike/>
        </w:rPr>
        <w:t>review</w:t>
      </w:r>
      <w:r w:rsidR="001011B8" w:rsidRPr="00946BF8">
        <w:t xml:space="preserve"> </w:t>
      </w:r>
      <w:r w:rsidR="001B23E0" w:rsidRPr="00B90723">
        <w:rPr>
          <w:b/>
        </w:rPr>
        <w:t>adoption</w:t>
      </w:r>
      <w:r w:rsidR="001B23E0">
        <w:t xml:space="preserve"> </w:t>
      </w:r>
      <w:r w:rsidR="00FE3DE9" w:rsidRPr="00B90723">
        <w:rPr>
          <w:b/>
        </w:rPr>
        <w:t>as well as</w:t>
      </w:r>
      <w:r w:rsidR="001011B8" w:rsidRPr="00946BF8">
        <w:t xml:space="preserve"> </w:t>
      </w:r>
      <w:r w:rsidR="001011B8" w:rsidRPr="00B90723">
        <w:rPr>
          <w:strike/>
        </w:rPr>
        <w:t xml:space="preserve">to introduce </w:t>
      </w:r>
      <w:r w:rsidR="001B23E0" w:rsidRPr="00B90723">
        <w:rPr>
          <w:b/>
          <w:strike/>
        </w:rPr>
        <w:t>including</w:t>
      </w:r>
      <w:r w:rsidR="00FE3DE9">
        <w:t xml:space="preserve"> </w:t>
      </w:r>
      <w:r w:rsidR="00FE3DE9" w:rsidRPr="00B90723">
        <w:rPr>
          <w:b/>
        </w:rPr>
        <w:t>the inclusion of</w:t>
      </w:r>
      <w:r w:rsidR="001B23E0">
        <w:t xml:space="preserve"> </w:t>
      </w:r>
      <w:r w:rsidR="001011B8" w:rsidRPr="00946BF8">
        <w:t xml:space="preserve">the </w:t>
      </w:r>
      <w:r w:rsidR="00946BF8">
        <w:t>‘</w:t>
      </w:r>
      <w:r w:rsidR="001011B8" w:rsidRPr="00946BF8">
        <w:t>matching clause</w:t>
      </w:r>
      <w:r w:rsidR="00946BF8">
        <w:t>’</w:t>
      </w:r>
      <w:r w:rsidR="001B23E0" w:rsidRPr="00B90723">
        <w:rPr>
          <w:b/>
        </w:rPr>
        <w:t>;</w:t>
      </w:r>
      <w:r w:rsidR="001011B8" w:rsidRPr="00B90723">
        <w:rPr>
          <w:b/>
        </w:rPr>
        <w:t xml:space="preserve"> </w:t>
      </w:r>
      <w:r w:rsidR="001011B8" w:rsidRPr="00B90723">
        <w:rPr>
          <w:b/>
          <w:strike/>
        </w:rPr>
        <w:t>and</w:t>
      </w:r>
      <w:r w:rsidR="00665B96" w:rsidRPr="00665B96">
        <w:rPr>
          <w:b/>
          <w:i/>
        </w:rPr>
        <w:t xml:space="preserve"> </w:t>
      </w:r>
      <w:r w:rsidR="00665B96" w:rsidRPr="00B90723">
        <w:rPr>
          <w:b/>
        </w:rPr>
        <w:t>calls on the European Commission to carefully</w:t>
      </w:r>
      <w:r w:rsidR="001011B8" w:rsidRPr="00946BF8">
        <w:t xml:space="preserve"> avoid </w:t>
      </w:r>
      <w:r w:rsidR="001011B8" w:rsidRPr="00B90723">
        <w:rPr>
          <w:b/>
          <w:strike/>
        </w:rPr>
        <w:t>a</w:t>
      </w:r>
      <w:r w:rsidR="001011B8" w:rsidRPr="00946BF8">
        <w:t xml:space="preserve"> </w:t>
      </w:r>
      <w:r w:rsidR="00665B96" w:rsidRPr="00B90723">
        <w:rPr>
          <w:b/>
        </w:rPr>
        <w:t>creating the conditions for a subsidy</w:t>
      </w:r>
      <w:r w:rsidR="00665B96" w:rsidRPr="00946BF8">
        <w:t xml:space="preserve"> </w:t>
      </w:r>
      <w:r w:rsidR="001011B8" w:rsidRPr="00946BF8">
        <w:t>race</w:t>
      </w:r>
      <w:r w:rsidR="00EE4EB8">
        <w:t xml:space="preserve"> </w:t>
      </w:r>
      <w:r w:rsidR="00EE4EB8">
        <w:rPr>
          <w:b/>
          <w:i/>
        </w:rPr>
        <w:t xml:space="preserve">and to use the tools at its disposal to prevent and </w:t>
      </w:r>
      <w:r w:rsidR="001A0962" w:rsidRPr="001A0962">
        <w:rPr>
          <w:b/>
          <w:i/>
          <w:strike/>
        </w:rPr>
        <w:t>sanction</w:t>
      </w:r>
      <w:r w:rsidR="001A0962">
        <w:rPr>
          <w:b/>
          <w:i/>
        </w:rPr>
        <w:t xml:space="preserve"> </w:t>
      </w:r>
      <w:r w:rsidR="00EE4EB8">
        <w:rPr>
          <w:b/>
          <w:i/>
        </w:rPr>
        <w:t>counteract</w:t>
      </w:r>
      <w:r w:rsidR="001A0962">
        <w:rPr>
          <w:b/>
          <w:i/>
        </w:rPr>
        <w:t xml:space="preserve"> </w:t>
      </w:r>
      <w:r w:rsidR="00EE4EB8">
        <w:rPr>
          <w:b/>
          <w:i/>
        </w:rPr>
        <w:t xml:space="preserve">unfair subsidy competition </w:t>
      </w:r>
      <w:r w:rsidR="00EE4EB8">
        <w:rPr>
          <w:b/>
        </w:rPr>
        <w:t>(AM 27 Tang, Fernandez, Lalucq, Repasi)</w:t>
      </w:r>
      <w:r w:rsidR="00665B96" w:rsidRPr="00B90723">
        <w:rPr>
          <w:b/>
        </w:rPr>
        <w:t>;</w:t>
      </w:r>
      <w:r w:rsidR="001011B8" w:rsidRPr="00946BF8">
        <w:t xml:space="preserve"> </w:t>
      </w:r>
      <w:r w:rsidR="00665B96" w:rsidRPr="00D718C6">
        <w:rPr>
          <w:b/>
        </w:rPr>
        <w:t xml:space="preserve">(AM </w:t>
      </w:r>
      <w:r w:rsidR="00665B96">
        <w:rPr>
          <w:b/>
        </w:rPr>
        <w:t>35</w:t>
      </w:r>
      <w:r w:rsidR="00665B96" w:rsidRPr="00D718C6">
        <w:rPr>
          <w:b/>
        </w:rPr>
        <w:t xml:space="preserve"> Ferber, Martusciello)</w:t>
      </w:r>
      <w:r w:rsidR="00665B96">
        <w:rPr>
          <w:b/>
        </w:rPr>
        <w:t xml:space="preserve"> </w:t>
      </w:r>
      <w:r w:rsidR="001011B8" w:rsidRPr="00B90723">
        <w:rPr>
          <w:b/>
          <w:strike/>
        </w:rPr>
        <w:t>to</w:t>
      </w:r>
      <w:r w:rsidR="006D1704" w:rsidRPr="00B90723">
        <w:rPr>
          <w:b/>
          <w:strike/>
        </w:rPr>
        <w:t>wards</w:t>
      </w:r>
      <w:r w:rsidR="001011B8" w:rsidRPr="00B90723">
        <w:rPr>
          <w:b/>
          <w:strike/>
        </w:rPr>
        <w:t xml:space="preserve"> subsidies</w:t>
      </w:r>
      <w:r w:rsidR="003D5BCA" w:rsidRPr="003D5BCA">
        <w:t xml:space="preserve">; </w:t>
      </w:r>
      <w:r w:rsidR="003D5BCA" w:rsidRPr="00B90723">
        <w:rPr>
          <w:b/>
        </w:rPr>
        <w:t xml:space="preserve">stresses that any additional state support </w:t>
      </w:r>
      <w:r w:rsidR="00DB3010">
        <w:rPr>
          <w:b/>
        </w:rPr>
        <w:t>must</w:t>
      </w:r>
      <w:r w:rsidR="00DB3010" w:rsidRPr="00B90723">
        <w:rPr>
          <w:b/>
        </w:rPr>
        <w:t xml:space="preserve"> </w:t>
      </w:r>
      <w:r w:rsidR="003D5BCA" w:rsidRPr="00B90723">
        <w:rPr>
          <w:b/>
        </w:rPr>
        <w:t xml:space="preserve">be targeted and temporary; upholds that State aid should be consistent with EU policy objectives such as the </w:t>
      </w:r>
      <w:r w:rsidR="003D5BCA" w:rsidRPr="003E5B48">
        <w:rPr>
          <w:b/>
        </w:rPr>
        <w:t>Green Deal and the Pillar of Social Rights;</w:t>
      </w:r>
      <w:r w:rsidR="003D5BCA" w:rsidRPr="00B90723">
        <w:rPr>
          <w:b/>
        </w:rPr>
        <w:t xml:space="preserve"> calls on the Commission to investigate the lack of harmonisation of clawback mechanisms in Member States;</w:t>
      </w:r>
      <w:r w:rsidR="003D5BCA">
        <w:rPr>
          <w:b/>
        </w:rPr>
        <w:t xml:space="preserve"> </w:t>
      </w:r>
      <w:r w:rsidR="003D5BCA" w:rsidRPr="00471B98">
        <w:rPr>
          <w:b/>
        </w:rPr>
        <w:t xml:space="preserve">(AM </w:t>
      </w:r>
      <w:r w:rsidR="003D5BCA">
        <w:rPr>
          <w:b/>
        </w:rPr>
        <w:t>33</w:t>
      </w:r>
      <w:r w:rsidR="003D5BCA" w:rsidRPr="00471B98">
        <w:rPr>
          <w:b/>
        </w:rPr>
        <w:t xml:space="preserve"> Tang, Fernández, Lalucq, Repasi)</w:t>
      </w:r>
    </w:p>
    <w:p w:rsidR="0081016C" w:rsidRDefault="003D5BCA" w:rsidP="0081016C">
      <w:pPr>
        <w:pStyle w:val="NormalHanging12a"/>
        <w:rPr>
          <w:b/>
        </w:rPr>
      </w:pPr>
      <w:r>
        <w:rPr>
          <w:b/>
        </w:rPr>
        <w:t>2a.</w:t>
      </w:r>
      <w:r>
        <w:rPr>
          <w:b/>
        </w:rPr>
        <w:tab/>
      </w:r>
      <w:r w:rsidRPr="00B90723">
        <w:rPr>
          <w:b/>
        </w:rPr>
        <w:t>Calls on the European Commission to ensure that all temporary State aid instruments are sufficiently targeted to avoid fragmentation of the single market;</w:t>
      </w:r>
      <w:r>
        <w:rPr>
          <w:b/>
        </w:rPr>
        <w:t xml:space="preserve"> </w:t>
      </w:r>
      <w:r w:rsidRPr="00D718C6">
        <w:rPr>
          <w:b/>
        </w:rPr>
        <w:t xml:space="preserve">(AM </w:t>
      </w:r>
      <w:r>
        <w:rPr>
          <w:b/>
        </w:rPr>
        <w:t>37</w:t>
      </w:r>
      <w:r w:rsidRPr="00D718C6">
        <w:rPr>
          <w:b/>
        </w:rPr>
        <w:t xml:space="preserve"> Ferber, Martusciello)</w:t>
      </w:r>
    </w:p>
    <w:p w:rsidR="00ED0C58" w:rsidRPr="00ED0C58" w:rsidRDefault="001011B8" w:rsidP="00665B96">
      <w:pPr>
        <w:pStyle w:val="NormalHanging12a"/>
        <w:rPr>
          <w:b/>
        </w:rPr>
      </w:pPr>
      <w:r w:rsidRPr="00946BF8">
        <w:t>3.</w:t>
      </w:r>
      <w:r w:rsidR="0081016C" w:rsidRPr="00946BF8">
        <w:tab/>
      </w:r>
      <w:r w:rsidRPr="00946BF8">
        <w:t xml:space="preserve">Stresses that additional public and private investment will be needed to face new challenges; underlines that </w:t>
      </w:r>
      <w:r w:rsidRPr="00B90723">
        <w:rPr>
          <w:b/>
          <w:strike/>
        </w:rPr>
        <w:t>a</w:t>
      </w:r>
      <w:r w:rsidRPr="00946BF8">
        <w:t xml:space="preserve"> </w:t>
      </w:r>
      <w:r w:rsidR="00FE3DE9" w:rsidRPr="00B90723">
        <w:rPr>
          <w:b/>
        </w:rPr>
        <w:t>the</w:t>
      </w:r>
      <w:r w:rsidR="00FE3DE9">
        <w:t xml:space="preserve"> </w:t>
      </w:r>
      <w:r w:rsidRPr="00946BF8">
        <w:t xml:space="preserve">European </w:t>
      </w:r>
      <w:r w:rsidRPr="00B90723">
        <w:rPr>
          <w:b/>
          <w:strike/>
        </w:rPr>
        <w:t xml:space="preserve">Sovereignty Fund </w:t>
      </w:r>
      <w:r w:rsidR="006D1704" w:rsidRPr="00B90723">
        <w:rPr>
          <w:b/>
          <w:strike/>
        </w:rPr>
        <w:t>financed</w:t>
      </w:r>
      <w:r w:rsidRPr="00B90723">
        <w:rPr>
          <w:b/>
          <w:strike/>
        </w:rPr>
        <w:t xml:space="preserve"> by additional fresh money will</w:t>
      </w:r>
      <w:r w:rsidRPr="00946BF8">
        <w:t xml:space="preserve"> </w:t>
      </w:r>
      <w:r w:rsidR="00FE3DE9" w:rsidRPr="00B90723">
        <w:rPr>
          <w:b/>
        </w:rPr>
        <w:t>budget needs to be properly equipped to</w:t>
      </w:r>
      <w:r w:rsidR="00FE3DE9">
        <w:t xml:space="preserve"> </w:t>
      </w:r>
      <w:r w:rsidRPr="00946BF8">
        <w:t>address</w:t>
      </w:r>
      <w:r w:rsidR="00FE3DE9">
        <w:t xml:space="preserve"> </w:t>
      </w:r>
      <w:r w:rsidR="00FE3DE9" w:rsidRPr="00B90723">
        <w:rPr>
          <w:b/>
        </w:rPr>
        <w:t>the challenges of the future, including</w:t>
      </w:r>
      <w:r w:rsidR="006D1704" w:rsidRPr="00946BF8">
        <w:t xml:space="preserve"> the</w:t>
      </w:r>
      <w:r w:rsidRPr="00946BF8">
        <w:t xml:space="preserve"> fragmentation of the internal market, </w:t>
      </w:r>
      <w:r w:rsidRPr="00B90723">
        <w:rPr>
          <w:b/>
          <w:strike/>
        </w:rPr>
        <w:t>support</w:t>
      </w:r>
      <w:r w:rsidRPr="00946BF8">
        <w:t xml:space="preserve"> </w:t>
      </w:r>
      <w:r w:rsidR="00FE3DE9" w:rsidRPr="00B90723">
        <w:rPr>
          <w:b/>
        </w:rPr>
        <w:t>supporting</w:t>
      </w:r>
      <w:r w:rsidR="00FE3DE9">
        <w:t xml:space="preserve"> </w:t>
      </w:r>
      <w:r w:rsidR="00A5399F" w:rsidRPr="00946BF8">
        <w:t xml:space="preserve">the </w:t>
      </w:r>
      <w:r w:rsidRPr="00946BF8">
        <w:t>EU</w:t>
      </w:r>
      <w:r w:rsidR="00946BF8">
        <w:t>’</w:t>
      </w:r>
      <w:r w:rsidR="00A5399F" w:rsidRPr="00946BF8">
        <w:t>s</w:t>
      </w:r>
      <w:r w:rsidRPr="00946BF8">
        <w:t xml:space="preserve"> industrial strategy, </w:t>
      </w:r>
      <w:r w:rsidRPr="00B90723">
        <w:rPr>
          <w:b/>
          <w:strike/>
        </w:rPr>
        <w:t>reduce</w:t>
      </w:r>
      <w:r w:rsidRPr="00946BF8">
        <w:t xml:space="preserve"> </w:t>
      </w:r>
      <w:r w:rsidR="00FE3DE9" w:rsidRPr="00B90723">
        <w:rPr>
          <w:b/>
        </w:rPr>
        <w:t>reducing</w:t>
      </w:r>
      <w:r w:rsidR="00FE3DE9">
        <w:t xml:space="preserve"> </w:t>
      </w:r>
      <w:r w:rsidRPr="00946BF8">
        <w:t xml:space="preserve">our critical dependencies and </w:t>
      </w:r>
      <w:r w:rsidRPr="00B90723">
        <w:rPr>
          <w:b/>
          <w:strike/>
        </w:rPr>
        <w:t>ensure</w:t>
      </w:r>
      <w:r w:rsidRPr="00946BF8">
        <w:t xml:space="preserve"> </w:t>
      </w:r>
      <w:r w:rsidR="00FE3DE9" w:rsidRPr="00B90723">
        <w:rPr>
          <w:b/>
        </w:rPr>
        <w:t>ensuring</w:t>
      </w:r>
      <w:r w:rsidR="00FE3DE9">
        <w:t xml:space="preserve"> </w:t>
      </w:r>
      <w:r w:rsidRPr="00946BF8">
        <w:t>our open strategic autonomy;</w:t>
      </w:r>
      <w:r w:rsidR="00FE3DE9">
        <w:t xml:space="preserve"> </w:t>
      </w:r>
      <w:r w:rsidR="00FE3DE9" w:rsidRPr="00B90723">
        <w:rPr>
          <w:b/>
        </w:rPr>
        <w:t>highlights that those challenges cannot be addressed by public spending alone;</w:t>
      </w:r>
      <w:r w:rsidR="00FE3DE9">
        <w:rPr>
          <w:b/>
        </w:rPr>
        <w:t xml:space="preserve"> </w:t>
      </w:r>
      <w:r w:rsidR="00FE3DE9" w:rsidRPr="00D718C6">
        <w:rPr>
          <w:b/>
        </w:rPr>
        <w:t xml:space="preserve">(AM </w:t>
      </w:r>
      <w:r w:rsidR="00FE3DE9">
        <w:rPr>
          <w:b/>
        </w:rPr>
        <w:t>42</w:t>
      </w:r>
      <w:r w:rsidR="00FE3DE9" w:rsidRPr="00D718C6">
        <w:rPr>
          <w:b/>
        </w:rPr>
        <w:t xml:space="preserve"> Ferber, Martusciello)</w:t>
      </w:r>
      <w:r w:rsidR="00665B96">
        <w:t xml:space="preserve"> </w:t>
      </w:r>
    </w:p>
    <w:p w:rsidR="003D5BCA" w:rsidRDefault="003D5BCA" w:rsidP="0081016C">
      <w:pPr>
        <w:pStyle w:val="NormalHanging12a"/>
        <w:rPr>
          <w:b/>
        </w:rPr>
      </w:pPr>
      <w:r w:rsidRPr="00B90723">
        <w:rPr>
          <w:b/>
        </w:rPr>
        <w:t>3a.</w:t>
      </w:r>
      <w:r w:rsidRPr="003D5BCA">
        <w:tab/>
      </w:r>
      <w:r w:rsidRPr="00B90723">
        <w:rPr>
          <w:b/>
        </w:rPr>
        <w:t xml:space="preserve">Reminds that a fragmented approach to State aid has the potential to create an uneven playing field within the EU internal market as not all Member States have the same fiscal space to provide support; calls therefore for the monitoring of potential distortive effects and for any flexibilisation of the </w:t>
      </w:r>
      <w:r w:rsidR="006C5C64" w:rsidRPr="00E66362">
        <w:rPr>
          <w:b/>
        </w:rPr>
        <w:t xml:space="preserve">public support </w:t>
      </w:r>
      <w:r w:rsidRPr="00E66362">
        <w:rPr>
          <w:b/>
        </w:rPr>
        <w:t>to be applied solely to support provided at</w:t>
      </w:r>
      <w:r w:rsidRPr="00B90723">
        <w:rPr>
          <w:b/>
        </w:rPr>
        <w:t xml:space="preserve"> European level;</w:t>
      </w:r>
      <w:r>
        <w:rPr>
          <w:b/>
        </w:rPr>
        <w:t xml:space="preserve"> </w:t>
      </w:r>
      <w:r w:rsidRPr="00471B98">
        <w:rPr>
          <w:b/>
        </w:rPr>
        <w:t xml:space="preserve">(AM </w:t>
      </w:r>
      <w:r>
        <w:rPr>
          <w:b/>
        </w:rPr>
        <w:t>47</w:t>
      </w:r>
      <w:r w:rsidRPr="00471B98">
        <w:rPr>
          <w:b/>
        </w:rPr>
        <w:t xml:space="preserve"> Tang, Fernández, Lalucq, Repasi)</w:t>
      </w:r>
    </w:p>
    <w:p w:rsidR="0038285F" w:rsidRPr="003D5BCA" w:rsidRDefault="0038285F" w:rsidP="0081016C">
      <w:pPr>
        <w:pStyle w:val="NormalHanging12a"/>
      </w:pPr>
    </w:p>
    <w:p w:rsidR="003D5BCA" w:rsidRDefault="001011B8" w:rsidP="003D5BCA">
      <w:pPr>
        <w:pStyle w:val="NormalHanging12a"/>
        <w:rPr>
          <w:b/>
        </w:rPr>
      </w:pPr>
      <w:r w:rsidRPr="008C458A">
        <w:t>4.</w:t>
      </w:r>
      <w:r w:rsidR="0081016C" w:rsidRPr="008C458A">
        <w:tab/>
      </w:r>
      <w:r w:rsidRPr="008C458A">
        <w:t>Calls on the Commission to look into</w:t>
      </w:r>
      <w:r w:rsidR="008960E9" w:rsidRPr="008C458A">
        <w:t xml:space="preserve"> </w:t>
      </w:r>
      <w:r w:rsidR="00260D01" w:rsidRPr="006F1546">
        <w:rPr>
          <w:b/>
        </w:rPr>
        <w:t xml:space="preserve">how </w:t>
      </w:r>
      <w:r w:rsidR="008960E9" w:rsidRPr="006F1546">
        <w:rPr>
          <w:b/>
        </w:rPr>
        <w:t xml:space="preserve">inflation can </w:t>
      </w:r>
      <w:r w:rsidR="00260D01" w:rsidRPr="006F1546">
        <w:rPr>
          <w:b/>
        </w:rPr>
        <w:t xml:space="preserve">impact competition by </w:t>
      </w:r>
      <w:r w:rsidR="008960E9" w:rsidRPr="006F1546">
        <w:rPr>
          <w:b/>
        </w:rPr>
        <w:t>creat</w:t>
      </w:r>
      <w:r w:rsidR="00260D01" w:rsidRPr="006F1546">
        <w:rPr>
          <w:b/>
        </w:rPr>
        <w:t>ing</w:t>
      </w:r>
      <w:r w:rsidR="008960E9" w:rsidRPr="006F1546">
        <w:rPr>
          <w:b/>
        </w:rPr>
        <w:t>incentives for companies to cooperate with competitors to coordinate prices</w:t>
      </w:r>
      <w:r w:rsidR="00260D01" w:rsidRPr="006F1546">
        <w:rPr>
          <w:rStyle w:val="FootnoteReference"/>
          <w:b/>
        </w:rPr>
        <w:footnoteReference w:id="19"/>
      </w:r>
      <w:r w:rsidR="008960E9" w:rsidRPr="008C458A">
        <w:t xml:space="preserve"> </w:t>
      </w:r>
      <w:r w:rsidRPr="008C458A">
        <w:t xml:space="preserve"> and </w:t>
      </w:r>
      <w:r w:rsidR="00A5399F" w:rsidRPr="008C458A">
        <w:t xml:space="preserve">its </w:t>
      </w:r>
      <w:r w:rsidRPr="008C458A">
        <w:t xml:space="preserve">consequences </w:t>
      </w:r>
      <w:r w:rsidR="00A5399F" w:rsidRPr="006F1546">
        <w:t>for</w:t>
      </w:r>
      <w:r w:rsidR="00833603" w:rsidRPr="006F1546">
        <w:t xml:space="preserve"> markets and consumers</w:t>
      </w:r>
      <w:r w:rsidR="00946BF8" w:rsidRPr="006F1546">
        <w:t>’</w:t>
      </w:r>
      <w:r w:rsidR="00833603" w:rsidRPr="006F1546">
        <w:t xml:space="preserve"> welfare;</w:t>
      </w:r>
      <w:r w:rsidR="003D5BCA" w:rsidRPr="006F1546">
        <w:t xml:space="preserve"> </w:t>
      </w:r>
      <w:r w:rsidR="00784B3C" w:rsidRPr="006F1546">
        <w:rPr>
          <w:b/>
          <w:color w:val="FF0000"/>
        </w:rPr>
        <w:t>highlights the need to improve the data on profits in order to efficiently address potential consequences</w:t>
      </w:r>
      <w:r w:rsidR="0038285F" w:rsidRPr="006F1546">
        <w:rPr>
          <w:b/>
          <w:color w:val="FF0000"/>
        </w:rPr>
        <w:t xml:space="preserve"> </w:t>
      </w:r>
      <w:r w:rsidR="008C458A" w:rsidRPr="006F1546">
        <w:rPr>
          <w:i/>
          <w:iCs/>
          <w:highlight w:val="yellow"/>
          <w:lang w:eastAsia="en-US"/>
        </w:rPr>
        <w:t>As ECB and IMF research suggest that corporate profits have been important temporary drivers of inflation</w:t>
      </w:r>
      <w:r w:rsidR="00784B3C" w:rsidRPr="008C458A">
        <w:rPr>
          <w:b/>
          <w:color w:val="FF0000"/>
        </w:rPr>
        <w:t xml:space="preserve">; </w:t>
      </w:r>
      <w:r w:rsidR="00BD1AFA" w:rsidRPr="008C458A">
        <w:rPr>
          <w:b/>
          <w:color w:val="FF0000"/>
        </w:rPr>
        <w:t xml:space="preserve">calls on the Commission to closely monitor, along with the national competition authorities, the consequences of anti-competitive conduct and its role in inflation developments; </w:t>
      </w:r>
      <w:r w:rsidR="003D5BCA" w:rsidRPr="008C458A">
        <w:rPr>
          <w:b/>
        </w:rPr>
        <w:t xml:space="preserve">reiterates that the Commission must make use of all the available tools under competition law to tackle the cost of living crisis; </w:t>
      </w:r>
      <w:r w:rsidR="003D5BCA" w:rsidRPr="006F1546">
        <w:rPr>
          <w:b/>
        </w:rPr>
        <w:t>(AM 4</w:t>
      </w:r>
      <w:r w:rsidR="00001214" w:rsidRPr="006F1546">
        <w:rPr>
          <w:b/>
        </w:rPr>
        <w:t>9</w:t>
      </w:r>
      <w:r w:rsidR="003D5BCA" w:rsidRPr="006F1546">
        <w:rPr>
          <w:b/>
        </w:rPr>
        <w:t xml:space="preserve"> Tang, Fernández, Lalucq, Repasi)</w:t>
      </w:r>
      <w:r w:rsidR="00BD1AFA" w:rsidRPr="00BD1AFA">
        <w:rPr>
          <w:b/>
          <w:color w:val="FF0000"/>
        </w:rPr>
        <w:t xml:space="preserve"> </w:t>
      </w:r>
    </w:p>
    <w:p w:rsidR="003D5BCA" w:rsidRPr="003D5BCA" w:rsidRDefault="003D5BCA" w:rsidP="003D5BCA">
      <w:pPr>
        <w:pStyle w:val="NormalHanging12a"/>
      </w:pPr>
      <w:r w:rsidRPr="008C458A">
        <w:rPr>
          <w:b/>
        </w:rPr>
        <w:t>4a.</w:t>
      </w:r>
      <w:r w:rsidRPr="008C458A">
        <w:tab/>
      </w:r>
      <w:r w:rsidRPr="008C458A">
        <w:rPr>
          <w:b/>
        </w:rPr>
        <w:t xml:space="preserve">Welcomes competition authorities’ initiatives across several Member States </w:t>
      </w:r>
      <w:r w:rsidRPr="008C458A">
        <w:rPr>
          <w:rStyle w:val="FootnoteReference"/>
          <w:b/>
        </w:rPr>
        <w:footnoteReference w:id="20"/>
      </w:r>
      <w:r w:rsidRPr="008C458A">
        <w:rPr>
          <w:b/>
        </w:rPr>
        <w:t xml:space="preserve"> to introduce new market investigation powers </w:t>
      </w:r>
      <w:r w:rsidR="00CE7A25" w:rsidRPr="006F1546">
        <w:rPr>
          <w:b/>
        </w:rPr>
        <w:t>as long as they do not lead to the fragmentation of the internal market</w:t>
      </w:r>
      <w:r w:rsidR="00CE7A25" w:rsidRPr="008C458A">
        <w:rPr>
          <w:b/>
        </w:rPr>
        <w:t xml:space="preserve"> </w:t>
      </w:r>
      <w:r w:rsidRPr="008C458A">
        <w:rPr>
          <w:b/>
        </w:rPr>
        <w:t>and calls on the European Commission to introduce a similar market investigation tool to avoid enforcement gaps where the practices occur across national borders within the EU</w:t>
      </w:r>
      <w:r w:rsidR="006C5C64" w:rsidRPr="008C458A">
        <w:rPr>
          <w:b/>
        </w:rPr>
        <w:t xml:space="preserve"> and to adopt sector-wide remedies when necessary to effectively address anticompetitive behaviours</w:t>
      </w:r>
      <w:r w:rsidRPr="008C458A">
        <w:rPr>
          <w:b/>
        </w:rPr>
        <w:t>; (AM 52 Yon-Courtin, Boyer, Chastel</w:t>
      </w:r>
      <w:r w:rsidR="006C5C64" w:rsidRPr="008C458A">
        <w:rPr>
          <w:b/>
        </w:rPr>
        <w:t>; AM 59 Repasi)</w:t>
      </w:r>
      <w:r w:rsidR="00622B82" w:rsidRPr="008C458A">
        <w:rPr>
          <w:b/>
        </w:rPr>
        <w:t xml:space="preserve">; </w:t>
      </w:r>
      <w:r w:rsidR="001B23E0" w:rsidRPr="006F1546">
        <w:rPr>
          <w:b/>
          <w:i/>
        </w:rPr>
        <w:t xml:space="preserve"> </w:t>
      </w:r>
      <w:r w:rsidR="00622B82" w:rsidRPr="006F1546">
        <w:rPr>
          <w:b/>
        </w:rPr>
        <w:t>r</w:t>
      </w:r>
      <w:r w:rsidR="001B23E0" w:rsidRPr="006F1546">
        <w:rPr>
          <w:b/>
        </w:rPr>
        <w:t>ecalls the Commission’s initiative for a ‘New Competition Tool’ which aimed at addressing gaps between EU competition rules and intervention tools against structural competition problems across markets; notes that with the new competition tool the commission would be able to investigate competition issues across entire sectors; calls upon the Commission to reassess the ‘New Competition Tool’; (AM 63 Tang, Fernández, Lalucq, Repasi)</w:t>
      </w:r>
    </w:p>
    <w:p w:rsidR="0081016C" w:rsidRDefault="001011B8" w:rsidP="00265A3B">
      <w:pPr>
        <w:pStyle w:val="NormalHanging12a"/>
        <w:rPr>
          <w:b/>
        </w:rPr>
      </w:pPr>
      <w:r w:rsidRPr="00946BF8">
        <w:t>5.</w:t>
      </w:r>
      <w:r w:rsidR="0081016C" w:rsidRPr="00946BF8">
        <w:tab/>
      </w:r>
      <w:r w:rsidRPr="00946BF8">
        <w:t xml:space="preserve">Underlines the importance of the Important Projects of </w:t>
      </w:r>
      <w:r w:rsidR="00A5399F" w:rsidRPr="00946BF8">
        <w:t>C</w:t>
      </w:r>
      <w:r w:rsidRPr="00946BF8">
        <w:t>ommon European Interest (IPCEI</w:t>
      </w:r>
      <w:r w:rsidR="00A5399F" w:rsidRPr="00946BF8">
        <w:t>s</w:t>
      </w:r>
      <w:r w:rsidRPr="00946BF8">
        <w:t xml:space="preserve">) </w:t>
      </w:r>
      <w:r w:rsidR="00A5399F" w:rsidRPr="00946BF8">
        <w:t>for</w:t>
      </w:r>
      <w:r w:rsidRPr="00946BF8">
        <w:t xml:space="preserve"> financ</w:t>
      </w:r>
      <w:r w:rsidR="00A5399F" w:rsidRPr="00946BF8">
        <w:t>ing</w:t>
      </w:r>
      <w:r w:rsidRPr="00946BF8">
        <w:t xml:space="preserve"> large transnational projects and achiev</w:t>
      </w:r>
      <w:r w:rsidR="00A5399F" w:rsidRPr="00946BF8">
        <w:t>ing</w:t>
      </w:r>
      <w:r w:rsidRPr="00946BF8">
        <w:t xml:space="preserve"> </w:t>
      </w:r>
      <w:r w:rsidR="00A5399F" w:rsidRPr="00946BF8">
        <w:t xml:space="preserve">the </w:t>
      </w:r>
      <w:r w:rsidRPr="00946BF8">
        <w:t>EU</w:t>
      </w:r>
      <w:r w:rsidR="00946BF8">
        <w:t>’</w:t>
      </w:r>
      <w:r w:rsidR="00A5399F" w:rsidRPr="00946BF8">
        <w:t>s</w:t>
      </w:r>
      <w:r w:rsidRPr="00946BF8">
        <w:t xml:space="preserve"> strategic priorities</w:t>
      </w:r>
      <w:r w:rsidR="003D5BCA">
        <w:t>;</w:t>
      </w:r>
      <w:r w:rsidRPr="00946BF8">
        <w:t xml:space="preserve"> </w:t>
      </w:r>
      <w:r w:rsidR="003D5BCA" w:rsidRPr="00B90723">
        <w:rPr>
          <w:b/>
          <w:strike/>
        </w:rPr>
        <w:t>but</w:t>
      </w:r>
      <w:r w:rsidRPr="00946BF8">
        <w:t xml:space="preserve"> </w:t>
      </w:r>
      <w:r w:rsidR="003D5BCA" w:rsidRPr="00B90723">
        <w:rPr>
          <w:b/>
        </w:rPr>
        <w:t>takes note of the specific criteria for IPCEIs for the analysis of the compatibility with the internal market of State aid;</w:t>
      </w:r>
      <w:r w:rsidR="003D5BCA" w:rsidRPr="003D5BCA">
        <w:t xml:space="preserve"> </w:t>
      </w:r>
      <w:r w:rsidRPr="00946BF8">
        <w:t xml:space="preserve">deplores </w:t>
      </w:r>
      <w:r w:rsidRPr="00B90723">
        <w:rPr>
          <w:b/>
          <w:strike/>
        </w:rPr>
        <w:t>the process and time</w:t>
      </w:r>
      <w:r w:rsidRPr="00946BF8">
        <w:t xml:space="preserve"> </w:t>
      </w:r>
      <w:r w:rsidR="003D5BCA" w:rsidRPr="00B90723">
        <w:rPr>
          <w:b/>
        </w:rPr>
        <w:t>that the lengthy and complex procedures</w:t>
      </w:r>
      <w:r w:rsidR="003D5BCA" w:rsidRPr="003D5BCA">
        <w:t xml:space="preserve"> </w:t>
      </w:r>
      <w:r w:rsidRPr="00946BF8">
        <w:t xml:space="preserve">required </w:t>
      </w:r>
      <w:r w:rsidR="00A5399F" w:rsidRPr="00B90723">
        <w:rPr>
          <w:b/>
          <w:strike/>
        </w:rPr>
        <w:t xml:space="preserve">as </w:t>
      </w:r>
      <w:r w:rsidR="00963D0E" w:rsidRPr="00B90723">
        <w:rPr>
          <w:b/>
          <w:strike/>
        </w:rPr>
        <w:t>being</w:t>
      </w:r>
      <w:r w:rsidR="00963D0E" w:rsidRPr="00946BF8">
        <w:t xml:space="preserve"> </w:t>
      </w:r>
      <w:r w:rsidR="003D5BCA" w:rsidRPr="00B90723">
        <w:rPr>
          <w:b/>
        </w:rPr>
        <w:t>are often</w:t>
      </w:r>
      <w:r w:rsidR="003D5BCA">
        <w:t xml:space="preserve"> </w:t>
      </w:r>
      <w:r w:rsidR="003D5BCA" w:rsidRPr="00D718C6">
        <w:rPr>
          <w:b/>
        </w:rPr>
        <w:t xml:space="preserve">(AM </w:t>
      </w:r>
      <w:r w:rsidR="003D5BCA">
        <w:rPr>
          <w:b/>
        </w:rPr>
        <w:t>53</w:t>
      </w:r>
      <w:r w:rsidR="003D5BCA" w:rsidRPr="00D718C6">
        <w:rPr>
          <w:b/>
        </w:rPr>
        <w:t xml:space="preserve"> Ferber, Martusciello)</w:t>
      </w:r>
      <w:r w:rsidR="003D5BCA">
        <w:rPr>
          <w:b/>
        </w:rPr>
        <w:t xml:space="preserve"> </w:t>
      </w:r>
      <w:r w:rsidRPr="00946BF8">
        <w:t xml:space="preserve">too burdensome for SMEs; calls on the Commission </w:t>
      </w:r>
      <w:r w:rsidR="00265A3B" w:rsidRPr="00B90723">
        <w:rPr>
          <w:b/>
        </w:rPr>
        <w:t>and Member States</w:t>
      </w:r>
      <w:r w:rsidR="00265A3B" w:rsidRPr="00265A3B">
        <w:t xml:space="preserve"> </w:t>
      </w:r>
      <w:r w:rsidR="00265A3B" w:rsidRPr="00471B98">
        <w:rPr>
          <w:b/>
        </w:rPr>
        <w:t xml:space="preserve">(AM </w:t>
      </w:r>
      <w:r w:rsidR="00265A3B">
        <w:rPr>
          <w:b/>
        </w:rPr>
        <w:t>55</w:t>
      </w:r>
      <w:r w:rsidR="00265A3B" w:rsidRPr="00471B98">
        <w:rPr>
          <w:b/>
        </w:rPr>
        <w:t xml:space="preserve"> Yon-Courtin, Boyer, Chastel)</w:t>
      </w:r>
      <w:r w:rsidR="00265A3B">
        <w:t xml:space="preserve"> </w:t>
      </w:r>
      <w:r w:rsidRPr="00946BF8">
        <w:t xml:space="preserve">to ensure that any notification is completed within </w:t>
      </w:r>
      <w:r w:rsidR="00A5399F" w:rsidRPr="00946BF8">
        <w:t>six</w:t>
      </w:r>
      <w:r w:rsidRPr="00946BF8">
        <w:t xml:space="preserve"> months at the latest;</w:t>
      </w:r>
      <w:r w:rsidR="003D5BCA" w:rsidRPr="003D5BCA">
        <w:t xml:space="preserve"> </w:t>
      </w:r>
      <w:r w:rsidR="003D5BCA" w:rsidRPr="00B90723">
        <w:rPr>
          <w:b/>
        </w:rPr>
        <w:t>stresses that IPCEIs should have genuine European added value</w:t>
      </w:r>
      <w:r w:rsidR="003D5BCA">
        <w:rPr>
          <w:b/>
        </w:rPr>
        <w:t xml:space="preserve">; </w:t>
      </w:r>
      <w:r w:rsidR="003D5BCA" w:rsidRPr="00471B98">
        <w:rPr>
          <w:b/>
        </w:rPr>
        <w:t xml:space="preserve">(AM </w:t>
      </w:r>
      <w:r w:rsidR="003D5BCA">
        <w:rPr>
          <w:b/>
        </w:rPr>
        <w:t>54</w:t>
      </w:r>
      <w:r w:rsidR="003D5BCA" w:rsidRPr="00471B98">
        <w:rPr>
          <w:b/>
        </w:rPr>
        <w:t xml:space="preserve"> Tang, Fernández, Lalucq, Repasi)</w:t>
      </w:r>
    </w:p>
    <w:p w:rsidR="00265A3B" w:rsidRDefault="00265A3B" w:rsidP="00265A3B">
      <w:pPr>
        <w:pStyle w:val="NormalHanging12a"/>
        <w:rPr>
          <w:b/>
        </w:rPr>
      </w:pPr>
      <w:r>
        <w:rPr>
          <w:b/>
        </w:rPr>
        <w:t xml:space="preserve">5a. </w:t>
      </w:r>
      <w:r>
        <w:rPr>
          <w:b/>
        </w:rPr>
        <w:tab/>
      </w:r>
      <w:r w:rsidRPr="00B90723">
        <w:rPr>
          <w:b/>
        </w:rPr>
        <w:t>Calls on the Commission to assess how EU competition principles have affected the supply of services of general economic interest (SGEI), also in light of the Covid crisis and increased costs of living; calls on the Commission to assess the position of social services of general interest</w:t>
      </w:r>
      <w:r w:rsidR="00DB3010">
        <w:rPr>
          <w:b/>
        </w:rPr>
        <w:t xml:space="preserve"> </w:t>
      </w:r>
      <w:r w:rsidR="00DB3010" w:rsidRPr="00DB3010">
        <w:rPr>
          <w:b/>
          <w:i/>
        </w:rPr>
        <w:t>and</w:t>
      </w:r>
      <w:r w:rsidR="00DB3010">
        <w:rPr>
          <w:b/>
        </w:rPr>
        <w:t xml:space="preserve"> </w:t>
      </w:r>
      <w:r w:rsidR="00DB3010">
        <w:rPr>
          <w:b/>
          <w:i/>
        </w:rPr>
        <w:t>a SGEI exemption for affordable housing</w:t>
      </w:r>
      <w:r w:rsidRPr="00B90723">
        <w:rPr>
          <w:b/>
        </w:rPr>
        <w:t>;</w:t>
      </w:r>
      <w:r>
        <w:rPr>
          <w:b/>
        </w:rPr>
        <w:t xml:space="preserve"> </w:t>
      </w:r>
      <w:r w:rsidRPr="00471B98">
        <w:rPr>
          <w:b/>
        </w:rPr>
        <w:t xml:space="preserve">(AM </w:t>
      </w:r>
      <w:r>
        <w:rPr>
          <w:b/>
        </w:rPr>
        <w:t>57</w:t>
      </w:r>
      <w:r w:rsidRPr="00471B98">
        <w:rPr>
          <w:b/>
        </w:rPr>
        <w:t xml:space="preserve"> Tang, </w:t>
      </w:r>
      <w:r>
        <w:rPr>
          <w:b/>
        </w:rPr>
        <w:t>Sant)</w:t>
      </w:r>
    </w:p>
    <w:p w:rsidR="002D3953" w:rsidRDefault="002D3953" w:rsidP="00265A3B">
      <w:pPr>
        <w:pStyle w:val="NormalHanging12a"/>
        <w:rPr>
          <w:b/>
        </w:rPr>
      </w:pPr>
    </w:p>
    <w:p w:rsidR="002D3953" w:rsidRDefault="00100B6B" w:rsidP="002D3953">
      <w:pPr>
        <w:pStyle w:val="NormalHanging12a"/>
        <w:rPr>
          <w:b/>
        </w:rPr>
      </w:pPr>
      <w:r>
        <w:rPr>
          <w:b/>
        </w:rPr>
        <w:t>5d</w:t>
      </w:r>
      <w:r w:rsidR="002D3953" w:rsidRPr="00B90723">
        <w:rPr>
          <w:b/>
        </w:rPr>
        <w:t>.</w:t>
      </w:r>
      <w:r w:rsidR="002D3953" w:rsidRPr="002D3953">
        <w:tab/>
      </w:r>
      <w:r w:rsidR="002D3953" w:rsidRPr="00B90723">
        <w:rPr>
          <w:b/>
        </w:rPr>
        <w:t xml:space="preserve">Welcomes the Commission ‘Guidelines on the application of EU competition law to collective agreements’, clarifying that EU competition law does not prevent solo self-employed workers from engaging in collective bargaining; recalls that self-employed workers often </w:t>
      </w:r>
      <w:r w:rsidR="00EE4EB8">
        <w:rPr>
          <w:b/>
        </w:rPr>
        <w:t xml:space="preserve">have </w:t>
      </w:r>
      <w:r w:rsidR="002D3953" w:rsidRPr="00B90723">
        <w:rPr>
          <w:b/>
        </w:rPr>
        <w:t>limited or no access to collective bargaining</w:t>
      </w:r>
      <w:r w:rsidR="00EE4EB8">
        <w:rPr>
          <w:b/>
        </w:rPr>
        <w:t>, which may lead to precarious working conditions</w:t>
      </w:r>
      <w:r w:rsidR="002D3953" w:rsidRPr="00B90723">
        <w:rPr>
          <w:b/>
        </w:rPr>
        <w:t xml:space="preserve">; </w:t>
      </w:r>
      <w:r w:rsidR="002D3953" w:rsidRPr="002D3953">
        <w:rPr>
          <w:b/>
        </w:rPr>
        <w:t>(AM 61 Tang, Fernández, Lalucq, Repasi, Sant)</w:t>
      </w:r>
    </w:p>
    <w:p w:rsidR="0038285F" w:rsidRPr="008C458A" w:rsidRDefault="0038285F" w:rsidP="0038285F">
      <w:pPr>
        <w:pStyle w:val="NormalHanging12a"/>
        <w:rPr>
          <w:b/>
        </w:rPr>
      </w:pPr>
      <w:r w:rsidRPr="006F1546">
        <w:rPr>
          <w:b/>
        </w:rPr>
        <w:t>5e (new) Recalls the integral connection between competition policy and the internal market, which is clear from the text itself of the articles 101 and 102 TFEU governing EU competition policy; welcomes the fact that the Commission, in both its legislative and policy work, has recognised the need to integrate competition policy with the internal market objectives which frame it; (IMCO 1)</w:t>
      </w:r>
    </w:p>
    <w:p w:rsidR="007E351F" w:rsidRPr="008C458A" w:rsidRDefault="007E351F" w:rsidP="007E351F">
      <w:pPr>
        <w:pStyle w:val="NormalHanging12a"/>
        <w:rPr>
          <w:b/>
        </w:rPr>
      </w:pPr>
      <w:r w:rsidRPr="008C458A">
        <w:rPr>
          <w:b/>
        </w:rPr>
        <w:t xml:space="preserve">5f (new) Points out the need to effectively address market distortions and </w:t>
      </w:r>
      <w:r w:rsidRPr="006F1546">
        <w:rPr>
          <w:b/>
        </w:rPr>
        <w:t xml:space="preserve">market failures, and enhance </w:t>
      </w:r>
      <w:r w:rsidRPr="006F1546">
        <w:rPr>
          <w:b/>
          <w:strike/>
        </w:rPr>
        <w:t>boost</w:t>
      </w:r>
      <w:r w:rsidRPr="008C458A">
        <w:rPr>
          <w:b/>
        </w:rPr>
        <w:t xml:space="preserve"> competition by removing existing unjustified regulatory barriers and reducing unnecessary administrative burdens to facilitate entry for new competitors; </w:t>
      </w:r>
      <w:r w:rsidRPr="006F1546">
        <w:rPr>
          <w:b/>
          <w:strike/>
        </w:rPr>
        <w:t>stresses that increased product market competition coupled with eliminating unjustified regulatory barriers reduces profit margins and price levels</w:t>
      </w:r>
      <w:r w:rsidRPr="008C458A">
        <w:rPr>
          <w:b/>
        </w:rPr>
        <w:t>; (IMCO 3)</w:t>
      </w:r>
    </w:p>
    <w:p w:rsidR="007E351F" w:rsidRDefault="007E351F" w:rsidP="0038285F">
      <w:pPr>
        <w:pStyle w:val="NormalHanging12a"/>
        <w:rPr>
          <w:b/>
        </w:rPr>
      </w:pPr>
      <w:r w:rsidRPr="006F1546">
        <w:rPr>
          <w:b/>
        </w:rPr>
        <w:t xml:space="preserve">5g (new) </w:t>
      </w:r>
      <w:r w:rsidRPr="006F1546">
        <w:rPr>
          <w:b/>
          <w:bCs/>
        </w:rPr>
        <w:t>Stresses the relevance of the Court of Justice of the EU’s judgments in cases C-555/21 (UniCredit Bank Austria) and C-383/18 (Lexitor sp. z o.o.) for ensuring a level playing field in the consumer credit market and avoiding its competitive distortion; (AM 78 Martusciello)</w:t>
      </w:r>
    </w:p>
    <w:p w:rsidR="0081016C" w:rsidRPr="00946BF8" w:rsidRDefault="001011B8" w:rsidP="0081016C">
      <w:pPr>
        <w:pStyle w:val="NormalHanging12a"/>
        <w:rPr>
          <w:b/>
          <w:i/>
        </w:rPr>
      </w:pPr>
      <w:r w:rsidRPr="00946BF8">
        <w:rPr>
          <w:b/>
          <w:i/>
        </w:rPr>
        <w:t>Competition policy enforcement and global trends</w:t>
      </w:r>
    </w:p>
    <w:p w:rsidR="0081016C" w:rsidRPr="00946BF8" w:rsidRDefault="001011B8" w:rsidP="0081016C">
      <w:pPr>
        <w:pStyle w:val="NormalHanging12a"/>
      </w:pPr>
      <w:r w:rsidRPr="00946BF8">
        <w:t>6.</w:t>
      </w:r>
      <w:r w:rsidR="0081016C" w:rsidRPr="00946BF8">
        <w:tab/>
      </w:r>
      <w:r w:rsidRPr="00946BF8">
        <w:t>Welcomes the Commission</w:t>
      </w:r>
      <w:r w:rsidR="00946BF8">
        <w:t>’</w:t>
      </w:r>
      <w:r w:rsidRPr="00946BF8">
        <w:t xml:space="preserve">s announcement </w:t>
      </w:r>
      <w:r w:rsidR="00A5399F" w:rsidRPr="00946BF8">
        <w:t>that it will</w:t>
      </w:r>
      <w:r w:rsidRPr="00946BF8">
        <w:t xml:space="preserve"> launch an anti-subsidy investigation into Chinese electric vehicles</w:t>
      </w:r>
      <w:r w:rsidR="00665B96">
        <w:t xml:space="preserve"> </w:t>
      </w:r>
      <w:r w:rsidR="00665B96" w:rsidRPr="00B90723">
        <w:rPr>
          <w:b/>
        </w:rPr>
        <w:t>under Regulation (EU) 2016/1037 on protection against subsidised imports from countries not members of the European Union</w:t>
      </w:r>
      <w:r w:rsidRPr="00614159">
        <w:t>;</w:t>
      </w:r>
      <w:r w:rsidRPr="00946BF8">
        <w:t xml:space="preserve"> underlines the importance of the effective implementation of </w:t>
      </w:r>
      <w:r w:rsidR="00665B96" w:rsidRPr="00B90723">
        <w:rPr>
          <w:b/>
        </w:rPr>
        <w:t>EU instruments on foreign subsidies, including</w:t>
      </w:r>
      <w:r w:rsidR="00665B96">
        <w:rPr>
          <w:b/>
        </w:rPr>
        <w:t xml:space="preserve"> </w:t>
      </w:r>
      <w:r w:rsidR="00665B96" w:rsidRPr="00D718C6">
        <w:rPr>
          <w:b/>
        </w:rPr>
        <w:t xml:space="preserve">(AM </w:t>
      </w:r>
      <w:r w:rsidR="00665B96">
        <w:rPr>
          <w:b/>
        </w:rPr>
        <w:t>6</w:t>
      </w:r>
      <w:r w:rsidR="00001214">
        <w:rPr>
          <w:b/>
        </w:rPr>
        <w:t>5</w:t>
      </w:r>
      <w:r w:rsidR="00665B96" w:rsidRPr="00D718C6">
        <w:rPr>
          <w:b/>
        </w:rPr>
        <w:t xml:space="preserve"> Ferber, Martusciello)</w:t>
      </w:r>
      <w:r w:rsidR="00665B96">
        <w:t xml:space="preserve"> </w:t>
      </w:r>
      <w:r w:rsidR="00C909F6" w:rsidRPr="00946BF8">
        <w:t>R</w:t>
      </w:r>
      <w:r w:rsidRPr="00946BF8">
        <w:t xml:space="preserve">egulation </w:t>
      </w:r>
      <w:r w:rsidR="00C909F6" w:rsidRPr="00946BF8">
        <w:t xml:space="preserve">(EU) 2022/2560 </w:t>
      </w:r>
      <w:r w:rsidRPr="00946BF8">
        <w:t xml:space="preserve">on foreign subsidies </w:t>
      </w:r>
      <w:r w:rsidR="00C909F6" w:rsidRPr="00946BF8">
        <w:t xml:space="preserve">in order </w:t>
      </w:r>
      <w:r w:rsidRPr="00946BF8">
        <w:t xml:space="preserve">to ensure </w:t>
      </w:r>
      <w:r w:rsidR="00C909F6" w:rsidRPr="00946BF8">
        <w:t xml:space="preserve">the </w:t>
      </w:r>
      <w:r w:rsidRPr="00946BF8">
        <w:t xml:space="preserve">mitigation of potentially distortive effects on the single market; </w:t>
      </w:r>
      <w:r w:rsidR="00684B3F" w:rsidRPr="00946BF8">
        <w:t>draws attention to</w:t>
      </w:r>
      <w:r w:rsidRPr="00946BF8">
        <w:t xml:space="preserve"> the lack of resources with only </w:t>
      </w:r>
      <w:r w:rsidR="00EE4EB8">
        <w:t xml:space="preserve"> eight</w:t>
      </w:r>
      <w:r w:rsidRPr="00946BF8">
        <w:t>FTE</w:t>
      </w:r>
      <w:r w:rsidR="00684B3F" w:rsidRPr="00946BF8">
        <w:t xml:space="preserve"> within the Commission</w:t>
      </w:r>
      <w:r w:rsidR="00963D0E" w:rsidRPr="00946BF8">
        <w:t>;</w:t>
      </w:r>
    </w:p>
    <w:p w:rsidR="000B1FDA" w:rsidRDefault="001011B8" w:rsidP="000B1FDA">
      <w:pPr>
        <w:pStyle w:val="NormalHanging12a"/>
        <w:rPr>
          <w:b/>
        </w:rPr>
      </w:pPr>
      <w:r w:rsidRPr="008C458A">
        <w:t>7.</w:t>
      </w:r>
      <w:r w:rsidR="0081016C" w:rsidRPr="008C458A">
        <w:tab/>
      </w:r>
      <w:r w:rsidRPr="008C458A">
        <w:t xml:space="preserve">Calls on the Commission to modernise public procurement rules </w:t>
      </w:r>
      <w:r w:rsidRPr="008C458A">
        <w:rPr>
          <w:b/>
          <w:strike/>
        </w:rPr>
        <w:t>to help foster green and digital industry; calls on the Commission to take into account the sustainability and sovereignty criteria for public procurement rules</w:t>
      </w:r>
      <w:r w:rsidRPr="008C458A">
        <w:t xml:space="preserve"> </w:t>
      </w:r>
      <w:r w:rsidR="00C909F6" w:rsidRPr="008C458A">
        <w:t xml:space="preserve">in order </w:t>
      </w:r>
      <w:r w:rsidRPr="008C458A">
        <w:t xml:space="preserve">to </w:t>
      </w:r>
      <w:r w:rsidRPr="008C458A">
        <w:rPr>
          <w:b/>
          <w:strike/>
        </w:rPr>
        <w:t xml:space="preserve">foster </w:t>
      </w:r>
      <w:r w:rsidR="00C909F6" w:rsidRPr="008C458A">
        <w:rPr>
          <w:b/>
          <w:strike/>
        </w:rPr>
        <w:t xml:space="preserve">the </w:t>
      </w:r>
      <w:r w:rsidRPr="008C458A">
        <w:rPr>
          <w:b/>
          <w:strike/>
        </w:rPr>
        <w:t xml:space="preserve">production </w:t>
      </w:r>
      <w:r w:rsidR="00C909F6" w:rsidRPr="008C458A">
        <w:rPr>
          <w:b/>
          <w:strike/>
        </w:rPr>
        <w:t xml:space="preserve">of goods </w:t>
      </w:r>
      <w:r w:rsidR="00946BF8" w:rsidRPr="008C458A">
        <w:rPr>
          <w:b/>
          <w:strike/>
        </w:rPr>
        <w:t>‘</w:t>
      </w:r>
      <w:r w:rsidRPr="008C458A">
        <w:rPr>
          <w:b/>
          <w:strike/>
        </w:rPr>
        <w:t>made in Europe</w:t>
      </w:r>
      <w:r w:rsidR="00946BF8" w:rsidRPr="008C458A">
        <w:rPr>
          <w:b/>
          <w:strike/>
        </w:rPr>
        <w:t>’</w:t>
      </w:r>
      <w:r w:rsidR="008244E8" w:rsidRPr="008C458A">
        <w:rPr>
          <w:b/>
          <w:strike/>
        </w:rPr>
        <w:t xml:space="preserve"> </w:t>
      </w:r>
      <w:r w:rsidR="008244E8" w:rsidRPr="008C458A">
        <w:rPr>
          <w:b/>
        </w:rPr>
        <w:t>deal with new priorities</w:t>
      </w:r>
      <w:r w:rsidR="00EE4EB8" w:rsidRPr="008C458A">
        <w:rPr>
          <w:b/>
        </w:rPr>
        <w:t xml:space="preserve"> and operational challenges</w:t>
      </w:r>
      <w:r w:rsidR="008244E8" w:rsidRPr="008C458A">
        <w:rPr>
          <w:b/>
        </w:rPr>
        <w:t xml:space="preserve"> (AM 67 Ferber, Martusciello)</w:t>
      </w:r>
      <w:r w:rsidR="0038285F" w:rsidRPr="008C458A">
        <w:rPr>
          <w:b/>
        </w:rPr>
        <w:t xml:space="preserve">, </w:t>
      </w:r>
      <w:r w:rsidR="0038285F" w:rsidRPr="006F1546">
        <w:rPr>
          <w:b/>
        </w:rPr>
        <w:t>with a viewto help foster greener industry and European standards</w:t>
      </w:r>
      <w:r w:rsidR="0038285F" w:rsidRPr="008C458A">
        <w:rPr>
          <w:b/>
        </w:rPr>
        <w:t xml:space="preserve"> </w:t>
      </w:r>
      <w:r w:rsidRPr="008C458A">
        <w:t>;</w:t>
      </w:r>
      <w:r w:rsidR="000B1FDA" w:rsidRPr="006F1546">
        <w:rPr>
          <w:b/>
          <w:i/>
        </w:rPr>
        <w:t xml:space="preserve"> </w:t>
      </w:r>
    </w:p>
    <w:p w:rsidR="00095DF1" w:rsidRDefault="00F145ED" w:rsidP="00095DF1">
      <w:pPr>
        <w:pStyle w:val="NormalHanging12a"/>
        <w:rPr>
          <w:b/>
        </w:rPr>
      </w:pPr>
      <w:r>
        <w:rPr>
          <w:b/>
        </w:rPr>
        <w:t xml:space="preserve">7a. </w:t>
      </w:r>
      <w:r w:rsidR="00095DF1" w:rsidRPr="003E5B48">
        <w:rPr>
          <w:b/>
          <w:strike/>
        </w:rPr>
        <w:t>22a.</w:t>
      </w:r>
      <w:r w:rsidR="00095DF1" w:rsidRPr="00614159">
        <w:tab/>
      </w:r>
      <w:r w:rsidR="00095DF1" w:rsidRPr="00B90723">
        <w:rPr>
          <w:b/>
        </w:rPr>
        <w:t>Stresses that EU competition rules shall contribute to the Union’s objective as defined in Article 3 TEU; stresses that the ‘fair price’ of products is not the lowest price possible for the consumer, but a price that allows for the fair remuneration of all parties along the supply chain, while not resulting in negative externalities;</w:t>
      </w:r>
      <w:r w:rsidR="00095DF1">
        <w:rPr>
          <w:b/>
        </w:rPr>
        <w:t xml:space="preserve"> </w:t>
      </w:r>
      <w:r w:rsidR="00095DF1" w:rsidRPr="00471B98">
        <w:rPr>
          <w:b/>
        </w:rPr>
        <w:t>(AM 1</w:t>
      </w:r>
      <w:r w:rsidR="00095DF1">
        <w:rPr>
          <w:b/>
        </w:rPr>
        <w:t>75</w:t>
      </w:r>
      <w:r w:rsidR="00095DF1" w:rsidRPr="00471B98">
        <w:rPr>
          <w:b/>
        </w:rPr>
        <w:t xml:space="preserve"> </w:t>
      </w:r>
      <w:r w:rsidR="00095DF1">
        <w:rPr>
          <w:b/>
        </w:rPr>
        <w:t>Gruffat</w:t>
      </w:r>
      <w:r w:rsidR="00095DF1" w:rsidRPr="00471B98">
        <w:rPr>
          <w:b/>
        </w:rPr>
        <w:t>)</w:t>
      </w:r>
      <w:r w:rsidR="00095DF1">
        <w:rPr>
          <w:b/>
        </w:rPr>
        <w:t xml:space="preserve"> underlines that enforcing competition policy to the benefit of consumers should not only include </w:t>
      </w:r>
      <w:r w:rsidR="00095DF1" w:rsidRPr="00B90723">
        <w:rPr>
          <w:b/>
        </w:rPr>
        <w:t xml:space="preserve">considerations on price levels, but also </w:t>
      </w:r>
      <w:r w:rsidR="00095DF1" w:rsidRPr="003E5B48">
        <w:rPr>
          <w:b/>
        </w:rPr>
        <w:t>sustainability considerations</w:t>
      </w:r>
      <w:r w:rsidR="00F071FC">
        <w:rPr>
          <w:b/>
        </w:rPr>
        <w:t xml:space="preserve"> and impact on citizens’ privacy</w:t>
      </w:r>
      <w:r w:rsidR="00095DF1" w:rsidRPr="00614159">
        <w:t>;</w:t>
      </w:r>
      <w:r w:rsidR="00095DF1" w:rsidRPr="000B1FDA">
        <w:rPr>
          <w:b/>
        </w:rPr>
        <w:t xml:space="preserve"> </w:t>
      </w:r>
      <w:r w:rsidR="00095DF1" w:rsidRPr="002D3953">
        <w:rPr>
          <w:b/>
        </w:rPr>
        <w:t>(AM 6</w:t>
      </w:r>
      <w:r w:rsidR="00095DF1">
        <w:rPr>
          <w:b/>
        </w:rPr>
        <w:t>9</w:t>
      </w:r>
      <w:r w:rsidR="00095DF1" w:rsidRPr="002D3953">
        <w:rPr>
          <w:b/>
        </w:rPr>
        <w:t xml:space="preserve"> Tang, Fernández, Lalucq, Repasi, Sant</w:t>
      </w:r>
      <w:r w:rsidR="00F071FC">
        <w:rPr>
          <w:b/>
        </w:rPr>
        <w:t>; AM 132 Gruffat</w:t>
      </w:r>
      <w:r w:rsidR="00095DF1" w:rsidRPr="002D3953">
        <w:rPr>
          <w:b/>
        </w:rPr>
        <w:t>)</w:t>
      </w:r>
      <w:r w:rsidR="00095DF1">
        <w:rPr>
          <w:b/>
        </w:rPr>
        <w:t xml:space="preserve">; </w:t>
      </w:r>
    </w:p>
    <w:p w:rsidR="00F145ED" w:rsidRPr="00F145ED" w:rsidRDefault="00F145ED" w:rsidP="000B1FDA">
      <w:pPr>
        <w:pStyle w:val="NormalHanging12a"/>
        <w:rPr>
          <w:b/>
        </w:rPr>
      </w:pPr>
    </w:p>
    <w:p w:rsidR="0081016C" w:rsidRDefault="001011B8" w:rsidP="0081016C">
      <w:pPr>
        <w:pStyle w:val="NormalHanging12a"/>
        <w:rPr>
          <w:b/>
        </w:rPr>
      </w:pPr>
      <w:r w:rsidRPr="00946BF8">
        <w:t>8.</w:t>
      </w:r>
      <w:r w:rsidR="0081016C" w:rsidRPr="00946BF8">
        <w:tab/>
      </w:r>
      <w:r w:rsidRPr="00946BF8">
        <w:t>Underlines the key role of the European Competition Network (ECN)</w:t>
      </w:r>
      <w:r w:rsidR="00EE6229">
        <w:t xml:space="preserve"> </w:t>
      </w:r>
      <w:r w:rsidR="00EE6229" w:rsidRPr="00B90723">
        <w:rPr>
          <w:b/>
        </w:rPr>
        <w:t>as a forum to foster collaboration and cooperation among European competition authorities</w:t>
      </w:r>
      <w:r w:rsidR="00EE6229">
        <w:rPr>
          <w:b/>
        </w:rPr>
        <w:t xml:space="preserve"> </w:t>
      </w:r>
      <w:r w:rsidR="00EE6229" w:rsidRPr="00D718C6">
        <w:rPr>
          <w:b/>
        </w:rPr>
        <w:t xml:space="preserve">(AM </w:t>
      </w:r>
      <w:r w:rsidR="00EE6229">
        <w:rPr>
          <w:b/>
        </w:rPr>
        <w:t>75</w:t>
      </w:r>
      <w:r w:rsidR="00EE6229" w:rsidRPr="00D718C6">
        <w:rPr>
          <w:b/>
        </w:rPr>
        <w:t xml:space="preserve"> Ferber, Martusciello)</w:t>
      </w:r>
      <w:r w:rsidRPr="00946BF8">
        <w:t>; calls on the Commission to strive for continued constructive dialogue and cooperation</w:t>
      </w:r>
      <w:r w:rsidR="00C909F6" w:rsidRPr="00946BF8">
        <w:t xml:space="preserve"> at international level</w:t>
      </w:r>
      <w:r w:rsidRPr="00946BF8">
        <w:t>; underlines the need to increase collaboration between antitrust and other sectoral regulators</w:t>
      </w:r>
      <w:r w:rsidR="00C909F6" w:rsidRPr="00946BF8">
        <w:t>,</w:t>
      </w:r>
      <w:r w:rsidRPr="00946BF8">
        <w:t xml:space="preserve"> such as </w:t>
      </w:r>
      <w:r w:rsidR="00C909F6" w:rsidRPr="00946BF8">
        <w:t xml:space="preserve">those dealing with </w:t>
      </w:r>
      <w:r w:rsidRPr="00946BF8">
        <w:t>data privacy</w:t>
      </w:r>
      <w:r w:rsidR="00C909F6" w:rsidRPr="00946BF8">
        <w:t>,</w:t>
      </w:r>
      <w:r w:rsidRPr="00946BF8">
        <w:t xml:space="preserve"> to both </w:t>
      </w:r>
      <w:r w:rsidR="00684B3F" w:rsidRPr="00946BF8">
        <w:t>supervise</w:t>
      </w:r>
      <w:r w:rsidRPr="00946BF8">
        <w:t xml:space="preserve"> corporate data misuse and prevent companies from using consumer data to gain an unfair competitive advantage;</w:t>
      </w:r>
      <w:r w:rsidR="00EE6229" w:rsidRPr="00EE6229">
        <w:rPr>
          <w:b/>
          <w:i/>
        </w:rPr>
        <w:t xml:space="preserve"> </w:t>
      </w:r>
      <w:r w:rsidR="00EE6229" w:rsidRPr="00B90723">
        <w:rPr>
          <w:b/>
        </w:rPr>
        <w:t>welcomes the relevant role of NCAs in enforcing the DMA rules and the national legislative initiatives that are being put in place to tackle anti-competitive behaviour of large online platforms in digital sectors; in this regard, stresses the importance of coordinated and homogeneous action that does not undermine the application of the DMA on the one hand and national competition rules in the digital sectors on the other hand, as foreseen in Article 1(6) of the DMA;</w:t>
      </w:r>
      <w:r w:rsidR="00EE6229">
        <w:rPr>
          <w:b/>
        </w:rPr>
        <w:t xml:space="preserve"> (AM 74 Schwab)</w:t>
      </w:r>
    </w:p>
    <w:p w:rsidR="003E2689" w:rsidRDefault="003E2689" w:rsidP="0081016C">
      <w:pPr>
        <w:pStyle w:val="NormalHanging12a"/>
        <w:rPr>
          <w:b/>
        </w:rPr>
      </w:pPr>
      <w:r w:rsidRPr="00B90723">
        <w:rPr>
          <w:b/>
        </w:rPr>
        <w:t>8</w:t>
      </w:r>
      <w:r w:rsidR="00C14DC7">
        <w:rPr>
          <w:b/>
        </w:rPr>
        <w:t>a</w:t>
      </w:r>
      <w:r w:rsidRPr="00B90723">
        <w:rPr>
          <w:b/>
        </w:rPr>
        <w:t>.</w:t>
      </w:r>
      <w:r w:rsidRPr="00614159">
        <w:tab/>
      </w:r>
      <w:r w:rsidRPr="00B90723">
        <w:rPr>
          <w:b/>
        </w:rPr>
        <w:t xml:space="preserve">Points out that in a globalised world, international cooperation is crucial to ensure effective competition enforcement; stresses that dedicated cooperation agreements with third countries in the area of competition policy can meaningfully contribute to its effectiveness; calls on the Commission to develop the influence of competition policy in the world, in particular by stepping up cooperation with third countries via second generation cooperation agreements that allow for a more effective exchange of information between competition authorities; </w:t>
      </w:r>
      <w:r w:rsidRPr="00614159">
        <w:rPr>
          <w:b/>
        </w:rPr>
        <w:t>(AM 7</w:t>
      </w:r>
      <w:r w:rsidR="00001214">
        <w:rPr>
          <w:b/>
        </w:rPr>
        <w:t>7</w:t>
      </w:r>
      <w:r w:rsidRPr="00614159">
        <w:rPr>
          <w:b/>
        </w:rPr>
        <w:t xml:space="preserve"> Ferber, Martusciello)</w:t>
      </w:r>
    </w:p>
    <w:p w:rsidR="004D1285" w:rsidRDefault="004D1285" w:rsidP="0081016C">
      <w:pPr>
        <w:pStyle w:val="NormalHanging12a"/>
        <w:rPr>
          <w:b/>
        </w:rPr>
      </w:pPr>
      <w:r w:rsidRPr="00B90723">
        <w:rPr>
          <w:b/>
        </w:rPr>
        <w:t>8</w:t>
      </w:r>
      <w:r w:rsidR="00C14DC7">
        <w:rPr>
          <w:b/>
        </w:rPr>
        <w:t>b</w:t>
      </w:r>
      <w:r w:rsidRPr="00B90723">
        <w:rPr>
          <w:b/>
        </w:rPr>
        <w:t>.</w:t>
      </w:r>
      <w:r w:rsidRPr="00614159">
        <w:tab/>
      </w:r>
      <w:r w:rsidRPr="00B90723">
        <w:rPr>
          <w:b/>
        </w:rPr>
        <w:t>Calls on the Commission to make greater use of additional evidential tools such as behavioural insights and financial analytics, as well as greater use of data, computer, and AI scientists as well as behavioural economists in competition law enforcement; (AM 80 Yon-Courtin, Boyer, Chastel)</w:t>
      </w:r>
    </w:p>
    <w:p w:rsidR="004D1285" w:rsidRDefault="004D1285" w:rsidP="0081016C">
      <w:pPr>
        <w:pStyle w:val="NormalHanging12a"/>
        <w:rPr>
          <w:b/>
        </w:rPr>
      </w:pPr>
      <w:r w:rsidRPr="00B90723">
        <w:rPr>
          <w:b/>
        </w:rPr>
        <w:t>8</w:t>
      </w:r>
      <w:r w:rsidR="00C14DC7">
        <w:rPr>
          <w:b/>
        </w:rPr>
        <w:t>c</w:t>
      </w:r>
      <w:r w:rsidRPr="00B90723">
        <w:rPr>
          <w:b/>
        </w:rPr>
        <w:t>.</w:t>
      </w:r>
      <w:r w:rsidRPr="00614159">
        <w:tab/>
      </w:r>
      <w:r w:rsidRPr="00B90723">
        <w:rPr>
          <w:b/>
        </w:rPr>
        <w:t xml:space="preserve">Notes </w:t>
      </w:r>
      <w:r w:rsidR="000E4D7F" w:rsidRPr="00B90723">
        <w:rPr>
          <w:b/>
        </w:rPr>
        <w:t xml:space="preserve">the continued high degree of market concentration for credit rating agencies </w:t>
      </w:r>
      <w:r w:rsidR="000E4D7F">
        <w:rPr>
          <w:b/>
        </w:rPr>
        <w:t xml:space="preserve">given </w:t>
      </w:r>
      <w:r w:rsidRPr="00B90723">
        <w:rPr>
          <w:b/>
        </w:rPr>
        <w:t>that the three largest credit rating agencies hold a market share of over 90%</w:t>
      </w:r>
      <w:r w:rsidR="00E86B5A" w:rsidRPr="00E66362">
        <w:rPr>
          <w:rStyle w:val="FootnoteReference"/>
          <w:b/>
        </w:rPr>
        <w:footnoteReference w:id="21"/>
      </w:r>
      <w:r w:rsidRPr="00B90723">
        <w:rPr>
          <w:b/>
        </w:rPr>
        <w:t xml:space="preserve">; </w:t>
      </w:r>
      <w:r w:rsidR="000E4D7F">
        <w:rPr>
          <w:b/>
        </w:rPr>
        <w:t xml:space="preserve">reiterates the need </w:t>
      </w:r>
      <w:r w:rsidRPr="00B90723">
        <w:rPr>
          <w:b/>
        </w:rPr>
        <w:t xml:space="preserve">to enhance competition in this market </w:t>
      </w:r>
      <w:r w:rsidR="000E4D7F">
        <w:rPr>
          <w:b/>
        </w:rPr>
        <w:t xml:space="preserve"> to ensure impartial</w:t>
      </w:r>
      <w:r w:rsidR="001A0962">
        <w:rPr>
          <w:b/>
        </w:rPr>
        <w:t>ity</w:t>
      </w:r>
      <w:r w:rsidR="000E4D7F">
        <w:rPr>
          <w:b/>
        </w:rPr>
        <w:t xml:space="preserve"> and</w:t>
      </w:r>
      <w:r w:rsidR="001A0962">
        <w:rPr>
          <w:b/>
        </w:rPr>
        <w:t xml:space="preserve"> trust</w:t>
      </w:r>
      <w:r w:rsidRPr="00B90723">
        <w:rPr>
          <w:b/>
        </w:rPr>
        <w:t>;</w:t>
      </w:r>
      <w:r>
        <w:rPr>
          <w:b/>
        </w:rPr>
        <w:t xml:space="preserve"> (AM 81</w:t>
      </w:r>
      <w:r w:rsidRPr="003E2689">
        <w:rPr>
          <w:b/>
        </w:rPr>
        <w:t xml:space="preserve"> Tang, F</w:t>
      </w:r>
      <w:r>
        <w:rPr>
          <w:b/>
        </w:rPr>
        <w:t>ernández, Lalucq, Repasi)</w:t>
      </w:r>
      <w:r w:rsidRPr="00B90723">
        <w:rPr>
          <w:b/>
        </w:rPr>
        <w:t>8</w:t>
      </w:r>
      <w:r w:rsidR="00C14DC7">
        <w:rPr>
          <w:b/>
        </w:rPr>
        <w:t>d</w:t>
      </w:r>
      <w:r w:rsidRPr="00B90723">
        <w:rPr>
          <w:b/>
        </w:rPr>
        <w:t>.</w:t>
      </w:r>
      <w:r w:rsidRPr="00614159">
        <w:tab/>
      </w:r>
      <w:r w:rsidRPr="00E66362">
        <w:rPr>
          <w:b/>
        </w:rPr>
        <w:t>Regrets the decision by Ernst &amp; Young to stop its audit and advisory businesses separation process</w:t>
      </w:r>
      <w:r w:rsidRPr="00B90723">
        <w:rPr>
          <w:b/>
        </w:rPr>
        <w:t xml:space="preserve">; notes that the combination of audit and advisory business can lead to conflicts of interest and can enhance the market dominance of each of the Big Four firms; calls upon the Commission to investigate the audit and advisory business combination and possibly present measures to prevent conflicts of interest and market dominance; </w:t>
      </w:r>
      <w:r w:rsidRPr="00614159">
        <w:rPr>
          <w:b/>
        </w:rPr>
        <w:t>(AM 8</w:t>
      </w:r>
      <w:r>
        <w:rPr>
          <w:b/>
        </w:rPr>
        <w:t>5</w:t>
      </w:r>
      <w:r w:rsidRPr="00614159">
        <w:rPr>
          <w:b/>
        </w:rPr>
        <w:t xml:space="preserve"> Tang, Fernández, Lalucq, Repasi)</w:t>
      </w:r>
    </w:p>
    <w:p w:rsidR="009D12D3" w:rsidRPr="00614159" w:rsidRDefault="00353E5F" w:rsidP="006C2C7B">
      <w:pPr>
        <w:pStyle w:val="NormalHanging12a"/>
        <w:ind w:left="0" w:firstLine="0"/>
        <w:rPr>
          <w:b/>
        </w:rPr>
      </w:pPr>
      <w:r w:rsidRPr="0051365C">
        <w:rPr>
          <w:b/>
        </w:rPr>
        <w:t>COMPROMISE B</w:t>
      </w:r>
      <w:r w:rsidR="006C2C7B">
        <w:rPr>
          <w:b/>
        </w:rPr>
        <w:br/>
      </w:r>
      <w:r w:rsidR="009D12D3" w:rsidRPr="006F1546">
        <w:rPr>
          <w:b/>
          <w:highlight w:val="cyan"/>
        </w:rPr>
        <w:t>Covers AM 87-128 and IMCO 13-15</w:t>
      </w:r>
    </w:p>
    <w:p w:rsidR="0081016C" w:rsidRPr="00946BF8" w:rsidRDefault="001011B8" w:rsidP="0081016C">
      <w:pPr>
        <w:pStyle w:val="NormalHanging12a"/>
        <w:rPr>
          <w:b/>
          <w:i/>
        </w:rPr>
      </w:pPr>
      <w:r w:rsidRPr="00946BF8">
        <w:rPr>
          <w:b/>
          <w:i/>
        </w:rPr>
        <w:t>Merger control</w:t>
      </w:r>
    </w:p>
    <w:p w:rsidR="0081016C" w:rsidRDefault="001011B8">
      <w:pPr>
        <w:pStyle w:val="NormalHanging12a"/>
        <w:rPr>
          <w:b/>
        </w:rPr>
      </w:pPr>
      <w:r w:rsidRPr="00946BF8">
        <w:t>9.</w:t>
      </w:r>
      <w:r w:rsidR="0081016C" w:rsidRPr="00946BF8">
        <w:tab/>
      </w:r>
      <w:r w:rsidR="006734AD" w:rsidRPr="00B90723">
        <w:rPr>
          <w:b/>
        </w:rPr>
        <w:t>Notes that the buying-out of start-ups by dominant players might dry up innovation and eventually competition;</w:t>
      </w:r>
      <w:r w:rsidR="006734AD" w:rsidRPr="00614159">
        <w:t xml:space="preserve"> </w:t>
      </w:r>
      <w:r w:rsidR="006734AD" w:rsidRPr="00B90723">
        <w:rPr>
          <w:b/>
        </w:rPr>
        <w:t>u</w:t>
      </w:r>
      <w:r w:rsidRPr="00614159">
        <w:t xml:space="preserve">nderlines the importance </w:t>
      </w:r>
      <w:r w:rsidR="00C909F6" w:rsidRPr="00614159">
        <w:t>of</w:t>
      </w:r>
      <w:r w:rsidRPr="00614159">
        <w:t xml:space="preserve"> the Commission </w:t>
      </w:r>
      <w:r w:rsidRPr="00B90723">
        <w:rPr>
          <w:b/>
          <w:strike/>
        </w:rPr>
        <w:t>tak</w:t>
      </w:r>
      <w:r w:rsidR="00C909F6" w:rsidRPr="00B90723">
        <w:rPr>
          <w:b/>
          <w:strike/>
        </w:rPr>
        <w:t>ing</w:t>
      </w:r>
      <w:r w:rsidRPr="00B90723">
        <w:rPr>
          <w:b/>
          <w:strike/>
        </w:rPr>
        <w:t xml:space="preserve"> decisive action, under Article</w:t>
      </w:r>
      <w:r w:rsidR="0081016C" w:rsidRPr="00B90723">
        <w:rPr>
          <w:b/>
          <w:strike/>
        </w:rPr>
        <w:t> </w:t>
      </w:r>
      <w:r w:rsidRPr="00B90723">
        <w:rPr>
          <w:b/>
          <w:strike/>
        </w:rPr>
        <w:t>22 of the EC Merger Regulation, against</w:t>
      </w:r>
      <w:r w:rsidRPr="00614159">
        <w:t xml:space="preserve"> </w:t>
      </w:r>
      <w:r w:rsidR="006734AD" w:rsidRPr="00B90723">
        <w:rPr>
          <w:b/>
        </w:rPr>
        <w:t>paying close attention to the phenomenon of</w:t>
      </w:r>
      <w:r w:rsidR="006734AD">
        <w:t xml:space="preserve">  </w:t>
      </w:r>
      <w:r w:rsidR="006734AD" w:rsidRPr="00471B98">
        <w:rPr>
          <w:b/>
        </w:rPr>
        <w:t xml:space="preserve">(AM </w:t>
      </w:r>
      <w:r w:rsidR="006734AD">
        <w:rPr>
          <w:b/>
        </w:rPr>
        <w:t>87</w:t>
      </w:r>
      <w:r w:rsidR="006734AD" w:rsidRPr="00471B98">
        <w:rPr>
          <w:b/>
        </w:rPr>
        <w:t xml:space="preserve"> Ferber, Martusciello)</w:t>
      </w:r>
      <w:r w:rsidR="006734AD">
        <w:t xml:space="preserve"> </w:t>
      </w:r>
      <w:r w:rsidR="00946BF8">
        <w:t>‘</w:t>
      </w:r>
      <w:r w:rsidRPr="00946BF8">
        <w:t>killer acquisitions</w:t>
      </w:r>
      <w:r w:rsidR="00946BF8">
        <w:t>’</w:t>
      </w:r>
      <w:r w:rsidRPr="00946BF8">
        <w:t xml:space="preserve"> </w:t>
      </w:r>
      <w:r w:rsidR="006734AD" w:rsidRPr="00B90723">
        <w:rPr>
          <w:b/>
        </w:rPr>
        <w:t>in the digital sector</w:t>
      </w:r>
      <w:r w:rsidR="006734AD">
        <w:t xml:space="preserve"> </w:t>
      </w:r>
      <w:r w:rsidR="006734AD" w:rsidRPr="00471B98">
        <w:rPr>
          <w:b/>
        </w:rPr>
        <w:t xml:space="preserve">(AM </w:t>
      </w:r>
      <w:r w:rsidR="006734AD">
        <w:rPr>
          <w:b/>
        </w:rPr>
        <w:t>89</w:t>
      </w:r>
      <w:r w:rsidR="006734AD" w:rsidRPr="00471B98">
        <w:rPr>
          <w:b/>
        </w:rPr>
        <w:t xml:space="preserve"> </w:t>
      </w:r>
      <w:r w:rsidR="006734AD">
        <w:rPr>
          <w:b/>
        </w:rPr>
        <w:t>Schwab</w:t>
      </w:r>
      <w:r w:rsidR="006734AD" w:rsidRPr="00471B98">
        <w:rPr>
          <w:b/>
        </w:rPr>
        <w:t>)</w:t>
      </w:r>
      <w:r w:rsidR="006734AD">
        <w:t xml:space="preserve">  </w:t>
      </w:r>
      <w:r w:rsidRPr="00946BF8">
        <w:t>that must be reported under the Digital Markets Act</w:t>
      </w:r>
      <w:r w:rsidR="006734AD">
        <w:t xml:space="preserve"> </w:t>
      </w:r>
      <w:r w:rsidR="006734AD" w:rsidRPr="00B90723">
        <w:rPr>
          <w:b/>
        </w:rPr>
        <w:t>and taking decisive action under Article 22 of the EC Merger Regulation where appropriate;</w:t>
      </w:r>
      <w:r w:rsidR="006734AD">
        <w:rPr>
          <w:b/>
        </w:rPr>
        <w:t xml:space="preserve"> </w:t>
      </w:r>
      <w:r w:rsidR="006734AD" w:rsidRPr="00471B98">
        <w:rPr>
          <w:b/>
        </w:rPr>
        <w:t xml:space="preserve">(AM </w:t>
      </w:r>
      <w:r w:rsidR="006734AD">
        <w:rPr>
          <w:b/>
        </w:rPr>
        <w:t>87</w:t>
      </w:r>
      <w:r w:rsidR="006734AD" w:rsidRPr="00471B98">
        <w:rPr>
          <w:b/>
        </w:rPr>
        <w:t xml:space="preserve"> Ferber, Martusciello)</w:t>
      </w:r>
    </w:p>
    <w:p w:rsidR="006734AD" w:rsidRDefault="006734AD">
      <w:pPr>
        <w:pStyle w:val="NormalHanging12a"/>
        <w:rPr>
          <w:b/>
        </w:rPr>
      </w:pPr>
      <w:r w:rsidRPr="008C458A">
        <w:rPr>
          <w:b/>
        </w:rPr>
        <w:t>9a.</w:t>
      </w:r>
      <w:r w:rsidRPr="008C458A">
        <w:tab/>
      </w:r>
      <w:r w:rsidRPr="006F1546">
        <w:rPr>
          <w:b/>
        </w:rPr>
        <w:t xml:space="preserve">Welcomes </w:t>
      </w:r>
      <w:r w:rsidR="00260D01" w:rsidRPr="006F1546">
        <w:rPr>
          <w:b/>
        </w:rPr>
        <w:t>recent decisions from the Commission on merger cases</w:t>
      </w:r>
      <w:r w:rsidR="00260D01" w:rsidRPr="006F1546">
        <w:rPr>
          <w:rStyle w:val="FootnoteReference"/>
          <w:b/>
        </w:rPr>
        <w:footnoteReference w:id="22"/>
      </w:r>
      <w:r w:rsidRPr="006F1546">
        <w:rPr>
          <w:b/>
        </w:rPr>
        <w:t xml:space="preserve">; underlines the importance of structural remedies in merger decisions; </w:t>
      </w:r>
      <w:r w:rsidR="00FE081C" w:rsidRPr="006F1546">
        <w:rPr>
          <w:b/>
        </w:rPr>
        <w:t>(AM 90 Repasi)</w:t>
      </w:r>
      <w:r w:rsidRPr="006F1546">
        <w:rPr>
          <w:b/>
        </w:rPr>
        <w:t xml:space="preserve"> </w:t>
      </w:r>
      <w:r w:rsidR="00FE081C" w:rsidRPr="006F1546">
        <w:rPr>
          <w:b/>
        </w:rPr>
        <w:t xml:space="preserve">notes that the largest and most influential online platforms, affect the daily operations of tens of thousands of Small and Medium-Sized Enterprises (SMEs); </w:t>
      </w:r>
      <w:r w:rsidR="00260D01" w:rsidRPr="006F1546">
        <w:rPr>
          <w:b/>
        </w:rPr>
        <w:t xml:space="preserve">stresses that </w:t>
      </w:r>
      <w:r w:rsidR="0020062F" w:rsidRPr="006F1546">
        <w:rPr>
          <w:b/>
        </w:rPr>
        <w:t xml:space="preserve">an acquisition </w:t>
      </w:r>
      <w:r w:rsidR="00260D01" w:rsidRPr="006F1546">
        <w:rPr>
          <w:b/>
        </w:rPr>
        <w:t>cannot lead to</w:t>
      </w:r>
      <w:r w:rsidR="0020062F" w:rsidRPr="006F1546">
        <w:rPr>
          <w:b/>
        </w:rPr>
        <w:t xml:space="preserve"> strengthen</w:t>
      </w:r>
      <w:r w:rsidR="00260D01" w:rsidRPr="006F1546">
        <w:rPr>
          <w:b/>
        </w:rPr>
        <w:t>ing</w:t>
      </w:r>
      <w:r w:rsidR="0020062F" w:rsidRPr="006F1546">
        <w:rPr>
          <w:b/>
        </w:rPr>
        <w:t xml:space="preserve"> the dominant position of </w:t>
      </w:r>
      <w:r w:rsidR="00260D01" w:rsidRPr="006F1546">
        <w:rPr>
          <w:b/>
        </w:rPr>
        <w:t>a</w:t>
      </w:r>
      <w:r w:rsidR="007E351F" w:rsidRPr="006F1546">
        <w:rPr>
          <w:b/>
        </w:rPr>
        <w:t xml:space="preserve"> </w:t>
      </w:r>
      <w:r w:rsidR="0020062F" w:rsidRPr="006F1546">
        <w:rPr>
          <w:b/>
        </w:rPr>
        <w:t>company in the hotel market by allowing it to cross-sell its various services (AM 122 Schwab)</w:t>
      </w:r>
      <w:r w:rsidR="00FE081C" w:rsidRPr="006F1546">
        <w:rPr>
          <w:b/>
        </w:rPr>
        <w:t>; (AM 97 Yon-Courtin, Boyer, Chastel)</w:t>
      </w:r>
      <w:r w:rsidR="00FE081C" w:rsidRPr="00471B98" w:rsidDel="00FE081C">
        <w:rPr>
          <w:b/>
        </w:rPr>
        <w:t xml:space="preserve"> </w:t>
      </w:r>
    </w:p>
    <w:p w:rsidR="0081016C" w:rsidRDefault="001011B8" w:rsidP="0081016C">
      <w:pPr>
        <w:pStyle w:val="NormalHanging12a"/>
        <w:rPr>
          <w:b/>
        </w:rPr>
      </w:pPr>
      <w:r w:rsidRPr="00946BF8">
        <w:t>10.</w:t>
      </w:r>
      <w:r w:rsidR="0081016C" w:rsidRPr="00946BF8">
        <w:tab/>
      </w:r>
      <w:r w:rsidRPr="00946BF8">
        <w:t>Welcomes the Commission</w:t>
      </w:r>
      <w:r w:rsidR="00946BF8">
        <w:t>’</w:t>
      </w:r>
      <w:r w:rsidR="00C909F6" w:rsidRPr="00946BF8">
        <w:t>s</w:t>
      </w:r>
      <w:r w:rsidRPr="00946BF8">
        <w:t xml:space="preserve"> initiative to review its notice on the definition of </w:t>
      </w:r>
      <w:r w:rsidR="00946BF8">
        <w:t>‘</w:t>
      </w:r>
      <w:r w:rsidRPr="00946BF8">
        <w:t>relevant market</w:t>
      </w:r>
      <w:r w:rsidR="00946BF8">
        <w:t>’</w:t>
      </w:r>
      <w:r w:rsidRPr="00946BF8">
        <w:t xml:space="preserve"> and looks forward to the outcomes of the public consultation; underlines the need to adopt a more dynamic approach </w:t>
      </w:r>
      <w:r w:rsidR="006734AD" w:rsidRPr="00B90723">
        <w:rPr>
          <w:b/>
        </w:rPr>
        <w:t>that goes beyond the traditional approach, especially for new emerging markets such as in the digital sector,</w:t>
      </w:r>
      <w:r w:rsidR="006734AD" w:rsidRPr="00B90723">
        <w:t xml:space="preserve"> </w:t>
      </w:r>
      <w:r w:rsidR="006734AD" w:rsidRPr="00471B98">
        <w:rPr>
          <w:b/>
        </w:rPr>
        <w:t xml:space="preserve">(AM </w:t>
      </w:r>
      <w:r w:rsidR="006734AD">
        <w:rPr>
          <w:b/>
        </w:rPr>
        <w:t>95</w:t>
      </w:r>
      <w:r w:rsidR="006734AD" w:rsidRPr="00471B98">
        <w:rPr>
          <w:b/>
        </w:rPr>
        <w:t xml:space="preserve"> </w:t>
      </w:r>
      <w:r w:rsidR="006734AD">
        <w:rPr>
          <w:b/>
        </w:rPr>
        <w:t>Schwab</w:t>
      </w:r>
      <w:r w:rsidR="006734AD" w:rsidRPr="00471B98">
        <w:rPr>
          <w:b/>
        </w:rPr>
        <w:t>)</w:t>
      </w:r>
      <w:r w:rsidR="006734AD">
        <w:rPr>
          <w:b/>
        </w:rPr>
        <w:t xml:space="preserve"> </w:t>
      </w:r>
      <w:r w:rsidRPr="00946BF8">
        <w:t>and take</w:t>
      </w:r>
      <w:r w:rsidR="00722325">
        <w:t>s</w:t>
      </w:r>
      <w:r w:rsidRPr="00946BF8">
        <w:t xml:space="preserve"> into account a longer-term vision encompassing the global dimension and potential future competition;</w:t>
      </w:r>
      <w:r w:rsidR="006734AD" w:rsidRPr="006734AD">
        <w:rPr>
          <w:b/>
          <w:i/>
        </w:rPr>
        <w:t xml:space="preserve"> </w:t>
      </w:r>
      <w:r w:rsidR="006734AD" w:rsidRPr="00B90723">
        <w:rPr>
          <w:b/>
        </w:rPr>
        <w:t>deplores that, in the past, the Commission has sometimes taken a too narrow perspective of the relevant market thus depriving European companies of the opportunity to effectively compete in a globalised arena;</w:t>
      </w:r>
      <w:r w:rsidR="006734AD">
        <w:rPr>
          <w:b/>
        </w:rPr>
        <w:t xml:space="preserve"> </w:t>
      </w:r>
      <w:r w:rsidR="006734AD" w:rsidRPr="00471B98">
        <w:rPr>
          <w:b/>
        </w:rPr>
        <w:t xml:space="preserve">(AM </w:t>
      </w:r>
      <w:r w:rsidR="006734AD">
        <w:rPr>
          <w:b/>
        </w:rPr>
        <w:t>93</w:t>
      </w:r>
      <w:r w:rsidR="006734AD" w:rsidRPr="00471B98">
        <w:rPr>
          <w:b/>
        </w:rPr>
        <w:t xml:space="preserve"> Ferber, Martusciello)</w:t>
      </w:r>
      <w:r w:rsidR="006734AD">
        <w:rPr>
          <w:b/>
        </w:rPr>
        <w:t xml:space="preserve">; </w:t>
      </w:r>
      <w:r w:rsidR="006734AD" w:rsidRPr="00B90723">
        <w:rPr>
          <w:b/>
        </w:rPr>
        <w:t>supports the Commission in taking more account of the potential harm to competition when assessing mergers where expansion into adjacent markets would have the effect of further strengthening market dominance in the acquiring company’s core market;</w:t>
      </w:r>
      <w:r w:rsidR="006734AD" w:rsidRPr="006734AD">
        <w:rPr>
          <w:b/>
        </w:rPr>
        <w:t xml:space="preserve"> </w:t>
      </w:r>
      <w:r w:rsidR="006734AD" w:rsidRPr="00471B98">
        <w:rPr>
          <w:b/>
        </w:rPr>
        <w:t xml:space="preserve">(AM </w:t>
      </w:r>
      <w:r w:rsidR="006734AD">
        <w:rPr>
          <w:b/>
        </w:rPr>
        <w:t>94</w:t>
      </w:r>
      <w:r w:rsidR="006734AD" w:rsidRPr="00471B98">
        <w:rPr>
          <w:b/>
        </w:rPr>
        <w:t xml:space="preserve"> </w:t>
      </w:r>
      <w:r w:rsidR="006734AD" w:rsidRPr="006734AD">
        <w:rPr>
          <w:b/>
        </w:rPr>
        <w:t>Yon-Courtin, Boyer, Chastel</w:t>
      </w:r>
      <w:r w:rsidR="006734AD" w:rsidRPr="00471B98">
        <w:rPr>
          <w:b/>
        </w:rPr>
        <w:t>)</w:t>
      </w:r>
    </w:p>
    <w:p w:rsidR="006734AD" w:rsidRDefault="006734AD" w:rsidP="0081016C">
      <w:pPr>
        <w:pStyle w:val="NormalHanging12a"/>
        <w:rPr>
          <w:b/>
        </w:rPr>
      </w:pPr>
      <w:r w:rsidRPr="00B90723">
        <w:rPr>
          <w:b/>
        </w:rPr>
        <w:t>10a.</w:t>
      </w:r>
      <w:r w:rsidRPr="00614159">
        <w:tab/>
      </w:r>
      <w:r w:rsidRPr="00B90723">
        <w:rPr>
          <w:b/>
        </w:rPr>
        <w:t xml:space="preserve">Is </w:t>
      </w:r>
      <w:r w:rsidR="00A8671C">
        <w:rPr>
          <w:b/>
        </w:rPr>
        <w:t xml:space="preserve">concerned </w:t>
      </w:r>
      <w:r w:rsidRPr="00B90723">
        <w:rPr>
          <w:b/>
        </w:rPr>
        <w:t xml:space="preserve">by the far reaching concentration </w:t>
      </w:r>
      <w:r w:rsidR="00F145ED">
        <w:rPr>
          <w:b/>
        </w:rPr>
        <w:t xml:space="preserve">in certain parts </w:t>
      </w:r>
      <w:r w:rsidRPr="00B90723">
        <w:rPr>
          <w:b/>
        </w:rPr>
        <w:t>of the food supply chain, , to the detriment of consumers, farmers, the environment and biodiversity alike;;</w:t>
      </w:r>
      <w:r>
        <w:rPr>
          <w:b/>
        </w:rPr>
        <w:t xml:space="preserve"> </w:t>
      </w:r>
      <w:r w:rsidRPr="00471B98">
        <w:rPr>
          <w:b/>
        </w:rPr>
        <w:t xml:space="preserve">(AM </w:t>
      </w:r>
      <w:r>
        <w:rPr>
          <w:b/>
        </w:rPr>
        <w:t>96</w:t>
      </w:r>
      <w:r w:rsidRPr="00471B98">
        <w:rPr>
          <w:b/>
        </w:rPr>
        <w:t xml:space="preserve"> </w:t>
      </w:r>
      <w:r>
        <w:rPr>
          <w:b/>
        </w:rPr>
        <w:t>Gruffat</w:t>
      </w:r>
      <w:r w:rsidRPr="00471B98">
        <w:rPr>
          <w:b/>
        </w:rPr>
        <w:t>)</w:t>
      </w:r>
    </w:p>
    <w:p w:rsidR="006734AD" w:rsidRDefault="006734AD" w:rsidP="0081016C">
      <w:pPr>
        <w:pStyle w:val="NormalHanging12a"/>
        <w:rPr>
          <w:b/>
        </w:rPr>
      </w:pPr>
      <w:r w:rsidRPr="008C458A">
        <w:rPr>
          <w:b/>
        </w:rPr>
        <w:t>10</w:t>
      </w:r>
      <w:r w:rsidR="00FE081C" w:rsidRPr="008C458A">
        <w:rPr>
          <w:b/>
        </w:rPr>
        <w:t>b</w:t>
      </w:r>
      <w:r w:rsidRPr="008C458A">
        <w:rPr>
          <w:b/>
        </w:rPr>
        <w:t>.</w:t>
      </w:r>
      <w:r w:rsidRPr="008C458A">
        <w:tab/>
      </w:r>
      <w:r w:rsidR="00F145ED" w:rsidRPr="008C458A">
        <w:rPr>
          <w:b/>
        </w:rPr>
        <w:t>Re</w:t>
      </w:r>
      <w:r w:rsidR="001A0962" w:rsidRPr="008C458A">
        <w:rPr>
          <w:b/>
        </w:rPr>
        <w:t>mind</w:t>
      </w:r>
      <w:r w:rsidR="00F145ED" w:rsidRPr="008C458A">
        <w:rPr>
          <w:b/>
        </w:rPr>
        <w:t>s that under</w:t>
      </w:r>
      <w:r w:rsidR="001D3B93" w:rsidRPr="008C458A">
        <w:rPr>
          <w:b/>
        </w:rPr>
        <w:t xml:space="preserve"> EU Merger Regulation</w:t>
      </w:r>
      <w:r w:rsidR="00F145ED" w:rsidRPr="008C458A">
        <w:rPr>
          <w:b/>
        </w:rPr>
        <w:t xml:space="preserve">, </w:t>
      </w:r>
      <w:r w:rsidR="00143897" w:rsidRPr="0051365C">
        <w:rPr>
          <w:b/>
        </w:rPr>
        <w:t>Member States can take appropriate measures to protect</w:t>
      </w:r>
      <w:r w:rsidR="00143897" w:rsidRPr="008C458A">
        <w:rPr>
          <w:b/>
        </w:rPr>
        <w:t xml:space="preserve"> </w:t>
      </w:r>
      <w:r w:rsidRPr="008C458A">
        <w:rPr>
          <w:b/>
        </w:rPr>
        <w:t>matters of public interest, such as climate protection, sustainability and the rule of law</w:t>
      </w:r>
      <w:r w:rsidR="008C458A">
        <w:rPr>
          <w:b/>
        </w:rPr>
        <w:t xml:space="preserve"> </w:t>
      </w:r>
      <w:r w:rsidR="008C458A" w:rsidRPr="0051365C">
        <w:rPr>
          <w:b/>
          <w:bCs/>
          <w:highlight w:val="yellow"/>
          <w:lang w:eastAsia="en-US"/>
        </w:rPr>
        <w:t>and asks for the Commission to be given the same possibility when examining the impact of concentration on the internal market</w:t>
      </w:r>
      <w:r w:rsidRPr="008C458A">
        <w:rPr>
          <w:b/>
        </w:rPr>
        <w:t>; (AM 98 Tang, Fernández, Lalucq, Repasi)</w:t>
      </w:r>
    </w:p>
    <w:p w:rsidR="0081016C" w:rsidRPr="00946BF8" w:rsidRDefault="001011B8" w:rsidP="0081016C">
      <w:pPr>
        <w:pStyle w:val="NormalHanging12a"/>
        <w:rPr>
          <w:b/>
          <w:i/>
        </w:rPr>
      </w:pPr>
      <w:r w:rsidRPr="00946BF8">
        <w:rPr>
          <w:b/>
          <w:i/>
        </w:rPr>
        <w:t>Antitrust and cartels</w:t>
      </w:r>
    </w:p>
    <w:p w:rsidR="0081016C" w:rsidRDefault="00833603" w:rsidP="0081016C">
      <w:pPr>
        <w:pStyle w:val="NormalHanging12a"/>
      </w:pPr>
      <w:r w:rsidRPr="00946BF8">
        <w:t>11</w:t>
      </w:r>
      <w:r w:rsidR="001011B8" w:rsidRPr="00946BF8">
        <w:t>.</w:t>
      </w:r>
      <w:r w:rsidR="0081016C" w:rsidRPr="00946BF8">
        <w:tab/>
      </w:r>
      <w:r w:rsidR="001011B8" w:rsidRPr="00946BF8">
        <w:t>Calls on the Commission</w:t>
      </w:r>
      <w:r w:rsidR="007A23AD">
        <w:t xml:space="preserve"> to</w:t>
      </w:r>
      <w:r w:rsidR="001011B8" w:rsidRPr="00946BF8">
        <w:t xml:space="preserve"> </w:t>
      </w:r>
      <w:r w:rsidR="001011B8" w:rsidRPr="00B90723">
        <w:rPr>
          <w:b/>
          <w:strike/>
        </w:rPr>
        <w:t xml:space="preserve">to adopt </w:t>
      </w:r>
      <w:r w:rsidR="00C909F6" w:rsidRPr="00B90723">
        <w:rPr>
          <w:b/>
          <w:strike/>
        </w:rPr>
        <w:t>further</w:t>
      </w:r>
      <w:r w:rsidR="001011B8" w:rsidRPr="00946BF8">
        <w:t xml:space="preserve"> </w:t>
      </w:r>
      <w:r w:rsidR="006734AD" w:rsidRPr="00B90723">
        <w:rPr>
          <w:b/>
        </w:rPr>
        <w:t>make better use of the instrument of</w:t>
      </w:r>
      <w:r w:rsidR="006734AD">
        <w:t xml:space="preserve"> </w:t>
      </w:r>
      <w:r w:rsidR="006734AD" w:rsidRPr="00471B98">
        <w:rPr>
          <w:b/>
        </w:rPr>
        <w:t xml:space="preserve">(AM </w:t>
      </w:r>
      <w:r w:rsidR="006734AD">
        <w:rPr>
          <w:b/>
        </w:rPr>
        <w:t>106</w:t>
      </w:r>
      <w:r w:rsidR="006734AD" w:rsidRPr="00471B98">
        <w:rPr>
          <w:b/>
        </w:rPr>
        <w:t xml:space="preserve"> Ferber, Martusciello</w:t>
      </w:r>
      <w:r w:rsidR="008A3F61">
        <w:rPr>
          <w:b/>
        </w:rPr>
        <w:t>, AM 107 Schwab</w:t>
      </w:r>
      <w:r w:rsidR="006734AD" w:rsidRPr="00471B98">
        <w:rPr>
          <w:b/>
        </w:rPr>
        <w:t>)</w:t>
      </w:r>
      <w:r w:rsidR="006734AD">
        <w:rPr>
          <w:b/>
        </w:rPr>
        <w:t xml:space="preserve"> </w:t>
      </w:r>
      <w:r w:rsidR="001011B8" w:rsidRPr="00946BF8">
        <w:t xml:space="preserve">interim measures to stop any practice which would seriously harm competition, particularly </w:t>
      </w:r>
      <w:r w:rsidR="00C909F6" w:rsidRPr="00946BF8">
        <w:t xml:space="preserve">in relation </w:t>
      </w:r>
      <w:r w:rsidR="001011B8" w:rsidRPr="00946BF8">
        <w:t xml:space="preserve">to dynamic and </w:t>
      </w:r>
      <w:r w:rsidR="00C909F6" w:rsidRPr="00946BF8">
        <w:t xml:space="preserve">rapidly </w:t>
      </w:r>
      <w:r w:rsidR="001011B8" w:rsidRPr="00946BF8">
        <w:t>developing markets such as digital markets;</w:t>
      </w:r>
    </w:p>
    <w:p w:rsidR="00C73554" w:rsidRPr="00614159" w:rsidRDefault="00C73554" w:rsidP="0081016C">
      <w:pPr>
        <w:pStyle w:val="NormalHanging12a"/>
      </w:pPr>
      <w:r w:rsidRPr="00B90723">
        <w:rPr>
          <w:b/>
        </w:rPr>
        <w:t>11a.</w:t>
      </w:r>
      <w:r w:rsidRPr="00614159">
        <w:tab/>
      </w:r>
      <w:r w:rsidRPr="00B90723">
        <w:rPr>
          <w:b/>
        </w:rPr>
        <w:t>Welcomes the new approach in the latest antitrust cases, where the Commission for the first time and under certain conditions foresees the imposition of structural remedies to stop anti-competitive conducts, especially when the anti-competitive practice in question has been reiterated in other market segments by the same company over the years; in this regard encourages the Commission to continue on this direction for an effective ex-post antitrust enforcement;</w:t>
      </w:r>
      <w:r>
        <w:rPr>
          <w:b/>
        </w:rPr>
        <w:t xml:space="preserve"> </w:t>
      </w:r>
      <w:r w:rsidRPr="00471B98">
        <w:rPr>
          <w:b/>
        </w:rPr>
        <w:t xml:space="preserve">(AM </w:t>
      </w:r>
      <w:r>
        <w:rPr>
          <w:b/>
        </w:rPr>
        <w:t>108</w:t>
      </w:r>
      <w:r w:rsidRPr="00471B98">
        <w:rPr>
          <w:b/>
        </w:rPr>
        <w:t xml:space="preserve"> </w:t>
      </w:r>
      <w:r>
        <w:rPr>
          <w:b/>
        </w:rPr>
        <w:t>Schwab</w:t>
      </w:r>
      <w:r w:rsidR="00ED0C58">
        <w:rPr>
          <w:b/>
        </w:rPr>
        <w:t xml:space="preserve">, </w:t>
      </w:r>
      <w:r w:rsidR="00ED0C58" w:rsidRPr="00E66362">
        <w:rPr>
          <w:b/>
        </w:rPr>
        <w:t>IMCO 14</w:t>
      </w:r>
      <w:r w:rsidRPr="00471B98">
        <w:rPr>
          <w:b/>
        </w:rPr>
        <w:t>)</w:t>
      </w:r>
    </w:p>
    <w:p w:rsidR="007F3226" w:rsidRDefault="00833603" w:rsidP="006C2C7B">
      <w:pPr>
        <w:pStyle w:val="NormalHanging12a"/>
        <w:rPr>
          <w:b/>
        </w:rPr>
      </w:pPr>
      <w:r w:rsidRPr="008C458A">
        <w:t>12</w:t>
      </w:r>
      <w:r w:rsidR="001011B8" w:rsidRPr="008C458A">
        <w:t>.</w:t>
      </w:r>
      <w:r w:rsidR="0081016C" w:rsidRPr="008C458A">
        <w:tab/>
      </w:r>
      <w:r w:rsidR="001011B8" w:rsidRPr="008C458A">
        <w:t xml:space="preserve">Calls </w:t>
      </w:r>
      <w:r w:rsidR="00C909F6" w:rsidRPr="008C458A">
        <w:t xml:space="preserve">on </w:t>
      </w:r>
      <w:r w:rsidR="001011B8" w:rsidRPr="008C458A">
        <w:t xml:space="preserve">the Commission to speed up antitrust procedures </w:t>
      </w:r>
      <w:r w:rsidR="001011B8" w:rsidRPr="008C458A">
        <w:rPr>
          <w:b/>
          <w:strike/>
        </w:rPr>
        <w:t xml:space="preserve">and introduce </w:t>
      </w:r>
      <w:r w:rsidR="00C909F6" w:rsidRPr="008C458A">
        <w:rPr>
          <w:b/>
          <w:strike/>
        </w:rPr>
        <w:t xml:space="preserve">a </w:t>
      </w:r>
      <w:r w:rsidR="001011B8" w:rsidRPr="008C458A">
        <w:rPr>
          <w:b/>
          <w:strike/>
        </w:rPr>
        <w:t xml:space="preserve">time limit for antitrust cases </w:t>
      </w:r>
      <w:r w:rsidR="00C909F6" w:rsidRPr="008C458A">
        <w:rPr>
          <w:b/>
          <w:strike/>
        </w:rPr>
        <w:t xml:space="preserve">in order </w:t>
      </w:r>
      <w:r w:rsidR="001011B8" w:rsidRPr="008C458A">
        <w:rPr>
          <w:b/>
          <w:strike/>
        </w:rPr>
        <w:t xml:space="preserve">to </w:t>
      </w:r>
      <w:r w:rsidR="00C73554" w:rsidRPr="008C458A">
        <w:rPr>
          <w:b/>
        </w:rPr>
        <w:t>, set appropriate time limits for the procedures and</w:t>
      </w:r>
      <w:r w:rsidR="00C73554" w:rsidRPr="008C458A">
        <w:t xml:space="preserve"> </w:t>
      </w:r>
      <w:r w:rsidR="001011B8" w:rsidRPr="008C458A">
        <w:t xml:space="preserve">ensure </w:t>
      </w:r>
      <w:r w:rsidR="001011B8" w:rsidRPr="008C458A">
        <w:rPr>
          <w:b/>
          <w:strike/>
        </w:rPr>
        <w:t xml:space="preserve">the effectiveness of EU rules; underlines that Spotify filed a complaint against Apple </w:t>
      </w:r>
      <w:r w:rsidR="00C909F6" w:rsidRPr="008C458A">
        <w:rPr>
          <w:b/>
          <w:strike/>
        </w:rPr>
        <w:t xml:space="preserve">in 2019 </w:t>
      </w:r>
      <w:r w:rsidR="001011B8" w:rsidRPr="008C458A">
        <w:rPr>
          <w:b/>
          <w:strike/>
        </w:rPr>
        <w:t xml:space="preserve">and that, </w:t>
      </w:r>
      <w:r w:rsidR="00C909F6" w:rsidRPr="008C458A">
        <w:rPr>
          <w:b/>
          <w:strike/>
        </w:rPr>
        <w:t xml:space="preserve">in </w:t>
      </w:r>
      <w:r w:rsidR="001011B8" w:rsidRPr="008C458A">
        <w:rPr>
          <w:b/>
          <w:strike/>
        </w:rPr>
        <w:t xml:space="preserve">spite </w:t>
      </w:r>
      <w:r w:rsidR="00C909F6" w:rsidRPr="008C458A">
        <w:rPr>
          <w:b/>
          <w:strike/>
        </w:rPr>
        <w:t xml:space="preserve">of </w:t>
      </w:r>
      <w:r w:rsidR="001011B8" w:rsidRPr="008C458A">
        <w:rPr>
          <w:b/>
          <w:strike/>
        </w:rPr>
        <w:t>the Commission having issued a statement of objections, no concrete actions have been</w:t>
      </w:r>
      <w:r w:rsidR="001011B8" w:rsidRPr="008C458A">
        <w:t xml:space="preserve"> </w:t>
      </w:r>
      <w:r w:rsidR="00C73554" w:rsidRPr="008C458A">
        <w:rPr>
          <w:b/>
        </w:rPr>
        <w:t>an effective follow-through of decisions (AM 109 Ferber, Martusciello)</w:t>
      </w:r>
      <w:r w:rsidR="00C73554" w:rsidRPr="008C458A">
        <w:t xml:space="preserve"> </w:t>
      </w:r>
      <w:r w:rsidR="001011B8" w:rsidRPr="008C458A">
        <w:t xml:space="preserve">taken </w:t>
      </w:r>
      <w:r w:rsidR="00C909F6" w:rsidRPr="008C458A">
        <w:rPr>
          <w:b/>
          <w:strike/>
        </w:rPr>
        <w:t>thus far</w:t>
      </w:r>
      <w:r w:rsidR="001011B8" w:rsidRPr="008C458A">
        <w:rPr>
          <w:b/>
          <w:strike/>
        </w:rPr>
        <w:t xml:space="preserve"> to address Apple</w:t>
      </w:r>
      <w:r w:rsidR="00946BF8" w:rsidRPr="008C458A">
        <w:rPr>
          <w:b/>
          <w:strike/>
        </w:rPr>
        <w:t>’</w:t>
      </w:r>
      <w:r w:rsidR="001011B8" w:rsidRPr="008C458A">
        <w:rPr>
          <w:b/>
          <w:strike/>
        </w:rPr>
        <w:t>s restrictions</w:t>
      </w:r>
      <w:r w:rsidR="00C909F6" w:rsidRPr="008C458A">
        <w:rPr>
          <w:b/>
          <w:strike/>
        </w:rPr>
        <w:t>,</w:t>
      </w:r>
      <w:r w:rsidR="001011B8" w:rsidRPr="008C458A">
        <w:rPr>
          <w:b/>
          <w:strike/>
        </w:rPr>
        <w:t xml:space="preserve"> preventing app developers from freely communicating with their own users</w:t>
      </w:r>
      <w:r w:rsidR="00C73554" w:rsidRPr="008C458A">
        <w:rPr>
          <w:b/>
        </w:rPr>
        <w:t xml:space="preserve"> </w:t>
      </w:r>
      <w:r w:rsidR="007F3226" w:rsidRPr="0051365C">
        <w:rPr>
          <w:b/>
        </w:rPr>
        <w:t xml:space="preserve">in order to avoid lengthy procedures, such as in the case of Spotify </w:t>
      </w:r>
      <w:r w:rsidR="007F3226" w:rsidRPr="0051365C">
        <w:t xml:space="preserve"> which</w:t>
      </w:r>
      <w:r w:rsidR="00C73554" w:rsidRPr="008C458A">
        <w:t>filed a complaint against Apple in 2019 and, in spite of the Commission having issued a statement of objections, no concrete actions have been taken</w:t>
      </w:r>
      <w:r w:rsidR="00D70EE2" w:rsidRPr="008C458A">
        <w:t xml:space="preserve"> to address Apple’s restrictions, preventing app developers from freely communicating with their own users</w:t>
      </w:r>
      <w:r w:rsidR="00C73554" w:rsidRPr="008C458A">
        <w:rPr>
          <w:b/>
        </w:rPr>
        <w:t>;</w:t>
      </w:r>
    </w:p>
    <w:p w:rsidR="0081016C" w:rsidRPr="00614159" w:rsidRDefault="00C73554" w:rsidP="0081016C">
      <w:pPr>
        <w:pStyle w:val="NormalHanging12a"/>
      </w:pPr>
      <w:r w:rsidRPr="00B90723">
        <w:rPr>
          <w:b/>
        </w:rPr>
        <w:t>12a.</w:t>
      </w:r>
      <w:r w:rsidRPr="00614159">
        <w:tab/>
      </w:r>
      <w:r w:rsidR="00F071FC" w:rsidRPr="00CE0E37">
        <w:rPr>
          <w:b/>
          <w:bCs/>
        </w:rPr>
        <w:t xml:space="preserve">Welcomes the launch of the initiative leading to the adoption of the guidelines on exclusionary abuses in 2025 (draft in 2024) and the Commission’s commitment to a vigorous, effective and prompt application of Article 102 in the area of exclusionary abuses; </w:t>
      </w:r>
      <w:r w:rsidR="00F071FC">
        <w:rPr>
          <w:b/>
          <w:bCs/>
        </w:rPr>
        <w:t xml:space="preserve"> </w:t>
      </w:r>
      <w:r w:rsidRPr="00B90723">
        <w:rPr>
          <w:b/>
        </w:rPr>
        <w:t>Calls on the Commission to concretely confirm the effect-based enforcement of antitrust and, in particular, the relevance of the economic evidence in</w:t>
      </w:r>
      <w:r w:rsidR="00F071FC">
        <w:rPr>
          <w:b/>
        </w:rPr>
        <w:t xml:space="preserve">appropriate cases </w:t>
      </w:r>
      <w:r w:rsidRPr="00B90723">
        <w:rPr>
          <w:b/>
        </w:rPr>
        <w:t>;</w:t>
      </w:r>
      <w:r w:rsidRPr="00C73554">
        <w:rPr>
          <w:b/>
        </w:rPr>
        <w:t xml:space="preserve"> </w:t>
      </w:r>
      <w:r w:rsidRPr="00471B98">
        <w:rPr>
          <w:b/>
        </w:rPr>
        <w:t xml:space="preserve">(AM </w:t>
      </w:r>
      <w:r>
        <w:rPr>
          <w:b/>
        </w:rPr>
        <w:t>115</w:t>
      </w:r>
      <w:r w:rsidRPr="00471B98">
        <w:rPr>
          <w:b/>
        </w:rPr>
        <w:t xml:space="preserve"> Martusciello)</w:t>
      </w:r>
      <w:r w:rsidR="00BD1AFA">
        <w:rPr>
          <w:b/>
        </w:rPr>
        <w:t xml:space="preserve"> </w:t>
      </w:r>
      <w:r w:rsidR="00BD1AFA" w:rsidRPr="00E66362">
        <w:rPr>
          <w:b/>
        </w:rPr>
        <w:t>calls for consumer vulnerability to be taken into account when assessing exploitative abuses such as excessive prices and unfair terms;</w:t>
      </w:r>
      <w:r w:rsidR="00BD1AFA">
        <w:rPr>
          <w:b/>
        </w:rPr>
        <w:t xml:space="preserve"> </w:t>
      </w:r>
    </w:p>
    <w:p w:rsidR="002E5D22" w:rsidRPr="00614159" w:rsidRDefault="00833603" w:rsidP="00865663">
      <w:pPr>
        <w:pStyle w:val="NormalHanging12a"/>
      </w:pPr>
      <w:r w:rsidRPr="008C458A">
        <w:t>13</w:t>
      </w:r>
      <w:r w:rsidR="001011B8" w:rsidRPr="008C458A">
        <w:t>.</w:t>
      </w:r>
      <w:r w:rsidR="0081016C" w:rsidRPr="008C458A">
        <w:tab/>
      </w:r>
      <w:r w:rsidR="00C73554" w:rsidRPr="008C458A">
        <w:rPr>
          <w:b/>
        </w:rPr>
        <w:t>Notes</w:t>
      </w:r>
      <w:r w:rsidR="00C73554" w:rsidRPr="008C458A">
        <w:t xml:space="preserve"> </w:t>
      </w:r>
      <w:r w:rsidR="00C73554" w:rsidRPr="008C458A">
        <w:rPr>
          <w:b/>
        </w:rPr>
        <w:t xml:space="preserve">(AM 119 </w:t>
      </w:r>
      <w:r w:rsidR="00A25871" w:rsidRPr="008C458A">
        <w:rPr>
          <w:b/>
        </w:rPr>
        <w:t>Schwab</w:t>
      </w:r>
      <w:r w:rsidR="00C73554" w:rsidRPr="008C458A">
        <w:rPr>
          <w:b/>
        </w:rPr>
        <w:t xml:space="preserve">) </w:t>
      </w:r>
      <w:r w:rsidR="001011B8" w:rsidRPr="008C458A">
        <w:t>the opening of a formal investigation into possible anti</w:t>
      </w:r>
      <w:r w:rsidR="009C61DD" w:rsidRPr="008C458A">
        <w:t>-</w:t>
      </w:r>
      <w:r w:rsidR="001011B8" w:rsidRPr="008C458A">
        <w:t>competitive practices by</w:t>
      </w:r>
      <w:r w:rsidR="002E5D22" w:rsidRPr="008C458A">
        <w:t xml:space="preserve"> </w:t>
      </w:r>
      <w:r w:rsidR="002E5D22" w:rsidRPr="0051365C">
        <w:rPr>
          <w:b/>
        </w:rPr>
        <w:t>a gatekeeper’s behaviour of tying or bundling of a communication and collaboration platform to its own dominant and popular software</w:t>
      </w:r>
      <w:r w:rsidR="002E5D22" w:rsidRPr="0051365C">
        <w:rPr>
          <w:rStyle w:val="FootnoteReference"/>
          <w:b/>
        </w:rPr>
        <w:footnoteReference w:id="23"/>
      </w:r>
      <w:r w:rsidR="002E5D22" w:rsidRPr="0051365C" w:rsidDel="002E5D22">
        <w:rPr>
          <w:b/>
        </w:rPr>
        <w:t xml:space="preserve"> </w:t>
      </w:r>
      <w:r w:rsidR="001011B8" w:rsidRPr="008C458A">
        <w:t>;</w:t>
      </w:r>
      <w:r w:rsidR="0081016C" w:rsidRPr="008C458A">
        <w:t xml:space="preserve"> </w:t>
      </w:r>
      <w:r w:rsidR="001011B8" w:rsidRPr="008C458A">
        <w:t>calls on the Commission to carefully assess the concessions, unilaterally offered by</w:t>
      </w:r>
      <w:r w:rsidR="002E5D22" w:rsidRPr="006F1546">
        <w:t xml:space="preserve"> </w:t>
      </w:r>
      <w:r w:rsidR="002E5D22" w:rsidRPr="0051365C">
        <w:rPr>
          <w:b/>
        </w:rPr>
        <w:t>the gatekeeper</w:t>
      </w:r>
      <w:r w:rsidR="002E5D22" w:rsidRPr="0051365C">
        <w:t xml:space="preserve"> </w:t>
      </w:r>
      <w:r w:rsidR="001011B8" w:rsidRPr="008C458A">
        <w:t xml:space="preserve">, with </w:t>
      </w:r>
      <w:r w:rsidR="009C61DD" w:rsidRPr="008C458A">
        <w:t xml:space="preserve">the </w:t>
      </w:r>
      <w:r w:rsidR="001011B8" w:rsidRPr="008C458A">
        <w:t xml:space="preserve">undertakings involved, </w:t>
      </w:r>
      <w:r w:rsidR="009C61DD" w:rsidRPr="008C458A">
        <w:t xml:space="preserve">in order </w:t>
      </w:r>
      <w:r w:rsidR="001011B8" w:rsidRPr="006F1546">
        <w:t xml:space="preserve">to ensure </w:t>
      </w:r>
      <w:r w:rsidR="009C61DD" w:rsidRPr="006F1546">
        <w:t xml:space="preserve">that </w:t>
      </w:r>
      <w:r w:rsidR="001011B8" w:rsidRPr="006F1546">
        <w:t xml:space="preserve">they address </w:t>
      </w:r>
      <w:r w:rsidR="009C61DD" w:rsidRPr="006F1546">
        <w:t xml:space="preserve">the </w:t>
      </w:r>
      <w:r w:rsidR="001011B8" w:rsidRPr="006F1546">
        <w:t xml:space="preserve">concerns </w:t>
      </w:r>
      <w:r w:rsidR="009C61DD" w:rsidRPr="006F1546">
        <w:t>of</w:t>
      </w:r>
      <w:r w:rsidR="001011B8" w:rsidRPr="0051365C">
        <w:t xml:space="preserve"> </w:t>
      </w:r>
      <w:r w:rsidR="00C73554" w:rsidRPr="0051365C">
        <w:rPr>
          <w:b/>
        </w:rPr>
        <w:t>market players with regard to new and</w:t>
      </w:r>
      <w:r w:rsidR="00C73554" w:rsidRPr="008C458A">
        <w:t xml:space="preserve"> </w:t>
      </w:r>
      <w:r w:rsidR="001011B8" w:rsidRPr="008C458A">
        <w:t xml:space="preserve">existing </w:t>
      </w:r>
      <w:r w:rsidR="001011B8" w:rsidRPr="008C458A">
        <w:rPr>
          <w:b/>
          <w:strike/>
        </w:rPr>
        <w:t>consumers</w:t>
      </w:r>
      <w:r w:rsidR="009C61DD" w:rsidRPr="008C458A">
        <w:rPr>
          <w:strike/>
        </w:rPr>
        <w:t>,</w:t>
      </w:r>
      <w:r w:rsidR="00C73554" w:rsidRPr="008C458A">
        <w:rPr>
          <w:b/>
          <w:i/>
        </w:rPr>
        <w:t xml:space="preserve"> </w:t>
      </w:r>
      <w:r w:rsidR="00C73554" w:rsidRPr="008C458A">
        <w:rPr>
          <w:b/>
        </w:rPr>
        <w:t>users</w:t>
      </w:r>
      <w:r w:rsidR="00C73554" w:rsidRPr="008C458A">
        <w:rPr>
          <w:b/>
          <w:i/>
        </w:rPr>
        <w:t>,</w:t>
      </w:r>
      <w:r w:rsidR="001011B8" w:rsidRPr="008C458A">
        <w:t xml:space="preserve"> </w:t>
      </w:r>
      <w:r w:rsidR="00C73554" w:rsidRPr="008C458A">
        <w:rPr>
          <w:b/>
        </w:rPr>
        <w:t xml:space="preserve">(AM 120 Yon-Courtin, Boyer, Chastel) </w:t>
      </w:r>
      <w:r w:rsidR="001011B8" w:rsidRPr="008C458A">
        <w:t>as well as interoperability and pricing issues;</w:t>
      </w:r>
    </w:p>
    <w:p w:rsidR="0081016C" w:rsidRDefault="00833603" w:rsidP="0081016C">
      <w:pPr>
        <w:pStyle w:val="NormalHanging12a"/>
        <w:rPr>
          <w:b/>
        </w:rPr>
      </w:pPr>
      <w:r w:rsidRPr="00946BF8">
        <w:t>14</w:t>
      </w:r>
      <w:r w:rsidR="001011B8" w:rsidRPr="00946BF8">
        <w:t>.</w:t>
      </w:r>
      <w:r w:rsidR="0081016C" w:rsidRPr="00946BF8">
        <w:tab/>
      </w:r>
      <w:r w:rsidR="001011B8" w:rsidRPr="00614159">
        <w:t xml:space="preserve">Insists on effective remedies which </w:t>
      </w:r>
      <w:r w:rsidR="00C73554" w:rsidRPr="00B90723">
        <w:rPr>
          <w:b/>
        </w:rPr>
        <w:t>may</w:t>
      </w:r>
      <w:r w:rsidR="00C73554" w:rsidRPr="00614159">
        <w:t xml:space="preserve"> </w:t>
      </w:r>
      <w:r w:rsidR="001011B8" w:rsidRPr="00614159">
        <w:t xml:space="preserve">require </w:t>
      </w:r>
      <w:r w:rsidR="009C61DD" w:rsidRPr="00614159">
        <w:t>greater</w:t>
      </w:r>
      <w:r w:rsidR="001011B8" w:rsidRPr="00614159">
        <w:t xml:space="preserve"> coordination </w:t>
      </w:r>
      <w:r w:rsidR="009C61DD" w:rsidRPr="00614159">
        <w:t>between</w:t>
      </w:r>
      <w:r w:rsidR="001011B8" w:rsidRPr="00614159">
        <w:t xml:space="preserve"> enforcers and further dialogue with third parties</w:t>
      </w:r>
      <w:r w:rsidR="00C73554" w:rsidRPr="00B90723">
        <w:rPr>
          <w:b/>
        </w:rPr>
        <w:t>, as well as an appropriate enforcement</w:t>
      </w:r>
      <w:r w:rsidR="00C73554" w:rsidRPr="00614159">
        <w:t>;</w:t>
      </w:r>
      <w:r w:rsidR="00A25871" w:rsidRPr="00A25871">
        <w:rPr>
          <w:b/>
        </w:rPr>
        <w:t xml:space="preserve"> </w:t>
      </w:r>
      <w:r w:rsidR="00A25871" w:rsidRPr="00471B98">
        <w:rPr>
          <w:b/>
        </w:rPr>
        <w:t xml:space="preserve">(AM </w:t>
      </w:r>
      <w:r w:rsidR="00A25871">
        <w:rPr>
          <w:b/>
        </w:rPr>
        <w:t>124</w:t>
      </w:r>
      <w:r w:rsidR="00A25871" w:rsidRPr="00471B98">
        <w:rPr>
          <w:b/>
        </w:rPr>
        <w:t xml:space="preserve"> Ferber, Martusciello)</w:t>
      </w:r>
      <w:r w:rsidR="001011B8" w:rsidRPr="00614159">
        <w:t xml:space="preserve"> recalls that undertakings designated as gatekeepers have been subject to previous antitrust rulings, which have not led to effective behavioural changes</w:t>
      </w:r>
      <w:r w:rsidR="00A25871" w:rsidRPr="00B90723">
        <w:rPr>
          <w:b/>
        </w:rPr>
        <w:t>, especially regarding self-preferencing in digital markets</w:t>
      </w:r>
      <w:r w:rsidR="001011B8" w:rsidRPr="00614159">
        <w:t xml:space="preserve">; </w:t>
      </w:r>
      <w:r w:rsidR="00A25871" w:rsidRPr="00471B98">
        <w:rPr>
          <w:b/>
        </w:rPr>
        <w:t xml:space="preserve">(AM </w:t>
      </w:r>
      <w:r w:rsidR="00A25871">
        <w:rPr>
          <w:b/>
        </w:rPr>
        <w:t>126</w:t>
      </w:r>
      <w:r w:rsidR="00A25871" w:rsidRPr="00471B98">
        <w:rPr>
          <w:b/>
        </w:rPr>
        <w:t xml:space="preserve"> Yon-Courtin, Boyer, Chastel)</w:t>
      </w:r>
      <w:r w:rsidR="00A25871">
        <w:rPr>
          <w:b/>
        </w:rPr>
        <w:t xml:space="preserve"> </w:t>
      </w:r>
      <w:r w:rsidR="001011B8" w:rsidRPr="00B90723">
        <w:rPr>
          <w:b/>
          <w:strike/>
        </w:rPr>
        <w:t xml:space="preserve">regrets the reluctance of </w:t>
      </w:r>
      <w:r w:rsidR="00C73554" w:rsidRPr="00B90723">
        <w:rPr>
          <w:b/>
        </w:rPr>
        <w:t>invites</w:t>
      </w:r>
      <w:r w:rsidR="00C73554" w:rsidRPr="00614159">
        <w:t xml:space="preserve"> </w:t>
      </w:r>
      <w:r w:rsidR="001011B8" w:rsidRPr="00614159">
        <w:t xml:space="preserve">the Commission </w:t>
      </w:r>
      <w:r w:rsidR="001011B8" w:rsidRPr="00B90723">
        <w:rPr>
          <w:b/>
          <w:strike/>
        </w:rPr>
        <w:t>to address market dominance through</w:t>
      </w:r>
      <w:r w:rsidR="001011B8" w:rsidRPr="00614159">
        <w:t xml:space="preserve"> </w:t>
      </w:r>
      <w:r w:rsidR="00A25871" w:rsidRPr="00B90723">
        <w:rPr>
          <w:b/>
        </w:rPr>
        <w:t xml:space="preserve">make better use of </w:t>
      </w:r>
      <w:r w:rsidR="001011B8" w:rsidRPr="00614159">
        <w:t xml:space="preserve">structural </w:t>
      </w:r>
      <w:r w:rsidR="001011B8" w:rsidRPr="00B90723">
        <w:rPr>
          <w:b/>
          <w:strike/>
        </w:rPr>
        <w:t>separation</w:t>
      </w:r>
      <w:r w:rsidR="00A25871">
        <w:rPr>
          <w:b/>
          <w:strike/>
        </w:rPr>
        <w:t xml:space="preserve"> </w:t>
      </w:r>
      <w:r w:rsidR="00A25871" w:rsidRPr="00B90723">
        <w:rPr>
          <w:b/>
        </w:rPr>
        <w:t>remedies as a matter of last resort</w:t>
      </w:r>
      <w:r w:rsidR="001011B8" w:rsidRPr="00614159">
        <w:t>;</w:t>
      </w:r>
      <w:r w:rsidR="00A25871" w:rsidRPr="00A25871">
        <w:rPr>
          <w:b/>
        </w:rPr>
        <w:t xml:space="preserve"> </w:t>
      </w:r>
      <w:r w:rsidR="00A25871" w:rsidRPr="00471B98">
        <w:rPr>
          <w:b/>
        </w:rPr>
        <w:t xml:space="preserve">(AM </w:t>
      </w:r>
      <w:r w:rsidR="00A25871">
        <w:rPr>
          <w:b/>
        </w:rPr>
        <w:t>124</w:t>
      </w:r>
      <w:r w:rsidR="00A25871" w:rsidRPr="00471B98">
        <w:rPr>
          <w:b/>
        </w:rPr>
        <w:t xml:space="preserve"> Ferber, Martusciello)</w:t>
      </w:r>
      <w:r w:rsidR="004E04DA">
        <w:rPr>
          <w:b/>
        </w:rPr>
        <w:t xml:space="preserve"> </w:t>
      </w:r>
      <w:r w:rsidR="004E04DA" w:rsidRPr="007D1A63">
        <w:rPr>
          <w:b/>
          <w:i/>
        </w:rPr>
        <w:t xml:space="preserve">and reiterates its call on the Commission to end the primacy of behavioural remedies in EU law </w:t>
      </w:r>
      <w:r w:rsidR="004E04DA" w:rsidRPr="007D1A63">
        <w:rPr>
          <w:b/>
        </w:rPr>
        <w:t>(AM 125 Repasi)</w:t>
      </w:r>
    </w:p>
    <w:p w:rsidR="00ED0C58" w:rsidRPr="007F3226" w:rsidRDefault="00ED0C58" w:rsidP="0081016C">
      <w:pPr>
        <w:pStyle w:val="NormalHanging12a"/>
        <w:rPr>
          <w:b/>
        </w:rPr>
      </w:pPr>
      <w:r w:rsidRPr="007F3226">
        <w:rPr>
          <w:b/>
        </w:rPr>
        <w:t>14a (new) Reiterates its call on the Commission to address the anti-competitive effect of territorial supply constraints with a view to ensuring a fully functional single market and harnessing its potential benefit for consumers; (IMCO 15)</w:t>
      </w:r>
    </w:p>
    <w:p w:rsidR="00ED0C58" w:rsidRPr="00ED0C58" w:rsidRDefault="00ED0C58" w:rsidP="0081016C">
      <w:pPr>
        <w:pStyle w:val="NormalHanging12a"/>
        <w:rPr>
          <w:b/>
        </w:rPr>
      </w:pPr>
      <w:r w:rsidRPr="007F3226">
        <w:rPr>
          <w:b/>
        </w:rPr>
        <w:t>14b (new) Reiterates furthermore its call to the Commission to continue actively monitoring and removing unjustified geo-blocking and other restrictions on cross-border online sales, having at core a pro-consumer approach to allow consumers access to a greater choice of products and services across the EU; (IMCO 13)</w:t>
      </w:r>
    </w:p>
    <w:p w:rsidR="00D8039B" w:rsidRPr="00353E5F" w:rsidRDefault="00353E5F" w:rsidP="006C2C7B">
      <w:pPr>
        <w:pStyle w:val="NormalHanging12a"/>
        <w:ind w:left="0" w:firstLine="0"/>
        <w:rPr>
          <w:b/>
        </w:rPr>
      </w:pPr>
      <w:r w:rsidRPr="0051365C">
        <w:rPr>
          <w:b/>
        </w:rPr>
        <w:t>COMPROMISE C</w:t>
      </w:r>
      <w:r w:rsidR="006C2C7B">
        <w:rPr>
          <w:b/>
        </w:rPr>
        <w:br/>
      </w:r>
      <w:r w:rsidR="00D8039B" w:rsidRPr="0051365C">
        <w:rPr>
          <w:b/>
          <w:highlight w:val="cyan"/>
        </w:rPr>
        <w:t>Covers AM 129-185</w:t>
      </w:r>
    </w:p>
    <w:p w:rsidR="0081016C" w:rsidRPr="00946BF8" w:rsidRDefault="001011B8" w:rsidP="0081016C">
      <w:pPr>
        <w:pStyle w:val="NormalHanging12a"/>
        <w:rPr>
          <w:b/>
          <w:i/>
        </w:rPr>
      </w:pPr>
      <w:r w:rsidRPr="00946BF8">
        <w:rPr>
          <w:b/>
          <w:i/>
        </w:rPr>
        <w:t>Competition policy in the digital age</w:t>
      </w:r>
    </w:p>
    <w:p w:rsidR="0081016C" w:rsidRDefault="00833603" w:rsidP="0081016C">
      <w:pPr>
        <w:pStyle w:val="NormalHanging12a"/>
        <w:rPr>
          <w:b/>
        </w:rPr>
      </w:pPr>
      <w:r w:rsidRPr="008C458A">
        <w:t>15</w:t>
      </w:r>
      <w:r w:rsidR="001011B8" w:rsidRPr="008C458A">
        <w:t>.</w:t>
      </w:r>
      <w:r w:rsidR="0081016C" w:rsidRPr="008C458A">
        <w:tab/>
      </w:r>
      <w:r w:rsidR="001011B8" w:rsidRPr="008C458A">
        <w:t xml:space="preserve">Welcomes the designation of </w:t>
      </w:r>
      <w:r w:rsidR="009C61DD" w:rsidRPr="006F1546">
        <w:t>six</w:t>
      </w:r>
      <w:r w:rsidR="001011B8" w:rsidRPr="006F1546">
        <w:t xml:space="preserve"> gatekeepers</w:t>
      </w:r>
      <w:r w:rsidR="007F3226" w:rsidRPr="006F1546">
        <w:t xml:space="preserve"> </w:t>
      </w:r>
      <w:r w:rsidR="007F3226" w:rsidRPr="0051365C">
        <w:rPr>
          <w:szCs w:val="24"/>
        </w:rPr>
        <w:t xml:space="preserve">- </w:t>
      </w:r>
      <w:r w:rsidR="007F3226" w:rsidRPr="0051365C">
        <w:rPr>
          <w:rStyle w:val="Strong"/>
          <w:color w:val="000000"/>
          <w:szCs w:val="24"/>
        </w:rPr>
        <w:t>Alphabet, Amazon, Apple, ByteDance, Meta, Microsoft</w:t>
      </w:r>
      <w:r w:rsidR="00260D01" w:rsidRPr="0051365C">
        <w:rPr>
          <w:rStyle w:val="FootnoteReference"/>
          <w:b/>
          <w:bCs/>
          <w:color w:val="000000"/>
          <w:szCs w:val="24"/>
        </w:rPr>
        <w:footnoteReference w:id="24"/>
      </w:r>
      <w:r w:rsidR="007F3226" w:rsidRPr="0051365C">
        <w:rPr>
          <w:rStyle w:val="Strong"/>
          <w:color w:val="000000"/>
          <w:szCs w:val="24"/>
        </w:rPr>
        <w:t> -</w:t>
      </w:r>
      <w:r w:rsidR="001011B8" w:rsidRPr="008C458A">
        <w:t xml:space="preserve"> for 22 core platform services under the D</w:t>
      </w:r>
      <w:r w:rsidR="009C61DD" w:rsidRPr="008C458A">
        <w:t xml:space="preserve">igital </w:t>
      </w:r>
      <w:r w:rsidR="001011B8" w:rsidRPr="008C458A">
        <w:t>M</w:t>
      </w:r>
      <w:r w:rsidR="009C61DD" w:rsidRPr="008C458A">
        <w:t xml:space="preserve">arkets </w:t>
      </w:r>
      <w:r w:rsidR="001011B8" w:rsidRPr="006F1546">
        <w:t>A</w:t>
      </w:r>
      <w:r w:rsidR="009C61DD" w:rsidRPr="006F1546">
        <w:t>ct,</w:t>
      </w:r>
      <w:r w:rsidR="001011B8" w:rsidRPr="006F1546">
        <w:t xml:space="preserve"> </w:t>
      </w:r>
      <w:r w:rsidR="001011B8" w:rsidRPr="006F1546">
        <w:rPr>
          <w:b/>
          <w:strike/>
        </w:rPr>
        <w:t>as well as</w:t>
      </w:r>
      <w:r w:rsidR="001011B8" w:rsidRPr="006F1546">
        <w:t xml:space="preserve"> the </w:t>
      </w:r>
      <w:r w:rsidR="009C61DD" w:rsidRPr="0051365C">
        <w:t>four</w:t>
      </w:r>
      <w:r w:rsidR="001011B8" w:rsidRPr="0051365C">
        <w:t xml:space="preserve"> mark</w:t>
      </w:r>
      <w:r w:rsidR="0081546D" w:rsidRPr="0051365C">
        <w:t xml:space="preserve">et investigations </w:t>
      </w:r>
      <w:r w:rsidR="00A25871" w:rsidRPr="0051365C">
        <w:rPr>
          <w:b/>
        </w:rPr>
        <w:t>for the rebuttal as well as the first market investi</w:t>
      </w:r>
      <w:r w:rsidR="00A25871" w:rsidRPr="008C458A">
        <w:rPr>
          <w:b/>
        </w:rPr>
        <w:t>gation</w:t>
      </w:r>
      <w:r w:rsidR="00A25871" w:rsidRPr="008C458A">
        <w:t xml:space="preserve"> </w:t>
      </w:r>
      <w:r w:rsidR="0081546D" w:rsidRPr="008C458A">
        <w:t xml:space="preserve">under </w:t>
      </w:r>
      <w:r w:rsidR="00A25871" w:rsidRPr="008C458A">
        <w:rPr>
          <w:b/>
        </w:rPr>
        <w:t>article 3(8) of</w:t>
      </w:r>
      <w:r w:rsidR="00A25871" w:rsidRPr="008C458A">
        <w:t xml:space="preserve"> </w:t>
      </w:r>
      <w:r w:rsidR="0081546D" w:rsidRPr="008C458A">
        <w:t>the D</w:t>
      </w:r>
      <w:r w:rsidR="009C61DD" w:rsidRPr="008C458A">
        <w:t xml:space="preserve">igital </w:t>
      </w:r>
      <w:r w:rsidR="0081546D" w:rsidRPr="008C458A">
        <w:t>M</w:t>
      </w:r>
      <w:r w:rsidR="009C61DD" w:rsidRPr="008C458A">
        <w:t xml:space="preserve">arkets </w:t>
      </w:r>
      <w:r w:rsidR="0081546D" w:rsidRPr="008C458A">
        <w:t>A</w:t>
      </w:r>
      <w:r w:rsidR="009C61DD" w:rsidRPr="008C458A">
        <w:t>ct</w:t>
      </w:r>
      <w:r w:rsidR="001011B8" w:rsidRPr="008C458A">
        <w:t>;</w:t>
      </w:r>
      <w:r w:rsidR="00A25871" w:rsidRPr="008C458A">
        <w:rPr>
          <w:b/>
        </w:rPr>
        <w:t xml:space="preserve"> encourages the Commission to adopt delegated acts soon in order to extend the modalities of application or to specify the modalities of implementation of the obligations laid down in Articles 5, 6 and 7 as set out in Article 12 DMA; (AM 12</w:t>
      </w:r>
      <w:r w:rsidR="008A3F61" w:rsidRPr="008C458A">
        <w:rPr>
          <w:b/>
        </w:rPr>
        <w:t>9</w:t>
      </w:r>
      <w:r w:rsidR="00A25871" w:rsidRPr="008C458A">
        <w:rPr>
          <w:b/>
        </w:rPr>
        <w:t xml:space="preserve"> Schwab)</w:t>
      </w:r>
      <w:r w:rsidR="00A25871" w:rsidRPr="008C458A">
        <w:rPr>
          <w:b/>
          <w:i/>
        </w:rPr>
        <w:t xml:space="preserve"> </w:t>
      </w:r>
      <w:r w:rsidR="00A25871" w:rsidRPr="008C458A">
        <w:rPr>
          <w:b/>
        </w:rPr>
        <w:t>calls on the Commission to assess rigorously whether gatekeepers comply with the DMA obligations before 6 March 2024 and to seek feedback from third parties as to whether compliance solutions offered by gatekeepers lead to fairer and more contestable digital markets; calls on the Commission to ensure that measures by the gatekeepers on security and integrity of their platforms which could impact compliance with the DMA be vetted by independent third parties, and not be solely based on the gatekeepers' own assessment; (AM 130 Yon-Courtin, Boyer, Chastel)</w:t>
      </w:r>
    </w:p>
    <w:p w:rsidR="00A25871" w:rsidRDefault="00A25871" w:rsidP="00AF39F3">
      <w:pPr>
        <w:pStyle w:val="CommentText"/>
        <w:rPr>
          <w:b/>
        </w:rPr>
      </w:pPr>
      <w:r w:rsidRPr="00AF39F3">
        <w:rPr>
          <w:b/>
          <w:sz w:val="24"/>
          <w:szCs w:val="24"/>
        </w:rPr>
        <w:t>15</w:t>
      </w:r>
      <w:r w:rsidR="00FE081C" w:rsidRPr="00AF39F3">
        <w:rPr>
          <w:b/>
          <w:sz w:val="24"/>
          <w:szCs w:val="24"/>
        </w:rPr>
        <w:t>b</w:t>
      </w:r>
      <w:r w:rsidRPr="00AF39F3">
        <w:rPr>
          <w:b/>
          <w:sz w:val="24"/>
          <w:szCs w:val="24"/>
        </w:rPr>
        <w:t>.</w:t>
      </w:r>
      <w:r w:rsidRPr="00AF39F3">
        <w:rPr>
          <w:sz w:val="24"/>
          <w:szCs w:val="24"/>
        </w:rPr>
        <w:tab/>
      </w:r>
      <w:r w:rsidRPr="00AF39F3">
        <w:rPr>
          <w:b/>
          <w:sz w:val="24"/>
          <w:szCs w:val="24"/>
        </w:rPr>
        <w:t>Points out that the study, commissioned by the European Commission, on 'the impact of recent developments in digital advertising on privacy, publishers and advertisers' concludes that the large scale collection and processing of personal data for advertising purposes</w:t>
      </w:r>
      <w:r w:rsidR="006C5C64" w:rsidRPr="007F3226">
        <w:rPr>
          <w:b/>
          <w:sz w:val="24"/>
          <w:szCs w:val="24"/>
        </w:rPr>
        <w:t xml:space="preserve"> and opaqueness of</w:t>
      </w:r>
      <w:r w:rsidR="002139B6" w:rsidRPr="007F3226">
        <w:rPr>
          <w:b/>
          <w:sz w:val="24"/>
          <w:szCs w:val="24"/>
        </w:rPr>
        <w:t xml:space="preserve"> </w:t>
      </w:r>
      <w:r w:rsidRPr="007F3226">
        <w:rPr>
          <w:b/>
          <w:sz w:val="24"/>
          <w:szCs w:val="24"/>
        </w:rPr>
        <w:t>the digital advertisement market</w:t>
      </w:r>
      <w:r w:rsidRPr="00AF39F3">
        <w:rPr>
          <w:b/>
          <w:sz w:val="24"/>
          <w:szCs w:val="24"/>
        </w:rPr>
        <w:t xml:space="preserve"> </w:t>
      </w:r>
      <w:r w:rsidR="002139B6" w:rsidRPr="00AF39F3">
        <w:rPr>
          <w:b/>
          <w:sz w:val="24"/>
          <w:szCs w:val="24"/>
        </w:rPr>
        <w:t xml:space="preserve">could be fuelling ad </w:t>
      </w:r>
      <w:r w:rsidRPr="00AF39F3">
        <w:rPr>
          <w:b/>
          <w:sz w:val="24"/>
          <w:szCs w:val="24"/>
        </w:rPr>
        <w:t>fraud</w:t>
      </w:r>
      <w:r w:rsidR="00F071FC">
        <w:rPr>
          <w:rStyle w:val="FootnoteReference"/>
          <w:b/>
          <w:sz w:val="24"/>
          <w:szCs w:val="24"/>
        </w:rPr>
        <w:footnoteReference w:id="25"/>
      </w:r>
      <w:r w:rsidRPr="00AF39F3">
        <w:rPr>
          <w:b/>
          <w:sz w:val="24"/>
          <w:szCs w:val="24"/>
        </w:rPr>
        <w:t>;</w:t>
      </w:r>
      <w:r w:rsidR="002139B6" w:rsidRPr="00AF39F3">
        <w:rPr>
          <w:b/>
          <w:sz w:val="24"/>
          <w:szCs w:val="24"/>
        </w:rPr>
        <w:t xml:space="preserve"> </w:t>
      </w:r>
      <w:r w:rsidR="002139B6" w:rsidRPr="00AF39F3">
        <w:rPr>
          <w:b/>
          <w:i/>
          <w:sz w:val="24"/>
          <w:szCs w:val="24"/>
        </w:rPr>
        <w:t xml:space="preserve">calls on the Commission, in line with the study’s </w:t>
      </w:r>
      <w:r w:rsidR="002139B6">
        <w:rPr>
          <w:b/>
          <w:i/>
          <w:sz w:val="24"/>
          <w:szCs w:val="24"/>
        </w:rPr>
        <w:t>recommendations</w:t>
      </w:r>
      <w:r w:rsidR="002139B6" w:rsidRPr="00AF39F3">
        <w:rPr>
          <w:b/>
          <w:i/>
          <w:sz w:val="24"/>
          <w:szCs w:val="24"/>
        </w:rPr>
        <w:t>, to further analyse</w:t>
      </w:r>
      <w:r w:rsidR="007F3226">
        <w:rPr>
          <w:b/>
          <w:i/>
          <w:sz w:val="24"/>
          <w:szCs w:val="24"/>
        </w:rPr>
        <w:t xml:space="preserve"> </w:t>
      </w:r>
      <w:r w:rsidR="007F3226" w:rsidRPr="0051365C">
        <w:rPr>
          <w:b/>
          <w:i/>
          <w:sz w:val="24"/>
          <w:szCs w:val="24"/>
        </w:rPr>
        <w:t>legislative</w:t>
      </w:r>
      <w:r w:rsidR="002139B6" w:rsidRPr="00AF39F3">
        <w:rPr>
          <w:b/>
          <w:i/>
          <w:sz w:val="24"/>
          <w:szCs w:val="24"/>
        </w:rPr>
        <w:t xml:space="preserve"> options for future policy interventions</w:t>
      </w:r>
      <w:r w:rsidR="00EB61B1">
        <w:rPr>
          <w:b/>
          <w:i/>
          <w:sz w:val="24"/>
          <w:szCs w:val="24"/>
        </w:rPr>
        <w:t xml:space="preserve">, </w:t>
      </w:r>
      <w:r w:rsidR="00EB61B1" w:rsidRPr="007F3226">
        <w:rPr>
          <w:b/>
          <w:i/>
          <w:sz w:val="24"/>
          <w:szCs w:val="24"/>
        </w:rPr>
        <w:t>including imposition of structural remedies</w:t>
      </w:r>
      <w:r w:rsidR="00ED0C58" w:rsidRPr="007F3226">
        <w:rPr>
          <w:b/>
          <w:i/>
          <w:sz w:val="24"/>
          <w:szCs w:val="24"/>
        </w:rPr>
        <w:t xml:space="preserve"> (AM 108 Schwab)</w:t>
      </w:r>
      <w:r w:rsidR="00EB61B1" w:rsidRPr="007F3226">
        <w:rPr>
          <w:b/>
          <w:i/>
          <w:sz w:val="24"/>
          <w:szCs w:val="24"/>
        </w:rPr>
        <w:t>, to address anti-competitive conducts (AM 108 Schwab)</w:t>
      </w:r>
      <w:r w:rsidR="002139B6" w:rsidRPr="007F3226">
        <w:rPr>
          <w:b/>
          <w:i/>
          <w:sz w:val="24"/>
          <w:szCs w:val="24"/>
        </w:rPr>
        <w:t>,</w:t>
      </w:r>
      <w:r w:rsidR="00EB61B1" w:rsidRPr="007F3226" w:rsidDel="00EB61B1">
        <w:rPr>
          <w:b/>
          <w:i/>
          <w:sz w:val="24"/>
          <w:szCs w:val="24"/>
        </w:rPr>
        <w:t xml:space="preserve"> </w:t>
      </w:r>
      <w:r w:rsidR="00243A66" w:rsidRPr="007F3226">
        <w:rPr>
          <w:b/>
          <w:i/>
          <w:sz w:val="24"/>
          <w:szCs w:val="24"/>
        </w:rPr>
        <w:t>,</w:t>
      </w:r>
      <w:r w:rsidR="00BD1AFA" w:rsidRPr="007F3226">
        <w:rPr>
          <w:b/>
          <w:i/>
          <w:sz w:val="24"/>
          <w:szCs w:val="24"/>
        </w:rPr>
        <w:t xml:space="preserve"> </w:t>
      </w:r>
      <w:r w:rsidR="00ED0C58" w:rsidRPr="007F3226">
        <w:rPr>
          <w:b/>
          <w:i/>
          <w:sz w:val="24"/>
          <w:szCs w:val="24"/>
        </w:rPr>
        <w:t xml:space="preserve">by </w:t>
      </w:r>
      <w:r w:rsidR="00BD1AFA" w:rsidRPr="007F3226">
        <w:rPr>
          <w:b/>
          <w:i/>
          <w:sz w:val="24"/>
          <w:szCs w:val="24"/>
        </w:rPr>
        <w:t>complement</w:t>
      </w:r>
      <w:r w:rsidR="00ED0C58" w:rsidRPr="007F3226">
        <w:rPr>
          <w:b/>
          <w:i/>
          <w:sz w:val="24"/>
          <w:szCs w:val="24"/>
        </w:rPr>
        <w:t>ing</w:t>
      </w:r>
      <w:r w:rsidR="00BD1AFA" w:rsidRPr="007F3226">
        <w:rPr>
          <w:b/>
          <w:i/>
          <w:sz w:val="24"/>
          <w:szCs w:val="24"/>
        </w:rPr>
        <w:t xml:space="preserve"> </w:t>
      </w:r>
      <w:r w:rsidR="00EB61B1" w:rsidRPr="007F3226">
        <w:rPr>
          <w:b/>
          <w:i/>
          <w:sz w:val="24"/>
          <w:szCs w:val="24"/>
        </w:rPr>
        <w:t xml:space="preserve">the </w:t>
      </w:r>
      <w:r w:rsidR="00BD1AFA" w:rsidRPr="007F3226">
        <w:rPr>
          <w:b/>
          <w:i/>
          <w:sz w:val="24"/>
          <w:szCs w:val="24"/>
        </w:rPr>
        <w:t>DMA and DSA in this regard</w:t>
      </w:r>
      <w:r w:rsidR="002139B6" w:rsidRPr="007F3226">
        <w:rPr>
          <w:b/>
          <w:i/>
          <w:sz w:val="24"/>
          <w:szCs w:val="24"/>
        </w:rPr>
        <w:t>;</w:t>
      </w:r>
      <w:r w:rsidRPr="007F3226">
        <w:rPr>
          <w:b/>
        </w:rPr>
        <w:t xml:space="preserve"> </w:t>
      </w:r>
      <w:r w:rsidRPr="00AF39F3">
        <w:rPr>
          <w:b/>
          <w:sz w:val="24"/>
          <w:szCs w:val="24"/>
        </w:rPr>
        <w:t>(AM 134 and 135 Tang, Fernández, Lalucq, Repasi)</w:t>
      </w:r>
    </w:p>
    <w:p w:rsidR="002139B6" w:rsidRPr="00AF39F3" w:rsidRDefault="002139B6" w:rsidP="00AF39F3">
      <w:pPr>
        <w:pStyle w:val="CommentText"/>
        <w:rPr>
          <w:b/>
        </w:rPr>
      </w:pPr>
    </w:p>
    <w:p w:rsidR="00A25871" w:rsidRDefault="00833603">
      <w:pPr>
        <w:pStyle w:val="NormalHanging12a"/>
        <w:rPr>
          <w:b/>
        </w:rPr>
      </w:pPr>
      <w:r w:rsidRPr="00946BF8">
        <w:t>16</w:t>
      </w:r>
      <w:r w:rsidR="001011B8" w:rsidRPr="00946BF8">
        <w:t>.</w:t>
      </w:r>
      <w:r w:rsidR="0081016C" w:rsidRPr="00946BF8">
        <w:tab/>
      </w:r>
      <w:r w:rsidR="008C458A" w:rsidRPr="0051365C">
        <w:rPr>
          <w:highlight w:val="yellow"/>
        </w:rPr>
        <w:t xml:space="preserve">Notes </w:t>
      </w:r>
      <w:r w:rsidR="001011B8" w:rsidRPr="00614159">
        <w:t>the market investigation</w:t>
      </w:r>
      <w:r w:rsidR="00E13B5F">
        <w:t>s</w:t>
      </w:r>
      <w:r w:rsidR="001011B8" w:rsidRPr="00614159">
        <w:t xml:space="preserve"> into </w:t>
      </w:r>
      <w:r w:rsidR="007F3226" w:rsidRPr="0051365C">
        <w:t>Microsoft</w:t>
      </w:r>
      <w:r w:rsidR="00E13B5F" w:rsidRPr="0051365C">
        <w:t>’s Edge and</w:t>
      </w:r>
      <w:r w:rsidR="007F3226" w:rsidRPr="0051365C">
        <w:t xml:space="preserve"> Bing</w:t>
      </w:r>
      <w:r w:rsidR="00E13B5F" w:rsidRPr="0051365C">
        <w:rPr>
          <w:rStyle w:val="FootnoteReference"/>
        </w:rPr>
        <w:footnoteReference w:id="26"/>
      </w:r>
      <w:r w:rsidR="007F3226" w:rsidRPr="0051365C">
        <w:t xml:space="preserve"> </w:t>
      </w:r>
      <w:r w:rsidR="00E13B5F" w:rsidRPr="008C458A">
        <w:t xml:space="preserve">as well as </w:t>
      </w:r>
      <w:r w:rsidR="001011B8" w:rsidRPr="008C458A">
        <w:t>Apple</w:t>
      </w:r>
      <w:r w:rsidR="00946BF8" w:rsidRPr="008C458A">
        <w:t>’</w:t>
      </w:r>
      <w:r w:rsidR="001011B8" w:rsidRPr="008C458A">
        <w:t>s</w:t>
      </w:r>
      <w:r w:rsidR="00E13B5F" w:rsidRPr="008C458A">
        <w:t xml:space="preserve"> </w:t>
      </w:r>
      <w:r w:rsidR="00E13B5F" w:rsidRPr="0051365C">
        <w:t>iOS and</w:t>
      </w:r>
      <w:r w:rsidR="001011B8" w:rsidRPr="008C458A">
        <w:t xml:space="preserve"> iMessage</w:t>
      </w:r>
      <w:r w:rsidR="00E13B5F" w:rsidRPr="008C458A">
        <w:t xml:space="preserve"> </w:t>
      </w:r>
      <w:r w:rsidR="00E13B5F" w:rsidRPr="0051365C">
        <w:rPr>
          <w:rStyle w:val="FootnoteReference"/>
        </w:rPr>
        <w:footnoteReference w:id="27"/>
      </w:r>
      <w:r w:rsidR="001011B8" w:rsidRPr="008C458A">
        <w:t xml:space="preserve"> </w:t>
      </w:r>
      <w:r w:rsidR="009C61DD" w:rsidRPr="008C458A">
        <w:t xml:space="preserve">in order </w:t>
      </w:r>
      <w:r w:rsidR="001011B8" w:rsidRPr="008C458A">
        <w:t xml:space="preserve">to assess </w:t>
      </w:r>
      <w:r w:rsidR="007F3226" w:rsidRPr="0051365C">
        <w:t xml:space="preserve">their </w:t>
      </w:r>
      <w:r w:rsidR="001011B8" w:rsidRPr="0051365C">
        <w:t>role as  gateway</w:t>
      </w:r>
      <w:r w:rsidR="00A25871" w:rsidRPr="0051365C">
        <w:t xml:space="preserve"> </w:t>
      </w:r>
      <w:r w:rsidR="00A25871" w:rsidRPr="0051365C">
        <w:rPr>
          <w:b/>
        </w:rPr>
        <w:t xml:space="preserve">and </w:t>
      </w:r>
      <w:r w:rsidR="00473F6E" w:rsidRPr="0051365C">
        <w:rPr>
          <w:b/>
        </w:rPr>
        <w:t xml:space="preserve">their </w:t>
      </w:r>
      <w:r w:rsidR="00A25871" w:rsidRPr="0051365C">
        <w:rPr>
          <w:b/>
        </w:rPr>
        <w:t>entrenched position</w:t>
      </w:r>
      <w:r w:rsidR="00473F6E" w:rsidRPr="0051365C">
        <w:rPr>
          <w:b/>
        </w:rPr>
        <w:t>s</w:t>
      </w:r>
      <w:r w:rsidR="00A25871" w:rsidRPr="0051365C">
        <w:rPr>
          <w:b/>
        </w:rPr>
        <w:t xml:space="preserve"> in the market as per Apple </w:t>
      </w:r>
      <w:r w:rsidR="00473F6E" w:rsidRPr="0051365C">
        <w:rPr>
          <w:b/>
        </w:rPr>
        <w:t xml:space="preserve">and Microsoft </w:t>
      </w:r>
      <w:r w:rsidR="00A25871" w:rsidRPr="0051365C">
        <w:rPr>
          <w:b/>
        </w:rPr>
        <w:t>designation decision as gatekeeper</w:t>
      </w:r>
      <w:r w:rsidR="00473F6E" w:rsidRPr="0051365C">
        <w:rPr>
          <w:b/>
        </w:rPr>
        <w:t>s</w:t>
      </w:r>
      <w:r w:rsidR="00A25871" w:rsidRPr="0051365C">
        <w:rPr>
          <w:b/>
        </w:rPr>
        <w:t xml:space="preserve"> under DMA</w:t>
      </w:r>
      <w:r w:rsidR="00A25871" w:rsidRPr="008C458A">
        <w:t>;</w:t>
      </w:r>
      <w:r w:rsidR="001011B8" w:rsidRPr="008C458A">
        <w:t xml:space="preserve"> highlights the inclusion by default of iMessage </w:t>
      </w:r>
      <w:r w:rsidR="009C61DD" w:rsidRPr="008C458A">
        <w:t>on all</w:t>
      </w:r>
      <w:r w:rsidR="001011B8" w:rsidRPr="008C458A">
        <w:t xml:space="preserve"> iOS device</w:t>
      </w:r>
      <w:r w:rsidR="009C61DD" w:rsidRPr="006F1546">
        <w:t>s</w:t>
      </w:r>
      <w:r w:rsidR="001011B8" w:rsidRPr="006F1546">
        <w:t xml:space="preserve"> for more than 144</w:t>
      </w:r>
      <w:r w:rsidR="009C61DD" w:rsidRPr="006F1546">
        <w:t> </w:t>
      </w:r>
      <w:r w:rsidR="001011B8" w:rsidRPr="006F1546">
        <w:t>million users; stresses the importance of smartphones as an essential personal and professional tool; highlights that today</w:t>
      </w:r>
      <w:r w:rsidR="00946BF8" w:rsidRPr="0051365C">
        <w:t>’</w:t>
      </w:r>
      <w:r w:rsidR="001011B8" w:rsidRPr="0051365C">
        <w:t xml:space="preserve">s market is dominated by </w:t>
      </w:r>
      <w:r w:rsidR="009C61DD" w:rsidRPr="0051365C">
        <w:t>two</w:t>
      </w:r>
      <w:r w:rsidR="001011B8" w:rsidRPr="0051365C">
        <w:t xml:space="preserve"> operating systems, with their own non-interoperable messaging services</w:t>
      </w:r>
      <w:r w:rsidR="009C61DD" w:rsidRPr="008C458A">
        <w:t>,</w:t>
      </w:r>
      <w:r w:rsidR="001011B8" w:rsidRPr="008C458A">
        <w:t xml:space="preserve"> which limits the possibility for users and businesses to freely move from one ecosystem to the other</w:t>
      </w:r>
      <w:r w:rsidR="00A25871" w:rsidRPr="008C458A">
        <w:t xml:space="preserve"> </w:t>
      </w:r>
      <w:r w:rsidR="00A25871" w:rsidRPr="008C458A">
        <w:rPr>
          <w:b/>
        </w:rPr>
        <w:t>and to seamlessly communicate with each other regardless of the operating system, which is fundamentally against the spirit and the letter of the DMA</w:t>
      </w:r>
      <w:r w:rsidR="00A25871" w:rsidRPr="008C458A">
        <w:t xml:space="preserve">; </w:t>
      </w:r>
      <w:r w:rsidR="00A25871" w:rsidRPr="008C458A">
        <w:rPr>
          <w:b/>
        </w:rPr>
        <w:t>therefore calls on the European Commission to proceed expeditiously in its investigation and its effective implementation to bring the benefits of messaging interoperability to all in a timely manner; (AM 145 Tang, Fernández, Lalucq, Repasi)</w:t>
      </w:r>
    </w:p>
    <w:p w:rsidR="00A25871" w:rsidRDefault="00A25871" w:rsidP="00A25871">
      <w:pPr>
        <w:pStyle w:val="NormalHanging12a"/>
        <w:rPr>
          <w:b/>
        </w:rPr>
      </w:pPr>
      <w:r w:rsidRPr="00B90723">
        <w:rPr>
          <w:b/>
        </w:rPr>
        <w:t>16a.</w:t>
      </w:r>
      <w:r w:rsidRPr="00614159">
        <w:tab/>
      </w:r>
      <w:r w:rsidR="008C458A" w:rsidRPr="0051365C">
        <w:rPr>
          <w:highlight w:val="yellow"/>
        </w:rPr>
        <w:t xml:space="preserve">Notes </w:t>
      </w:r>
      <w:r w:rsidRPr="00B90723">
        <w:rPr>
          <w:b/>
        </w:rPr>
        <w:t>the Court of Justice of the European Union decision in the Meta vs Bundeskartellamt case that affirms the competence of national competition authorities to enforce data protection rules under antitrust laws; points out that the court affirms that the protection of personal data is an important consideration when examining an abuse of a dominant position and that it imposes requirements on the use of individuals’ personal data for targeted advertising; encourages competition authorities to investigate infringements of the GDPR</w:t>
      </w:r>
      <w:r w:rsidR="000E4D7F">
        <w:rPr>
          <w:b/>
        </w:rPr>
        <w:t xml:space="preserve"> and data protection authorities to sanction such infringements</w:t>
      </w:r>
      <w:r w:rsidRPr="00B90723">
        <w:rPr>
          <w:b/>
        </w:rPr>
        <w:t>;</w:t>
      </w:r>
      <w:r w:rsidRPr="00A25871">
        <w:rPr>
          <w:b/>
        </w:rPr>
        <w:t xml:space="preserve"> </w:t>
      </w:r>
      <w:r>
        <w:rPr>
          <w:b/>
        </w:rPr>
        <w:t>(</w:t>
      </w:r>
      <w:r w:rsidRPr="00471B98">
        <w:rPr>
          <w:b/>
        </w:rPr>
        <w:t>AM 1</w:t>
      </w:r>
      <w:r>
        <w:rPr>
          <w:b/>
        </w:rPr>
        <w:t>46</w:t>
      </w:r>
      <w:r w:rsidRPr="00471B98">
        <w:rPr>
          <w:b/>
        </w:rPr>
        <w:t xml:space="preserve"> Tang, Fernández, Lalucq, Repasi</w:t>
      </w:r>
      <w:r>
        <w:rPr>
          <w:b/>
        </w:rPr>
        <w:t>, Sant</w:t>
      </w:r>
      <w:r w:rsidRPr="00471B98">
        <w:rPr>
          <w:b/>
        </w:rPr>
        <w:t>)</w:t>
      </w:r>
    </w:p>
    <w:p w:rsidR="00A25871" w:rsidRDefault="00A25871" w:rsidP="00A25871">
      <w:pPr>
        <w:pStyle w:val="NormalHanging12a"/>
        <w:rPr>
          <w:b/>
        </w:rPr>
      </w:pPr>
      <w:r w:rsidRPr="00B90723">
        <w:rPr>
          <w:b/>
        </w:rPr>
        <w:t>16b.</w:t>
      </w:r>
      <w:r w:rsidRPr="00614159">
        <w:tab/>
      </w:r>
      <w:r w:rsidR="008C458A" w:rsidRPr="0051365C">
        <w:rPr>
          <w:highlight w:val="yellow"/>
        </w:rPr>
        <w:t xml:space="preserve">Notes </w:t>
      </w:r>
      <w:r w:rsidRPr="00B90723">
        <w:rPr>
          <w:b/>
        </w:rPr>
        <w:t>the conclusions of the proceedings of the Bundeskartellamt and Alphabet Inc. that gives Google users better choices as to how Google processes their data; asserts that EU consumers must have the choice whether they allow agglomeration and cross-service data processing of their personal data. Encourages the European Commission to pursue the coordination of enforcement activities and cooperate with national competition authorities in order to facilitate an effective interplay between competition law and the DMA; especially in the context of the DMA’s “further obligations”;</w:t>
      </w:r>
      <w:r>
        <w:rPr>
          <w:b/>
        </w:rPr>
        <w:t xml:space="preserve"> (</w:t>
      </w:r>
      <w:r w:rsidRPr="00471B98">
        <w:rPr>
          <w:b/>
        </w:rPr>
        <w:t>AM 1</w:t>
      </w:r>
      <w:r>
        <w:rPr>
          <w:b/>
        </w:rPr>
        <w:t>48</w:t>
      </w:r>
      <w:r w:rsidRPr="00471B98">
        <w:rPr>
          <w:b/>
        </w:rPr>
        <w:t xml:space="preserve"> Tang, Fernández, Lalucq, Repasi</w:t>
      </w:r>
      <w:r>
        <w:rPr>
          <w:b/>
        </w:rPr>
        <w:t>, Sant</w:t>
      </w:r>
      <w:r w:rsidRPr="00471B98">
        <w:rPr>
          <w:b/>
        </w:rPr>
        <w:t>)</w:t>
      </w:r>
    </w:p>
    <w:p w:rsidR="00A25871" w:rsidRPr="00614159" w:rsidRDefault="00A25871" w:rsidP="00A25871">
      <w:pPr>
        <w:pStyle w:val="NormalHanging12a"/>
        <w:rPr>
          <w:b/>
        </w:rPr>
      </w:pPr>
      <w:r w:rsidRPr="00B90723">
        <w:rPr>
          <w:b/>
        </w:rPr>
        <w:t>16</w:t>
      </w:r>
      <w:r w:rsidR="00FE081C">
        <w:rPr>
          <w:b/>
        </w:rPr>
        <w:t>c</w:t>
      </w:r>
      <w:r w:rsidRPr="00B90723">
        <w:rPr>
          <w:b/>
        </w:rPr>
        <w:t>.</w:t>
      </w:r>
      <w:r w:rsidRPr="00614159">
        <w:tab/>
      </w:r>
      <w:r w:rsidRPr="00B90723">
        <w:rPr>
          <w:b/>
        </w:rPr>
        <w:t>Points out that the 'Internet of Things' (IoT) is a growing market; further points out that smart home devices, such as robot vacuum cleaners, are a major source of consumer data; notes that mergers and acquisitions in this sector can provide major competitive damage; calls upon the Commission to include data as source of market power in the evaluation of merger and acquisition cases in this sector; specifically when these cases involve established big tech companies; furthermore calls to impose conditions on the use of data if needed;</w:t>
      </w:r>
      <w:r>
        <w:rPr>
          <w:b/>
        </w:rPr>
        <w:t xml:space="preserve"> (</w:t>
      </w:r>
      <w:r w:rsidRPr="00471B98">
        <w:rPr>
          <w:b/>
        </w:rPr>
        <w:t xml:space="preserve">AM </w:t>
      </w:r>
      <w:r>
        <w:rPr>
          <w:b/>
        </w:rPr>
        <w:t>150</w:t>
      </w:r>
      <w:r w:rsidRPr="00471B98">
        <w:rPr>
          <w:b/>
        </w:rPr>
        <w:t xml:space="preserve"> Tang, Fernández, Lalucq, Repasi)</w:t>
      </w:r>
    </w:p>
    <w:p w:rsidR="0081016C" w:rsidRPr="00946BF8" w:rsidRDefault="001011B8" w:rsidP="0081016C">
      <w:pPr>
        <w:pStyle w:val="NormalHanging12a"/>
      </w:pPr>
      <w:r w:rsidRPr="00946BF8">
        <w:t>1</w:t>
      </w:r>
      <w:r w:rsidR="00833603" w:rsidRPr="00946BF8">
        <w:t>7</w:t>
      </w:r>
      <w:r w:rsidRPr="00946BF8">
        <w:t>.</w:t>
      </w:r>
      <w:r w:rsidR="0081016C" w:rsidRPr="00946BF8">
        <w:tab/>
      </w:r>
      <w:r w:rsidRPr="00946BF8">
        <w:t xml:space="preserve">Regrets the absence of cloud services providers from the gatekeepers list, </w:t>
      </w:r>
      <w:r w:rsidR="00485C79" w:rsidRPr="00B90723">
        <w:rPr>
          <w:b/>
          <w:lang w:val="en-US"/>
        </w:rPr>
        <w:t>calls on the Commission to consider opening market investigations under Article 3(8) DMA (qualitative assessment) in this sector, given in particular all</w:t>
      </w:r>
      <w:r w:rsidR="00485C79" w:rsidRPr="00BB581E">
        <w:rPr>
          <w:lang w:val="en-US"/>
        </w:rPr>
        <w:t xml:space="preserve"> </w:t>
      </w:r>
      <w:r w:rsidR="00485C79" w:rsidRPr="00B90723">
        <w:rPr>
          <w:b/>
          <w:lang w:val="en-US"/>
        </w:rPr>
        <w:t>(AM 152 Schwab)</w:t>
      </w:r>
      <w:r w:rsidR="00485C79" w:rsidRPr="00BB581E">
        <w:rPr>
          <w:lang w:val="en-US"/>
        </w:rPr>
        <w:t xml:space="preserve"> </w:t>
      </w:r>
      <w:r w:rsidRPr="00B90723">
        <w:rPr>
          <w:strike/>
        </w:rPr>
        <w:t>despite</w:t>
      </w:r>
      <w:r w:rsidRPr="00BB581E">
        <w:t xml:space="preserve"> </w:t>
      </w:r>
      <w:r w:rsidR="009C61DD" w:rsidRPr="00BB581E">
        <w:t xml:space="preserve">the </w:t>
      </w:r>
      <w:r w:rsidR="00485C79" w:rsidRPr="00B90723">
        <w:rPr>
          <w:b/>
          <w:lang w:val="en-US"/>
        </w:rPr>
        <w:t>concentrated</w:t>
      </w:r>
      <w:r w:rsidR="00485C79" w:rsidRPr="00BB581E">
        <w:rPr>
          <w:lang w:val="en-US"/>
        </w:rPr>
        <w:t xml:space="preserve"> market </w:t>
      </w:r>
      <w:r w:rsidR="00485C79" w:rsidRPr="00B90723">
        <w:rPr>
          <w:b/>
          <w:lang w:val="en-US"/>
        </w:rPr>
        <w:t>structure and (AM 151 Ferber, Martusciello)</w:t>
      </w:r>
      <w:r w:rsidR="00485C79">
        <w:rPr>
          <w:b/>
          <w:i/>
          <w:lang w:val="en-US"/>
        </w:rPr>
        <w:t xml:space="preserve"> </w:t>
      </w:r>
      <w:r w:rsidRPr="00946BF8">
        <w:t>damaging anti-competitive practices underlined by n</w:t>
      </w:r>
      <w:r w:rsidR="0081546D" w:rsidRPr="00946BF8">
        <w:t>ational competition authorities</w:t>
      </w:r>
      <w:r w:rsidRPr="00946BF8">
        <w:t xml:space="preserve">; highlights that the European cloud market is dominated by a few very large players; calls on the Commission to ensure that all eligible services are designated </w:t>
      </w:r>
      <w:r w:rsidR="009C61DD" w:rsidRPr="00946BF8">
        <w:t xml:space="preserve">in order </w:t>
      </w:r>
      <w:r w:rsidRPr="00946BF8">
        <w:t>to restore fair and equal competition in the European cloud market;</w:t>
      </w:r>
    </w:p>
    <w:p w:rsidR="00001450" w:rsidRDefault="00833603" w:rsidP="00001450">
      <w:pPr>
        <w:pStyle w:val="NormalHanging12a"/>
        <w:rPr>
          <w:b/>
        </w:rPr>
      </w:pPr>
      <w:r w:rsidRPr="00946BF8">
        <w:t>18</w:t>
      </w:r>
      <w:r w:rsidR="001011B8" w:rsidRPr="00946BF8">
        <w:t>.</w:t>
      </w:r>
      <w:r w:rsidR="0081016C" w:rsidRPr="00946BF8">
        <w:tab/>
      </w:r>
      <w:r w:rsidR="001011B8" w:rsidRPr="00614159">
        <w:t xml:space="preserve">Calls on the Commission to </w:t>
      </w:r>
      <w:r w:rsidR="001011B8" w:rsidRPr="00B90723">
        <w:rPr>
          <w:b/>
          <w:strike/>
        </w:rPr>
        <w:t>look at emerging gatekeepers in</w:t>
      </w:r>
      <w:r w:rsidR="00001450">
        <w:rPr>
          <w:b/>
          <w:strike/>
        </w:rPr>
        <w:t xml:space="preserve"> </w:t>
      </w:r>
      <w:r w:rsidR="001011B8" w:rsidRPr="00614159">
        <w:t xml:space="preserve"> </w:t>
      </w:r>
      <w:r w:rsidR="00001450" w:rsidRPr="00B90723">
        <w:rPr>
          <w:b/>
        </w:rPr>
        <w:t>assess the need of launching a market investigation under article 19 adding new categories of CPSs under article 2(2) in light of the latest technological developments that may lead to new types of services that do not fall within the existing categories such as</w:t>
      </w:r>
      <w:r w:rsidR="00001450" w:rsidRPr="00614159">
        <w:t xml:space="preserve"> </w:t>
      </w:r>
      <w:r w:rsidR="001011B8" w:rsidRPr="00614159">
        <w:t xml:space="preserve">generative Artificial Intelligence </w:t>
      </w:r>
      <w:r w:rsidR="001011B8" w:rsidRPr="00B90723">
        <w:rPr>
          <w:b/>
          <w:strike/>
        </w:rPr>
        <w:t>under the D</w:t>
      </w:r>
      <w:r w:rsidR="009C61DD" w:rsidRPr="00B90723">
        <w:rPr>
          <w:b/>
          <w:strike/>
        </w:rPr>
        <w:t xml:space="preserve">igital </w:t>
      </w:r>
      <w:r w:rsidR="001011B8" w:rsidRPr="00B90723">
        <w:rPr>
          <w:b/>
          <w:strike/>
        </w:rPr>
        <w:t>M</w:t>
      </w:r>
      <w:r w:rsidR="009C61DD" w:rsidRPr="00B90723">
        <w:rPr>
          <w:b/>
          <w:strike/>
        </w:rPr>
        <w:t xml:space="preserve">arkets </w:t>
      </w:r>
      <w:r w:rsidR="001011B8" w:rsidRPr="00B90723">
        <w:rPr>
          <w:b/>
          <w:strike/>
        </w:rPr>
        <w:t>A</w:t>
      </w:r>
      <w:r w:rsidR="009C61DD" w:rsidRPr="00B90723">
        <w:rPr>
          <w:b/>
          <w:strike/>
        </w:rPr>
        <w:t>ct</w:t>
      </w:r>
      <w:r w:rsidR="001011B8" w:rsidRPr="00614159">
        <w:t>;</w:t>
      </w:r>
      <w:r w:rsidR="00001450" w:rsidRPr="00001450">
        <w:rPr>
          <w:b/>
        </w:rPr>
        <w:t xml:space="preserve"> </w:t>
      </w:r>
      <w:r w:rsidR="00001450">
        <w:rPr>
          <w:b/>
        </w:rPr>
        <w:t>(</w:t>
      </w:r>
      <w:r w:rsidR="00001450" w:rsidRPr="00471B98">
        <w:rPr>
          <w:b/>
        </w:rPr>
        <w:t xml:space="preserve">AM </w:t>
      </w:r>
      <w:r w:rsidR="00001450">
        <w:rPr>
          <w:b/>
        </w:rPr>
        <w:t>155</w:t>
      </w:r>
      <w:r w:rsidR="00001450" w:rsidRPr="00471B98">
        <w:rPr>
          <w:b/>
        </w:rPr>
        <w:t xml:space="preserve"> </w:t>
      </w:r>
      <w:r w:rsidR="00001450">
        <w:rPr>
          <w:b/>
        </w:rPr>
        <w:t>Schwab</w:t>
      </w:r>
      <w:r w:rsidR="00001450" w:rsidRPr="00471B98">
        <w:rPr>
          <w:b/>
        </w:rPr>
        <w:t>)</w:t>
      </w:r>
      <w:r w:rsidR="00454EF4">
        <w:rPr>
          <w:b/>
        </w:rPr>
        <w:t xml:space="preserve">; </w:t>
      </w:r>
      <w:r w:rsidR="00454EF4" w:rsidRPr="004D7319">
        <w:rPr>
          <w:b/>
        </w:rPr>
        <w:t>Recognizes that new features powered by generative Artificial Intelligence can be incorporated into existing digital services, such as online search engines, and can be captured by the existing list of core platform services</w:t>
      </w:r>
      <w:r w:rsidR="00D36E2B">
        <w:rPr>
          <w:b/>
        </w:rPr>
        <w:t xml:space="preserve"> that could lead to the strengthening of existing gatekeepers; </w:t>
      </w:r>
    </w:p>
    <w:p w:rsidR="0010613D" w:rsidRPr="00471B98" w:rsidRDefault="004D7319" w:rsidP="00001450">
      <w:pPr>
        <w:pStyle w:val="NormalHanging12a"/>
        <w:rPr>
          <w:b/>
        </w:rPr>
      </w:pPr>
      <w:r w:rsidRPr="00473F6E">
        <w:rPr>
          <w:b/>
        </w:rPr>
        <w:t xml:space="preserve">18a. </w:t>
      </w:r>
      <w:r w:rsidR="00CE0E37" w:rsidRPr="00473F6E">
        <w:rPr>
          <w:b/>
        </w:rPr>
        <w:t>Notes the G7 Competition authorities Joint Statement on competition and artificial intelligence</w:t>
      </w:r>
      <w:r w:rsidR="00E86B5A" w:rsidRPr="00473F6E">
        <w:rPr>
          <w:b/>
        </w:rPr>
        <w:t>, underlini</w:t>
      </w:r>
      <w:r w:rsidR="007D1A63" w:rsidRPr="00473F6E">
        <w:rPr>
          <w:b/>
        </w:rPr>
        <w:t>ng the</w:t>
      </w:r>
      <w:r w:rsidR="00E86B5A" w:rsidRPr="00473F6E">
        <w:rPr>
          <w:b/>
        </w:rPr>
        <w:t xml:space="preserve"> importance of </w:t>
      </w:r>
      <w:r w:rsidR="007D1A63" w:rsidRPr="00473F6E">
        <w:rPr>
          <w:b/>
        </w:rPr>
        <w:t xml:space="preserve">cooperation to promote </w:t>
      </w:r>
      <w:r w:rsidR="00E86B5A" w:rsidRPr="00473F6E">
        <w:rPr>
          <w:b/>
        </w:rPr>
        <w:t>competition in</w:t>
      </w:r>
      <w:r w:rsidR="007D1A63" w:rsidRPr="00473F6E">
        <w:rPr>
          <w:b/>
        </w:rPr>
        <w:t xml:space="preserve"> digital markets</w:t>
      </w:r>
      <w:r w:rsidR="00E86B5A" w:rsidRPr="00473F6E">
        <w:rPr>
          <w:rStyle w:val="FootnoteReference"/>
          <w:b/>
        </w:rPr>
        <w:footnoteReference w:id="28"/>
      </w:r>
      <w:r w:rsidR="00CE0E37" w:rsidRPr="00473F6E">
        <w:rPr>
          <w:b/>
        </w:rPr>
        <w:t xml:space="preserve">; </w:t>
      </w:r>
      <w:r w:rsidR="00D36E2B" w:rsidRPr="00473F6E">
        <w:rPr>
          <w:b/>
        </w:rPr>
        <w:t>C</w:t>
      </w:r>
      <w:r w:rsidRPr="00473F6E">
        <w:rPr>
          <w:b/>
        </w:rPr>
        <w:t xml:space="preserve">alls on the Commission to be vigilant regarding cooperation agreements in the context of AI developments to ensure </w:t>
      </w:r>
      <w:r w:rsidR="00EE1FCD" w:rsidRPr="00710800">
        <w:rPr>
          <w:b/>
        </w:rPr>
        <w:t xml:space="preserve">such cooperation agreements are </w:t>
      </w:r>
      <w:r w:rsidRPr="00710800">
        <w:rPr>
          <w:b/>
        </w:rPr>
        <w:t xml:space="preserve">not </w:t>
      </w:r>
      <w:r w:rsidR="004E04DA" w:rsidRPr="00CE7A25">
        <w:rPr>
          <w:b/>
        </w:rPr>
        <w:t xml:space="preserve">potentially </w:t>
      </w:r>
      <w:r w:rsidR="00EE1FCD" w:rsidRPr="00CE7A25">
        <w:rPr>
          <w:b/>
        </w:rPr>
        <w:t xml:space="preserve">hidden </w:t>
      </w:r>
      <w:r w:rsidRPr="00CE7A25">
        <w:rPr>
          <w:b/>
        </w:rPr>
        <w:t>mergers nor killer acquisitions;</w:t>
      </w:r>
    </w:p>
    <w:p w:rsidR="0081016C" w:rsidRDefault="00833603" w:rsidP="0081016C">
      <w:pPr>
        <w:pStyle w:val="NormalHanging12a"/>
      </w:pPr>
      <w:r w:rsidRPr="00946BF8">
        <w:t>19</w:t>
      </w:r>
      <w:r w:rsidR="001011B8" w:rsidRPr="00946BF8">
        <w:t>.</w:t>
      </w:r>
      <w:r w:rsidR="0081016C" w:rsidRPr="00946BF8">
        <w:tab/>
      </w:r>
      <w:r w:rsidR="00D36E2B" w:rsidRPr="00B90723">
        <w:rPr>
          <w:b/>
        </w:rPr>
        <w:t>Reiterates that the Digital Markets Act has a different legal basis in contrast to the competition framework</w:t>
      </w:r>
      <w:r w:rsidR="00D36E2B">
        <w:rPr>
          <w:b/>
        </w:rPr>
        <w:t xml:space="preserve"> (</w:t>
      </w:r>
      <w:r w:rsidR="00D36E2B" w:rsidRPr="00471B98">
        <w:rPr>
          <w:b/>
        </w:rPr>
        <w:t xml:space="preserve">AM </w:t>
      </w:r>
      <w:r w:rsidR="00D36E2B">
        <w:rPr>
          <w:b/>
        </w:rPr>
        <w:t>160</w:t>
      </w:r>
      <w:r w:rsidR="00D36E2B" w:rsidRPr="00471B98">
        <w:rPr>
          <w:b/>
        </w:rPr>
        <w:t xml:space="preserve"> Tang, Fernández, Lalucq, Repasi)</w:t>
      </w:r>
      <w:r w:rsidR="00D36E2B">
        <w:t xml:space="preserve">; </w:t>
      </w:r>
      <w:r w:rsidR="001011B8" w:rsidRPr="00946BF8">
        <w:t xml:space="preserve">Stresses the need </w:t>
      </w:r>
      <w:r w:rsidR="009C61DD" w:rsidRPr="00946BF8">
        <w:t>for the</w:t>
      </w:r>
      <w:r w:rsidR="001011B8" w:rsidRPr="00946BF8">
        <w:t xml:space="preserve"> effective coexistence of</w:t>
      </w:r>
      <w:r w:rsidR="00001450">
        <w:t xml:space="preserve"> </w:t>
      </w:r>
      <w:r w:rsidR="00001450" w:rsidRPr="00B90723">
        <w:rPr>
          <w:b/>
        </w:rPr>
        <w:t>the ex-post enforcement of</w:t>
      </w:r>
      <w:r w:rsidR="001011B8" w:rsidRPr="00946BF8">
        <w:t xml:space="preserve"> competition law and the</w:t>
      </w:r>
      <w:r w:rsidR="00001450">
        <w:t xml:space="preserve"> </w:t>
      </w:r>
      <w:r w:rsidR="00001450" w:rsidRPr="00B90723">
        <w:rPr>
          <w:b/>
        </w:rPr>
        <w:t>ex-ante enforcement of the</w:t>
      </w:r>
      <w:r w:rsidR="001011B8" w:rsidRPr="00946BF8">
        <w:t xml:space="preserve"> D</w:t>
      </w:r>
      <w:r w:rsidR="009C61DD" w:rsidRPr="00946BF8">
        <w:t xml:space="preserve">igital </w:t>
      </w:r>
      <w:r w:rsidR="001011B8" w:rsidRPr="00946BF8">
        <w:t>M</w:t>
      </w:r>
      <w:r w:rsidR="009C61DD" w:rsidRPr="00946BF8">
        <w:t>arke</w:t>
      </w:r>
      <w:r w:rsidR="009C61DD" w:rsidRPr="00614159">
        <w:t xml:space="preserve">ts </w:t>
      </w:r>
      <w:r w:rsidR="001011B8" w:rsidRPr="00614159">
        <w:t>A</w:t>
      </w:r>
      <w:r w:rsidR="009C61DD" w:rsidRPr="00614159">
        <w:t>ct</w:t>
      </w:r>
      <w:r w:rsidR="00001450" w:rsidRPr="00B90723">
        <w:rPr>
          <w:b/>
        </w:rPr>
        <w:t xml:space="preserve"> given their complementary nature; stress</w:t>
      </w:r>
      <w:r w:rsidR="00E97E69">
        <w:rPr>
          <w:b/>
        </w:rPr>
        <w:t>es</w:t>
      </w:r>
      <w:r w:rsidR="00001450" w:rsidRPr="00B90723">
        <w:rPr>
          <w:b/>
        </w:rPr>
        <w:t xml:space="preserve"> the need</w:t>
      </w:r>
      <w:r w:rsidR="001011B8" w:rsidRPr="00614159">
        <w:t xml:space="preserve"> </w:t>
      </w:r>
      <w:r w:rsidR="001011B8" w:rsidRPr="00B90723">
        <w:rPr>
          <w:b/>
          <w:strike/>
        </w:rPr>
        <w:t>calls on the Commission</w:t>
      </w:r>
      <w:r w:rsidR="001011B8" w:rsidRPr="00614159">
        <w:t xml:space="preserve"> to </w:t>
      </w:r>
      <w:r w:rsidR="00D36E2B" w:rsidRPr="00D36E2B">
        <w:rPr>
          <w:b/>
        </w:rPr>
        <w:t>deploy</w:t>
      </w:r>
      <w:r w:rsidR="00D36E2B">
        <w:t xml:space="preserve"> </w:t>
      </w:r>
      <w:r w:rsidR="001011B8" w:rsidRPr="00614159">
        <w:t xml:space="preserve">sufficient </w:t>
      </w:r>
      <w:r w:rsidR="00D36E2B" w:rsidRPr="00243A66">
        <w:rPr>
          <w:b/>
        </w:rPr>
        <w:t>staffing</w:t>
      </w:r>
      <w:r w:rsidR="00D36E2B" w:rsidRPr="00D36E2B">
        <w:t xml:space="preserve"> </w:t>
      </w:r>
      <w:r w:rsidR="001011B8" w:rsidRPr="00614159">
        <w:t>resources</w:t>
      </w:r>
      <w:r w:rsidR="009C61DD" w:rsidRPr="00614159">
        <w:t xml:space="preserve"> </w:t>
      </w:r>
      <w:r w:rsidR="00D36E2B" w:rsidRPr="00D36E2B">
        <w:rPr>
          <w:b/>
        </w:rPr>
        <w:t>(AM 159 Ferber, Mar</w:t>
      </w:r>
      <w:r w:rsidR="00D36E2B">
        <w:rPr>
          <w:b/>
        </w:rPr>
        <w:t>t</w:t>
      </w:r>
      <w:r w:rsidR="00D36E2B" w:rsidRPr="00D36E2B">
        <w:rPr>
          <w:b/>
        </w:rPr>
        <w:t>usciello)</w:t>
      </w:r>
      <w:r w:rsidR="009C61DD" w:rsidRPr="00614159">
        <w:t>and</w:t>
      </w:r>
      <w:r w:rsidR="001011B8" w:rsidRPr="00614159">
        <w:t xml:space="preserve"> synergies</w:t>
      </w:r>
      <w:r w:rsidR="00001450" w:rsidRPr="00B90723">
        <w:rPr>
          <w:b/>
        </w:rPr>
        <w:t xml:space="preserve"> for an effective implementation of the rules</w:t>
      </w:r>
      <w:r w:rsidR="00001450" w:rsidRPr="00614159">
        <w:t>,</w:t>
      </w:r>
      <w:r w:rsidR="00001450">
        <w:t xml:space="preserve"> </w:t>
      </w:r>
      <w:r w:rsidR="00001450">
        <w:rPr>
          <w:b/>
        </w:rPr>
        <w:t>(</w:t>
      </w:r>
      <w:r w:rsidR="00001450" w:rsidRPr="00471B98">
        <w:rPr>
          <w:b/>
        </w:rPr>
        <w:t xml:space="preserve">AM </w:t>
      </w:r>
      <w:r w:rsidR="00001450">
        <w:rPr>
          <w:b/>
        </w:rPr>
        <w:t>158</w:t>
      </w:r>
      <w:r w:rsidR="00001450" w:rsidRPr="00471B98">
        <w:rPr>
          <w:b/>
        </w:rPr>
        <w:t xml:space="preserve"> </w:t>
      </w:r>
      <w:r w:rsidR="00001450">
        <w:rPr>
          <w:b/>
        </w:rPr>
        <w:t>Schwab</w:t>
      </w:r>
      <w:r w:rsidR="00001450" w:rsidRPr="00471B98">
        <w:rPr>
          <w:b/>
        </w:rPr>
        <w:t>)</w:t>
      </w:r>
      <w:r w:rsidR="001011B8" w:rsidRPr="00946BF8">
        <w:t xml:space="preserve"> </w:t>
      </w:r>
      <w:r w:rsidR="009C61DD" w:rsidRPr="00946BF8">
        <w:t xml:space="preserve">and to </w:t>
      </w:r>
      <w:r w:rsidR="001011B8" w:rsidRPr="00946BF8">
        <w:t>avoid overlap</w:t>
      </w:r>
      <w:r w:rsidR="009C61DD" w:rsidRPr="00946BF8">
        <w:t>s</w:t>
      </w:r>
      <w:r w:rsidR="001011B8" w:rsidRPr="00946BF8">
        <w:t xml:space="preserve"> or duplications of existing structures and measures;</w:t>
      </w:r>
    </w:p>
    <w:p w:rsidR="00984869" w:rsidRDefault="00833603" w:rsidP="0081016C">
      <w:pPr>
        <w:pStyle w:val="NormalHanging12a"/>
      </w:pPr>
      <w:r w:rsidRPr="00946BF8">
        <w:t>20</w:t>
      </w:r>
      <w:r w:rsidR="001011B8" w:rsidRPr="00946BF8">
        <w:t>.</w:t>
      </w:r>
      <w:r w:rsidR="0081016C" w:rsidRPr="00946BF8">
        <w:tab/>
      </w:r>
      <w:r w:rsidR="001011B8" w:rsidRPr="00D36E2B">
        <w:t xml:space="preserve">Highlights </w:t>
      </w:r>
      <w:r w:rsidR="009C61DD" w:rsidRPr="00D36E2B">
        <w:t xml:space="preserve">the </w:t>
      </w:r>
      <w:r w:rsidR="001011B8" w:rsidRPr="00D36E2B">
        <w:t>EU</w:t>
      </w:r>
      <w:r w:rsidR="00946BF8" w:rsidRPr="00D36E2B">
        <w:t>’</w:t>
      </w:r>
      <w:r w:rsidR="009C61DD" w:rsidRPr="00D36E2B">
        <w:t>s</w:t>
      </w:r>
      <w:r w:rsidR="001011B8" w:rsidRPr="00D36E2B">
        <w:t xml:space="preserve"> future connectivity needs in terms of infrastructure and investments</w:t>
      </w:r>
      <w:r w:rsidR="001011B8" w:rsidRPr="00B90723">
        <w:rPr>
          <w:b/>
          <w:strike/>
        </w:rPr>
        <w:t>; calls for the establishment of a policy framework where</w:t>
      </w:r>
      <w:r w:rsidR="009C61DD" w:rsidRPr="00B90723">
        <w:rPr>
          <w:b/>
          <w:strike/>
        </w:rPr>
        <w:t>by</w:t>
      </w:r>
      <w:r w:rsidR="001011B8" w:rsidRPr="00B90723">
        <w:rPr>
          <w:b/>
          <w:strike/>
        </w:rPr>
        <w:t xml:space="preserve"> large traffic generators contribute fairly to the adequate funding of telecom networks without prejudice to net neutrality;</w:t>
      </w:r>
      <w:r w:rsidR="009940EF">
        <w:rPr>
          <w:b/>
          <w:strike/>
        </w:rPr>
        <w:t xml:space="preserve"> </w:t>
      </w:r>
      <w:r w:rsidR="009940EF" w:rsidRPr="00471B98">
        <w:rPr>
          <w:b/>
        </w:rPr>
        <w:t xml:space="preserve">(AM </w:t>
      </w:r>
      <w:r w:rsidR="009940EF">
        <w:rPr>
          <w:b/>
        </w:rPr>
        <w:t>162</w:t>
      </w:r>
      <w:r w:rsidR="009940EF" w:rsidRPr="00471B98">
        <w:rPr>
          <w:b/>
        </w:rPr>
        <w:t xml:space="preserve"> Ferber, Martusciello</w:t>
      </w:r>
      <w:r w:rsidR="00D36E2B">
        <w:rPr>
          <w:b/>
        </w:rPr>
        <w:t>, AM 161, 164 etc</w:t>
      </w:r>
      <w:r w:rsidR="009940EF" w:rsidRPr="00471B98">
        <w:rPr>
          <w:b/>
        </w:rPr>
        <w:t>)</w:t>
      </w:r>
      <w:r w:rsidR="00D36E2B">
        <w:rPr>
          <w:b/>
        </w:rPr>
        <w:t xml:space="preserve">; </w:t>
      </w:r>
      <w:r w:rsidR="00D36E2B">
        <w:t xml:space="preserve">calls </w:t>
      </w:r>
      <w:r w:rsidR="00D36E2B" w:rsidRPr="00D36E2B">
        <w:rPr>
          <w:b/>
        </w:rPr>
        <w:t>on the Commission to consider a revision of the current competition practice</w:t>
      </w:r>
      <w:r w:rsidR="00D36E2B">
        <w:t xml:space="preserve"> for the telecom </w:t>
      </w:r>
      <w:r w:rsidR="00D36E2B" w:rsidRPr="00D36E2B">
        <w:rPr>
          <w:b/>
        </w:rPr>
        <w:t>market</w:t>
      </w:r>
      <w:r w:rsidR="00D36E2B">
        <w:rPr>
          <w:b/>
        </w:rPr>
        <w:t xml:space="preserve"> </w:t>
      </w:r>
      <w:r w:rsidR="00D36E2B" w:rsidRPr="00D36E2B">
        <w:rPr>
          <w:b/>
        </w:rPr>
        <w:t>in order to facilitate the creation of a fully integrated single market for telecommunication services; notes that market consolidation might be the only way to avoid selling infrastructure piece by piece to foreign non-EU companies</w:t>
      </w:r>
      <w:r w:rsidR="00D36E2B">
        <w:rPr>
          <w:b/>
        </w:rPr>
        <w:t xml:space="preserve"> (AM 163 Schwab)</w:t>
      </w:r>
      <w:r w:rsidR="00D36E2B">
        <w:t xml:space="preserve"> </w:t>
      </w:r>
      <w:r w:rsidR="00D36E2B">
        <w:rPr>
          <w:b/>
        </w:rPr>
        <w:t xml:space="preserve">and compete effectively in a global scenario (AM 91 Martusciello) </w:t>
      </w:r>
      <w:r w:rsidR="00D36E2B" w:rsidRPr="00D36E2B">
        <w:rPr>
          <w:b/>
        </w:rPr>
        <w:t>; points out that the growth of this sector in Europe has been very low over the last decade and that fragmentation is the main reason for this; in this regards</w:t>
      </w:r>
      <w:r w:rsidR="00F145ED">
        <w:rPr>
          <w:b/>
        </w:rPr>
        <w:t>,</w:t>
      </w:r>
      <w:r w:rsidR="00D36E2B" w:rsidRPr="00D36E2B">
        <w:rPr>
          <w:b/>
        </w:rPr>
        <w:t xml:space="preserve"> welcomes </w:t>
      </w:r>
      <w:r w:rsidR="00F145ED">
        <w:rPr>
          <w:b/>
        </w:rPr>
        <w:t xml:space="preserve">Commissioner Breton’s announcement of Commission’s work on a </w:t>
      </w:r>
      <w:r w:rsidR="00D36E2B" w:rsidRPr="00D36E2B">
        <w:rPr>
          <w:b/>
        </w:rPr>
        <w:t>new proposal for a Digital</w:t>
      </w:r>
      <w:r w:rsidR="00D36E2B" w:rsidRPr="00D36E2B">
        <w:t xml:space="preserve"> </w:t>
      </w:r>
      <w:r w:rsidR="00D36E2B">
        <w:t xml:space="preserve">Networks </w:t>
      </w:r>
      <w:r w:rsidR="00D36E2B" w:rsidRPr="00D36E2B">
        <w:rPr>
          <w:b/>
        </w:rPr>
        <w:t>Act to address market fragmentation, attracting investment, securing the telecom infrastructures and innovation</w:t>
      </w:r>
      <w:r w:rsidR="00D36E2B" w:rsidRPr="00D36E2B">
        <w:t xml:space="preserve"> without </w:t>
      </w:r>
      <w:r w:rsidR="00D36E2B" w:rsidRPr="00D36E2B">
        <w:rPr>
          <w:b/>
        </w:rPr>
        <w:t>extra costs for consumers and without jeopardising fair competition on the market between all the players</w:t>
      </w:r>
      <w:r w:rsidR="00D36E2B">
        <w:rPr>
          <w:b/>
        </w:rPr>
        <w:t xml:space="preserve"> (AM 163 Schwab)</w:t>
      </w:r>
      <w:r w:rsidR="00D36E2B" w:rsidRPr="00D36E2B">
        <w:t>;</w:t>
      </w:r>
    </w:p>
    <w:p w:rsidR="0081016C" w:rsidRDefault="009940EF" w:rsidP="0081016C">
      <w:pPr>
        <w:pStyle w:val="NormalHanging12a"/>
        <w:rPr>
          <w:b/>
        </w:rPr>
      </w:pPr>
      <w:r w:rsidRPr="00B90723">
        <w:rPr>
          <w:b/>
        </w:rPr>
        <w:t xml:space="preserve">(new) Notes with concern that gatekeepers that develop a data advantage over rivals can achieve critical economies of scale, which contribute to the further tilting of competitive balances in digital markets and stifle innovation; </w:t>
      </w:r>
      <w:r w:rsidRPr="00614159">
        <w:rPr>
          <w:b/>
        </w:rPr>
        <w:t>(AM 168 Tang, Fernández, Lalucq, Repasi)</w:t>
      </w:r>
    </w:p>
    <w:p w:rsidR="009940EF" w:rsidRPr="00614159" w:rsidRDefault="009940EF" w:rsidP="009940EF">
      <w:pPr>
        <w:pStyle w:val="NormalHanging12a"/>
        <w:rPr>
          <w:b/>
        </w:rPr>
      </w:pPr>
      <w:r w:rsidRPr="00B90723">
        <w:rPr>
          <w:b/>
        </w:rPr>
        <w:t>20a.</w:t>
      </w:r>
      <w:r w:rsidRPr="00614159">
        <w:tab/>
        <w:t>S</w:t>
      </w:r>
      <w:r w:rsidRPr="00B90723">
        <w:rPr>
          <w:b/>
        </w:rPr>
        <w:t xml:space="preserve">tresses that personal data assets should be considered and assessed as other traditional assets when it decides on digital mergers and acquisitions; further stresses that data consolidation through mergers and acquisitions can strengthen a dominant position; </w:t>
      </w:r>
      <w:r w:rsidRPr="00614159">
        <w:rPr>
          <w:b/>
        </w:rPr>
        <w:t>(AM 169 Tang, Fernández, Lalucq, Repasi)</w:t>
      </w:r>
    </w:p>
    <w:p w:rsidR="00C14DC7" w:rsidRPr="00946BF8" w:rsidRDefault="00C14DC7" w:rsidP="00C14DC7">
      <w:pPr>
        <w:pStyle w:val="NormalHanging12a"/>
        <w:rPr>
          <w:b/>
          <w:i/>
        </w:rPr>
      </w:pPr>
      <w:r>
        <w:rPr>
          <w:b/>
          <w:i/>
        </w:rPr>
        <w:t>Taxation</w:t>
      </w:r>
    </w:p>
    <w:p w:rsidR="00C14DC7" w:rsidRDefault="00C14DC7" w:rsidP="00C14DC7">
      <w:pPr>
        <w:pStyle w:val="NormalHanging12a"/>
        <w:rPr>
          <w:b/>
        </w:rPr>
      </w:pPr>
      <w:r>
        <w:rPr>
          <w:b/>
        </w:rPr>
        <w:t>21</w:t>
      </w:r>
      <w:r w:rsidRPr="0087327C">
        <w:rPr>
          <w:b/>
        </w:rPr>
        <w:t>.</w:t>
      </w:r>
      <w:r w:rsidRPr="00614159">
        <w:tab/>
      </w:r>
      <w:r w:rsidRPr="0087327C">
        <w:rPr>
          <w:b/>
        </w:rPr>
        <w:t xml:space="preserve">Deplores the distortive effects of aggressive tax planning and of tax systems of certain Member States on fair competition, as it may stifle innovation and jeopardise contestability of markets, especially for SMEs; calls for companies that engage in tax avoidance using third-country tax havens to be excluded public procurement procedures and barred from receiving State aid, as these companies are competing under unfair conditions with companies established in non-tax havens; welcomes the Commission’s recommendation of 14 July 2020 to not grant financial support to companies with links to tax havens while protecting honest taxpayers; </w:t>
      </w:r>
      <w:r>
        <w:rPr>
          <w:b/>
        </w:rPr>
        <w:t>(AM 76</w:t>
      </w:r>
      <w:r w:rsidRPr="003E2689">
        <w:rPr>
          <w:b/>
        </w:rPr>
        <w:t xml:space="preserve"> Tang, F</w:t>
      </w:r>
      <w:r>
        <w:rPr>
          <w:b/>
        </w:rPr>
        <w:t>ernández, Lalucq, Repasi)</w:t>
      </w:r>
    </w:p>
    <w:p w:rsidR="00C14DC7" w:rsidRDefault="00C13234" w:rsidP="00C14DC7">
      <w:pPr>
        <w:pStyle w:val="NormalHanging12a"/>
        <w:rPr>
          <w:b/>
        </w:rPr>
      </w:pPr>
      <w:r>
        <w:rPr>
          <w:b/>
        </w:rPr>
        <w:t>21b</w:t>
      </w:r>
      <w:r w:rsidR="00C14DC7" w:rsidRPr="0087327C">
        <w:rPr>
          <w:b/>
        </w:rPr>
        <w:t>.</w:t>
      </w:r>
      <w:r w:rsidR="00C14DC7" w:rsidRPr="0087327C">
        <w:rPr>
          <w:b/>
        </w:rPr>
        <w:tab/>
        <w:t>Calls on the Commission to look into the possibility to fine countries found in breach of EU State aid rules; encourages the Commission to pursue its investigations into Member States’ tax ruling practices;</w:t>
      </w:r>
      <w:r w:rsidR="00C14DC7">
        <w:rPr>
          <w:b/>
        </w:rPr>
        <w:t xml:space="preserve"> (</w:t>
      </w:r>
      <w:r w:rsidR="00C14DC7" w:rsidRPr="00471B98">
        <w:rPr>
          <w:b/>
        </w:rPr>
        <w:t xml:space="preserve">AM </w:t>
      </w:r>
      <w:r w:rsidR="00C14DC7">
        <w:rPr>
          <w:b/>
        </w:rPr>
        <w:t>183</w:t>
      </w:r>
      <w:r w:rsidR="00C14DC7" w:rsidRPr="00471B98">
        <w:rPr>
          <w:b/>
        </w:rPr>
        <w:t xml:space="preserve"> </w:t>
      </w:r>
      <w:r w:rsidR="00C14DC7">
        <w:rPr>
          <w:b/>
        </w:rPr>
        <w:t>Gruffat</w:t>
      </w:r>
      <w:r w:rsidR="00C14DC7" w:rsidRPr="00471B98">
        <w:rPr>
          <w:b/>
        </w:rPr>
        <w:t>)</w:t>
      </w:r>
    </w:p>
    <w:p w:rsidR="00C14DC7" w:rsidRDefault="00C14DC7" w:rsidP="00C14DC7">
      <w:pPr>
        <w:pStyle w:val="NormalHanging12a"/>
        <w:rPr>
          <w:b/>
        </w:rPr>
      </w:pPr>
      <w:r w:rsidRPr="0087327C">
        <w:rPr>
          <w:b/>
        </w:rPr>
        <w:t>21</w:t>
      </w:r>
      <w:r w:rsidR="00C13234">
        <w:rPr>
          <w:b/>
        </w:rPr>
        <w:t>c</w:t>
      </w:r>
      <w:r w:rsidRPr="0087327C">
        <w:rPr>
          <w:b/>
        </w:rPr>
        <w:t>.</w:t>
      </w:r>
      <w:r w:rsidRPr="00614159">
        <w:tab/>
      </w:r>
      <w:r w:rsidR="00F145ED">
        <w:rPr>
          <w:b/>
          <w:i/>
        </w:rPr>
        <w:t>Notes Vice-President Šefčovič’s and Commissioner-Designate</w:t>
      </w:r>
      <w:r w:rsidR="00095DF1">
        <w:rPr>
          <w:b/>
          <w:i/>
        </w:rPr>
        <w:t xml:space="preserve"> Hoekstra’s commitment to launch a discussion on the phase out of fossil</w:t>
      </w:r>
      <w:r w:rsidR="00EE1FCD">
        <w:rPr>
          <w:b/>
          <w:i/>
        </w:rPr>
        <w:t xml:space="preserve"> fuel subsidies and recalls its demand to implement concrete policies, timelines and measures to phase out fossil fuel subsidies through tax measures as soon as possible; </w:t>
      </w:r>
    </w:p>
    <w:p w:rsidR="00EE4EB8" w:rsidRPr="00710800" w:rsidRDefault="00C13234" w:rsidP="00100B6B">
      <w:pPr>
        <w:pStyle w:val="NormalHanging12a"/>
        <w:rPr>
          <w:b/>
        </w:rPr>
      </w:pPr>
      <w:r>
        <w:rPr>
          <w:b/>
        </w:rPr>
        <w:t>21</w:t>
      </w:r>
      <w:r w:rsidR="00622B82" w:rsidRPr="00B90723">
        <w:rPr>
          <w:b/>
        </w:rPr>
        <w:t>d.</w:t>
      </w:r>
      <w:r w:rsidR="00622B82" w:rsidRPr="002D3953">
        <w:tab/>
      </w:r>
      <w:r w:rsidR="00100B6B" w:rsidRPr="00B90723">
        <w:rPr>
          <w:b/>
        </w:rPr>
        <w:t xml:space="preserve">Welcomes the European Commission's vigilance in enforcing State aid rules in the area of taxation; </w:t>
      </w:r>
      <w:r w:rsidR="00100B6B" w:rsidRPr="00D718C6">
        <w:rPr>
          <w:b/>
        </w:rPr>
        <w:t xml:space="preserve">(AM </w:t>
      </w:r>
      <w:r w:rsidR="00100B6B">
        <w:rPr>
          <w:b/>
        </w:rPr>
        <w:t>58</w:t>
      </w:r>
      <w:r w:rsidR="00100B6B" w:rsidRPr="00D718C6">
        <w:rPr>
          <w:b/>
        </w:rPr>
        <w:t xml:space="preserve"> Ferber, Martusciello)</w:t>
      </w:r>
      <w:r w:rsidR="00100B6B">
        <w:rPr>
          <w:b/>
        </w:rPr>
        <w:t>;</w:t>
      </w:r>
    </w:p>
    <w:p w:rsidR="0081016C" w:rsidRPr="00946BF8" w:rsidRDefault="00EE4EB8" w:rsidP="0081016C">
      <w:pPr>
        <w:pStyle w:val="NormalHanging12a"/>
        <w:rPr>
          <w:b/>
          <w:i/>
        </w:rPr>
      </w:pPr>
      <w:r w:rsidRPr="00710800">
        <w:rPr>
          <w:b/>
        </w:rPr>
        <w:t>21e.</w:t>
      </w:r>
      <w:r w:rsidRPr="00CE7A25">
        <w:rPr>
          <w:b/>
          <w:strike/>
        </w:rPr>
        <w:t xml:space="preserve"> 5e.</w:t>
      </w:r>
      <w:r w:rsidRPr="00473F6E">
        <w:tab/>
      </w:r>
      <w:r w:rsidR="007D1A63" w:rsidRPr="00473F6E">
        <w:rPr>
          <w:b/>
        </w:rPr>
        <w:t>Deplores that several recent Commission decisions in high-profile competition cases in the area of taxation have been annulled by the Courts; calls on the European Commission to prepare their competition policy cases more thoroughly so that they can hold up in a court of law; (AM 62 Ferber, Martusciello)</w:t>
      </w:r>
      <w:r w:rsidR="007D1A63">
        <w:rPr>
          <w:b/>
        </w:rPr>
        <w:t xml:space="preserve"> </w:t>
      </w:r>
      <w:r w:rsidRPr="00B90723">
        <w:rPr>
          <w:b/>
        </w:rPr>
        <w:t>Notes with concern that annulment of fines as well as retroactive payment of default interest in annulled cases also poses a budgetary risk for the Union;</w:t>
      </w:r>
      <w:r>
        <w:rPr>
          <w:b/>
        </w:rPr>
        <w:t xml:space="preserve"> </w:t>
      </w:r>
      <w:r w:rsidRPr="00D718C6">
        <w:rPr>
          <w:b/>
        </w:rPr>
        <w:t xml:space="preserve">(AM </w:t>
      </w:r>
      <w:r>
        <w:rPr>
          <w:b/>
        </w:rPr>
        <w:t>64</w:t>
      </w:r>
      <w:r w:rsidRPr="00D718C6">
        <w:rPr>
          <w:b/>
        </w:rPr>
        <w:t xml:space="preserve"> Ferber, Martusciello)</w:t>
      </w:r>
      <w:r w:rsidR="001011B8" w:rsidRPr="00946BF8">
        <w:rPr>
          <w:b/>
          <w:i/>
        </w:rPr>
        <w:t>Parliamentary involvement</w:t>
      </w:r>
    </w:p>
    <w:p w:rsidR="00C909F6" w:rsidRDefault="00DD1A64" w:rsidP="009B642C">
      <w:pPr>
        <w:pStyle w:val="NormalHanging12a"/>
        <w:rPr>
          <w:b/>
        </w:rPr>
      </w:pPr>
      <w:r w:rsidRPr="00946BF8">
        <w:t>2</w:t>
      </w:r>
      <w:r w:rsidR="00C14DC7">
        <w:t>2</w:t>
      </w:r>
      <w:r w:rsidR="001011B8" w:rsidRPr="00946BF8">
        <w:t>.</w:t>
      </w:r>
      <w:r w:rsidR="0081016C" w:rsidRPr="00946BF8">
        <w:tab/>
      </w:r>
      <w:r w:rsidR="001011B8" w:rsidRPr="00946BF8">
        <w:t>Stresses that Parliament should play an active role in shaping competition policy and be more involved in the activity of working parties and expert groups</w:t>
      </w:r>
      <w:r w:rsidR="00833603" w:rsidRPr="00946BF8">
        <w:t>;</w:t>
      </w:r>
      <w:r w:rsidR="009940EF">
        <w:t xml:space="preserve"> </w:t>
      </w:r>
      <w:r w:rsidR="009940EF" w:rsidRPr="00B90723">
        <w:rPr>
          <w:b/>
        </w:rPr>
        <w:t xml:space="preserve">considers that more frequent use should be made of Parliament’s right to intervene in judicial proceedings concerning competition law; </w:t>
      </w:r>
      <w:r w:rsidR="009940EF" w:rsidRPr="00471B98">
        <w:rPr>
          <w:b/>
        </w:rPr>
        <w:t>(AM 1</w:t>
      </w:r>
      <w:r w:rsidR="009940EF">
        <w:rPr>
          <w:b/>
        </w:rPr>
        <w:t>74</w:t>
      </w:r>
      <w:r w:rsidR="009940EF" w:rsidRPr="00471B98">
        <w:rPr>
          <w:b/>
        </w:rPr>
        <w:t xml:space="preserve"> Tang, Fernández, Lalucq, Repasi)</w:t>
      </w:r>
    </w:p>
    <w:p w:rsidR="009940EF" w:rsidRDefault="009940EF" w:rsidP="009940EF">
      <w:pPr>
        <w:pStyle w:val="NormalHanging12a"/>
        <w:rPr>
          <w:b/>
        </w:rPr>
      </w:pPr>
      <w:r w:rsidRPr="00B90723">
        <w:rPr>
          <w:b/>
        </w:rPr>
        <w:t>2</w:t>
      </w:r>
      <w:r w:rsidR="00C14DC7">
        <w:rPr>
          <w:b/>
        </w:rPr>
        <w:t>2</w:t>
      </w:r>
      <w:r w:rsidRPr="00B90723">
        <w:rPr>
          <w:b/>
        </w:rPr>
        <w:t>b.</w:t>
      </w:r>
      <w:r w:rsidRPr="00614159">
        <w:tab/>
      </w:r>
      <w:r w:rsidRPr="00B90723">
        <w:rPr>
          <w:b/>
        </w:rPr>
        <w:t xml:space="preserve">Calls on the responsible Member of the European Commission in charge of competition policy to stay in close contact with the European Parliament's competent Committee and its working group on competition issues; </w:t>
      </w:r>
      <w:r w:rsidRPr="00614159">
        <w:rPr>
          <w:b/>
        </w:rPr>
        <w:t>(AM 176 Ferber, Martusciello)</w:t>
      </w:r>
    </w:p>
    <w:p w:rsidR="00C909F6" w:rsidRPr="00946BF8" w:rsidRDefault="00C909F6" w:rsidP="00C909F6">
      <w:pPr>
        <w:pStyle w:val="NormalHanging12a"/>
        <w:jc w:val="center"/>
      </w:pPr>
      <w:r w:rsidRPr="00946BF8">
        <w:t>°</w:t>
      </w:r>
    </w:p>
    <w:p w:rsidR="00C909F6" w:rsidRPr="00946BF8" w:rsidRDefault="00C909F6" w:rsidP="00946BF8">
      <w:pPr>
        <w:pStyle w:val="NormalHanging12a"/>
        <w:jc w:val="center"/>
      </w:pPr>
      <w:r w:rsidRPr="00946BF8">
        <w:t>°</w:t>
      </w:r>
      <w:r w:rsidRPr="00946BF8">
        <w:tab/>
        <w:t>°</w:t>
      </w:r>
    </w:p>
    <w:p w:rsidR="0081016C" w:rsidRPr="00946BF8" w:rsidRDefault="00DD1A64" w:rsidP="0081016C">
      <w:pPr>
        <w:pStyle w:val="NormalHanging12a"/>
      </w:pPr>
      <w:r w:rsidRPr="00946BF8">
        <w:t>22</w:t>
      </w:r>
      <w:r w:rsidR="001011B8" w:rsidRPr="00946BF8">
        <w:t>.</w:t>
      </w:r>
      <w:r w:rsidR="0081016C" w:rsidRPr="00946BF8">
        <w:tab/>
      </w:r>
      <w:r w:rsidR="001011B8" w:rsidRPr="00946BF8">
        <w:t>Instructs its President to forward this resolution to the Council, the Commission, and the parliaments and competition authorities of the Member States.</w:t>
      </w:r>
    </w:p>
    <w:sectPr w:rsidR="0081016C" w:rsidRPr="00946BF8" w:rsidSect="006366B7">
      <w:footerReference w:type="even" r:id="rId9"/>
      <w:footerReference w:type="default" r:id="rId10"/>
      <w:footerReference w:type="first" r:id="rId11"/>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E3" w:rsidRPr="00946BF8" w:rsidRDefault="00343EE3">
      <w:r w:rsidRPr="00946BF8">
        <w:separator/>
      </w:r>
    </w:p>
  </w:endnote>
  <w:endnote w:type="continuationSeparator" w:id="0">
    <w:p w:rsidR="00343EE3" w:rsidRPr="00946BF8" w:rsidRDefault="00343EE3">
      <w:r w:rsidRPr="00946B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62" w:rsidRPr="00946BF8" w:rsidRDefault="001A0962" w:rsidP="006366B7">
    <w:pPr>
      <w:pStyle w:val="EPFooter"/>
      <w:rPr>
        <w:lang w:val="fr-FR"/>
      </w:rPr>
    </w:pPr>
    <w:r w:rsidRPr="00946BF8">
      <w:rPr>
        <w:lang w:val="fr-FR"/>
      </w:rPr>
      <w:t>PE</w:t>
    </w:r>
    <w:r w:rsidRPr="00946BF8">
      <w:rPr>
        <w:rStyle w:val="HideTWBExt"/>
        <w:lang w:val="fr-FR"/>
      </w:rPr>
      <w:t>&lt;NoPE&gt;</w:t>
    </w:r>
    <w:r w:rsidRPr="00946BF8">
      <w:rPr>
        <w:lang w:val="fr-FR"/>
      </w:rPr>
      <w:t>753.544</w:t>
    </w:r>
    <w:r w:rsidRPr="00946BF8">
      <w:rPr>
        <w:rStyle w:val="HideTWBExt"/>
        <w:lang w:val="fr-FR"/>
      </w:rPr>
      <w:t>&lt;/NoPE&gt;&lt;Version&gt;</w:t>
    </w:r>
    <w:r w:rsidRPr="00946BF8">
      <w:rPr>
        <w:lang w:val="fr-FR"/>
      </w:rPr>
      <w:t>v01-00</w:t>
    </w:r>
    <w:r w:rsidRPr="00946BF8">
      <w:rPr>
        <w:rStyle w:val="HideTWBExt"/>
        <w:lang w:val="fr-FR"/>
      </w:rPr>
      <w:t>&lt;/Version&gt;</w:t>
    </w:r>
    <w:r w:rsidRPr="00946BF8">
      <w:rPr>
        <w:lang w:val="fr-FR"/>
      </w:rPr>
      <w:tab/>
    </w:r>
    <w:r w:rsidRPr="00946BF8">
      <w:fldChar w:fldCharType="begin"/>
    </w:r>
    <w:r w:rsidRPr="00946BF8">
      <w:rPr>
        <w:lang w:val="fr-FR"/>
      </w:rPr>
      <w:instrText xml:space="preserve"> PAGE  \* MERGEFORMAT </w:instrText>
    </w:r>
    <w:r w:rsidRPr="00946BF8">
      <w:fldChar w:fldCharType="separate"/>
    </w:r>
    <w:r w:rsidR="002F6220">
      <w:rPr>
        <w:noProof/>
        <w:lang w:val="fr-FR"/>
      </w:rPr>
      <w:t>12</w:t>
    </w:r>
    <w:r w:rsidRPr="00946BF8">
      <w:fldChar w:fldCharType="end"/>
    </w:r>
    <w:r w:rsidRPr="00946BF8">
      <w:rPr>
        <w:lang w:val="fr-FR"/>
      </w:rPr>
      <w:t>/</w:t>
    </w:r>
    <w:r w:rsidRPr="00946BF8">
      <w:fldChar w:fldCharType="begin"/>
    </w:r>
    <w:r w:rsidRPr="00946BF8">
      <w:rPr>
        <w:lang w:val="fr-FR"/>
      </w:rPr>
      <w:instrText xml:space="preserve"> NUMPAGES  \* MERGEFORMAT </w:instrText>
    </w:r>
    <w:r w:rsidRPr="00946BF8">
      <w:fldChar w:fldCharType="separate"/>
    </w:r>
    <w:r w:rsidR="002F6220">
      <w:rPr>
        <w:noProof/>
        <w:lang w:val="fr-FR"/>
      </w:rPr>
      <w:t>16</w:t>
    </w:r>
    <w:r w:rsidRPr="00946BF8">
      <w:rPr>
        <w:noProof/>
      </w:rPr>
      <w:fldChar w:fldCharType="end"/>
    </w:r>
    <w:r w:rsidRPr="00946BF8">
      <w:rPr>
        <w:lang w:val="fr-FR"/>
      </w:rPr>
      <w:tab/>
    </w:r>
    <w:r w:rsidRPr="00946BF8">
      <w:rPr>
        <w:rStyle w:val="HideTWBExt"/>
        <w:lang w:val="fr-FR"/>
      </w:rPr>
      <w:t>&lt;PathFdR&gt;</w:t>
    </w:r>
    <w:r w:rsidRPr="00946BF8">
      <w:rPr>
        <w:lang w:val="fr-FR"/>
      </w:rPr>
      <w:t>PR\1286180EN.docx</w:t>
    </w:r>
    <w:r w:rsidRPr="00946BF8">
      <w:rPr>
        <w:rStyle w:val="HideTWBExt"/>
        <w:lang w:val="fr-FR"/>
      </w:rPr>
      <w:t>&lt;/PathFdR&gt;</w:t>
    </w:r>
  </w:p>
  <w:p w:rsidR="001A0962" w:rsidRPr="00946BF8" w:rsidRDefault="001A0962" w:rsidP="006366B7">
    <w:pPr>
      <w:pStyle w:val="EPFooter2"/>
    </w:pPr>
    <w:r w:rsidRPr="00946BF8">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62" w:rsidRPr="00946BF8" w:rsidRDefault="001A0962" w:rsidP="006366B7">
    <w:pPr>
      <w:pStyle w:val="EPFooter"/>
    </w:pPr>
    <w:r w:rsidRPr="00946BF8">
      <w:rPr>
        <w:rStyle w:val="HideTWBExt"/>
      </w:rPr>
      <w:t>&lt;PathFdR&gt;</w:t>
    </w:r>
    <w:r w:rsidRPr="00946BF8">
      <w:t>PR\1286180EN.docx</w:t>
    </w:r>
    <w:r w:rsidRPr="00946BF8">
      <w:rPr>
        <w:rStyle w:val="HideTWBExt"/>
      </w:rPr>
      <w:t>&lt;/PathFdR&gt;</w:t>
    </w:r>
    <w:r w:rsidRPr="00946BF8">
      <w:tab/>
    </w:r>
    <w:r w:rsidRPr="00946BF8">
      <w:fldChar w:fldCharType="begin"/>
    </w:r>
    <w:r w:rsidRPr="00946BF8">
      <w:instrText xml:space="preserve"> PAGE  \* MERGEFORMAT </w:instrText>
    </w:r>
    <w:r w:rsidRPr="00946BF8">
      <w:fldChar w:fldCharType="separate"/>
    </w:r>
    <w:r w:rsidR="002F6220">
      <w:rPr>
        <w:noProof/>
      </w:rPr>
      <w:t>11</w:t>
    </w:r>
    <w:r w:rsidRPr="00946BF8">
      <w:fldChar w:fldCharType="end"/>
    </w:r>
    <w:r w:rsidRPr="00946BF8">
      <w:t>/</w:t>
    </w:r>
    <w:r w:rsidR="00343EE3">
      <w:fldChar w:fldCharType="begin"/>
    </w:r>
    <w:r w:rsidR="00343EE3">
      <w:instrText xml:space="preserve"> NUMPAGES  \* MERGEFORMAT </w:instrText>
    </w:r>
    <w:r w:rsidR="00343EE3">
      <w:fldChar w:fldCharType="separate"/>
    </w:r>
    <w:r w:rsidR="002F6220">
      <w:rPr>
        <w:noProof/>
      </w:rPr>
      <w:t>16</w:t>
    </w:r>
    <w:r w:rsidR="00343EE3">
      <w:rPr>
        <w:noProof/>
      </w:rPr>
      <w:fldChar w:fldCharType="end"/>
    </w:r>
    <w:r w:rsidRPr="00946BF8">
      <w:tab/>
      <w:t>PE</w:t>
    </w:r>
    <w:r w:rsidRPr="00946BF8">
      <w:rPr>
        <w:rStyle w:val="HideTWBExt"/>
      </w:rPr>
      <w:t>&lt;NoPE&gt;</w:t>
    </w:r>
    <w:r w:rsidRPr="00946BF8">
      <w:t>753.544</w:t>
    </w:r>
    <w:r w:rsidRPr="00946BF8">
      <w:rPr>
        <w:rStyle w:val="HideTWBExt"/>
      </w:rPr>
      <w:t>&lt;/NoPE&gt;&lt;Version&gt;</w:t>
    </w:r>
    <w:r w:rsidRPr="00946BF8">
      <w:t>v01-00</w:t>
    </w:r>
    <w:r w:rsidRPr="00946BF8">
      <w:rPr>
        <w:rStyle w:val="HideTWBExt"/>
      </w:rPr>
      <w:t>&lt;/Version&gt;</w:t>
    </w:r>
  </w:p>
  <w:p w:rsidR="001A0962" w:rsidRPr="00946BF8" w:rsidRDefault="001A0962" w:rsidP="006366B7">
    <w:pPr>
      <w:pStyle w:val="EPFooter2"/>
    </w:pPr>
    <w:r w:rsidRPr="00946BF8">
      <w:tab/>
    </w:r>
    <w:r w:rsidRPr="00946BF8">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62" w:rsidRPr="00946BF8" w:rsidRDefault="001A0962" w:rsidP="006366B7">
    <w:pPr>
      <w:pStyle w:val="EPFooter"/>
    </w:pPr>
    <w:r w:rsidRPr="00946BF8">
      <w:rPr>
        <w:rStyle w:val="HideTWBExt"/>
      </w:rPr>
      <w:t>&lt;PathFdR&gt;</w:t>
    </w:r>
    <w:r w:rsidRPr="00946BF8">
      <w:t>PR\1286180EN.docx</w:t>
    </w:r>
    <w:r w:rsidRPr="00946BF8">
      <w:rPr>
        <w:rStyle w:val="HideTWBExt"/>
      </w:rPr>
      <w:t>&lt;/PathFdR&gt;</w:t>
    </w:r>
    <w:r w:rsidRPr="00946BF8">
      <w:tab/>
    </w:r>
    <w:r w:rsidRPr="00946BF8">
      <w:tab/>
      <w:t>PE</w:t>
    </w:r>
    <w:r w:rsidRPr="00946BF8">
      <w:rPr>
        <w:rStyle w:val="HideTWBExt"/>
      </w:rPr>
      <w:t>&lt;NoPE&gt;</w:t>
    </w:r>
    <w:r w:rsidRPr="00946BF8">
      <w:t>753.544</w:t>
    </w:r>
    <w:r w:rsidRPr="00946BF8">
      <w:rPr>
        <w:rStyle w:val="HideTWBExt"/>
      </w:rPr>
      <w:t>&lt;/NoPE&gt;&lt;Version&gt;</w:t>
    </w:r>
    <w:r w:rsidRPr="00946BF8">
      <w:t>v01-00</w:t>
    </w:r>
    <w:r w:rsidRPr="00946BF8">
      <w:rPr>
        <w:rStyle w:val="HideTWBExt"/>
      </w:rPr>
      <w:t>&lt;/Version&gt;</w:t>
    </w:r>
  </w:p>
  <w:p w:rsidR="001A0962" w:rsidRPr="00946BF8" w:rsidRDefault="001A0962" w:rsidP="006366B7">
    <w:pPr>
      <w:pStyle w:val="EPFooter2"/>
    </w:pPr>
    <w:r w:rsidRPr="00946BF8">
      <w:t>EN</w:t>
    </w:r>
    <w:r w:rsidRPr="00946BF8">
      <w:tab/>
    </w:r>
    <w:r w:rsidRPr="00946BF8">
      <w:rPr>
        <w:b w:val="0"/>
        <w:i/>
        <w:color w:val="C0C0C0"/>
        <w:sz w:val="22"/>
      </w:rPr>
      <w:t>United in diversity</w:t>
    </w:r>
    <w:r w:rsidRPr="00946BF8">
      <w:tab/>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E3" w:rsidRPr="00946BF8" w:rsidRDefault="00343EE3">
      <w:r w:rsidRPr="00946BF8">
        <w:separator/>
      </w:r>
    </w:p>
  </w:footnote>
  <w:footnote w:type="continuationSeparator" w:id="0">
    <w:p w:rsidR="00343EE3" w:rsidRPr="00946BF8" w:rsidRDefault="00343EE3">
      <w:r w:rsidRPr="00946BF8">
        <w:continuationSeparator/>
      </w:r>
    </w:p>
  </w:footnote>
  <w:footnote w:id="1">
    <w:p w:rsidR="001A0962" w:rsidRPr="00946BF8" w:rsidRDefault="001A0962" w:rsidP="0081016C">
      <w:pPr>
        <w:pStyle w:val="FootnoteText"/>
        <w:rPr>
          <w:sz w:val="24"/>
          <w:szCs w:val="24"/>
        </w:rPr>
      </w:pPr>
      <w:r w:rsidRPr="00946BF8">
        <w:rPr>
          <w:rStyle w:val="FootnoteReference"/>
        </w:rPr>
        <w:footnoteRef/>
      </w:r>
      <w:r w:rsidRPr="00946BF8">
        <w:rPr>
          <w:rStyle w:val="FootnoteReference"/>
        </w:rPr>
        <w:t xml:space="preserve"> </w:t>
      </w:r>
      <w:r w:rsidRPr="00946BF8">
        <w:t>Texts adopted, P9_TA(2023)0227.</w:t>
      </w:r>
    </w:p>
  </w:footnote>
  <w:footnote w:id="2">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 xml:space="preserve">Judgment of the General Court of 13 July 2022, </w:t>
      </w:r>
      <w:r w:rsidRPr="00946BF8">
        <w:rPr>
          <w:i/>
        </w:rPr>
        <w:t>Ilumina, Inc.</w:t>
      </w:r>
      <w:r w:rsidRPr="00946BF8">
        <w:t xml:space="preserve"> v </w:t>
      </w:r>
      <w:r w:rsidRPr="00946BF8">
        <w:rPr>
          <w:i/>
        </w:rPr>
        <w:t>European Commission</w:t>
      </w:r>
      <w:r w:rsidRPr="00946BF8">
        <w:t>, T-227/21, ECLI:EU:T:2022:447.</w:t>
      </w:r>
    </w:p>
  </w:footnote>
  <w:footnote w:id="3">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 xml:space="preserve">OJ C </w:t>
      </w:r>
      <w:r>
        <w:rPr>
          <w:lang w:val="pl-PL"/>
        </w:rPr>
        <w:t>131</w:t>
      </w:r>
      <w:r w:rsidRPr="00946BF8">
        <w:rPr>
          <w:lang w:val="pl-PL"/>
        </w:rPr>
        <w:t xml:space="preserve"> I, 24.3.2022, p. 1.</w:t>
      </w:r>
    </w:p>
  </w:footnote>
  <w:footnote w:id="4">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24, 29.1.2004, p. 1.</w:t>
      </w:r>
    </w:p>
  </w:footnote>
  <w:footnote w:id="5">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265, 12.10.2022, p. 1.</w:t>
      </w:r>
    </w:p>
  </w:footnote>
  <w:footnote w:id="6">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11, 14.1.2019, p. 3.</w:t>
      </w:r>
    </w:p>
  </w:footnote>
  <w:footnote w:id="7">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1, 4.1.2003, p. 1.</w:t>
      </w:r>
    </w:p>
  </w:footnote>
  <w:footnote w:id="8">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123, 27.4.2004, p. 18.</w:t>
      </w:r>
    </w:p>
  </w:footnote>
  <w:footnote w:id="9">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C 80, 18.2.2022, p. 1.</w:t>
      </w:r>
    </w:p>
  </w:footnote>
  <w:footnote w:id="10">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C 36, 31.1.2023, p. 1.</w:t>
      </w:r>
    </w:p>
  </w:footnote>
  <w:footnote w:id="11">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OJ L 330, 23.12.2022, p. 1.</w:t>
      </w:r>
    </w:p>
  </w:footnote>
  <w:footnote w:id="12">
    <w:p w:rsidR="001A0962" w:rsidRPr="00946BF8" w:rsidRDefault="001A0962" w:rsidP="0081016C">
      <w:pPr>
        <w:pStyle w:val="FootnoteText"/>
        <w:rPr>
          <w:lang w:val="pl-PL"/>
        </w:rPr>
      </w:pPr>
      <w:r w:rsidRPr="00946BF8">
        <w:rPr>
          <w:rStyle w:val="FootnoteReference"/>
        </w:rPr>
        <w:footnoteRef/>
      </w:r>
      <w:r w:rsidRPr="00946BF8">
        <w:rPr>
          <w:rStyle w:val="FootnoteReference"/>
          <w:lang w:val="pl-PL"/>
        </w:rPr>
        <w:t xml:space="preserve"> </w:t>
      </w:r>
      <w:r w:rsidRPr="00946BF8">
        <w:rPr>
          <w:lang w:val="pl-PL"/>
        </w:rPr>
        <w:t>https://state-of-the-union.ec.europa.eu/index_en.</w:t>
      </w:r>
    </w:p>
  </w:footnote>
  <w:footnote w:id="13">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OJ L 119, 5.5.2023, p. 22.</w:t>
      </w:r>
    </w:p>
  </w:footnote>
  <w:footnote w:id="14">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OJ C 23, 23.1.2023, p. 1.</w:t>
      </w:r>
    </w:p>
  </w:footnote>
  <w:footnote w:id="15">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 xml:space="preserve">Judgment of the Court (Grand Chamber) 4 July 2023, </w:t>
      </w:r>
      <w:r w:rsidRPr="00946BF8">
        <w:rPr>
          <w:i/>
        </w:rPr>
        <w:t>Meta Platforms and Others</w:t>
      </w:r>
      <w:r w:rsidRPr="00946BF8">
        <w:t>, C-252/21, ECLI:EU:C:2023:537.</w:t>
      </w:r>
    </w:p>
  </w:footnote>
  <w:footnote w:id="16">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https://competition-policy.ec.europa.eu/system/files/2023-05/IPCEIs_DG_COMP_code_of_good_practices.pdf.</w:t>
      </w:r>
    </w:p>
  </w:footnote>
  <w:footnote w:id="17">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OJ C 101, 27.4.2004, p. 78.</w:t>
      </w:r>
    </w:p>
  </w:footnote>
  <w:footnote w:id="18">
    <w:p w:rsidR="001A0962" w:rsidRPr="00946BF8" w:rsidRDefault="001A0962" w:rsidP="0081016C">
      <w:pPr>
        <w:pStyle w:val="FootnoteText"/>
      </w:pPr>
      <w:r w:rsidRPr="00946BF8">
        <w:rPr>
          <w:rStyle w:val="FootnoteReference"/>
        </w:rPr>
        <w:footnoteRef/>
      </w:r>
      <w:r w:rsidRPr="00946BF8">
        <w:rPr>
          <w:rStyle w:val="FootnoteReference"/>
        </w:rPr>
        <w:t xml:space="preserve"> </w:t>
      </w:r>
      <w:r w:rsidRPr="00946BF8">
        <w:t>OJ C 259, 21.7.2023, p. 1.</w:t>
      </w:r>
    </w:p>
  </w:footnote>
  <w:footnote w:id="19">
    <w:p w:rsidR="00260D01" w:rsidRPr="00260D01" w:rsidRDefault="00260D01">
      <w:pPr>
        <w:pStyle w:val="FootnoteText"/>
      </w:pPr>
      <w:r>
        <w:rPr>
          <w:rStyle w:val="FootnoteReference"/>
        </w:rPr>
        <w:footnoteRef/>
      </w:r>
      <w:r>
        <w:t xml:space="preserve"> OECD (2022), Competition and Inflation, OECD Competition Policy Roundtable Background Note, www.oecd.org/daf/competition/competition-and-inflation-2022.pdf.</w:t>
      </w:r>
    </w:p>
  </w:footnote>
  <w:footnote w:id="20">
    <w:p w:rsidR="001A0962" w:rsidRPr="00485C79" w:rsidRDefault="001A0962">
      <w:pPr>
        <w:pStyle w:val="FootnoteText"/>
      </w:pPr>
      <w:r w:rsidRPr="00D93F43">
        <w:rPr>
          <w:rStyle w:val="FootnoteReference"/>
        </w:rPr>
        <w:footnoteRef/>
      </w:r>
      <w:r w:rsidRPr="00D93F43">
        <w:t xml:space="preserve"> </w:t>
      </w:r>
      <w:r w:rsidRPr="00B90723">
        <w:rPr>
          <w:b/>
        </w:rPr>
        <w:t>Greece, Germany</w:t>
      </w:r>
    </w:p>
  </w:footnote>
  <w:footnote w:id="21">
    <w:p w:rsidR="00E86B5A" w:rsidRDefault="00E86B5A">
      <w:pPr>
        <w:pStyle w:val="FootnoteText"/>
      </w:pPr>
      <w:r w:rsidRPr="00E66362">
        <w:rPr>
          <w:rStyle w:val="FootnoteReference"/>
        </w:rPr>
        <w:footnoteRef/>
      </w:r>
      <w:r w:rsidRPr="00E66362">
        <w:t xml:space="preserve"> https://www.esma.europa.eu/sites/default/files/library/esma80-416-1564_report_on_cra_market_share_calculation_2022.pdf</w:t>
      </w:r>
    </w:p>
  </w:footnote>
  <w:footnote w:id="22">
    <w:p w:rsidR="00260D01" w:rsidRPr="00260D01" w:rsidRDefault="00260D01">
      <w:pPr>
        <w:pStyle w:val="FootnoteText"/>
      </w:pPr>
      <w:r w:rsidRPr="006F1546">
        <w:rPr>
          <w:rStyle w:val="FootnoteReference"/>
        </w:rPr>
        <w:footnoteRef/>
      </w:r>
      <w:r w:rsidRPr="006F1546">
        <w:t xml:space="preserve"> Booking Holdings/Etraveli group, Decision date 25/09/2023, https://competition-cases.ec.europa.eu/cases/M.10615</w:t>
      </w:r>
    </w:p>
  </w:footnote>
  <w:footnote w:id="23">
    <w:p w:rsidR="002E5D22" w:rsidRDefault="002E5D22">
      <w:pPr>
        <w:pStyle w:val="FootnoteText"/>
      </w:pPr>
      <w:r w:rsidRPr="0051365C">
        <w:rPr>
          <w:rStyle w:val="FootnoteReference"/>
        </w:rPr>
        <w:footnoteRef/>
      </w:r>
      <w:r w:rsidRPr="0051365C">
        <w:t xml:space="preserve"> https://ec.europa.eu/commission/presscorner/detail/en/ip_23_3991</w:t>
      </w:r>
    </w:p>
  </w:footnote>
  <w:footnote w:id="24">
    <w:p w:rsidR="00260D01" w:rsidRPr="0051365C" w:rsidRDefault="00260D01">
      <w:pPr>
        <w:pStyle w:val="FootnoteText"/>
      </w:pPr>
      <w:r w:rsidRPr="0051365C">
        <w:rPr>
          <w:rStyle w:val="FootnoteReference"/>
        </w:rPr>
        <w:footnoteRef/>
      </w:r>
      <w:r w:rsidRPr="0051365C">
        <w:t xml:space="preserve"> See official decisions DMA.100044, 100040, 100035, 100027, 100026, 100025, 100024, 100020, 100018, 100017, 100016, 100013, 100011: </w:t>
      </w:r>
      <w:hyperlink r:id="rId1" w:history="1">
        <w:r w:rsidRPr="0051365C">
          <w:rPr>
            <w:rStyle w:val="Hyperlink"/>
          </w:rPr>
          <w:t>https://digital-markets-act-cases.ec.europa.eu/search</w:t>
        </w:r>
      </w:hyperlink>
    </w:p>
    <w:p w:rsidR="00260D01" w:rsidRPr="0051365C" w:rsidRDefault="00260D01">
      <w:pPr>
        <w:pStyle w:val="FootnoteText"/>
      </w:pPr>
    </w:p>
  </w:footnote>
  <w:footnote w:id="25">
    <w:p w:rsidR="00F071FC" w:rsidRPr="0051365C" w:rsidRDefault="00F071FC" w:rsidP="00F071FC">
      <w:pPr>
        <w:pStyle w:val="Heading1"/>
        <w:shd w:val="clear" w:color="auto" w:fill="FFFFFF"/>
        <w:spacing w:before="0" w:after="0"/>
        <w:rPr>
          <w:rFonts w:ascii="Times New Roman" w:hAnsi="Times New Roman"/>
          <w:bCs/>
          <w:color w:val="112250"/>
          <w:kern w:val="36"/>
          <w:sz w:val="20"/>
        </w:rPr>
      </w:pPr>
      <w:r w:rsidRPr="0051365C">
        <w:rPr>
          <w:rStyle w:val="FootnoteReference"/>
          <w:rFonts w:ascii="Times New Roman" w:hAnsi="Times New Roman"/>
          <w:sz w:val="20"/>
        </w:rPr>
        <w:footnoteRef/>
      </w:r>
      <w:r w:rsidRPr="0051365C">
        <w:rPr>
          <w:rFonts w:ascii="Times New Roman" w:hAnsi="Times New Roman"/>
          <w:sz w:val="20"/>
        </w:rPr>
        <w:t xml:space="preserve"> </w:t>
      </w:r>
      <w:r w:rsidRPr="0051365C">
        <w:rPr>
          <w:rFonts w:ascii="Times New Roman" w:hAnsi="Times New Roman"/>
          <w:bCs/>
          <w:color w:val="112250"/>
          <w:kern w:val="36"/>
          <w:sz w:val="20"/>
        </w:rPr>
        <w:t>Study on the impact of recent developments in digital advertising on privacy, publishers and advertisers, p</w:t>
      </w:r>
      <w:r w:rsidR="007D1A63" w:rsidRPr="0051365C">
        <w:rPr>
          <w:rFonts w:ascii="Times New Roman" w:hAnsi="Times New Roman"/>
          <w:bCs/>
          <w:color w:val="112250"/>
          <w:kern w:val="36"/>
          <w:sz w:val="20"/>
        </w:rPr>
        <w:t>.</w:t>
      </w:r>
      <w:r w:rsidRPr="0051365C">
        <w:rPr>
          <w:rFonts w:ascii="Times New Roman" w:hAnsi="Times New Roman"/>
          <w:bCs/>
          <w:color w:val="112250"/>
          <w:kern w:val="36"/>
          <w:sz w:val="20"/>
        </w:rPr>
        <w:t xml:space="preserve"> 263-264</w:t>
      </w:r>
    </w:p>
    <w:p w:rsidR="00F071FC" w:rsidRPr="0051365C" w:rsidRDefault="00F071FC">
      <w:pPr>
        <w:pStyle w:val="FootnoteText"/>
      </w:pPr>
    </w:p>
  </w:footnote>
  <w:footnote w:id="26">
    <w:p w:rsidR="00E13B5F" w:rsidRPr="0051365C" w:rsidRDefault="00E13B5F">
      <w:pPr>
        <w:pStyle w:val="FootnoteText"/>
      </w:pPr>
      <w:r w:rsidRPr="0051365C">
        <w:rPr>
          <w:rStyle w:val="FootnoteReference"/>
        </w:rPr>
        <w:footnoteRef/>
      </w:r>
      <w:r w:rsidRPr="0051365C">
        <w:t xml:space="preserve"> Decision DMA. 100015; DMA 100028 and DMA 100034</w:t>
      </w:r>
    </w:p>
  </w:footnote>
  <w:footnote w:id="27">
    <w:p w:rsidR="00E13B5F" w:rsidRPr="00E13B5F" w:rsidRDefault="00E13B5F">
      <w:pPr>
        <w:pStyle w:val="FootnoteText"/>
      </w:pPr>
      <w:r w:rsidRPr="0051365C">
        <w:rPr>
          <w:rStyle w:val="FootnoteReference"/>
        </w:rPr>
        <w:footnoteRef/>
      </w:r>
      <w:r w:rsidRPr="0051365C">
        <w:t xml:space="preserve"> Decision DMA 100047 and 100022</w:t>
      </w:r>
    </w:p>
  </w:footnote>
  <w:footnote w:id="28">
    <w:p w:rsidR="00E86B5A" w:rsidRDefault="00E86B5A">
      <w:pPr>
        <w:pStyle w:val="FootnoteText"/>
      </w:pPr>
      <w:r w:rsidRPr="00473F6E">
        <w:rPr>
          <w:rStyle w:val="FootnoteReference"/>
        </w:rPr>
        <w:footnoteRef/>
      </w:r>
      <w:r w:rsidRPr="00473F6E">
        <w:t xml:space="preserve"> https://www.jftc.go.jp/en/pressreleases/yearly-2023/November/231108G7_result2EN.pdf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E417CC"/>
    <w:multiLevelType w:val="hybridMultilevel"/>
    <w:tmpl w:val="66206CBC"/>
    <w:lvl w:ilvl="0" w:tplc="536E0EE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ECON"/>
    <w:docVar w:name="LastEditedSection" w:val=" 1"/>
    <w:docVar w:name="MOTIONMNU" w:val=" 3"/>
    <w:docVar w:name="RULEMNU" w:val=" 1"/>
    <w:docVar w:name="strDocTypeID" w:val="PR_INI"/>
    <w:docVar w:name="strSubDir" w:val="1286"/>
    <w:docVar w:name="TITLEMNU" w:val=" 1"/>
    <w:docVar w:name="TXTLANGUE" w:val="EN"/>
    <w:docVar w:name="TXTLANGUEMIN" w:val="en"/>
    <w:docVar w:name="TXTNRINI" w:val="2023/2077"/>
    <w:docVar w:name="TXTNRPE" w:val="753.544"/>
    <w:docVar w:name="TXTPEorAP" w:val="PE"/>
    <w:docVar w:name="TXTROUTE" w:val="PR\1286180EN.docx"/>
    <w:docVar w:name="TXTTITLE" w:val="Competition policy – annual report 2023"/>
    <w:docVar w:name="TXTVERSION" w:val="01-00"/>
  </w:docVars>
  <w:rsids>
    <w:rsidRoot w:val="00E17902"/>
    <w:rsid w:val="00001214"/>
    <w:rsid w:val="00001450"/>
    <w:rsid w:val="0000299F"/>
    <w:rsid w:val="00040EAC"/>
    <w:rsid w:val="0007541B"/>
    <w:rsid w:val="00082B37"/>
    <w:rsid w:val="00090843"/>
    <w:rsid w:val="00095DF1"/>
    <w:rsid w:val="000A404B"/>
    <w:rsid w:val="000B1FDA"/>
    <w:rsid w:val="000D2631"/>
    <w:rsid w:val="000E4D7F"/>
    <w:rsid w:val="00100069"/>
    <w:rsid w:val="00100B6B"/>
    <w:rsid w:val="001011B8"/>
    <w:rsid w:val="001046B1"/>
    <w:rsid w:val="00105C44"/>
    <w:rsid w:val="0010613D"/>
    <w:rsid w:val="00143897"/>
    <w:rsid w:val="00155694"/>
    <w:rsid w:val="001A0962"/>
    <w:rsid w:val="001B207D"/>
    <w:rsid w:val="001B23E0"/>
    <w:rsid w:val="001D3B93"/>
    <w:rsid w:val="0020062F"/>
    <w:rsid w:val="00211003"/>
    <w:rsid w:val="002139B6"/>
    <w:rsid w:val="0023245A"/>
    <w:rsid w:val="00243A66"/>
    <w:rsid w:val="00251D54"/>
    <w:rsid w:val="002544DF"/>
    <w:rsid w:val="00260D01"/>
    <w:rsid w:val="00265A3B"/>
    <w:rsid w:val="002A1193"/>
    <w:rsid w:val="002A3798"/>
    <w:rsid w:val="002B2371"/>
    <w:rsid w:val="002D3953"/>
    <w:rsid w:val="002D707F"/>
    <w:rsid w:val="002E5D22"/>
    <w:rsid w:val="002F4DBE"/>
    <w:rsid w:val="002F6220"/>
    <w:rsid w:val="00335F69"/>
    <w:rsid w:val="00343EE3"/>
    <w:rsid w:val="00353E5F"/>
    <w:rsid w:val="00357BB0"/>
    <w:rsid w:val="00363894"/>
    <w:rsid w:val="003750DB"/>
    <w:rsid w:val="0038285F"/>
    <w:rsid w:val="00384F4E"/>
    <w:rsid w:val="00395A66"/>
    <w:rsid w:val="0039692C"/>
    <w:rsid w:val="003B4BB6"/>
    <w:rsid w:val="003B5CFE"/>
    <w:rsid w:val="003D43D5"/>
    <w:rsid w:val="003D5BCA"/>
    <w:rsid w:val="003E2689"/>
    <w:rsid w:val="003E5B48"/>
    <w:rsid w:val="003E6413"/>
    <w:rsid w:val="004016B4"/>
    <w:rsid w:val="00412CCC"/>
    <w:rsid w:val="004200B3"/>
    <w:rsid w:val="00432B50"/>
    <w:rsid w:val="004362FC"/>
    <w:rsid w:val="00454EF4"/>
    <w:rsid w:val="00455003"/>
    <w:rsid w:val="00466A1A"/>
    <w:rsid w:val="00473F6E"/>
    <w:rsid w:val="00485C79"/>
    <w:rsid w:val="004D1285"/>
    <w:rsid w:val="004D7319"/>
    <w:rsid w:val="004E04DA"/>
    <w:rsid w:val="0051365C"/>
    <w:rsid w:val="00531F4C"/>
    <w:rsid w:val="00584A07"/>
    <w:rsid w:val="005907DD"/>
    <w:rsid w:val="0060385F"/>
    <w:rsid w:val="00614159"/>
    <w:rsid w:val="00622B82"/>
    <w:rsid w:val="006272CD"/>
    <w:rsid w:val="006366B7"/>
    <w:rsid w:val="00665B96"/>
    <w:rsid w:val="006734AD"/>
    <w:rsid w:val="006753FD"/>
    <w:rsid w:val="00684B3F"/>
    <w:rsid w:val="006B03A1"/>
    <w:rsid w:val="006C14BE"/>
    <w:rsid w:val="006C2C7B"/>
    <w:rsid w:val="006C5C64"/>
    <w:rsid w:val="006D1704"/>
    <w:rsid w:val="006E3CA3"/>
    <w:rsid w:val="006F1546"/>
    <w:rsid w:val="00705D44"/>
    <w:rsid w:val="00710800"/>
    <w:rsid w:val="00714ED3"/>
    <w:rsid w:val="00722325"/>
    <w:rsid w:val="00725D80"/>
    <w:rsid w:val="007264C3"/>
    <w:rsid w:val="00726C82"/>
    <w:rsid w:val="00784B3C"/>
    <w:rsid w:val="007963C6"/>
    <w:rsid w:val="007A23AD"/>
    <w:rsid w:val="007D1A63"/>
    <w:rsid w:val="007D664E"/>
    <w:rsid w:val="007E351F"/>
    <w:rsid w:val="007E68E0"/>
    <w:rsid w:val="007F3003"/>
    <w:rsid w:val="007F3226"/>
    <w:rsid w:val="007F7313"/>
    <w:rsid w:val="0081016C"/>
    <w:rsid w:val="0081546D"/>
    <w:rsid w:val="008244E8"/>
    <w:rsid w:val="00833603"/>
    <w:rsid w:val="00865656"/>
    <w:rsid w:val="00865663"/>
    <w:rsid w:val="008960E9"/>
    <w:rsid w:val="008A3F61"/>
    <w:rsid w:val="008C458A"/>
    <w:rsid w:val="008C4C65"/>
    <w:rsid w:val="0090583E"/>
    <w:rsid w:val="0090654C"/>
    <w:rsid w:val="009246BC"/>
    <w:rsid w:val="00946BF8"/>
    <w:rsid w:val="0095536F"/>
    <w:rsid w:val="00956282"/>
    <w:rsid w:val="00963D0E"/>
    <w:rsid w:val="00980E42"/>
    <w:rsid w:val="00984869"/>
    <w:rsid w:val="009940EF"/>
    <w:rsid w:val="00996AC6"/>
    <w:rsid w:val="009B642C"/>
    <w:rsid w:val="009C61DD"/>
    <w:rsid w:val="009D12D3"/>
    <w:rsid w:val="009E4ABB"/>
    <w:rsid w:val="009F20D7"/>
    <w:rsid w:val="00A22C92"/>
    <w:rsid w:val="00A25871"/>
    <w:rsid w:val="00A5399F"/>
    <w:rsid w:val="00A57FA1"/>
    <w:rsid w:val="00A8671C"/>
    <w:rsid w:val="00AF310F"/>
    <w:rsid w:val="00AF3814"/>
    <w:rsid w:val="00AF39F3"/>
    <w:rsid w:val="00B17532"/>
    <w:rsid w:val="00B26BB6"/>
    <w:rsid w:val="00B70899"/>
    <w:rsid w:val="00B90723"/>
    <w:rsid w:val="00B90895"/>
    <w:rsid w:val="00B93458"/>
    <w:rsid w:val="00BA2A57"/>
    <w:rsid w:val="00BA5076"/>
    <w:rsid w:val="00BB581E"/>
    <w:rsid w:val="00BB70F1"/>
    <w:rsid w:val="00BC7C60"/>
    <w:rsid w:val="00BD1AFA"/>
    <w:rsid w:val="00BE4044"/>
    <w:rsid w:val="00C00074"/>
    <w:rsid w:val="00C13234"/>
    <w:rsid w:val="00C14DC7"/>
    <w:rsid w:val="00C33EDC"/>
    <w:rsid w:val="00C73554"/>
    <w:rsid w:val="00C909F6"/>
    <w:rsid w:val="00C93A60"/>
    <w:rsid w:val="00CA2E7F"/>
    <w:rsid w:val="00CD3E8A"/>
    <w:rsid w:val="00CE0E37"/>
    <w:rsid w:val="00CE7A25"/>
    <w:rsid w:val="00D06247"/>
    <w:rsid w:val="00D31D25"/>
    <w:rsid w:val="00D345A0"/>
    <w:rsid w:val="00D36E2B"/>
    <w:rsid w:val="00D47736"/>
    <w:rsid w:val="00D47BB0"/>
    <w:rsid w:val="00D70EE2"/>
    <w:rsid w:val="00D718C6"/>
    <w:rsid w:val="00D8039B"/>
    <w:rsid w:val="00D838D7"/>
    <w:rsid w:val="00D93F43"/>
    <w:rsid w:val="00DA67A8"/>
    <w:rsid w:val="00DB3010"/>
    <w:rsid w:val="00DB4680"/>
    <w:rsid w:val="00DD1A64"/>
    <w:rsid w:val="00DD6ECD"/>
    <w:rsid w:val="00DD7B9D"/>
    <w:rsid w:val="00DF2A59"/>
    <w:rsid w:val="00E13B5F"/>
    <w:rsid w:val="00E155CA"/>
    <w:rsid w:val="00E15CFE"/>
    <w:rsid w:val="00E17902"/>
    <w:rsid w:val="00E22CFB"/>
    <w:rsid w:val="00E3537C"/>
    <w:rsid w:val="00E57FE0"/>
    <w:rsid w:val="00E61690"/>
    <w:rsid w:val="00E66362"/>
    <w:rsid w:val="00E86B5A"/>
    <w:rsid w:val="00E871D2"/>
    <w:rsid w:val="00E97E69"/>
    <w:rsid w:val="00EB3DB1"/>
    <w:rsid w:val="00EB61B1"/>
    <w:rsid w:val="00ED0C58"/>
    <w:rsid w:val="00ED42CB"/>
    <w:rsid w:val="00EE1FCD"/>
    <w:rsid w:val="00EE4EB8"/>
    <w:rsid w:val="00EE6229"/>
    <w:rsid w:val="00EF3290"/>
    <w:rsid w:val="00EF7780"/>
    <w:rsid w:val="00F071FC"/>
    <w:rsid w:val="00F076A5"/>
    <w:rsid w:val="00F145ED"/>
    <w:rsid w:val="00F3651F"/>
    <w:rsid w:val="00F714A9"/>
    <w:rsid w:val="00F77C28"/>
    <w:rsid w:val="00FA0E2D"/>
    <w:rsid w:val="00FA6BE2"/>
    <w:rsid w:val="00FB14C0"/>
    <w:rsid w:val="00FD3897"/>
    <w:rsid w:val="00FE081C"/>
    <w:rsid w:val="00FE3DE9"/>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E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semiHidden="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45A"/>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uiPriority w:val="39"/>
    <w:rsid w:val="007963C6"/>
    <w:pPr>
      <w:spacing w:after="240"/>
    </w:pPr>
  </w:style>
  <w:style w:type="paragraph" w:styleId="TOCHeading">
    <w:name w:val="TOC Heading"/>
    <w:basedOn w:val="Normal"/>
    <w:next w:val="TOCPage"/>
    <w:qFormat/>
    <w:pPr>
      <w:keepNext/>
      <w:spacing w:before="240" w:after="240"/>
      <w:jc w:val="center"/>
    </w:pPr>
    <w:rPr>
      <w:rFonts w:ascii="Arial" w:hAnsi="Arial"/>
      <w:b/>
    </w:rPr>
  </w:style>
  <w:style w:type="paragraph" w:customStyle="1" w:styleId="TOCPage">
    <w:name w:val="TOC Page"/>
    <w:basedOn w:val="Normal"/>
    <w:next w:val="TOC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PageHeading">
    <w:name w:val="PageHeading"/>
    <w:basedOn w:val="Normal"/>
    <w:pPr>
      <w:keepNext/>
      <w:spacing w:after="480"/>
      <w:jc w:val="center"/>
    </w:pPr>
    <w:rPr>
      <w:rFonts w:ascii="Arial" w:hAnsi="Arial" w:cs="Arial"/>
      <w:b/>
    </w:rPr>
  </w:style>
  <w:style w:type="paragraph" w:customStyle="1" w:styleId="NormalBold">
    <w:name w:val="NormalBold"/>
    <w:basedOn w:val="Normal"/>
    <w:rPr>
      <w:b/>
    </w:rPr>
  </w:style>
  <w:style w:type="paragraph" w:customStyle="1" w:styleId="NormalHanging12a">
    <w:name w:val="NormalHanging12a"/>
    <w:basedOn w:val="Normal"/>
    <w:pPr>
      <w:spacing w:after="240"/>
      <w:ind w:left="567" w:hanging="567"/>
    </w:pPr>
  </w:style>
  <w:style w:type="paragraph" w:customStyle="1" w:styleId="EPName">
    <w:name w:val="EPName"/>
    <w:basedOn w:val="Normal"/>
    <w:rsid w:val="002544DF"/>
    <w:pPr>
      <w:spacing w:before="80" w:after="80"/>
    </w:pPr>
    <w:rPr>
      <w:rFonts w:ascii="Arial Narrow" w:hAnsi="Arial Narrow" w:cs="Arial"/>
      <w:b/>
      <w:sz w:val="32"/>
      <w:szCs w:val="22"/>
    </w:rPr>
  </w:style>
  <w:style w:type="paragraph" w:customStyle="1" w:styleId="CoverNormal24a">
    <w:name w:val="CoverNormal24a"/>
    <w:basedOn w:val="Normal"/>
    <w:rsid w:val="00584A07"/>
    <w:pPr>
      <w:spacing w:after="480"/>
      <w:ind w:left="1417"/>
    </w:pPr>
  </w:style>
  <w:style w:type="paragraph" w:customStyle="1" w:styleId="CoverNormal">
    <w:name w:val="CoverNormal"/>
    <w:basedOn w:val="Normal"/>
    <w:pPr>
      <w:ind w:left="1418"/>
    </w:pPr>
  </w:style>
  <w:style w:type="paragraph" w:customStyle="1" w:styleId="CoverReference">
    <w:name w:val="CoverReference"/>
    <w:basedOn w:val="Normal"/>
    <w:rsid w:val="00B17532"/>
    <w:pPr>
      <w:spacing w:before="1080"/>
      <w:jc w:val="right"/>
    </w:pPr>
    <w:rPr>
      <w:rFonts w:ascii="Arial" w:hAnsi="Arial" w:cs="Arial"/>
      <w:b/>
    </w:rPr>
  </w:style>
  <w:style w:type="paragraph" w:customStyle="1" w:styleId="CoverDocType24a">
    <w:name w:val="CoverDocType24a"/>
    <w:basedOn w:val="Normal"/>
    <w:rsid w:val="00584A07"/>
    <w:pPr>
      <w:spacing w:after="480"/>
      <w:ind w:left="1418"/>
    </w:pPr>
    <w:rPr>
      <w:rFonts w:ascii="Arial" w:hAnsi="Arial"/>
      <w:b/>
      <w:sz w:val="48"/>
    </w:rPr>
  </w:style>
  <w:style w:type="paragraph" w:customStyle="1" w:styleId="CoverDate">
    <w:name w:val="CoverDate"/>
    <w:basedOn w:val="Normal"/>
    <w:pPr>
      <w:spacing w:before="240" w:after="1200"/>
    </w:pPr>
  </w:style>
  <w:style w:type="paragraph" w:styleId="Header">
    <w:name w:val="header"/>
    <w:basedOn w:val="Normal"/>
    <w:link w:val="HeaderChar"/>
    <w:semiHidden/>
    <w:rsid w:val="00105C44"/>
    <w:pPr>
      <w:tabs>
        <w:tab w:val="center" w:pos="4513"/>
        <w:tab w:val="right" w:pos="9026"/>
      </w:tabs>
    </w:pPr>
  </w:style>
  <w:style w:type="table" w:styleId="TableGrid">
    <w:name w:val="Table Grid"/>
    <w:basedOn w:val="TableNormal"/>
    <w:rsid w:val="00E3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E3537C"/>
    <w:pPr>
      <w:jc w:val="center"/>
    </w:pPr>
    <w:rPr>
      <w:rFonts w:ascii="Arial" w:hAnsi="Arial" w:cs="Arial"/>
      <w:i/>
      <w:sz w:val="22"/>
      <w:szCs w:val="22"/>
    </w:rPr>
  </w:style>
  <w:style w:type="paragraph" w:customStyle="1" w:styleId="LineTop">
    <w:name w:val="LineTop"/>
    <w:basedOn w:val="Normal"/>
    <w:next w:val="Normal"/>
    <w:rsid w:val="00E3537C"/>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E3537C"/>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2544DF"/>
    <w:pPr>
      <w:spacing w:after="80"/>
    </w:pPr>
    <w:rPr>
      <w:rFonts w:ascii="Arial" w:hAnsi="Arial" w:cs="Arial"/>
      <w:sz w:val="20"/>
      <w:szCs w:val="22"/>
    </w:rPr>
  </w:style>
  <w:style w:type="paragraph" w:customStyle="1" w:styleId="EPLogo">
    <w:name w:val="EPLogo"/>
    <w:basedOn w:val="Normal"/>
    <w:qFormat/>
    <w:rsid w:val="002544DF"/>
    <w:pPr>
      <w:jc w:val="right"/>
    </w:pPr>
  </w:style>
  <w:style w:type="paragraph" w:customStyle="1" w:styleId="EPFooter">
    <w:name w:val="EPFooter"/>
    <w:basedOn w:val="Normal"/>
    <w:rsid w:val="00584A07"/>
    <w:pPr>
      <w:tabs>
        <w:tab w:val="center" w:pos="4535"/>
        <w:tab w:val="right" w:pos="9071"/>
      </w:tabs>
      <w:spacing w:before="240" w:after="240"/>
    </w:pPr>
    <w:rPr>
      <w:color w:val="010000"/>
      <w:sz w:val="22"/>
    </w:rPr>
  </w:style>
  <w:style w:type="character" w:customStyle="1" w:styleId="HeaderChar">
    <w:name w:val="Header Char"/>
    <w:basedOn w:val="DefaultParagraphFont"/>
    <w:link w:val="Header"/>
    <w:semiHidden/>
    <w:rsid w:val="00105C44"/>
    <w:rPr>
      <w:sz w:val="24"/>
    </w:rPr>
  </w:style>
  <w:style w:type="paragraph" w:customStyle="1" w:styleId="EPComma">
    <w:name w:val="EPComma"/>
    <w:basedOn w:val="Normal"/>
    <w:rsid w:val="00432B50"/>
    <w:pPr>
      <w:spacing w:before="480" w:after="240"/>
    </w:pPr>
  </w:style>
  <w:style w:type="paragraph" w:styleId="FootnoteText">
    <w:name w:val="footnote text"/>
    <w:basedOn w:val="Normal"/>
    <w:link w:val="FootnoteTextChar"/>
    <w:unhideWhenUsed/>
    <w:rsid w:val="002F4DBE"/>
    <w:pPr>
      <w:widowControl/>
      <w:snapToGrid w:val="0"/>
    </w:pPr>
    <w:rPr>
      <w:sz w:val="20"/>
    </w:rPr>
  </w:style>
  <w:style w:type="character" w:customStyle="1" w:styleId="FootnoteTextChar">
    <w:name w:val="Footnote Text Char"/>
    <w:basedOn w:val="DefaultParagraphFont"/>
    <w:link w:val="FootnoteText"/>
    <w:rsid w:val="002F4DBE"/>
  </w:style>
  <w:style w:type="character" w:styleId="FootnoteReference">
    <w:name w:val="footnote reference"/>
    <w:basedOn w:val="DefaultParagraphFont"/>
    <w:unhideWhenUsed/>
    <w:rsid w:val="002F4DBE"/>
    <w:rPr>
      <w:vertAlign w:val="superscript"/>
    </w:rPr>
  </w:style>
  <w:style w:type="character" w:styleId="CommentReference">
    <w:name w:val="annotation reference"/>
    <w:basedOn w:val="DefaultParagraphFont"/>
    <w:rsid w:val="00833603"/>
    <w:rPr>
      <w:sz w:val="16"/>
      <w:szCs w:val="16"/>
    </w:rPr>
  </w:style>
  <w:style w:type="paragraph" w:styleId="CommentText">
    <w:name w:val="annotation text"/>
    <w:basedOn w:val="Normal"/>
    <w:link w:val="CommentTextChar"/>
    <w:rsid w:val="00833603"/>
    <w:rPr>
      <w:sz w:val="20"/>
    </w:rPr>
  </w:style>
  <w:style w:type="character" w:customStyle="1" w:styleId="CommentTextChar">
    <w:name w:val="Comment Text Char"/>
    <w:basedOn w:val="DefaultParagraphFont"/>
    <w:link w:val="CommentText"/>
    <w:rsid w:val="00833603"/>
  </w:style>
  <w:style w:type="paragraph" w:styleId="CommentSubject">
    <w:name w:val="annotation subject"/>
    <w:basedOn w:val="CommentText"/>
    <w:next w:val="CommentText"/>
    <w:link w:val="CommentSubjectChar"/>
    <w:semiHidden/>
    <w:unhideWhenUsed/>
    <w:rsid w:val="00833603"/>
    <w:rPr>
      <w:b/>
      <w:bCs/>
    </w:rPr>
  </w:style>
  <w:style w:type="character" w:customStyle="1" w:styleId="CommentSubjectChar">
    <w:name w:val="Comment Subject Char"/>
    <w:basedOn w:val="CommentTextChar"/>
    <w:link w:val="CommentSubject"/>
    <w:semiHidden/>
    <w:rsid w:val="00833603"/>
    <w:rPr>
      <w:b/>
      <w:bCs/>
    </w:rPr>
  </w:style>
  <w:style w:type="paragraph" w:styleId="BalloonText">
    <w:name w:val="Balloon Text"/>
    <w:basedOn w:val="Normal"/>
    <w:link w:val="BalloonTextChar"/>
    <w:semiHidden/>
    <w:unhideWhenUsed/>
    <w:rsid w:val="00833603"/>
    <w:rPr>
      <w:rFonts w:ascii="Segoe UI" w:hAnsi="Segoe UI" w:cs="Segoe UI"/>
      <w:sz w:val="18"/>
      <w:szCs w:val="18"/>
    </w:rPr>
  </w:style>
  <w:style w:type="character" w:customStyle="1" w:styleId="BalloonTextChar">
    <w:name w:val="Balloon Text Char"/>
    <w:basedOn w:val="DefaultParagraphFont"/>
    <w:link w:val="BalloonText"/>
    <w:semiHidden/>
    <w:rsid w:val="00833603"/>
    <w:rPr>
      <w:rFonts w:ascii="Segoe UI" w:hAnsi="Segoe UI" w:cs="Segoe UI"/>
      <w:sz w:val="18"/>
      <w:szCs w:val="18"/>
    </w:rPr>
  </w:style>
  <w:style w:type="paragraph" w:styleId="Footer">
    <w:name w:val="footer"/>
    <w:basedOn w:val="Normal"/>
    <w:link w:val="FooterChar"/>
    <w:semiHidden/>
    <w:rsid w:val="00725D80"/>
    <w:pPr>
      <w:tabs>
        <w:tab w:val="center" w:pos="4513"/>
        <w:tab w:val="right" w:pos="9026"/>
      </w:tabs>
    </w:pPr>
  </w:style>
  <w:style w:type="character" w:customStyle="1" w:styleId="FooterChar">
    <w:name w:val="Footer Char"/>
    <w:basedOn w:val="DefaultParagraphFont"/>
    <w:link w:val="Footer"/>
    <w:semiHidden/>
    <w:rsid w:val="00725D80"/>
    <w:rPr>
      <w:sz w:val="24"/>
    </w:rPr>
  </w:style>
  <w:style w:type="character" w:styleId="Hyperlink">
    <w:name w:val="Hyperlink"/>
    <w:basedOn w:val="DefaultParagraphFont"/>
    <w:rsid w:val="006D1704"/>
    <w:rPr>
      <w:color w:val="0563C1" w:themeColor="hyperlink"/>
      <w:u w:val="single"/>
    </w:rPr>
  </w:style>
  <w:style w:type="paragraph" w:styleId="NormalWeb">
    <w:name w:val="Normal (Web)"/>
    <w:basedOn w:val="Normal"/>
    <w:uiPriority w:val="99"/>
    <w:unhideWhenUsed/>
    <w:rsid w:val="00A8671C"/>
    <w:pPr>
      <w:widowControl/>
      <w:spacing w:before="100" w:beforeAutospacing="1" w:after="100" w:afterAutospacing="1"/>
    </w:pPr>
    <w:rPr>
      <w:szCs w:val="24"/>
    </w:rPr>
  </w:style>
  <w:style w:type="paragraph" w:styleId="Revision">
    <w:name w:val="Revision"/>
    <w:hidden/>
    <w:uiPriority w:val="99"/>
    <w:semiHidden/>
    <w:rsid w:val="004E04DA"/>
    <w:rPr>
      <w:sz w:val="24"/>
    </w:rPr>
  </w:style>
  <w:style w:type="character" w:customStyle="1" w:styleId="Heading1Char">
    <w:name w:val="Heading 1 Char"/>
    <w:basedOn w:val="DefaultParagraphFont"/>
    <w:link w:val="Heading1"/>
    <w:uiPriority w:val="9"/>
    <w:rsid w:val="00F071FC"/>
    <w:rPr>
      <w:rFonts w:ascii="Arial" w:hAnsi="Arial"/>
      <w:b/>
      <w:kern w:val="28"/>
      <w:sz w:val="28"/>
    </w:rPr>
  </w:style>
  <w:style w:type="character" w:styleId="Strong">
    <w:name w:val="Strong"/>
    <w:basedOn w:val="DefaultParagraphFont"/>
    <w:uiPriority w:val="22"/>
    <w:qFormat/>
    <w:rsid w:val="007F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8173">
      <w:bodyDiv w:val="1"/>
      <w:marLeft w:val="0"/>
      <w:marRight w:val="0"/>
      <w:marTop w:val="0"/>
      <w:marBottom w:val="0"/>
      <w:divBdr>
        <w:top w:val="none" w:sz="0" w:space="0" w:color="auto"/>
        <w:left w:val="none" w:sz="0" w:space="0" w:color="auto"/>
        <w:bottom w:val="none" w:sz="0" w:space="0" w:color="auto"/>
        <w:right w:val="none" w:sz="0" w:space="0" w:color="auto"/>
      </w:divBdr>
    </w:div>
    <w:div w:id="694430139">
      <w:bodyDiv w:val="1"/>
      <w:marLeft w:val="0"/>
      <w:marRight w:val="0"/>
      <w:marTop w:val="0"/>
      <w:marBottom w:val="0"/>
      <w:divBdr>
        <w:top w:val="none" w:sz="0" w:space="0" w:color="auto"/>
        <w:left w:val="none" w:sz="0" w:space="0" w:color="auto"/>
        <w:bottom w:val="none" w:sz="0" w:space="0" w:color="auto"/>
        <w:right w:val="none" w:sz="0" w:space="0" w:color="auto"/>
      </w:divBdr>
    </w:div>
    <w:div w:id="815876667">
      <w:bodyDiv w:val="1"/>
      <w:marLeft w:val="0"/>
      <w:marRight w:val="0"/>
      <w:marTop w:val="0"/>
      <w:marBottom w:val="0"/>
      <w:divBdr>
        <w:top w:val="none" w:sz="0" w:space="0" w:color="auto"/>
        <w:left w:val="none" w:sz="0" w:space="0" w:color="auto"/>
        <w:bottom w:val="none" w:sz="0" w:space="0" w:color="auto"/>
        <w:right w:val="none" w:sz="0" w:space="0" w:color="auto"/>
      </w:divBdr>
    </w:div>
    <w:div w:id="970134050">
      <w:bodyDiv w:val="1"/>
      <w:marLeft w:val="0"/>
      <w:marRight w:val="0"/>
      <w:marTop w:val="0"/>
      <w:marBottom w:val="0"/>
      <w:divBdr>
        <w:top w:val="none" w:sz="0" w:space="0" w:color="auto"/>
        <w:left w:val="none" w:sz="0" w:space="0" w:color="auto"/>
        <w:bottom w:val="none" w:sz="0" w:space="0" w:color="auto"/>
        <w:right w:val="none" w:sz="0" w:space="0" w:color="auto"/>
      </w:divBdr>
    </w:div>
    <w:div w:id="992371477">
      <w:bodyDiv w:val="1"/>
      <w:marLeft w:val="0"/>
      <w:marRight w:val="0"/>
      <w:marTop w:val="0"/>
      <w:marBottom w:val="0"/>
      <w:divBdr>
        <w:top w:val="none" w:sz="0" w:space="0" w:color="auto"/>
        <w:left w:val="none" w:sz="0" w:space="0" w:color="auto"/>
        <w:bottom w:val="none" w:sz="0" w:space="0" w:color="auto"/>
        <w:right w:val="none" w:sz="0" w:space="0" w:color="auto"/>
      </w:divBdr>
    </w:div>
    <w:div w:id="1195456938">
      <w:bodyDiv w:val="1"/>
      <w:marLeft w:val="0"/>
      <w:marRight w:val="0"/>
      <w:marTop w:val="0"/>
      <w:marBottom w:val="0"/>
      <w:divBdr>
        <w:top w:val="none" w:sz="0" w:space="0" w:color="auto"/>
        <w:left w:val="none" w:sz="0" w:space="0" w:color="auto"/>
        <w:bottom w:val="none" w:sz="0" w:space="0" w:color="auto"/>
        <w:right w:val="none" w:sz="0" w:space="0" w:color="auto"/>
      </w:divBdr>
    </w:div>
    <w:div w:id="1426226102">
      <w:bodyDiv w:val="1"/>
      <w:marLeft w:val="0"/>
      <w:marRight w:val="0"/>
      <w:marTop w:val="0"/>
      <w:marBottom w:val="0"/>
      <w:divBdr>
        <w:top w:val="none" w:sz="0" w:space="0" w:color="auto"/>
        <w:left w:val="none" w:sz="0" w:space="0" w:color="auto"/>
        <w:bottom w:val="none" w:sz="0" w:space="0" w:color="auto"/>
        <w:right w:val="none" w:sz="0" w:space="0" w:color="auto"/>
      </w:divBdr>
    </w:div>
    <w:div w:id="1449739916">
      <w:bodyDiv w:val="1"/>
      <w:marLeft w:val="0"/>
      <w:marRight w:val="0"/>
      <w:marTop w:val="0"/>
      <w:marBottom w:val="0"/>
      <w:divBdr>
        <w:top w:val="none" w:sz="0" w:space="0" w:color="auto"/>
        <w:left w:val="none" w:sz="0" w:space="0" w:color="auto"/>
        <w:bottom w:val="none" w:sz="0" w:space="0" w:color="auto"/>
        <w:right w:val="none" w:sz="0" w:space="0" w:color="auto"/>
      </w:divBdr>
    </w:div>
    <w:div w:id="1678729679">
      <w:bodyDiv w:val="1"/>
      <w:marLeft w:val="0"/>
      <w:marRight w:val="0"/>
      <w:marTop w:val="0"/>
      <w:marBottom w:val="0"/>
      <w:divBdr>
        <w:top w:val="none" w:sz="0" w:space="0" w:color="auto"/>
        <w:left w:val="none" w:sz="0" w:space="0" w:color="auto"/>
        <w:bottom w:val="none" w:sz="0" w:space="0" w:color="auto"/>
        <w:right w:val="none" w:sz="0" w:space="0" w:color="auto"/>
      </w:divBdr>
    </w:div>
    <w:div w:id="21087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markets-act-cases.ec.europa.eu/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5DD7-E973-4CE0-8F19-DC46A945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5894</Words>
  <Characters>32419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2023-11-28T13:49:00Z</dcterms:created>
  <dcterms:modified xsi:type="dcterms:W3CDTF">2023-11-28T13:49:00Z</dcterms:modified>
</cp:coreProperties>
</file>