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A4C0D" w14:textId="5644A6D3" w:rsidR="00791C8B" w:rsidRDefault="004D3809" w:rsidP="00791C8B">
      <w:pPr>
        <w:jc w:val="center"/>
        <w:rPr>
          <w:rFonts w:eastAsia="Times New Roman"/>
          <w:b/>
          <w:iCs/>
          <w:sz w:val="28"/>
          <w:lang w:eastAsia="en-GB"/>
        </w:rPr>
      </w:pPr>
      <w:r>
        <w:rPr>
          <w:rFonts w:eastAsia="Times New Roman"/>
          <w:b/>
          <w:iCs/>
          <w:sz w:val="28"/>
          <w:lang w:eastAsia="en-GB"/>
        </w:rPr>
        <w:t xml:space="preserve">Version </w:t>
      </w:r>
      <w:r w:rsidR="009B7DBB">
        <w:rPr>
          <w:rFonts w:eastAsia="Times New Roman"/>
          <w:b/>
          <w:iCs/>
          <w:sz w:val="28"/>
          <w:lang w:eastAsia="en-GB"/>
        </w:rPr>
        <w:t>17 Januar 2024</w:t>
      </w:r>
    </w:p>
    <w:p w14:paraId="0CC467BE" w14:textId="77777777" w:rsidR="00791C8B" w:rsidRPr="00B4081D" w:rsidRDefault="00791C8B" w:rsidP="00791C8B">
      <w:pPr>
        <w:jc w:val="center"/>
        <w:rPr>
          <w:rFonts w:eastAsia="Times New Roman"/>
          <w:b/>
          <w:iCs/>
          <w:sz w:val="20"/>
          <w:szCs w:val="20"/>
          <w:lang w:eastAsia="en-GB"/>
        </w:rPr>
      </w:pPr>
    </w:p>
    <w:p w14:paraId="65CC8F68" w14:textId="77777777" w:rsidR="00791C8B" w:rsidRPr="00F64EDA" w:rsidRDefault="00791C8B" w:rsidP="00791C8B">
      <w:pPr>
        <w:pBdr>
          <w:top w:val="single" w:sz="4" w:space="1" w:color="auto"/>
          <w:left w:val="single" w:sz="4" w:space="4" w:color="auto"/>
          <w:bottom w:val="single" w:sz="4" w:space="1" w:color="auto"/>
          <w:right w:val="single" w:sz="4" w:space="4" w:color="auto"/>
        </w:pBdr>
        <w:jc w:val="center"/>
        <w:rPr>
          <w:rFonts w:eastAsia="Times New Roman"/>
          <w:b/>
          <w:iCs/>
          <w:sz w:val="28"/>
          <w:lang w:eastAsia="en-GB"/>
        </w:rPr>
      </w:pPr>
      <w:r>
        <w:rPr>
          <w:rFonts w:eastAsia="Times New Roman"/>
          <w:b/>
          <w:iCs/>
          <w:sz w:val="28"/>
          <w:lang w:eastAsia="en-GB"/>
        </w:rPr>
        <w:t>Draft</w:t>
      </w:r>
      <w:r w:rsidRPr="00F64EDA">
        <w:rPr>
          <w:rFonts w:eastAsia="Times New Roman"/>
          <w:b/>
          <w:iCs/>
          <w:sz w:val="28"/>
          <w:lang w:eastAsia="en-GB"/>
        </w:rPr>
        <w:t xml:space="preserve"> compromise amendments - </w:t>
      </w:r>
      <w:r>
        <w:rPr>
          <w:rFonts w:eastAsia="Times New Roman"/>
          <w:b/>
          <w:iCs/>
          <w:sz w:val="28"/>
          <w:lang w:eastAsia="en-GB"/>
        </w:rPr>
        <w:t>ECON report on the proposal for a Council directive on Faster and Safer Relief of Excess Withholding Taxes (FASTER)</w:t>
      </w:r>
    </w:p>
    <w:p w14:paraId="73A66923" w14:textId="77777777" w:rsidR="00791C8B" w:rsidRPr="00F64EDA" w:rsidRDefault="00791C8B" w:rsidP="00791C8B">
      <w:pPr>
        <w:pStyle w:val="ListParagraph"/>
        <w:ind w:left="360"/>
        <w:rPr>
          <w:rFonts w:eastAsiaTheme="minorEastAsia"/>
          <w:noProof/>
          <w:color w:val="4BACC6" w:themeColor="accent5"/>
          <w:lang w:eastAsia="en-GB"/>
        </w:rPr>
      </w:pPr>
    </w:p>
    <w:p w14:paraId="521C542E" w14:textId="77777777" w:rsidR="00791C8B" w:rsidRDefault="00791C8B" w:rsidP="00791C8B">
      <w:pPr>
        <w:pBdr>
          <w:top w:val="single" w:sz="4" w:space="1" w:color="auto"/>
          <w:left w:val="single" w:sz="4" w:space="4" w:color="auto"/>
          <w:bottom w:val="single" w:sz="4" w:space="1" w:color="auto"/>
          <w:right w:val="single" w:sz="4" w:space="4" w:color="auto"/>
        </w:pBdr>
        <w:rPr>
          <w:rFonts w:eastAsia="Times New Roman"/>
          <w:lang w:eastAsia="en-GB"/>
        </w:rPr>
      </w:pPr>
      <w:r>
        <w:rPr>
          <w:rFonts w:eastAsia="Times New Roman"/>
          <w:b/>
          <w:i/>
          <w:lang w:eastAsia="en-GB"/>
        </w:rPr>
        <w:t xml:space="preserve">Bold/italics </w:t>
      </w:r>
      <w:r>
        <w:rPr>
          <w:rFonts w:eastAsia="Times New Roman"/>
          <w:lang w:eastAsia="en-GB"/>
        </w:rPr>
        <w:t xml:space="preserve">text and </w:t>
      </w:r>
      <w:r>
        <w:rPr>
          <w:rFonts w:eastAsia="Times New Roman"/>
          <w:strike/>
          <w:lang w:eastAsia="en-GB"/>
        </w:rPr>
        <w:t>strikethrough</w:t>
      </w:r>
      <w:r>
        <w:rPr>
          <w:rFonts w:eastAsia="Times New Roman"/>
          <w:lang w:eastAsia="en-GB"/>
        </w:rPr>
        <w:t xml:space="preserve"> represents changes to the draft report. </w:t>
      </w:r>
      <w:r>
        <w:rPr>
          <w:rFonts w:eastAsia="Times New Roman"/>
          <w:b/>
          <w:i/>
          <w:u w:val="single"/>
          <w:lang w:eastAsia="en-GB"/>
        </w:rPr>
        <w:t xml:space="preserve">Bold/italics/underlined </w:t>
      </w:r>
      <w:r>
        <w:rPr>
          <w:rFonts w:eastAsia="Times New Roman"/>
          <w:lang w:eastAsia="en-GB"/>
        </w:rPr>
        <w:t>text indicates changes compared to the amendments tabled.</w:t>
      </w:r>
    </w:p>
    <w:p w14:paraId="23D65B47" w14:textId="77777777" w:rsidR="00791C8B" w:rsidRDefault="00791C8B" w:rsidP="00791C8B">
      <w:pPr>
        <w:pBdr>
          <w:top w:val="single" w:sz="4" w:space="1" w:color="auto"/>
          <w:left w:val="single" w:sz="4" w:space="4" w:color="auto"/>
          <w:bottom w:val="single" w:sz="4" w:space="1" w:color="auto"/>
          <w:right w:val="single" w:sz="4" w:space="4" w:color="auto"/>
        </w:pBdr>
        <w:rPr>
          <w:rFonts w:eastAsia="Times New Roman"/>
          <w:lang w:eastAsia="en-GB"/>
        </w:rPr>
      </w:pPr>
    </w:p>
    <w:p w14:paraId="37286680" w14:textId="77777777" w:rsidR="00791C8B" w:rsidRDefault="00791C8B" w:rsidP="00282923">
      <w:pPr>
        <w:pStyle w:val="ManualConsidrant"/>
        <w:rPr>
          <w:noProof/>
        </w:rPr>
      </w:pPr>
    </w:p>
    <w:p w14:paraId="23F11358" w14:textId="77777777" w:rsidR="00771E52" w:rsidRDefault="00552C80" w:rsidP="00282923">
      <w:pPr>
        <w:pStyle w:val="ManualConsidrant"/>
        <w:rPr>
          <w:b/>
          <w:noProof/>
        </w:rPr>
      </w:pPr>
      <w:r w:rsidRPr="00791C8B">
        <w:rPr>
          <w:b/>
          <w:noProof/>
        </w:rPr>
        <w:t xml:space="preserve"> </w:t>
      </w:r>
      <w:r w:rsidR="00791C8B" w:rsidRPr="00791C8B">
        <w:rPr>
          <w:b/>
          <w:noProof/>
          <w:highlight w:val="green"/>
        </w:rPr>
        <w:t>COMP A</w:t>
      </w:r>
    </w:p>
    <w:p w14:paraId="727FDE73" w14:textId="77777777" w:rsidR="002C20A2" w:rsidRDefault="002C20A2" w:rsidP="002C20A2">
      <w:pPr>
        <w:pStyle w:val="ManualConsidrant"/>
        <w:rPr>
          <w:b/>
          <w:noProof/>
        </w:rPr>
      </w:pPr>
    </w:p>
    <w:p w14:paraId="2E85C68F" w14:textId="77777777" w:rsidR="002C20A2" w:rsidRPr="0043710D" w:rsidRDefault="002C20A2" w:rsidP="002C20A2">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AMs covered: 5, 6, 7, 57, 59 EPP, 56 S&amp;D, 63 S&amp;D and Greens, 51, 52, 53, 55, 58, 61 Renew, 54, 62 Greens</w:t>
      </w:r>
      <w:r>
        <w:rPr>
          <w:b w:val="0"/>
          <w:i/>
        </w:rPr>
        <w:br/>
      </w:r>
      <w:r w:rsidRPr="0043710D">
        <w:rPr>
          <w:b w:val="0"/>
          <w:i/>
        </w:rPr>
        <w:t>AM</w:t>
      </w:r>
      <w:r>
        <w:rPr>
          <w:b w:val="0"/>
          <w:i/>
        </w:rPr>
        <w:t>s that fall if COMP is adopted:49 Renew, 46, 47, 50, 60 The Left, 48 NI</w:t>
      </w:r>
    </w:p>
    <w:p w14:paraId="5D1F1B43" w14:textId="77777777" w:rsidR="002C20A2" w:rsidRPr="00261C29" w:rsidRDefault="002C20A2" w:rsidP="002C20A2">
      <w:pPr>
        <w:rPr>
          <w:noProof/>
        </w:rPr>
      </w:pPr>
    </w:p>
    <w:p w14:paraId="0D65C5D7" w14:textId="77777777" w:rsidR="00771183" w:rsidRPr="00791C8B" w:rsidRDefault="00771183" w:rsidP="00282923">
      <w:pPr>
        <w:pStyle w:val="ManualConsidrant"/>
        <w:rPr>
          <w:b/>
          <w:noProof/>
        </w:rPr>
      </w:pPr>
    </w:p>
    <w:p w14:paraId="14637D2F" w14:textId="77777777" w:rsidR="00977CF6" w:rsidRDefault="00977CF6" w:rsidP="000430BD">
      <w:pPr>
        <w:pStyle w:val="Titrearticle"/>
        <w:rPr>
          <w:b/>
          <w:bCs/>
          <w:i w:val="0"/>
          <w:iCs/>
          <w:noProof/>
          <w:lang w:val="en-IE"/>
        </w:rPr>
      </w:pPr>
      <w:bookmarkStart w:id="0" w:name="_Hlk132965149"/>
      <w:r w:rsidRPr="002D6769">
        <w:rPr>
          <w:noProof/>
        </w:rPr>
        <w:t>Article 1</w:t>
      </w:r>
      <w:r>
        <w:rPr>
          <w:noProof/>
        </w:rPr>
        <w:br/>
      </w:r>
      <w:r w:rsidRPr="001956AF">
        <w:rPr>
          <w:b/>
          <w:bCs/>
          <w:i w:val="0"/>
          <w:iCs/>
          <w:noProof/>
          <w:lang w:val="en-IE"/>
        </w:rPr>
        <w:t>Subject matter</w:t>
      </w:r>
    </w:p>
    <w:bookmarkEnd w:id="0"/>
    <w:p w14:paraId="47C630C4" w14:textId="77777777" w:rsidR="001956AF" w:rsidRDefault="001956AF" w:rsidP="001956AF">
      <w:pPr>
        <w:rPr>
          <w:noProof/>
          <w:lang w:val="en-IE"/>
        </w:rPr>
      </w:pPr>
      <w:r w:rsidRPr="001956AF">
        <w:rPr>
          <w:noProof/>
          <w:lang w:val="en-IE"/>
        </w:rPr>
        <w:t xml:space="preserve">This Directive lays down rules on the issuance of a digital tax residence certificate by Member States and the procedure to </w:t>
      </w:r>
      <w:r w:rsidR="004202B9">
        <w:rPr>
          <w:noProof/>
          <w:lang w:val="en-IE"/>
        </w:rPr>
        <w:t>relieve</w:t>
      </w:r>
      <w:r w:rsidRPr="001956AF">
        <w:rPr>
          <w:noProof/>
          <w:lang w:val="en-IE"/>
        </w:rPr>
        <w:t xml:space="preserve"> </w:t>
      </w:r>
      <w:r w:rsidR="000556D6">
        <w:rPr>
          <w:noProof/>
          <w:lang w:val="en-IE"/>
        </w:rPr>
        <w:t xml:space="preserve">any </w:t>
      </w:r>
      <w:r w:rsidR="00ED6673">
        <w:rPr>
          <w:noProof/>
          <w:lang w:val="en-IE"/>
        </w:rPr>
        <w:t xml:space="preserve">excess </w:t>
      </w:r>
      <w:r w:rsidR="000B4C83">
        <w:rPr>
          <w:noProof/>
          <w:lang w:val="en-IE"/>
        </w:rPr>
        <w:t xml:space="preserve">withholding </w:t>
      </w:r>
      <w:r w:rsidRPr="001956AF">
        <w:rPr>
          <w:noProof/>
          <w:lang w:val="en-IE"/>
        </w:rPr>
        <w:t xml:space="preserve">tax </w:t>
      </w:r>
      <w:r w:rsidR="000556D6">
        <w:rPr>
          <w:noProof/>
          <w:lang w:val="en-IE"/>
        </w:rPr>
        <w:t xml:space="preserve">that can be </w:t>
      </w:r>
      <w:r w:rsidR="00ED6673" w:rsidRPr="001956AF">
        <w:rPr>
          <w:noProof/>
          <w:lang w:val="en-IE"/>
        </w:rPr>
        <w:t xml:space="preserve">withheld </w:t>
      </w:r>
      <w:r w:rsidRPr="001956AF">
        <w:rPr>
          <w:noProof/>
          <w:lang w:val="en-IE"/>
        </w:rPr>
        <w:t xml:space="preserve">by a Member State on dividends </w:t>
      </w:r>
      <w:r w:rsidR="00FD0AB4">
        <w:rPr>
          <w:noProof/>
          <w:lang w:val="en-IE"/>
        </w:rPr>
        <w:t xml:space="preserve">from </w:t>
      </w:r>
      <w:r w:rsidRPr="001956AF">
        <w:rPr>
          <w:noProof/>
          <w:lang w:val="en-IE"/>
        </w:rPr>
        <w:t xml:space="preserve">publicly traded </w:t>
      </w:r>
      <w:r w:rsidR="005F7AA9">
        <w:rPr>
          <w:noProof/>
          <w:lang w:val="en-IE"/>
        </w:rPr>
        <w:t>shares</w:t>
      </w:r>
      <w:r w:rsidR="00AE45C7" w:rsidRPr="00AE45C7">
        <w:rPr>
          <w:noProof/>
          <w:lang w:val="en-IE"/>
        </w:rPr>
        <w:t xml:space="preserve"> </w:t>
      </w:r>
      <w:r w:rsidR="0048446A">
        <w:rPr>
          <w:noProof/>
          <w:lang w:val="en-IE"/>
        </w:rPr>
        <w:t>and</w:t>
      </w:r>
      <w:r w:rsidR="006006E2">
        <w:rPr>
          <w:noProof/>
          <w:lang w:val="en-IE"/>
        </w:rPr>
        <w:t>, where applicable</w:t>
      </w:r>
      <w:r w:rsidR="00FD0AB4">
        <w:rPr>
          <w:noProof/>
          <w:lang w:val="en-IE"/>
        </w:rPr>
        <w:t>,</w:t>
      </w:r>
      <w:r w:rsidR="0054149A">
        <w:rPr>
          <w:noProof/>
          <w:lang w:val="en-IE"/>
        </w:rPr>
        <w:t xml:space="preserve"> interest </w:t>
      </w:r>
      <w:r w:rsidR="00FD0AB4">
        <w:rPr>
          <w:noProof/>
          <w:lang w:val="en-IE"/>
        </w:rPr>
        <w:t xml:space="preserve">from </w:t>
      </w:r>
      <w:r w:rsidR="0054149A">
        <w:rPr>
          <w:noProof/>
          <w:lang w:val="en-IE"/>
        </w:rPr>
        <w:t>publicly traded bonds</w:t>
      </w:r>
      <w:r w:rsidR="7C27E971" w:rsidRPr="7226F9AD">
        <w:rPr>
          <w:noProof/>
          <w:lang w:val="en-IE"/>
        </w:rPr>
        <w:t xml:space="preserve"> </w:t>
      </w:r>
      <w:r w:rsidR="00FD0AB4">
        <w:rPr>
          <w:noProof/>
          <w:lang w:val="en-IE"/>
        </w:rPr>
        <w:t xml:space="preserve">paid </w:t>
      </w:r>
      <w:r w:rsidR="00AE45C7" w:rsidRPr="0061178F">
        <w:rPr>
          <w:noProof/>
          <w:lang w:val="en-IE"/>
        </w:rPr>
        <w:t xml:space="preserve">to </w:t>
      </w:r>
      <w:r w:rsidR="000C0442">
        <w:rPr>
          <w:noProof/>
          <w:lang w:val="en-IE"/>
        </w:rPr>
        <w:t>registered owners</w:t>
      </w:r>
      <w:r w:rsidR="000C0442" w:rsidRPr="0061178F">
        <w:rPr>
          <w:noProof/>
          <w:lang w:val="en-IE"/>
        </w:rPr>
        <w:t xml:space="preserve"> </w:t>
      </w:r>
      <w:r w:rsidR="00DB306A">
        <w:rPr>
          <w:noProof/>
          <w:lang w:val="en-IE"/>
        </w:rPr>
        <w:t xml:space="preserve">who are </w:t>
      </w:r>
      <w:r w:rsidR="00AE45C7" w:rsidRPr="0061178F">
        <w:rPr>
          <w:noProof/>
          <w:lang w:val="en-IE"/>
        </w:rPr>
        <w:t xml:space="preserve">resident </w:t>
      </w:r>
      <w:r w:rsidR="00DB306A">
        <w:rPr>
          <w:noProof/>
          <w:lang w:val="en-IE"/>
        </w:rPr>
        <w:t>for tax purposes</w:t>
      </w:r>
      <w:r w:rsidR="00AE45C7" w:rsidRPr="0061178F">
        <w:rPr>
          <w:noProof/>
          <w:lang w:val="en-IE"/>
        </w:rPr>
        <w:t xml:space="preserve"> outside that Member State</w:t>
      </w:r>
      <w:r w:rsidRPr="001956AF">
        <w:rPr>
          <w:noProof/>
          <w:lang w:val="en-IE"/>
        </w:rPr>
        <w:t>.</w:t>
      </w:r>
    </w:p>
    <w:p w14:paraId="1949ADFD" w14:textId="77777777" w:rsidR="00AE45C7" w:rsidRPr="0061178F" w:rsidRDefault="00AE45C7" w:rsidP="00AE45C7">
      <w:pPr>
        <w:pStyle w:val="Titrearticle"/>
        <w:rPr>
          <w:b/>
          <w:i w:val="0"/>
          <w:noProof/>
          <w:lang w:val="en-IE"/>
        </w:rPr>
      </w:pPr>
      <w:r w:rsidRPr="0061178F">
        <w:rPr>
          <w:noProof/>
          <w:lang w:val="en-IE"/>
        </w:rPr>
        <w:t>Article 2</w:t>
      </w:r>
      <w:r w:rsidRPr="0061178F">
        <w:rPr>
          <w:noProof/>
          <w:lang w:val="en-IE"/>
        </w:rPr>
        <w:br/>
      </w:r>
      <w:r w:rsidRPr="0061178F">
        <w:rPr>
          <w:b/>
          <w:i w:val="0"/>
          <w:noProof/>
          <w:lang w:val="en-IE"/>
        </w:rPr>
        <w:t xml:space="preserve">Scope </w:t>
      </w:r>
    </w:p>
    <w:p w14:paraId="3AA49422" w14:textId="77777777" w:rsidR="00DC73B0" w:rsidRDefault="005443A7" w:rsidP="001956AF">
      <w:pPr>
        <w:rPr>
          <w:noProof/>
          <w:lang w:val="en-IE"/>
        </w:rPr>
      </w:pPr>
      <w:r>
        <w:rPr>
          <w:noProof/>
          <w:lang w:val="en-IE"/>
        </w:rPr>
        <w:t xml:space="preserve">Chapters I and IV shall apply to all Member States. </w:t>
      </w:r>
      <w:r w:rsidR="00E314A6">
        <w:rPr>
          <w:noProof/>
          <w:lang w:val="en-IE"/>
        </w:rPr>
        <w:t>Chapter II</w:t>
      </w:r>
      <w:r w:rsidR="00DC73B0">
        <w:rPr>
          <w:noProof/>
          <w:lang w:val="en-IE"/>
        </w:rPr>
        <w:t xml:space="preserve"> </w:t>
      </w:r>
      <w:r w:rsidR="00651A4D">
        <w:rPr>
          <w:noProof/>
          <w:lang w:val="en-IE"/>
        </w:rPr>
        <w:t xml:space="preserve">shall </w:t>
      </w:r>
      <w:r w:rsidR="00DC73B0">
        <w:rPr>
          <w:noProof/>
          <w:lang w:val="en-IE"/>
        </w:rPr>
        <w:t>apply</w:t>
      </w:r>
      <w:r w:rsidR="00AE45C7">
        <w:rPr>
          <w:noProof/>
          <w:lang w:val="en-IE"/>
        </w:rPr>
        <w:t xml:space="preserve"> to all </w:t>
      </w:r>
      <w:r w:rsidR="002D785B">
        <w:rPr>
          <w:noProof/>
          <w:lang w:val="en-IE"/>
        </w:rPr>
        <w:t xml:space="preserve">Member States with regards to all </w:t>
      </w:r>
      <w:r w:rsidR="00AE45C7">
        <w:rPr>
          <w:noProof/>
          <w:lang w:val="en-IE"/>
        </w:rPr>
        <w:t xml:space="preserve">persons that are resident for tax purposes in </w:t>
      </w:r>
      <w:r w:rsidR="002D785B">
        <w:rPr>
          <w:noProof/>
          <w:lang w:val="en-IE"/>
        </w:rPr>
        <w:t>their jurisdiction</w:t>
      </w:r>
      <w:r w:rsidR="00DC73B0">
        <w:rPr>
          <w:noProof/>
          <w:lang w:val="en-IE"/>
        </w:rPr>
        <w:t>.</w:t>
      </w:r>
    </w:p>
    <w:p w14:paraId="56D3B24B" w14:textId="77777777" w:rsidR="005F7AA9" w:rsidRDefault="00DC0DFA" w:rsidP="001956AF">
      <w:pPr>
        <w:rPr>
          <w:noProof/>
          <w:lang w:val="en-IE"/>
        </w:rPr>
      </w:pPr>
      <w:r>
        <w:rPr>
          <w:noProof/>
          <w:lang w:val="en-IE"/>
        </w:rPr>
        <w:t xml:space="preserve">The procedures laid down in </w:t>
      </w:r>
      <w:r w:rsidR="00E314A6">
        <w:rPr>
          <w:noProof/>
          <w:lang w:val="en-IE"/>
        </w:rPr>
        <w:t xml:space="preserve">Chapter III </w:t>
      </w:r>
      <w:r w:rsidR="00DF4D59">
        <w:rPr>
          <w:noProof/>
          <w:lang w:val="en-IE"/>
        </w:rPr>
        <w:t xml:space="preserve">shall </w:t>
      </w:r>
      <w:r w:rsidR="00E314A6">
        <w:rPr>
          <w:noProof/>
          <w:lang w:val="en-IE"/>
        </w:rPr>
        <w:t>appl</w:t>
      </w:r>
      <w:r>
        <w:rPr>
          <w:noProof/>
          <w:lang w:val="en-IE"/>
        </w:rPr>
        <w:t>y</w:t>
      </w:r>
      <w:r w:rsidR="00DC73B0">
        <w:rPr>
          <w:noProof/>
          <w:lang w:val="en-IE"/>
        </w:rPr>
        <w:t xml:space="preserve"> to all Member States </w:t>
      </w:r>
      <w:r w:rsidR="7F292B7F" w:rsidRPr="1F977705">
        <w:rPr>
          <w:noProof/>
          <w:lang w:val="en-IE"/>
        </w:rPr>
        <w:t>that</w:t>
      </w:r>
      <w:r w:rsidR="4BD46F22">
        <w:rPr>
          <w:noProof/>
        </w:rPr>
        <w:t xml:space="preserve"> provide relief of excess withholding tax</w:t>
      </w:r>
      <w:r w:rsidR="00E314A6">
        <w:rPr>
          <w:noProof/>
        </w:rPr>
        <w:t xml:space="preserve"> on dividends paid for publicly traded shares</w:t>
      </w:r>
      <w:r w:rsidR="003106BB">
        <w:rPr>
          <w:noProof/>
        </w:rPr>
        <w:t xml:space="preserve">. </w:t>
      </w:r>
      <w:r w:rsidR="00106BE4">
        <w:rPr>
          <w:noProof/>
          <w:lang w:val="en-IE"/>
        </w:rPr>
        <w:t xml:space="preserve">Member States </w:t>
      </w:r>
      <w:r w:rsidR="00E314A6">
        <w:rPr>
          <w:noProof/>
          <w:lang w:val="en-IE"/>
        </w:rPr>
        <w:t>that</w:t>
      </w:r>
      <w:r w:rsidR="00DF4D59">
        <w:rPr>
          <w:noProof/>
          <w:lang w:val="en-IE"/>
        </w:rPr>
        <w:t xml:space="preserve"> </w:t>
      </w:r>
      <w:r w:rsidR="00E314A6">
        <w:rPr>
          <w:noProof/>
          <w:lang w:val="en-IE"/>
        </w:rPr>
        <w:t>provide relief of excess withholding tax on interest paid for publicly traded bonds</w:t>
      </w:r>
      <w:r w:rsidR="003106BB">
        <w:rPr>
          <w:noProof/>
          <w:lang w:val="en-IE"/>
        </w:rPr>
        <w:t xml:space="preserve"> may apply Chapter III.</w:t>
      </w:r>
    </w:p>
    <w:p w14:paraId="126BCE33" w14:textId="77777777" w:rsidR="001956AF" w:rsidRPr="0081536F" w:rsidRDefault="001956AF" w:rsidP="008A5257">
      <w:pPr>
        <w:pStyle w:val="Titrearticle"/>
        <w:rPr>
          <w:noProof/>
          <w:lang w:val="en-IE"/>
        </w:rPr>
      </w:pPr>
      <w:r w:rsidRPr="0081536F">
        <w:rPr>
          <w:noProof/>
          <w:lang w:val="en-IE"/>
        </w:rPr>
        <w:t xml:space="preserve">Article </w:t>
      </w:r>
      <w:r w:rsidR="00AE45C7" w:rsidRPr="0081536F">
        <w:rPr>
          <w:noProof/>
          <w:lang w:val="en-IE"/>
        </w:rPr>
        <w:t>3</w:t>
      </w:r>
      <w:r w:rsidR="008A5257" w:rsidRPr="0081536F">
        <w:rPr>
          <w:noProof/>
          <w:lang w:val="en-IE"/>
        </w:rPr>
        <w:br/>
      </w:r>
      <w:r w:rsidRPr="0081536F">
        <w:rPr>
          <w:b/>
          <w:bCs/>
          <w:i w:val="0"/>
          <w:iCs/>
          <w:noProof/>
          <w:lang w:val="en-IE"/>
        </w:rPr>
        <w:t>Definitions</w:t>
      </w:r>
    </w:p>
    <w:p w14:paraId="4CD24408" w14:textId="77777777" w:rsidR="001956AF" w:rsidRDefault="001956AF" w:rsidP="008A5257">
      <w:pPr>
        <w:rPr>
          <w:noProof/>
        </w:rPr>
      </w:pPr>
      <w:r w:rsidRPr="00746FBD">
        <w:rPr>
          <w:noProof/>
        </w:rPr>
        <w:t xml:space="preserve">For the purposes of this Directive the following definitions shall apply: </w:t>
      </w:r>
    </w:p>
    <w:p w14:paraId="3988C804" w14:textId="77777777" w:rsidR="002B5330" w:rsidRDefault="00412FF6" w:rsidP="00412FF6">
      <w:pPr>
        <w:pStyle w:val="Point0"/>
        <w:rPr>
          <w:noProof/>
        </w:rPr>
      </w:pPr>
      <w:r w:rsidRPr="00412FF6">
        <w:t>(1)</w:t>
      </w:r>
      <w:r w:rsidRPr="00412FF6">
        <w:tab/>
      </w:r>
      <w:r w:rsidR="002B5330" w:rsidRPr="003206F3">
        <w:rPr>
          <w:noProof/>
        </w:rPr>
        <w:t>‘</w:t>
      </w:r>
      <w:r w:rsidR="006D106C">
        <w:rPr>
          <w:noProof/>
        </w:rPr>
        <w:t>e</w:t>
      </w:r>
      <w:r w:rsidR="002B5330" w:rsidRPr="003206F3">
        <w:rPr>
          <w:noProof/>
        </w:rPr>
        <w:t xml:space="preserve">xcess </w:t>
      </w:r>
      <w:r w:rsidR="006D106C">
        <w:rPr>
          <w:noProof/>
        </w:rPr>
        <w:t>w</w:t>
      </w:r>
      <w:r w:rsidR="002B5330">
        <w:rPr>
          <w:noProof/>
        </w:rPr>
        <w:t>ithholding</w:t>
      </w:r>
      <w:r w:rsidR="002B5330" w:rsidRPr="003206F3">
        <w:rPr>
          <w:noProof/>
        </w:rPr>
        <w:t xml:space="preserve"> </w:t>
      </w:r>
      <w:r w:rsidR="006D106C">
        <w:rPr>
          <w:noProof/>
        </w:rPr>
        <w:t>t</w:t>
      </w:r>
      <w:r w:rsidR="002B5330" w:rsidRPr="003206F3">
        <w:rPr>
          <w:noProof/>
        </w:rPr>
        <w:t xml:space="preserve">ax’ means the difference between the amount of withholding tax levied by a Member State on payments to non-resident </w:t>
      </w:r>
      <w:r w:rsidR="000C0442">
        <w:rPr>
          <w:noProof/>
        </w:rPr>
        <w:t>owner</w:t>
      </w:r>
      <w:r w:rsidR="000C0442" w:rsidRPr="003206F3">
        <w:rPr>
          <w:noProof/>
        </w:rPr>
        <w:t xml:space="preserve">s </w:t>
      </w:r>
      <w:r w:rsidR="002B5330" w:rsidRPr="003206F3">
        <w:rPr>
          <w:noProof/>
        </w:rPr>
        <w:t xml:space="preserve">of dividends or interest from securities by applying the general domestic rate and the lower amount of </w:t>
      </w:r>
      <w:r w:rsidR="002B5330" w:rsidRPr="003206F3">
        <w:rPr>
          <w:noProof/>
        </w:rPr>
        <w:lastRenderedPageBreak/>
        <w:t xml:space="preserve">withholding tax applicable by that Member State on the same dividends or interest in line with a </w:t>
      </w:r>
      <w:r w:rsidR="006D106C">
        <w:rPr>
          <w:noProof/>
        </w:rPr>
        <w:t>d</w:t>
      </w:r>
      <w:r w:rsidR="002B5330" w:rsidRPr="003206F3">
        <w:rPr>
          <w:noProof/>
        </w:rPr>
        <w:t xml:space="preserve">ouble </w:t>
      </w:r>
      <w:r w:rsidR="006D106C">
        <w:rPr>
          <w:noProof/>
        </w:rPr>
        <w:t>t</w:t>
      </w:r>
      <w:r w:rsidR="002B5330" w:rsidRPr="003206F3">
        <w:rPr>
          <w:noProof/>
        </w:rPr>
        <w:t xml:space="preserve">ax </w:t>
      </w:r>
      <w:r w:rsidR="006D106C">
        <w:rPr>
          <w:noProof/>
        </w:rPr>
        <w:t>t</w:t>
      </w:r>
      <w:r w:rsidR="002B5330" w:rsidRPr="003206F3">
        <w:rPr>
          <w:noProof/>
        </w:rPr>
        <w:t>reaty or specific national legislation, as the case may be.</w:t>
      </w:r>
    </w:p>
    <w:p w14:paraId="4F6E0483" w14:textId="77777777" w:rsidR="002B5330" w:rsidRDefault="00412FF6" w:rsidP="00412FF6">
      <w:pPr>
        <w:pStyle w:val="Point0"/>
        <w:rPr>
          <w:noProof/>
        </w:rPr>
      </w:pPr>
      <w:r w:rsidRPr="00412FF6">
        <w:t>(2)</w:t>
      </w:r>
      <w:r w:rsidRPr="00412FF6">
        <w:tab/>
      </w:r>
      <w:r w:rsidR="002B5330">
        <w:rPr>
          <w:noProof/>
        </w:rPr>
        <w:t>‘</w:t>
      </w:r>
      <w:r w:rsidR="006D106C">
        <w:rPr>
          <w:noProof/>
        </w:rPr>
        <w:t>p</w:t>
      </w:r>
      <w:r w:rsidR="002B5330">
        <w:rPr>
          <w:noProof/>
        </w:rPr>
        <w:t>ublicly traded share’ means share admitted to trading on a regulated market or multilateral trading facility as defined under points 21 and 22 of Article 4 of Directive 2014/65/EU of 15 May 2014</w:t>
      </w:r>
      <w:r w:rsidR="002B5330">
        <w:rPr>
          <w:rStyle w:val="FootnoteReference"/>
          <w:noProof/>
        </w:rPr>
        <w:footnoteReference w:id="2"/>
      </w:r>
      <w:r w:rsidR="002B5330">
        <w:rPr>
          <w:noProof/>
        </w:rPr>
        <w:t>.</w:t>
      </w:r>
    </w:p>
    <w:p w14:paraId="4AB0053C" w14:textId="77777777" w:rsidR="00EE72EC" w:rsidRDefault="00412FF6" w:rsidP="00412FF6">
      <w:pPr>
        <w:pStyle w:val="Point0"/>
        <w:rPr>
          <w:noProof/>
        </w:rPr>
      </w:pPr>
      <w:r w:rsidRPr="00412FF6">
        <w:t>(3)</w:t>
      </w:r>
      <w:r w:rsidRPr="00412FF6">
        <w:tab/>
      </w:r>
      <w:r w:rsidR="002B5330">
        <w:rPr>
          <w:noProof/>
        </w:rPr>
        <w:t>‘</w:t>
      </w:r>
      <w:r w:rsidR="006D106C">
        <w:rPr>
          <w:noProof/>
        </w:rPr>
        <w:t>p</w:t>
      </w:r>
      <w:r w:rsidR="002B5330">
        <w:rPr>
          <w:noProof/>
        </w:rPr>
        <w:t xml:space="preserve">ublicly traded bond’ means a bond admitted to trading on a regulated market or multilateral trading facility or organised trading facility as defined under points 21, 22 and 23 of Article 4 of Directive 2014/65/EU of 15 May 2014 respectively. </w:t>
      </w:r>
    </w:p>
    <w:p w14:paraId="5DC59AFF" w14:textId="77777777" w:rsidR="002B5330" w:rsidRDefault="00412FF6" w:rsidP="00412FF6">
      <w:pPr>
        <w:pStyle w:val="Point0"/>
        <w:rPr>
          <w:noProof/>
        </w:rPr>
      </w:pPr>
      <w:r w:rsidRPr="00412FF6">
        <w:t>(4)</w:t>
      </w:r>
      <w:r w:rsidRPr="00412FF6">
        <w:tab/>
      </w:r>
      <w:r w:rsidR="002B5330">
        <w:rPr>
          <w:noProof/>
        </w:rPr>
        <w:t>‘</w:t>
      </w:r>
      <w:r w:rsidR="006D106C">
        <w:rPr>
          <w:noProof/>
        </w:rPr>
        <w:t>f</w:t>
      </w:r>
      <w:r w:rsidR="002B5330">
        <w:rPr>
          <w:noProof/>
        </w:rPr>
        <w:t xml:space="preserve">inancial </w:t>
      </w:r>
      <w:r w:rsidR="00EE72EC">
        <w:rPr>
          <w:noProof/>
        </w:rPr>
        <w:t>i</w:t>
      </w:r>
      <w:r w:rsidR="002B5330">
        <w:rPr>
          <w:noProof/>
        </w:rPr>
        <w:t>ntermediary’ means a central securities depository</w:t>
      </w:r>
      <w:r w:rsidR="0081686D" w:rsidRPr="0081686D">
        <w:rPr>
          <w:rFonts w:eastAsiaTheme="minorEastAsia"/>
          <w:noProof/>
        </w:rPr>
        <w:t xml:space="preserve"> </w:t>
      </w:r>
      <w:r w:rsidR="0081686D" w:rsidRPr="00B9581D">
        <w:rPr>
          <w:rFonts w:eastAsiaTheme="minorEastAsia"/>
          <w:noProof/>
        </w:rPr>
        <w:t>as defined in Article 2 (1) of Regulation (EU) 909/2014 of 23 July 2014</w:t>
      </w:r>
      <w:r w:rsidR="00A70F42">
        <w:rPr>
          <w:rStyle w:val="FootnoteReference"/>
          <w:rFonts w:eastAsiaTheme="minorEastAsia"/>
          <w:noProof/>
        </w:rPr>
        <w:footnoteReference w:id="3"/>
      </w:r>
      <w:r w:rsidR="002B5330">
        <w:rPr>
          <w:noProof/>
        </w:rPr>
        <w:t xml:space="preserve">, </w:t>
      </w:r>
      <w:r w:rsidR="0081686D">
        <w:rPr>
          <w:noProof/>
        </w:rPr>
        <w:t xml:space="preserve">a </w:t>
      </w:r>
      <w:r w:rsidR="002B5330">
        <w:rPr>
          <w:noProof/>
        </w:rPr>
        <w:t xml:space="preserve">credit institution </w:t>
      </w:r>
      <w:r w:rsidR="0081686D" w:rsidRPr="532A30B0">
        <w:rPr>
          <w:noProof/>
          <w:color w:val="333333"/>
        </w:rPr>
        <w:t>as defined in point (1) of Article 4(1) of Regulation (EU) No 575/2013</w:t>
      </w:r>
      <w:r w:rsidR="002C02BA">
        <w:rPr>
          <w:rStyle w:val="FootnoteReference"/>
          <w:noProof/>
          <w:color w:val="333333"/>
        </w:rPr>
        <w:footnoteReference w:id="4"/>
      </w:r>
      <w:r w:rsidR="0081686D">
        <w:rPr>
          <w:noProof/>
          <w:color w:val="333333"/>
        </w:rPr>
        <w:t xml:space="preserve"> </w:t>
      </w:r>
      <w:r w:rsidR="002B5330">
        <w:rPr>
          <w:noProof/>
        </w:rPr>
        <w:t xml:space="preserve">or </w:t>
      </w:r>
      <w:r w:rsidR="0081686D">
        <w:rPr>
          <w:noProof/>
        </w:rPr>
        <w:t xml:space="preserve">an investment firm, </w:t>
      </w:r>
      <w:r w:rsidR="0081686D" w:rsidRPr="41442711">
        <w:rPr>
          <w:noProof/>
          <w:color w:val="333333"/>
        </w:rPr>
        <w:t>as defined in point (1) of Article 4(1) in Directive 2014/65/EU</w:t>
      </w:r>
      <w:r w:rsidR="006A10B8">
        <w:rPr>
          <w:noProof/>
          <w:color w:val="333333"/>
        </w:rPr>
        <w:t xml:space="preserve"> </w:t>
      </w:r>
      <w:r w:rsidR="00051BC3" w:rsidRPr="00051BC3">
        <w:rPr>
          <w:noProof/>
          <w:color w:val="333333"/>
        </w:rPr>
        <w:t>or a third country legal person that has been authorised to provide services comparable to those provided by</w:t>
      </w:r>
      <w:r w:rsidR="00EE72EC">
        <w:rPr>
          <w:noProof/>
          <w:color w:val="333333"/>
        </w:rPr>
        <w:t xml:space="preserve"> </w:t>
      </w:r>
      <w:r w:rsidR="00051BC3" w:rsidRPr="00051BC3">
        <w:rPr>
          <w:noProof/>
          <w:color w:val="333333"/>
        </w:rPr>
        <w:t>a central securities depository, a credit institution or an investment firm under comparable legislation of a third country of residence,</w:t>
      </w:r>
      <w:r w:rsidR="00051BC3">
        <w:rPr>
          <w:noProof/>
          <w:color w:val="333333"/>
        </w:rPr>
        <w:t xml:space="preserve"> which is part of </w:t>
      </w:r>
      <w:r w:rsidR="006A10B8">
        <w:rPr>
          <w:noProof/>
        </w:rPr>
        <w:t xml:space="preserve">the securities payment chain between the entity issuing securities and the </w:t>
      </w:r>
      <w:r w:rsidR="000C0442">
        <w:rPr>
          <w:noProof/>
        </w:rPr>
        <w:t xml:space="preserve">registered owner </w:t>
      </w:r>
      <w:r w:rsidR="006A10B8">
        <w:rPr>
          <w:noProof/>
        </w:rPr>
        <w:t>receiving payments on such securities</w:t>
      </w:r>
      <w:r w:rsidR="002B5330">
        <w:rPr>
          <w:rFonts w:ascii="Arial" w:hAnsi="Arial" w:cs="Arial"/>
          <w:noProof/>
          <w:color w:val="0000FF"/>
        </w:rPr>
        <w:t>.</w:t>
      </w:r>
      <w:r w:rsidR="002B5330">
        <w:rPr>
          <w:noProof/>
        </w:rPr>
        <w:t xml:space="preserve"> </w:t>
      </w:r>
    </w:p>
    <w:p w14:paraId="00D81E6E" w14:textId="77777777" w:rsidR="002B5330" w:rsidRDefault="00412FF6" w:rsidP="00412FF6">
      <w:pPr>
        <w:pStyle w:val="Point0"/>
        <w:rPr>
          <w:noProof/>
        </w:rPr>
      </w:pPr>
      <w:r w:rsidRPr="00412FF6">
        <w:t>(5)</w:t>
      </w:r>
      <w:r w:rsidRPr="00412FF6">
        <w:tab/>
      </w:r>
      <w:r w:rsidR="002B5330" w:rsidRPr="00935F84">
        <w:rPr>
          <w:noProof/>
        </w:rPr>
        <w:t>‘</w:t>
      </w:r>
      <w:r w:rsidR="002B5330" w:rsidRPr="00C715CE">
        <w:rPr>
          <w:noProof/>
          <w:lang w:val="en-IE"/>
        </w:rPr>
        <w:t xml:space="preserve">EUID’ means the European Unique Identifier for companies </w:t>
      </w:r>
      <w:r w:rsidR="000A07B7">
        <w:rPr>
          <w:noProof/>
          <w:lang w:val="en-IE"/>
        </w:rPr>
        <w:t xml:space="preserve">as </w:t>
      </w:r>
      <w:r w:rsidR="002B5330" w:rsidRPr="00C715CE">
        <w:rPr>
          <w:noProof/>
          <w:lang w:val="en-IE"/>
        </w:rPr>
        <w:t>referred to in Article 16 of Directive (EU) 2017/1132</w:t>
      </w:r>
      <w:r w:rsidR="000A07B7" w:rsidRPr="000A07B7">
        <w:rPr>
          <w:noProof/>
          <w:lang w:val="en-IE"/>
        </w:rPr>
        <w:t xml:space="preserve"> </w:t>
      </w:r>
      <w:r w:rsidR="000A07B7">
        <w:rPr>
          <w:noProof/>
          <w:lang w:val="en-IE"/>
        </w:rPr>
        <w:t>of the European Parliament and of the Council</w:t>
      </w:r>
      <w:r w:rsidR="000A07B7" w:rsidRPr="00F26004">
        <w:rPr>
          <w:rStyle w:val="FootnoteReference"/>
          <w:noProof/>
        </w:rPr>
        <w:t xml:space="preserve"> </w:t>
      </w:r>
      <w:r w:rsidR="002B5330" w:rsidRPr="00F26004">
        <w:rPr>
          <w:rStyle w:val="FootnoteReference"/>
          <w:noProof/>
        </w:rPr>
        <w:footnoteReference w:id="5"/>
      </w:r>
      <w:r w:rsidR="002B5330" w:rsidRPr="00C715CE">
        <w:rPr>
          <w:noProof/>
          <w:lang w:val="en-IE"/>
        </w:rPr>
        <w:t>.</w:t>
      </w:r>
      <w:r w:rsidR="002B5330">
        <w:rPr>
          <w:noProof/>
        </w:rPr>
        <w:t xml:space="preserve"> </w:t>
      </w:r>
    </w:p>
    <w:p w14:paraId="7E1403C0" w14:textId="77777777" w:rsidR="002B5330" w:rsidRDefault="00412FF6" w:rsidP="00412FF6">
      <w:pPr>
        <w:pStyle w:val="Point0"/>
        <w:rPr>
          <w:noProof/>
        </w:rPr>
      </w:pPr>
      <w:r w:rsidRPr="00412FF6">
        <w:t>(6)</w:t>
      </w:r>
      <w:r w:rsidRPr="00412FF6">
        <w:tab/>
      </w:r>
      <w:r w:rsidR="002B5330" w:rsidRPr="00935F84">
        <w:rPr>
          <w:noProof/>
        </w:rPr>
        <w:t>‘</w:t>
      </w:r>
      <w:r w:rsidR="006D106C">
        <w:rPr>
          <w:noProof/>
        </w:rPr>
        <w:t>t</w:t>
      </w:r>
      <w:r w:rsidR="002B5330" w:rsidRPr="00935F84">
        <w:rPr>
          <w:noProof/>
        </w:rPr>
        <w:t xml:space="preserve">ax identification number or TIN’ means </w:t>
      </w:r>
      <w:r w:rsidR="002B5330">
        <w:rPr>
          <w:noProof/>
        </w:rPr>
        <w:t>the</w:t>
      </w:r>
      <w:r w:rsidR="002B5330" w:rsidRPr="00935F84">
        <w:rPr>
          <w:noProof/>
        </w:rPr>
        <w:t xml:space="preserve"> unique identifier </w:t>
      </w:r>
      <w:r w:rsidR="00EE72EC">
        <w:rPr>
          <w:noProof/>
        </w:rPr>
        <w:t xml:space="preserve">for tax purposes </w:t>
      </w:r>
      <w:r w:rsidR="002B5330">
        <w:rPr>
          <w:noProof/>
        </w:rPr>
        <w:t xml:space="preserve">of a </w:t>
      </w:r>
      <w:r w:rsidR="000C0442">
        <w:rPr>
          <w:noProof/>
        </w:rPr>
        <w:t xml:space="preserve">registered owner </w:t>
      </w:r>
      <w:r w:rsidR="002B5330">
        <w:rPr>
          <w:noProof/>
        </w:rPr>
        <w:t>as such in a Member State.</w:t>
      </w:r>
    </w:p>
    <w:p w14:paraId="60E0D9E1" w14:textId="77777777" w:rsidR="002F4419" w:rsidRDefault="00412FF6" w:rsidP="00412FF6">
      <w:pPr>
        <w:pStyle w:val="Point0"/>
        <w:rPr>
          <w:noProof/>
        </w:rPr>
      </w:pPr>
      <w:r w:rsidRPr="00412FF6">
        <w:t>(7)</w:t>
      </w:r>
      <w:r w:rsidRPr="00412FF6">
        <w:tab/>
      </w:r>
      <w:r w:rsidR="002F4419" w:rsidRPr="000C742A">
        <w:rPr>
          <w:noProof/>
        </w:rPr>
        <w:t>‘</w:t>
      </w:r>
      <w:r w:rsidR="006D106C">
        <w:rPr>
          <w:noProof/>
        </w:rPr>
        <w:t>w</w:t>
      </w:r>
      <w:r w:rsidR="002F4419" w:rsidRPr="000C742A">
        <w:rPr>
          <w:noProof/>
        </w:rPr>
        <w:t xml:space="preserve">ithholding </w:t>
      </w:r>
      <w:r w:rsidR="002F4419">
        <w:rPr>
          <w:noProof/>
        </w:rPr>
        <w:t>t</w:t>
      </w:r>
      <w:r w:rsidR="002F4419" w:rsidRPr="000C742A">
        <w:rPr>
          <w:noProof/>
        </w:rPr>
        <w:t xml:space="preserve">ax </w:t>
      </w:r>
      <w:r w:rsidR="002F4419" w:rsidRPr="000C742A" w:rsidDel="0081536F">
        <w:rPr>
          <w:noProof/>
        </w:rPr>
        <w:t>r</w:t>
      </w:r>
      <w:r w:rsidR="002F4419">
        <w:rPr>
          <w:noProof/>
        </w:rPr>
        <w:t>elief</w:t>
      </w:r>
      <w:r w:rsidR="002F4419" w:rsidRPr="000C742A">
        <w:rPr>
          <w:noProof/>
        </w:rPr>
        <w:t xml:space="preserve"> procedure’ means </w:t>
      </w:r>
      <w:r w:rsidR="002F4419">
        <w:rPr>
          <w:noProof/>
        </w:rPr>
        <w:t xml:space="preserve">a procedure whereby </w:t>
      </w:r>
      <w:r w:rsidR="002F4419" w:rsidRPr="000C742A">
        <w:rPr>
          <w:noProof/>
        </w:rPr>
        <w:t xml:space="preserve">a </w:t>
      </w:r>
      <w:r w:rsidR="002F4419">
        <w:rPr>
          <w:noProof/>
        </w:rPr>
        <w:t>registered owner</w:t>
      </w:r>
      <w:r w:rsidR="002F4419" w:rsidRPr="000C742A">
        <w:rPr>
          <w:noProof/>
        </w:rPr>
        <w:t xml:space="preserve"> receiving dividends </w:t>
      </w:r>
      <w:r w:rsidR="002F4419">
        <w:rPr>
          <w:noProof/>
        </w:rPr>
        <w:t>or interest from securities</w:t>
      </w:r>
      <w:r w:rsidR="002F4419" w:rsidRPr="000C742A">
        <w:rPr>
          <w:noProof/>
        </w:rPr>
        <w:t xml:space="preserve"> </w:t>
      </w:r>
      <w:r w:rsidR="002F4419">
        <w:rPr>
          <w:noProof/>
        </w:rPr>
        <w:t xml:space="preserve">that can be </w:t>
      </w:r>
      <w:r w:rsidR="002F4419" w:rsidRPr="000C742A">
        <w:rPr>
          <w:noProof/>
        </w:rPr>
        <w:t xml:space="preserve">subject to </w:t>
      </w:r>
      <w:r w:rsidR="002F4419">
        <w:rPr>
          <w:noProof/>
        </w:rPr>
        <w:t xml:space="preserve">excess </w:t>
      </w:r>
      <w:r w:rsidR="002F4419" w:rsidRPr="000C742A">
        <w:rPr>
          <w:noProof/>
        </w:rPr>
        <w:t xml:space="preserve">withholding tax </w:t>
      </w:r>
      <w:r w:rsidR="002F4419">
        <w:rPr>
          <w:noProof/>
        </w:rPr>
        <w:t xml:space="preserve">is relieved or </w:t>
      </w:r>
      <w:r w:rsidR="00463799">
        <w:rPr>
          <w:noProof/>
        </w:rPr>
        <w:t>reimbursed</w:t>
      </w:r>
      <w:r w:rsidR="002F4419">
        <w:rPr>
          <w:noProof/>
        </w:rPr>
        <w:t xml:space="preserve"> for such excess tax.</w:t>
      </w:r>
    </w:p>
    <w:p w14:paraId="2D137F28" w14:textId="77777777" w:rsidR="0054149A" w:rsidRDefault="00412FF6" w:rsidP="00412FF6">
      <w:pPr>
        <w:pStyle w:val="Point0"/>
        <w:rPr>
          <w:noProof/>
        </w:rPr>
      </w:pPr>
      <w:r w:rsidRPr="00412FF6">
        <w:t>(8)</w:t>
      </w:r>
      <w:r w:rsidRPr="00412FF6">
        <w:tab/>
      </w:r>
      <w:r w:rsidR="00A5262D" w:rsidRPr="00BD790B">
        <w:rPr>
          <w:noProof/>
        </w:rPr>
        <w:t>‘</w:t>
      </w:r>
      <w:r w:rsidR="006D106C">
        <w:rPr>
          <w:noProof/>
        </w:rPr>
        <w:t>c</w:t>
      </w:r>
      <w:r w:rsidR="00A5262D" w:rsidRPr="00BD790B">
        <w:rPr>
          <w:noProof/>
        </w:rPr>
        <w:t xml:space="preserve">ompetent authority’ means the authority which has been designated by </w:t>
      </w:r>
      <w:r w:rsidR="00A5262D">
        <w:rPr>
          <w:noProof/>
        </w:rPr>
        <w:t>a</w:t>
      </w:r>
      <w:r w:rsidR="00A5262D" w:rsidRPr="00BD790B">
        <w:rPr>
          <w:noProof/>
        </w:rPr>
        <w:t xml:space="preserve"> Member State</w:t>
      </w:r>
      <w:r w:rsidR="00A5262D">
        <w:rPr>
          <w:noProof/>
        </w:rPr>
        <w:t xml:space="preserve"> </w:t>
      </w:r>
      <w:r w:rsidR="00A5262D" w:rsidRPr="003206F3">
        <w:rPr>
          <w:noProof/>
        </w:rPr>
        <w:t xml:space="preserve">in accordance with </w:t>
      </w:r>
      <w:r w:rsidR="002C5799">
        <w:rPr>
          <w:noProof/>
        </w:rPr>
        <w:t>A</w:t>
      </w:r>
      <w:r w:rsidR="002C5799" w:rsidRPr="003206F3">
        <w:rPr>
          <w:noProof/>
        </w:rPr>
        <w:t xml:space="preserve">rticle </w:t>
      </w:r>
      <w:r w:rsidR="00A5262D" w:rsidRPr="003206F3">
        <w:rPr>
          <w:noProof/>
        </w:rPr>
        <w:t xml:space="preserve">5 </w:t>
      </w:r>
      <w:r w:rsidR="00A5262D">
        <w:rPr>
          <w:noProof/>
        </w:rPr>
        <w:t xml:space="preserve">and includes any person authorised </w:t>
      </w:r>
      <w:r w:rsidR="00B9759E">
        <w:rPr>
          <w:noProof/>
        </w:rPr>
        <w:t xml:space="preserve">in accordance with national rules </w:t>
      </w:r>
      <w:r w:rsidR="00A5262D">
        <w:rPr>
          <w:noProof/>
        </w:rPr>
        <w:t>by such authority to act on its behalf for the purposes of this Directive</w:t>
      </w:r>
      <w:r w:rsidR="00A5262D" w:rsidRPr="00BD790B">
        <w:rPr>
          <w:noProof/>
        </w:rPr>
        <w:t>.</w:t>
      </w:r>
      <w:r w:rsidR="00A5262D">
        <w:rPr>
          <w:noProof/>
        </w:rPr>
        <w:t xml:space="preserve"> </w:t>
      </w:r>
    </w:p>
    <w:p w14:paraId="6001E304" w14:textId="77777777" w:rsidR="00AF47B6" w:rsidRDefault="00412FF6" w:rsidP="00412FF6">
      <w:pPr>
        <w:pStyle w:val="Point0"/>
        <w:rPr>
          <w:noProof/>
        </w:rPr>
      </w:pPr>
      <w:r w:rsidRPr="00412FF6">
        <w:t>(9)</w:t>
      </w:r>
      <w:r w:rsidRPr="00412FF6">
        <w:tab/>
      </w:r>
      <w:r w:rsidR="00AF47B6">
        <w:rPr>
          <w:noProof/>
        </w:rPr>
        <w:t>‘</w:t>
      </w:r>
      <w:r w:rsidR="006D106C">
        <w:rPr>
          <w:noProof/>
        </w:rPr>
        <w:t>s</w:t>
      </w:r>
      <w:r w:rsidR="00AF47B6">
        <w:rPr>
          <w:noProof/>
        </w:rPr>
        <w:t>ecurity’ means a publicly traded share or a publicly traded bond.</w:t>
      </w:r>
    </w:p>
    <w:p w14:paraId="436F0737" w14:textId="77777777" w:rsidR="00930848" w:rsidRPr="00875F7C" w:rsidRDefault="00412FF6" w:rsidP="00412FF6">
      <w:pPr>
        <w:pStyle w:val="Point0"/>
        <w:rPr>
          <w:noProof/>
          <w:color w:val="333333"/>
        </w:rPr>
      </w:pPr>
      <w:r w:rsidRPr="00412FF6">
        <w:t>(10)</w:t>
      </w:r>
      <w:r w:rsidRPr="00412FF6">
        <w:tab/>
      </w:r>
      <w:r w:rsidR="00930848" w:rsidRPr="532A30B0">
        <w:rPr>
          <w:noProof/>
          <w:color w:val="333333"/>
        </w:rPr>
        <w:t>‘</w:t>
      </w:r>
      <w:r w:rsidR="006D106C">
        <w:rPr>
          <w:noProof/>
        </w:rPr>
        <w:t>l</w:t>
      </w:r>
      <w:r w:rsidR="00D95A9E" w:rsidRPr="00A526F4">
        <w:rPr>
          <w:noProof/>
        </w:rPr>
        <w:t xml:space="preserve">arge institution’ </w:t>
      </w:r>
      <w:r w:rsidR="00D95A9E">
        <w:rPr>
          <w:noProof/>
        </w:rPr>
        <w:t xml:space="preserve">means a large institution as </w:t>
      </w:r>
      <w:r w:rsidR="00D95A9E" w:rsidRPr="00A526F4">
        <w:rPr>
          <w:noProof/>
        </w:rPr>
        <w:t xml:space="preserve">defined in point </w:t>
      </w:r>
      <w:r w:rsidR="00D95A9E">
        <w:rPr>
          <w:noProof/>
        </w:rPr>
        <w:t>(</w:t>
      </w:r>
      <w:r w:rsidR="00D95A9E" w:rsidRPr="00A526F4">
        <w:rPr>
          <w:noProof/>
        </w:rPr>
        <w:t>146</w:t>
      </w:r>
      <w:r w:rsidR="00D95A9E">
        <w:rPr>
          <w:noProof/>
        </w:rPr>
        <w:t xml:space="preserve">) </w:t>
      </w:r>
      <w:r w:rsidR="00D95A9E" w:rsidRPr="00A526F4">
        <w:rPr>
          <w:noProof/>
        </w:rPr>
        <w:t>of Article 4(1) of Regulation (EU) No 575/2013</w:t>
      </w:r>
      <w:r w:rsidR="00930848" w:rsidRPr="532A30B0">
        <w:rPr>
          <w:noProof/>
          <w:color w:val="333333"/>
        </w:rPr>
        <w:t>.</w:t>
      </w:r>
    </w:p>
    <w:p w14:paraId="15749F00" w14:textId="77777777" w:rsidR="00826CE9" w:rsidRDefault="00412FF6" w:rsidP="00412FF6">
      <w:pPr>
        <w:pStyle w:val="Point0"/>
        <w:rPr>
          <w:noProof/>
        </w:rPr>
      </w:pPr>
      <w:r w:rsidRPr="00412FF6">
        <w:t>(11)</w:t>
      </w:r>
      <w:r w:rsidRPr="00412FF6">
        <w:tab/>
      </w:r>
      <w:r w:rsidR="00826CE9" w:rsidRPr="007C0BD5">
        <w:rPr>
          <w:noProof/>
        </w:rPr>
        <w:t>‘</w:t>
      </w:r>
      <w:r w:rsidR="006D106C">
        <w:rPr>
          <w:noProof/>
        </w:rPr>
        <w:t>w</w:t>
      </w:r>
      <w:r w:rsidR="00826CE9" w:rsidRPr="000956AC">
        <w:rPr>
          <w:noProof/>
        </w:rPr>
        <w:t>ithholding</w:t>
      </w:r>
      <w:r w:rsidR="00826CE9" w:rsidRPr="00375D4D">
        <w:rPr>
          <w:noProof/>
        </w:rPr>
        <w:t xml:space="preserve"> </w:t>
      </w:r>
      <w:r w:rsidR="00826CE9">
        <w:rPr>
          <w:noProof/>
        </w:rPr>
        <w:t>tax</w:t>
      </w:r>
      <w:r w:rsidR="00826CE9" w:rsidRPr="000956AC">
        <w:rPr>
          <w:noProof/>
        </w:rPr>
        <w:t xml:space="preserve"> agent’ </w:t>
      </w:r>
      <w:r w:rsidR="00826CE9" w:rsidRPr="00D11B41">
        <w:rPr>
          <w:noProof/>
        </w:rPr>
        <w:t xml:space="preserve">means an entity authorised by the source Member State to assume responsibility for the deduction of withholding tax from payment </w:t>
      </w:r>
      <w:r w:rsidR="00826CE9">
        <w:rPr>
          <w:noProof/>
        </w:rPr>
        <w:t xml:space="preserve">of dividends </w:t>
      </w:r>
      <w:r w:rsidR="00826CE9">
        <w:rPr>
          <w:noProof/>
        </w:rPr>
        <w:lastRenderedPageBreak/>
        <w:t xml:space="preserve">or interest from securities </w:t>
      </w:r>
      <w:r w:rsidR="00826CE9" w:rsidRPr="00D11B41">
        <w:rPr>
          <w:noProof/>
        </w:rPr>
        <w:t xml:space="preserve">and the transfer of </w:t>
      </w:r>
      <w:r w:rsidR="00826CE9">
        <w:rPr>
          <w:noProof/>
        </w:rPr>
        <w:t>such</w:t>
      </w:r>
      <w:r w:rsidR="00826CE9" w:rsidRPr="00D11B41">
        <w:rPr>
          <w:noProof/>
        </w:rPr>
        <w:t xml:space="preserve"> withholding tax to the tax authority of the source Member State</w:t>
      </w:r>
      <w:r w:rsidR="00826CE9">
        <w:rPr>
          <w:noProof/>
        </w:rPr>
        <w:t>.</w:t>
      </w:r>
    </w:p>
    <w:p w14:paraId="36048A8F" w14:textId="77777777" w:rsidR="00930848" w:rsidRDefault="00412FF6" w:rsidP="00412FF6">
      <w:pPr>
        <w:pStyle w:val="Point0"/>
        <w:rPr>
          <w:noProof/>
        </w:rPr>
      </w:pPr>
      <w:r w:rsidRPr="00412FF6">
        <w:t>(12)</w:t>
      </w:r>
      <w:r w:rsidRPr="00412FF6">
        <w:tab/>
      </w:r>
      <w:r w:rsidR="00930848">
        <w:rPr>
          <w:noProof/>
        </w:rPr>
        <w:t>‘</w:t>
      </w:r>
      <w:r w:rsidR="006D106C">
        <w:rPr>
          <w:noProof/>
        </w:rPr>
        <w:t>r</w:t>
      </w:r>
      <w:r w:rsidR="00930848">
        <w:rPr>
          <w:noProof/>
        </w:rPr>
        <w:t xml:space="preserve">ecord date’ means the date set by the issuer of a security, on which the </w:t>
      </w:r>
      <w:r w:rsidR="00930848" w:rsidRPr="00D524A0">
        <w:rPr>
          <w:noProof/>
        </w:rPr>
        <w:t>identity of the holder of such security and the rights flowing therefrom, including the right to participate and vote in a general meeting, where relevant, shall be determined</w:t>
      </w:r>
      <w:r w:rsidR="00930848">
        <w:rPr>
          <w:noProof/>
        </w:rPr>
        <w:t xml:space="preserve">, based on the settled positions struck in the books of the financial intermediary by book-entry at the close of its business as defined in Article 1 (7) of Regulation </w:t>
      </w:r>
      <w:r w:rsidR="00930848" w:rsidRPr="003168D6">
        <w:rPr>
          <w:noProof/>
        </w:rPr>
        <w:t>2018/1212</w:t>
      </w:r>
      <w:r w:rsidR="00930848">
        <w:rPr>
          <w:rStyle w:val="FootnoteReference"/>
          <w:noProof/>
        </w:rPr>
        <w:footnoteReference w:id="6"/>
      </w:r>
      <w:r w:rsidR="00930848">
        <w:rPr>
          <w:noProof/>
        </w:rPr>
        <w:t xml:space="preserve">. </w:t>
      </w:r>
    </w:p>
    <w:p w14:paraId="67445555" w14:textId="77777777" w:rsidR="00AF47B6" w:rsidRDefault="00412FF6" w:rsidP="00412FF6">
      <w:pPr>
        <w:pStyle w:val="Point0"/>
        <w:rPr>
          <w:noProof/>
        </w:rPr>
      </w:pPr>
      <w:r w:rsidRPr="00412FF6">
        <w:t>(13)</w:t>
      </w:r>
      <w:r w:rsidRPr="00412FF6">
        <w:tab/>
      </w:r>
      <w:r w:rsidR="00AF47B6">
        <w:rPr>
          <w:noProof/>
        </w:rPr>
        <w:t>‘</w:t>
      </w:r>
      <w:r w:rsidR="000A07B7">
        <w:rPr>
          <w:noProof/>
        </w:rPr>
        <w:t>s</w:t>
      </w:r>
      <w:r w:rsidR="00AF47B6">
        <w:rPr>
          <w:noProof/>
        </w:rPr>
        <w:t xml:space="preserve">ettlement’ means </w:t>
      </w:r>
      <w:r w:rsidR="00AF47B6" w:rsidRPr="00B03B16">
        <w:rPr>
          <w:noProof/>
        </w:rPr>
        <w:t xml:space="preserve">the completion of a securities transaction where it is concluded with the aim of discharging the obligation of the parties to that transaction through the transfer of cash or securities or both, as defined in point </w:t>
      </w:r>
      <w:r w:rsidR="00AF47B6">
        <w:rPr>
          <w:noProof/>
        </w:rPr>
        <w:t>7</w:t>
      </w:r>
      <w:r w:rsidR="00AF47B6" w:rsidRPr="00B03B16">
        <w:rPr>
          <w:noProof/>
        </w:rPr>
        <w:t xml:space="preserve"> of Article 2 of the Regulation (EU) 909/2014 of 23 July 2014</w:t>
      </w:r>
      <w:r w:rsidR="00374E81">
        <w:rPr>
          <w:noProof/>
        </w:rPr>
        <w:t>.</w:t>
      </w:r>
    </w:p>
    <w:p w14:paraId="438A7F5C" w14:textId="77777777" w:rsidR="00826CE9" w:rsidRDefault="00412FF6" w:rsidP="00412FF6">
      <w:pPr>
        <w:pStyle w:val="Point0"/>
        <w:rPr>
          <w:noProof/>
        </w:rPr>
      </w:pPr>
      <w:r w:rsidRPr="00412FF6">
        <w:t>(14)</w:t>
      </w:r>
      <w:r w:rsidRPr="00412FF6">
        <w:tab/>
      </w:r>
      <w:r w:rsidR="00826CE9">
        <w:rPr>
          <w:noProof/>
        </w:rPr>
        <w:t>‘</w:t>
      </w:r>
      <w:r w:rsidR="000A07B7">
        <w:rPr>
          <w:noProof/>
        </w:rPr>
        <w:t>r</w:t>
      </w:r>
      <w:r w:rsidR="00826CE9">
        <w:rPr>
          <w:noProof/>
        </w:rPr>
        <w:t>egistered owner</w:t>
      </w:r>
      <w:r w:rsidR="00826CE9" w:rsidRPr="000C742A">
        <w:rPr>
          <w:noProof/>
        </w:rPr>
        <w:t xml:space="preserve">’ means </w:t>
      </w:r>
      <w:r w:rsidR="00826CE9" w:rsidRPr="000C742A" w:rsidDel="00AC6CFA">
        <w:rPr>
          <w:noProof/>
        </w:rPr>
        <w:t xml:space="preserve">any natural or legal person </w:t>
      </w:r>
      <w:r w:rsidR="00826CE9" w:rsidRPr="000C742A">
        <w:rPr>
          <w:noProof/>
        </w:rPr>
        <w:t>that is entitled to receive</w:t>
      </w:r>
      <w:r w:rsidR="00826CE9">
        <w:rPr>
          <w:noProof/>
        </w:rPr>
        <w:t xml:space="preserve"> </w:t>
      </w:r>
      <w:r w:rsidR="00826CE9" w:rsidRPr="000C742A">
        <w:rPr>
          <w:noProof/>
        </w:rPr>
        <w:t xml:space="preserve">dividend </w:t>
      </w:r>
      <w:r w:rsidR="00826CE9">
        <w:rPr>
          <w:noProof/>
        </w:rPr>
        <w:t xml:space="preserve">or interest </w:t>
      </w:r>
      <w:r w:rsidR="00826CE9" w:rsidRPr="000C742A">
        <w:rPr>
          <w:noProof/>
        </w:rPr>
        <w:t xml:space="preserve">income from </w:t>
      </w:r>
      <w:r w:rsidR="00826CE9">
        <w:rPr>
          <w:noProof/>
        </w:rPr>
        <w:t>securities</w:t>
      </w:r>
      <w:r w:rsidR="00826CE9" w:rsidRPr="000C742A">
        <w:rPr>
          <w:noProof/>
        </w:rPr>
        <w:t xml:space="preserve"> subject to tax withheld at source</w:t>
      </w:r>
      <w:r w:rsidR="00826CE9">
        <w:rPr>
          <w:noProof/>
        </w:rPr>
        <w:t xml:space="preserve"> in a Member State</w:t>
      </w:r>
      <w:r w:rsidR="00826CE9" w:rsidRPr="000C742A">
        <w:rPr>
          <w:noProof/>
        </w:rPr>
        <w:t>.</w:t>
      </w:r>
    </w:p>
    <w:p w14:paraId="3344D253" w14:textId="77777777" w:rsidR="002F4419" w:rsidRDefault="00412FF6" w:rsidP="00412FF6">
      <w:pPr>
        <w:pStyle w:val="Point0"/>
        <w:rPr>
          <w:noProof/>
        </w:rPr>
      </w:pPr>
      <w:r w:rsidRPr="00412FF6">
        <w:t>(15)</w:t>
      </w:r>
      <w:r w:rsidRPr="00412FF6">
        <w:tab/>
      </w:r>
      <w:r w:rsidR="002F4419">
        <w:rPr>
          <w:noProof/>
        </w:rPr>
        <w:t>‘</w:t>
      </w:r>
      <w:r w:rsidR="000A07B7">
        <w:rPr>
          <w:noProof/>
        </w:rPr>
        <w:t>i</w:t>
      </w:r>
      <w:r w:rsidR="002F4419">
        <w:rPr>
          <w:noProof/>
        </w:rPr>
        <w:t xml:space="preserve">nvestment account’ means the account or accounts provided by financial intermediaries to </w:t>
      </w:r>
      <w:r w:rsidR="000C0442">
        <w:rPr>
          <w:noProof/>
        </w:rPr>
        <w:t xml:space="preserve">registered owners </w:t>
      </w:r>
      <w:r w:rsidR="002F4419">
        <w:rPr>
          <w:noProof/>
        </w:rPr>
        <w:t>via which their securities are held or registered and to which the payments related to these securities are made.</w:t>
      </w:r>
    </w:p>
    <w:p w14:paraId="72459530" w14:textId="77777777" w:rsidR="002F4419" w:rsidRDefault="00412FF6" w:rsidP="00412FF6">
      <w:pPr>
        <w:pStyle w:val="Point0"/>
        <w:rPr>
          <w:noProof/>
        </w:rPr>
      </w:pPr>
      <w:r w:rsidRPr="00412FF6">
        <w:t>(16)</w:t>
      </w:r>
      <w:r w:rsidRPr="00412FF6">
        <w:tab/>
      </w:r>
      <w:r w:rsidR="002F4419">
        <w:rPr>
          <w:noProof/>
        </w:rPr>
        <w:t>‘</w:t>
      </w:r>
      <w:r w:rsidR="000A07B7">
        <w:rPr>
          <w:noProof/>
        </w:rPr>
        <w:t>e</w:t>
      </w:r>
      <w:r w:rsidR="002F4419" w:rsidRPr="000F4B71">
        <w:rPr>
          <w:noProof/>
        </w:rPr>
        <w:t>x-dividend date</w:t>
      </w:r>
      <w:r w:rsidR="002F4419">
        <w:rPr>
          <w:noProof/>
        </w:rPr>
        <w:t>’ means the date as from which the shares are traded without the rights flowing from the shares, including the right to participate and vote in a general meeting, where relevant.</w:t>
      </w:r>
    </w:p>
    <w:p w14:paraId="727946E0" w14:textId="77777777" w:rsidR="002F4419" w:rsidRDefault="00412FF6" w:rsidP="00412FF6">
      <w:pPr>
        <w:pStyle w:val="Point0"/>
        <w:rPr>
          <w:noProof/>
        </w:rPr>
      </w:pPr>
      <w:r w:rsidRPr="00412FF6">
        <w:t>(17)</w:t>
      </w:r>
      <w:r w:rsidRPr="00412FF6">
        <w:tab/>
      </w:r>
      <w:r w:rsidR="002F4419">
        <w:rPr>
          <w:noProof/>
        </w:rPr>
        <w:t>‘</w:t>
      </w:r>
      <w:r w:rsidR="000A07B7">
        <w:rPr>
          <w:noProof/>
        </w:rPr>
        <w:t>f</w:t>
      </w:r>
      <w:r w:rsidR="002F4419" w:rsidRPr="00AE21DD">
        <w:rPr>
          <w:noProof/>
        </w:rPr>
        <w:t xml:space="preserve">inancial arrangement’ means any </w:t>
      </w:r>
      <w:r w:rsidR="002F4419">
        <w:rPr>
          <w:noProof/>
        </w:rPr>
        <w:t xml:space="preserve">arrangement or </w:t>
      </w:r>
      <w:r w:rsidR="002F4419" w:rsidRPr="00AE21DD">
        <w:rPr>
          <w:noProof/>
        </w:rPr>
        <w:t xml:space="preserve">contractual obligation whereby </w:t>
      </w:r>
      <w:r w:rsidR="002F4419">
        <w:rPr>
          <w:noProof/>
        </w:rPr>
        <w:t>any</w:t>
      </w:r>
      <w:r w:rsidR="002F4419" w:rsidRPr="00AE21DD">
        <w:rPr>
          <w:noProof/>
        </w:rPr>
        <w:t xml:space="preserve"> </w:t>
      </w:r>
      <w:r w:rsidR="002F4419" w:rsidRPr="004B1E5B">
        <w:rPr>
          <w:noProof/>
        </w:rPr>
        <w:t xml:space="preserve">part of the ownership of the publicly traded share, on which a dividend is paid, </w:t>
      </w:r>
      <w:r w:rsidR="00EC289A" w:rsidRPr="004B1E5B">
        <w:rPr>
          <w:noProof/>
        </w:rPr>
        <w:t>is</w:t>
      </w:r>
      <w:r w:rsidR="002F4419" w:rsidRPr="004B1E5B">
        <w:rPr>
          <w:noProof/>
        </w:rPr>
        <w:t xml:space="preserve"> </w:t>
      </w:r>
      <w:r w:rsidR="0055350D" w:rsidRPr="004B1E5B">
        <w:rPr>
          <w:noProof/>
        </w:rPr>
        <w:t xml:space="preserve">or could be, </w:t>
      </w:r>
      <w:r w:rsidR="002F4419" w:rsidRPr="004B1E5B">
        <w:rPr>
          <w:noProof/>
        </w:rPr>
        <w:t>either</w:t>
      </w:r>
      <w:r w:rsidR="002F4419" w:rsidRPr="00AE21DD">
        <w:rPr>
          <w:noProof/>
        </w:rPr>
        <w:t xml:space="preserve"> permanently or temporarily transferred to another party</w:t>
      </w:r>
      <w:r w:rsidR="002F4419">
        <w:rPr>
          <w:noProof/>
        </w:rPr>
        <w:t>.</w:t>
      </w:r>
    </w:p>
    <w:p w14:paraId="31A0E3B5" w14:textId="77777777" w:rsidR="002F4419" w:rsidRDefault="00412FF6" w:rsidP="00412FF6">
      <w:pPr>
        <w:pStyle w:val="Point0"/>
        <w:rPr>
          <w:noProof/>
        </w:rPr>
      </w:pPr>
      <w:r w:rsidRPr="00412FF6">
        <w:t>(18)</w:t>
      </w:r>
      <w:r w:rsidRPr="00412FF6">
        <w:tab/>
      </w:r>
      <w:r w:rsidR="002F4419">
        <w:rPr>
          <w:noProof/>
        </w:rPr>
        <w:t>‘</w:t>
      </w:r>
      <w:r w:rsidR="000A07B7">
        <w:rPr>
          <w:noProof/>
        </w:rPr>
        <w:t>s</w:t>
      </w:r>
      <w:r w:rsidR="002F4419">
        <w:rPr>
          <w:noProof/>
        </w:rPr>
        <w:t xml:space="preserve">ecurities payment chain’ means the sequence of </w:t>
      </w:r>
      <w:r w:rsidR="002F4419" w:rsidDel="00625110">
        <w:rPr>
          <w:noProof/>
        </w:rPr>
        <w:t xml:space="preserve">financial intermediaries </w:t>
      </w:r>
      <w:r w:rsidR="002F4419">
        <w:rPr>
          <w:noProof/>
        </w:rPr>
        <w:t>handling the payment of dividends or interest on securities between</w:t>
      </w:r>
      <w:r w:rsidR="002F4419" w:rsidDel="00625110">
        <w:rPr>
          <w:noProof/>
        </w:rPr>
        <w:t xml:space="preserve"> </w:t>
      </w:r>
      <w:r w:rsidR="002F4419">
        <w:rPr>
          <w:noProof/>
        </w:rPr>
        <w:t xml:space="preserve">the securities’ issuer and a </w:t>
      </w:r>
      <w:r w:rsidR="000C0442">
        <w:rPr>
          <w:noProof/>
        </w:rPr>
        <w:t xml:space="preserve">registered owner </w:t>
      </w:r>
      <w:r w:rsidR="002F4419">
        <w:rPr>
          <w:noProof/>
        </w:rPr>
        <w:t>to whom dividends or interest from such securities are</w:t>
      </w:r>
      <w:r w:rsidR="002F4419" w:rsidDel="00625110">
        <w:rPr>
          <w:noProof/>
        </w:rPr>
        <w:t xml:space="preserve"> </w:t>
      </w:r>
      <w:r w:rsidR="002F4419">
        <w:rPr>
          <w:noProof/>
        </w:rPr>
        <w:t>paid.</w:t>
      </w:r>
    </w:p>
    <w:p w14:paraId="044C52A0" w14:textId="77777777" w:rsidR="00626934" w:rsidRDefault="00412FF6" w:rsidP="00412FF6">
      <w:pPr>
        <w:pStyle w:val="Point0"/>
        <w:rPr>
          <w:noProof/>
        </w:rPr>
      </w:pPr>
      <w:r w:rsidRPr="00412FF6">
        <w:t>(19)</w:t>
      </w:r>
      <w:r w:rsidRPr="00412FF6">
        <w:tab/>
      </w:r>
      <w:r w:rsidR="00A5262D">
        <w:rPr>
          <w:noProof/>
        </w:rPr>
        <w:t>‘</w:t>
      </w:r>
      <w:r w:rsidR="000A07B7">
        <w:rPr>
          <w:noProof/>
        </w:rPr>
        <w:t>d</w:t>
      </w:r>
      <w:r w:rsidR="00A5262D">
        <w:rPr>
          <w:noProof/>
        </w:rPr>
        <w:t xml:space="preserve">ouble </w:t>
      </w:r>
      <w:r w:rsidR="000A07B7">
        <w:rPr>
          <w:noProof/>
        </w:rPr>
        <w:t>t</w:t>
      </w:r>
      <w:r w:rsidR="00A5262D">
        <w:rPr>
          <w:noProof/>
        </w:rPr>
        <w:t xml:space="preserve">ax </w:t>
      </w:r>
      <w:r w:rsidR="000A07B7">
        <w:rPr>
          <w:noProof/>
        </w:rPr>
        <w:t>t</w:t>
      </w:r>
      <w:r w:rsidR="00A5262D">
        <w:rPr>
          <w:noProof/>
        </w:rPr>
        <w:t xml:space="preserve">reaty’ means an agreement or convention that provides for the elimination of double taxation of income, and where applicable, capital, in force </w:t>
      </w:r>
      <w:r w:rsidR="00A5262D" w:rsidRPr="00A04FC2">
        <w:rPr>
          <w:noProof/>
        </w:rPr>
        <w:t xml:space="preserve">between two (or more) </w:t>
      </w:r>
      <w:r w:rsidR="00A5262D" w:rsidRPr="001C1433">
        <w:rPr>
          <w:b/>
          <w:i/>
          <w:strike/>
          <w:noProof/>
        </w:rPr>
        <w:t>countries</w:t>
      </w:r>
      <w:r w:rsidR="001C1433">
        <w:rPr>
          <w:noProof/>
        </w:rPr>
        <w:t xml:space="preserve"> </w:t>
      </w:r>
      <w:r w:rsidR="001C1433">
        <w:rPr>
          <w:b/>
          <w:i/>
        </w:rPr>
        <w:t>jurisdictions (</w:t>
      </w:r>
      <w:r w:rsidR="001C1433" w:rsidRPr="00261C29">
        <w:rPr>
          <w:b/>
          <w:i/>
        </w:rPr>
        <w:t>Renew 51</w:t>
      </w:r>
      <w:r w:rsidR="001C1433">
        <w:rPr>
          <w:b/>
          <w:i/>
        </w:rPr>
        <w:t>)</w:t>
      </w:r>
      <w:r w:rsidR="00A5262D">
        <w:rPr>
          <w:noProof/>
        </w:rPr>
        <w:t xml:space="preserve">. </w:t>
      </w:r>
    </w:p>
    <w:p w14:paraId="7F0A7C9E" w14:textId="77777777" w:rsidR="002F4419" w:rsidRDefault="00412FF6" w:rsidP="00412FF6">
      <w:pPr>
        <w:pStyle w:val="Point0"/>
        <w:rPr>
          <w:noProof/>
        </w:rPr>
      </w:pPr>
      <w:r w:rsidRPr="00412FF6">
        <w:t>(20)</w:t>
      </w:r>
      <w:r w:rsidRPr="00412FF6">
        <w:tab/>
      </w:r>
      <w:r w:rsidR="002F4419" w:rsidRPr="001064D6">
        <w:rPr>
          <w:noProof/>
        </w:rPr>
        <w:t>‘</w:t>
      </w:r>
      <w:r w:rsidR="000A07B7">
        <w:rPr>
          <w:noProof/>
        </w:rPr>
        <w:t>s</w:t>
      </w:r>
      <w:r w:rsidR="002F4419" w:rsidRPr="001064D6">
        <w:rPr>
          <w:noProof/>
        </w:rPr>
        <w:t>ource Member State’ means the Member State of residence of the issuer of the security paying dividend or interest.</w:t>
      </w:r>
    </w:p>
    <w:p w14:paraId="505BB7F4" w14:textId="77777777" w:rsidR="002F4419" w:rsidRDefault="00412FF6" w:rsidP="00412FF6">
      <w:pPr>
        <w:pStyle w:val="Point0"/>
        <w:rPr>
          <w:noProof/>
        </w:rPr>
      </w:pPr>
      <w:r w:rsidRPr="00412FF6">
        <w:t>(21)</w:t>
      </w:r>
      <w:r w:rsidRPr="00412FF6">
        <w:tab/>
      </w:r>
      <w:r w:rsidR="002F4419">
        <w:rPr>
          <w:noProof/>
        </w:rPr>
        <w:t>‘</w:t>
      </w:r>
      <w:r w:rsidR="000A07B7">
        <w:rPr>
          <w:noProof/>
        </w:rPr>
        <w:t>q</w:t>
      </w:r>
      <w:r w:rsidR="002F4419">
        <w:rPr>
          <w:noProof/>
        </w:rPr>
        <w:t xml:space="preserve">uick </w:t>
      </w:r>
      <w:r w:rsidR="000A07B7">
        <w:rPr>
          <w:noProof/>
        </w:rPr>
        <w:t>r</w:t>
      </w:r>
      <w:r w:rsidR="002F4419">
        <w:rPr>
          <w:noProof/>
        </w:rPr>
        <w:t xml:space="preserve">efund system’ means a system where a payment of dividend or interest is made taking into account the general domestic withholding tax rate followed by a request for refund of the </w:t>
      </w:r>
      <w:r w:rsidR="000A07B7">
        <w:rPr>
          <w:noProof/>
        </w:rPr>
        <w:t>e</w:t>
      </w:r>
      <w:r w:rsidR="002F4419">
        <w:rPr>
          <w:noProof/>
        </w:rPr>
        <w:t>xcess</w:t>
      </w:r>
      <w:r w:rsidR="000310D7">
        <w:rPr>
          <w:noProof/>
        </w:rPr>
        <w:t xml:space="preserve"> </w:t>
      </w:r>
      <w:r w:rsidR="000A07B7">
        <w:rPr>
          <w:noProof/>
        </w:rPr>
        <w:t>w</w:t>
      </w:r>
      <w:r w:rsidR="000310D7" w:rsidRPr="00B9581D">
        <w:rPr>
          <w:noProof/>
        </w:rPr>
        <w:t>ithholding</w:t>
      </w:r>
      <w:r w:rsidR="002F4419">
        <w:rPr>
          <w:noProof/>
        </w:rPr>
        <w:t xml:space="preserve"> </w:t>
      </w:r>
      <w:r w:rsidR="000A07B7">
        <w:rPr>
          <w:noProof/>
        </w:rPr>
        <w:t>t</w:t>
      </w:r>
      <w:r w:rsidR="002F4419">
        <w:rPr>
          <w:noProof/>
        </w:rPr>
        <w:t>ax within the timeframe set in Article</w:t>
      </w:r>
      <w:r w:rsidR="009469E8">
        <w:rPr>
          <w:noProof/>
        </w:rPr>
        <w:t> </w:t>
      </w:r>
      <w:r w:rsidR="002F4419">
        <w:rPr>
          <w:noProof/>
        </w:rPr>
        <w:t xml:space="preserve">13. </w:t>
      </w:r>
    </w:p>
    <w:p w14:paraId="69ACDD89" w14:textId="77777777" w:rsidR="002F4419" w:rsidRDefault="00412FF6" w:rsidP="00412FF6">
      <w:pPr>
        <w:pStyle w:val="Point0"/>
        <w:rPr>
          <w:noProof/>
        </w:rPr>
      </w:pPr>
      <w:r w:rsidRPr="00412FF6">
        <w:t>(22)</w:t>
      </w:r>
      <w:r w:rsidRPr="00412FF6">
        <w:tab/>
      </w:r>
      <w:r w:rsidR="002F4419">
        <w:rPr>
          <w:noProof/>
        </w:rPr>
        <w:t>‘</w:t>
      </w:r>
      <w:r w:rsidR="000A07B7">
        <w:rPr>
          <w:noProof/>
        </w:rPr>
        <w:t>r</w:t>
      </w:r>
      <w:r w:rsidR="002F4419">
        <w:rPr>
          <w:noProof/>
        </w:rPr>
        <w:t xml:space="preserve">elief at </w:t>
      </w:r>
      <w:r w:rsidR="000A07B7">
        <w:rPr>
          <w:noProof/>
        </w:rPr>
        <w:t>s</w:t>
      </w:r>
      <w:r w:rsidR="002F4419">
        <w:rPr>
          <w:noProof/>
        </w:rPr>
        <w:t xml:space="preserve">ource system’ means a system where the appropriate withholding tax rate, in accordance with the applicable domestic rules and/or international agreements, such as the relevant </w:t>
      </w:r>
      <w:r w:rsidR="000A07B7">
        <w:rPr>
          <w:noProof/>
        </w:rPr>
        <w:t>d</w:t>
      </w:r>
      <w:r w:rsidR="002F4419">
        <w:rPr>
          <w:noProof/>
        </w:rPr>
        <w:t xml:space="preserve">ouble </w:t>
      </w:r>
      <w:r w:rsidR="000A07B7">
        <w:rPr>
          <w:noProof/>
        </w:rPr>
        <w:t>t</w:t>
      </w:r>
      <w:r w:rsidR="002F4419">
        <w:rPr>
          <w:noProof/>
        </w:rPr>
        <w:t xml:space="preserve">ax </w:t>
      </w:r>
      <w:r w:rsidR="000A07B7">
        <w:rPr>
          <w:noProof/>
        </w:rPr>
        <w:t>t</w:t>
      </w:r>
      <w:r w:rsidR="002F4419">
        <w:rPr>
          <w:noProof/>
        </w:rPr>
        <w:t xml:space="preserve">reaty, is applied at the moment of payment of dividends or interest. </w:t>
      </w:r>
    </w:p>
    <w:p w14:paraId="27BBBF11" w14:textId="77777777" w:rsidR="002F4419" w:rsidRDefault="00412FF6" w:rsidP="00412FF6">
      <w:pPr>
        <w:pStyle w:val="Point0"/>
        <w:rPr>
          <w:noProof/>
        </w:rPr>
      </w:pPr>
      <w:r w:rsidRPr="00412FF6">
        <w:t>(23)</w:t>
      </w:r>
      <w:r w:rsidRPr="00412FF6">
        <w:tab/>
      </w:r>
      <w:r w:rsidR="002F4419">
        <w:rPr>
          <w:noProof/>
        </w:rPr>
        <w:t>‘</w:t>
      </w:r>
      <w:r w:rsidR="000A07B7">
        <w:rPr>
          <w:noProof/>
        </w:rPr>
        <w:t>s</w:t>
      </w:r>
      <w:r w:rsidR="002F4419">
        <w:rPr>
          <w:noProof/>
        </w:rPr>
        <w:t xml:space="preserve">tandard </w:t>
      </w:r>
      <w:r w:rsidR="000A07B7">
        <w:rPr>
          <w:noProof/>
        </w:rPr>
        <w:t>r</w:t>
      </w:r>
      <w:r w:rsidR="002F4419">
        <w:rPr>
          <w:noProof/>
        </w:rPr>
        <w:t xml:space="preserve">efund system’ means a system where a payment of dividends or interest is made taking into account the general domestic withholding tax rate followed by a </w:t>
      </w:r>
      <w:r w:rsidR="002F4419">
        <w:rPr>
          <w:noProof/>
        </w:rPr>
        <w:lastRenderedPageBreak/>
        <w:t xml:space="preserve">request for refund of the </w:t>
      </w:r>
      <w:r w:rsidR="000A07B7">
        <w:rPr>
          <w:noProof/>
        </w:rPr>
        <w:t>e</w:t>
      </w:r>
      <w:r w:rsidR="002F4419">
        <w:rPr>
          <w:noProof/>
        </w:rPr>
        <w:t xml:space="preserve">xcess </w:t>
      </w:r>
      <w:r w:rsidR="000A07B7">
        <w:rPr>
          <w:noProof/>
        </w:rPr>
        <w:t>w</w:t>
      </w:r>
      <w:r w:rsidR="002F4419">
        <w:rPr>
          <w:noProof/>
        </w:rPr>
        <w:t xml:space="preserve">ithholding </w:t>
      </w:r>
      <w:r w:rsidR="000A07B7">
        <w:rPr>
          <w:noProof/>
        </w:rPr>
        <w:t>t</w:t>
      </w:r>
      <w:r w:rsidR="002F4419">
        <w:rPr>
          <w:noProof/>
        </w:rPr>
        <w:t xml:space="preserve">ax outside the procedure set out in Article 13. </w:t>
      </w:r>
    </w:p>
    <w:p w14:paraId="689DB109" w14:textId="77777777" w:rsidR="00AF037C" w:rsidRDefault="00412FF6" w:rsidP="00412FF6">
      <w:pPr>
        <w:pStyle w:val="Point0"/>
        <w:rPr>
          <w:noProof/>
        </w:rPr>
      </w:pPr>
      <w:r w:rsidRPr="00412FF6">
        <w:t>(24)</w:t>
      </w:r>
      <w:r w:rsidRPr="00412FF6">
        <w:tab/>
      </w:r>
      <w:r w:rsidR="624166C1">
        <w:rPr>
          <w:noProof/>
        </w:rPr>
        <w:t xml:space="preserve">‘euro short-term rate’ means </w:t>
      </w:r>
      <w:r w:rsidR="6A57659A">
        <w:rPr>
          <w:noProof/>
        </w:rPr>
        <w:t xml:space="preserve">the euro short-term rate as defined in </w:t>
      </w:r>
      <w:r w:rsidR="0722A5E3">
        <w:rPr>
          <w:noProof/>
        </w:rPr>
        <w:t>Guideline (EU) 2019/1265 of the European Central Bank of 10 July 2019</w:t>
      </w:r>
      <w:r w:rsidR="009B5531">
        <w:rPr>
          <w:rStyle w:val="FootnoteReference"/>
          <w:noProof/>
        </w:rPr>
        <w:footnoteReference w:id="7"/>
      </w:r>
      <w:r w:rsidR="0722A5E3">
        <w:rPr>
          <w:noProof/>
        </w:rPr>
        <w:t>.</w:t>
      </w:r>
    </w:p>
    <w:p w14:paraId="049D9983" w14:textId="77777777" w:rsidR="004D12F8" w:rsidRPr="00C35221" w:rsidRDefault="004D12F8" w:rsidP="004D12F8">
      <w:pPr>
        <w:rPr>
          <w:noProof/>
        </w:rPr>
      </w:pPr>
    </w:p>
    <w:p w14:paraId="2D16F801" w14:textId="77777777" w:rsidR="001956AF" w:rsidRPr="00673DBF" w:rsidRDefault="001956AF" w:rsidP="008A5257">
      <w:pPr>
        <w:jc w:val="center"/>
        <w:rPr>
          <w:b/>
          <w:bCs/>
          <w:i/>
          <w:noProof/>
          <w:lang w:val="en-IE"/>
        </w:rPr>
      </w:pPr>
      <w:r w:rsidRPr="00673DBF">
        <w:rPr>
          <w:b/>
          <w:bCs/>
          <w:noProof/>
          <w:lang w:val="en-IE"/>
        </w:rPr>
        <w:t>CHAPTER II</w:t>
      </w:r>
    </w:p>
    <w:p w14:paraId="653507CB" w14:textId="77777777" w:rsidR="001956AF" w:rsidRPr="00CF3EFD" w:rsidRDefault="001956AF" w:rsidP="008A5257">
      <w:pPr>
        <w:jc w:val="center"/>
        <w:rPr>
          <w:noProof/>
        </w:rPr>
      </w:pPr>
      <w:r w:rsidRPr="00673DBF">
        <w:rPr>
          <w:b/>
          <w:bCs/>
          <w:noProof/>
          <w:lang w:val="en-IE"/>
        </w:rPr>
        <w:t>DIGITAL TAX RESIDENCE CERTIFICATE</w:t>
      </w:r>
    </w:p>
    <w:p w14:paraId="3E78D0E3" w14:textId="77777777" w:rsidR="001956AF" w:rsidRPr="004D634E" w:rsidRDefault="001956AF" w:rsidP="008A5257">
      <w:pPr>
        <w:pStyle w:val="Titrearticle"/>
        <w:rPr>
          <w:b/>
          <w:i w:val="0"/>
          <w:noProof/>
          <w:lang w:val="en-IE"/>
        </w:rPr>
      </w:pPr>
      <w:r w:rsidRPr="004D634E">
        <w:rPr>
          <w:noProof/>
          <w:lang w:val="en-IE"/>
        </w:rPr>
        <w:t xml:space="preserve">Article </w:t>
      </w:r>
      <w:r w:rsidR="00356ED6" w:rsidRPr="004D634E">
        <w:rPr>
          <w:noProof/>
          <w:lang w:val="en-IE"/>
        </w:rPr>
        <w:t>4</w:t>
      </w:r>
      <w:r w:rsidR="008A5257" w:rsidRPr="004D634E">
        <w:rPr>
          <w:noProof/>
          <w:lang w:val="en-IE"/>
        </w:rPr>
        <w:br/>
      </w:r>
      <w:r w:rsidRPr="004D634E">
        <w:rPr>
          <w:b/>
          <w:i w:val="0"/>
          <w:noProof/>
          <w:lang w:val="en-IE"/>
        </w:rPr>
        <w:t xml:space="preserve">Digital </w:t>
      </w:r>
      <w:r w:rsidR="00C83FCC" w:rsidRPr="004D634E">
        <w:rPr>
          <w:b/>
          <w:i w:val="0"/>
          <w:noProof/>
          <w:lang w:val="en-IE"/>
        </w:rPr>
        <w:t>t</w:t>
      </w:r>
      <w:r w:rsidRPr="004D634E">
        <w:rPr>
          <w:b/>
          <w:i w:val="0"/>
          <w:noProof/>
          <w:lang w:val="en-IE"/>
        </w:rPr>
        <w:t xml:space="preserve">ax </w:t>
      </w:r>
      <w:r w:rsidR="00C83FCC" w:rsidRPr="004D634E">
        <w:rPr>
          <w:b/>
          <w:i w:val="0"/>
          <w:noProof/>
          <w:lang w:val="en-IE"/>
        </w:rPr>
        <w:t>r</w:t>
      </w:r>
      <w:r w:rsidRPr="004D634E">
        <w:rPr>
          <w:b/>
          <w:i w:val="0"/>
          <w:noProof/>
          <w:lang w:val="en-IE"/>
        </w:rPr>
        <w:t xml:space="preserve">esidence </w:t>
      </w:r>
      <w:r w:rsidR="00C83FCC" w:rsidRPr="004D634E">
        <w:rPr>
          <w:b/>
          <w:i w:val="0"/>
          <w:noProof/>
          <w:lang w:val="en-IE"/>
        </w:rPr>
        <w:t>c</w:t>
      </w:r>
      <w:r w:rsidRPr="004D634E">
        <w:rPr>
          <w:b/>
          <w:i w:val="0"/>
          <w:noProof/>
          <w:lang w:val="en-IE"/>
        </w:rPr>
        <w:t>ertificate (eTRC)</w:t>
      </w:r>
    </w:p>
    <w:p w14:paraId="3BF25BA6" w14:textId="77777777" w:rsidR="001956AF" w:rsidRPr="008A5257" w:rsidRDefault="00412FF6" w:rsidP="00412FF6">
      <w:pPr>
        <w:pStyle w:val="ManualNumPar1"/>
        <w:rPr>
          <w:noProof/>
          <w:lang w:val="en-IE"/>
        </w:rPr>
      </w:pPr>
      <w:r w:rsidRPr="00412FF6">
        <w:t>1.</w:t>
      </w:r>
      <w:r w:rsidRPr="00412FF6">
        <w:tab/>
      </w:r>
      <w:r w:rsidR="001956AF" w:rsidRPr="008A5257">
        <w:rPr>
          <w:noProof/>
          <w:lang w:val="en-IE"/>
        </w:rPr>
        <w:t xml:space="preserve">Member States shall provide </w:t>
      </w:r>
      <w:r w:rsidR="3220832C" w:rsidRPr="1F977705">
        <w:rPr>
          <w:noProof/>
          <w:lang w:val="en-IE"/>
        </w:rPr>
        <w:t xml:space="preserve">for </w:t>
      </w:r>
      <w:r w:rsidR="001956AF" w:rsidRPr="008A5257">
        <w:rPr>
          <w:noProof/>
          <w:lang w:val="en-IE"/>
        </w:rPr>
        <w:t xml:space="preserve">an automated process to issue digital tax residence certificates </w:t>
      </w:r>
      <w:r w:rsidR="00C87090">
        <w:rPr>
          <w:noProof/>
          <w:lang w:val="en-IE"/>
        </w:rPr>
        <w:t xml:space="preserve">(eTRC) </w:t>
      </w:r>
      <w:r w:rsidR="002C5710">
        <w:rPr>
          <w:noProof/>
          <w:lang w:val="en-IE"/>
        </w:rPr>
        <w:t>to</w:t>
      </w:r>
      <w:r w:rsidR="001956AF" w:rsidRPr="008A5257">
        <w:rPr>
          <w:noProof/>
          <w:lang w:val="en-IE"/>
        </w:rPr>
        <w:t xml:space="preserve"> </w:t>
      </w:r>
      <w:r w:rsidR="00C92E46">
        <w:rPr>
          <w:noProof/>
          <w:lang w:val="en-IE"/>
        </w:rPr>
        <w:t xml:space="preserve">a </w:t>
      </w:r>
      <w:r w:rsidR="001956AF" w:rsidRPr="008A5257">
        <w:rPr>
          <w:noProof/>
          <w:lang w:val="en-IE"/>
        </w:rPr>
        <w:t xml:space="preserve">person </w:t>
      </w:r>
      <w:r w:rsidR="2DDF5729" w:rsidRPr="1F977705">
        <w:rPr>
          <w:noProof/>
          <w:lang w:val="en-IE"/>
        </w:rPr>
        <w:t xml:space="preserve">deemed </w:t>
      </w:r>
      <w:r w:rsidR="001956AF" w:rsidRPr="008A5257">
        <w:rPr>
          <w:noProof/>
          <w:lang w:val="en-IE"/>
        </w:rPr>
        <w:t>resident in their jurisdiction for tax purposes.</w:t>
      </w:r>
      <w:r w:rsidR="001956AF" w:rsidRPr="008A5257" w:rsidDel="002E3AEC">
        <w:rPr>
          <w:noProof/>
          <w:lang w:val="en-IE"/>
        </w:rPr>
        <w:t xml:space="preserve"> </w:t>
      </w:r>
    </w:p>
    <w:p w14:paraId="5BB2B835" w14:textId="1F292FC0" w:rsidR="001956AF" w:rsidRPr="008A5257" w:rsidRDefault="00412FF6" w:rsidP="00412FF6">
      <w:pPr>
        <w:pStyle w:val="ManualNumPar1"/>
        <w:rPr>
          <w:noProof/>
          <w:lang w:val="en-IE"/>
        </w:rPr>
      </w:pPr>
      <w:r w:rsidRPr="00412FF6">
        <w:t>2.</w:t>
      </w:r>
      <w:r w:rsidRPr="00412FF6">
        <w:tab/>
      </w:r>
      <w:r w:rsidR="00B0739F">
        <w:rPr>
          <w:noProof/>
          <w:lang w:val="en-IE"/>
        </w:rPr>
        <w:t>Member States shall issue the eTRC</w:t>
      </w:r>
      <w:r w:rsidR="001956AF" w:rsidRPr="008A5257">
        <w:rPr>
          <w:noProof/>
          <w:lang w:val="en-IE"/>
        </w:rPr>
        <w:t xml:space="preserve"> </w:t>
      </w:r>
      <w:r w:rsidR="001C1433">
        <w:rPr>
          <w:b/>
          <w:i/>
        </w:rPr>
        <w:t>based on the available information (</w:t>
      </w:r>
      <w:r w:rsidR="001C1433" w:rsidRPr="00261C29">
        <w:rPr>
          <w:b/>
          <w:i/>
        </w:rPr>
        <w:t>Renew 52</w:t>
      </w:r>
      <w:r w:rsidR="001C1433">
        <w:rPr>
          <w:b/>
          <w:i/>
        </w:rPr>
        <w:t>)</w:t>
      </w:r>
      <w:r w:rsidR="001C1433">
        <w:t xml:space="preserve"> </w:t>
      </w:r>
      <w:r w:rsidR="001956AF" w:rsidRPr="008A5257">
        <w:rPr>
          <w:noProof/>
          <w:lang w:val="en-IE"/>
        </w:rPr>
        <w:t xml:space="preserve">within </w:t>
      </w:r>
      <w:r w:rsidR="001956AF" w:rsidRPr="00771183">
        <w:rPr>
          <w:b/>
          <w:i/>
          <w:strike/>
          <w:noProof/>
          <w:lang w:val="en-IE"/>
        </w:rPr>
        <w:t>one</w:t>
      </w:r>
      <w:r w:rsidR="001956AF" w:rsidRPr="008A5257">
        <w:rPr>
          <w:noProof/>
          <w:lang w:val="en-IE"/>
        </w:rPr>
        <w:t xml:space="preserve"> </w:t>
      </w:r>
      <w:r w:rsidR="00B96C4A" w:rsidRPr="00D62231">
        <w:rPr>
          <w:b/>
          <w:i/>
          <w:noProof/>
          <w:u w:val="single"/>
          <w:lang w:val="en-IE"/>
        </w:rPr>
        <w:t>three</w:t>
      </w:r>
      <w:r w:rsidR="00B96C4A" w:rsidRPr="00D62231">
        <w:rPr>
          <w:noProof/>
          <w:lang w:val="en-IE"/>
        </w:rPr>
        <w:t xml:space="preserve"> </w:t>
      </w:r>
      <w:r w:rsidR="001956AF" w:rsidRPr="008A5257">
        <w:rPr>
          <w:noProof/>
          <w:lang w:val="en-IE"/>
        </w:rPr>
        <w:t xml:space="preserve">working </w:t>
      </w:r>
      <w:r w:rsidR="001956AF" w:rsidRPr="00771183">
        <w:rPr>
          <w:b/>
          <w:i/>
          <w:strike/>
          <w:noProof/>
          <w:lang w:val="en-IE"/>
        </w:rPr>
        <w:t>day</w:t>
      </w:r>
      <w:r w:rsidR="001956AF" w:rsidRPr="008A5257">
        <w:rPr>
          <w:noProof/>
          <w:lang w:val="en-IE"/>
        </w:rPr>
        <w:t xml:space="preserve"> </w:t>
      </w:r>
      <w:r w:rsidR="00771183" w:rsidRPr="00463717">
        <w:rPr>
          <w:b/>
          <w:i/>
        </w:rPr>
        <w:t>days</w:t>
      </w:r>
      <w:r w:rsidR="00771183" w:rsidRPr="00463717">
        <w:t xml:space="preserve"> </w:t>
      </w:r>
      <w:r w:rsidR="00771183">
        <w:rPr>
          <w:b/>
          <w:i/>
        </w:rPr>
        <w:t>(EPP 5</w:t>
      </w:r>
      <w:r w:rsidR="00375C92">
        <w:rPr>
          <w:b/>
          <w:i/>
        </w:rPr>
        <w:t>; Renew</w:t>
      </w:r>
      <w:r w:rsidR="00C1236E">
        <w:rPr>
          <w:b/>
          <w:i/>
        </w:rPr>
        <w:t xml:space="preserve"> 52</w:t>
      </w:r>
      <w:r w:rsidR="00771183">
        <w:rPr>
          <w:b/>
          <w:i/>
        </w:rPr>
        <w:t xml:space="preserve">) </w:t>
      </w:r>
      <w:r w:rsidR="00B0739F">
        <w:rPr>
          <w:noProof/>
          <w:lang w:val="en-IE"/>
        </w:rPr>
        <w:t>from</w:t>
      </w:r>
      <w:r w:rsidR="001956AF" w:rsidRPr="008A5257">
        <w:rPr>
          <w:noProof/>
          <w:lang w:val="en-IE"/>
        </w:rPr>
        <w:t xml:space="preserve"> submission of a request</w:t>
      </w:r>
      <w:r w:rsidR="005226AB">
        <w:rPr>
          <w:noProof/>
          <w:lang w:val="en-IE"/>
        </w:rPr>
        <w:t>, subject to paragraph 4</w:t>
      </w:r>
      <w:r w:rsidR="00B0739F">
        <w:rPr>
          <w:noProof/>
          <w:lang w:val="en-IE"/>
        </w:rPr>
        <w:t>. The eTRC</w:t>
      </w:r>
      <w:r w:rsidR="005226AB">
        <w:rPr>
          <w:noProof/>
          <w:lang w:val="en-IE"/>
        </w:rPr>
        <w:t xml:space="preserve"> shall comply with the technical requirements of Annex I</w:t>
      </w:r>
      <w:r w:rsidR="001956AF" w:rsidRPr="008A5257">
        <w:rPr>
          <w:noProof/>
          <w:lang w:val="en-IE"/>
        </w:rPr>
        <w:t xml:space="preserve"> and shall include the following information:</w:t>
      </w:r>
    </w:p>
    <w:p w14:paraId="7251BF57" w14:textId="77777777" w:rsidR="001C7FE6" w:rsidRDefault="00412FF6" w:rsidP="00412FF6">
      <w:pPr>
        <w:pStyle w:val="Point1"/>
        <w:rPr>
          <w:noProof/>
        </w:rPr>
      </w:pPr>
      <w:r w:rsidRPr="00412FF6">
        <w:t>(a)</w:t>
      </w:r>
      <w:r w:rsidRPr="00412FF6">
        <w:tab/>
      </w:r>
      <w:r w:rsidR="001956AF" w:rsidRPr="004E7F3C">
        <w:rPr>
          <w:noProof/>
        </w:rPr>
        <w:t xml:space="preserve">the first and last name of the taxpayer </w:t>
      </w:r>
      <w:r w:rsidR="003E6F6D">
        <w:rPr>
          <w:noProof/>
        </w:rPr>
        <w:t xml:space="preserve">and the date and place of birth, if the taxpayer </w:t>
      </w:r>
      <w:r w:rsidR="001956AF" w:rsidRPr="004E7F3C">
        <w:rPr>
          <w:noProof/>
        </w:rPr>
        <w:t xml:space="preserve">is an individual, </w:t>
      </w:r>
      <w:r w:rsidR="003E6F6D">
        <w:rPr>
          <w:noProof/>
        </w:rPr>
        <w:t xml:space="preserve">or its name and </w:t>
      </w:r>
      <w:r w:rsidR="005D645B">
        <w:rPr>
          <w:noProof/>
        </w:rPr>
        <w:t xml:space="preserve">its </w:t>
      </w:r>
      <w:r w:rsidR="003E6F6D">
        <w:rPr>
          <w:noProof/>
        </w:rPr>
        <w:t>European Unique Identifier number (EUID)</w:t>
      </w:r>
      <w:r w:rsidR="1DA41A6E">
        <w:rPr>
          <w:noProof/>
        </w:rPr>
        <w:t>, if the taxpayer is an entity</w:t>
      </w:r>
      <w:r w:rsidR="001C1433">
        <w:rPr>
          <w:b/>
          <w:i/>
        </w:rPr>
        <w:t>, where available (</w:t>
      </w:r>
      <w:r w:rsidR="001C1433" w:rsidRPr="00261C29">
        <w:rPr>
          <w:b/>
          <w:i/>
        </w:rPr>
        <w:t>Renew 53)</w:t>
      </w:r>
    </w:p>
    <w:p w14:paraId="452650A2" w14:textId="77777777" w:rsidR="001956AF" w:rsidRDefault="00412FF6" w:rsidP="00412FF6">
      <w:pPr>
        <w:pStyle w:val="Point1"/>
        <w:rPr>
          <w:noProof/>
        </w:rPr>
      </w:pPr>
      <w:r w:rsidRPr="00412FF6">
        <w:t>(b)</w:t>
      </w:r>
      <w:r w:rsidRPr="00412FF6">
        <w:tab/>
      </w:r>
      <w:r w:rsidR="000E768E">
        <w:rPr>
          <w:noProof/>
        </w:rPr>
        <w:t>t</w:t>
      </w:r>
      <w:r w:rsidR="001956AF" w:rsidRPr="003B1BBB">
        <w:rPr>
          <w:noProof/>
        </w:rPr>
        <w:t>ax identification number</w:t>
      </w:r>
      <w:r w:rsidR="00F678B6">
        <w:rPr>
          <w:noProof/>
        </w:rPr>
        <w:t>;</w:t>
      </w:r>
      <w:r w:rsidR="001956AF" w:rsidRPr="003B1BBB">
        <w:rPr>
          <w:noProof/>
        </w:rPr>
        <w:t xml:space="preserve"> </w:t>
      </w:r>
    </w:p>
    <w:p w14:paraId="69F04392" w14:textId="77777777" w:rsidR="001956AF" w:rsidRDefault="00412FF6" w:rsidP="00412FF6">
      <w:pPr>
        <w:pStyle w:val="Point1"/>
        <w:rPr>
          <w:noProof/>
        </w:rPr>
      </w:pPr>
      <w:r w:rsidRPr="00412FF6">
        <w:t>(c)</w:t>
      </w:r>
      <w:r w:rsidRPr="00412FF6">
        <w:tab/>
      </w:r>
      <w:r w:rsidR="008E56AC">
        <w:rPr>
          <w:noProof/>
        </w:rPr>
        <w:t>a</w:t>
      </w:r>
      <w:r w:rsidR="001956AF" w:rsidRPr="003B1BBB">
        <w:rPr>
          <w:noProof/>
        </w:rPr>
        <w:t>ddress of the taxpayer;</w:t>
      </w:r>
    </w:p>
    <w:p w14:paraId="415D2762" w14:textId="77777777" w:rsidR="001956AF" w:rsidRDefault="00412FF6" w:rsidP="00412FF6">
      <w:pPr>
        <w:pStyle w:val="Point1"/>
        <w:rPr>
          <w:noProof/>
        </w:rPr>
      </w:pPr>
      <w:r w:rsidRPr="00412FF6">
        <w:t>(d)</w:t>
      </w:r>
      <w:r w:rsidRPr="00412FF6">
        <w:tab/>
      </w:r>
      <w:r w:rsidR="008E56AC">
        <w:rPr>
          <w:noProof/>
        </w:rPr>
        <w:t>d</w:t>
      </w:r>
      <w:r w:rsidR="001956AF" w:rsidRPr="003B1BBB">
        <w:rPr>
          <w:noProof/>
        </w:rPr>
        <w:t>ate of issuance;</w:t>
      </w:r>
    </w:p>
    <w:p w14:paraId="2DBCB14C" w14:textId="77777777" w:rsidR="001956AF" w:rsidRPr="003B1BBB" w:rsidRDefault="00412FF6" w:rsidP="00412FF6">
      <w:pPr>
        <w:pStyle w:val="Point1"/>
        <w:rPr>
          <w:noProof/>
        </w:rPr>
      </w:pPr>
      <w:r w:rsidRPr="00412FF6">
        <w:t>(e)</w:t>
      </w:r>
      <w:r w:rsidRPr="00412FF6">
        <w:tab/>
      </w:r>
      <w:r w:rsidR="008E56AC">
        <w:rPr>
          <w:noProof/>
        </w:rPr>
        <w:t>t</w:t>
      </w:r>
      <w:r w:rsidR="001956AF" w:rsidRPr="003B1BBB">
        <w:rPr>
          <w:noProof/>
        </w:rPr>
        <w:t xml:space="preserve">he </w:t>
      </w:r>
      <w:r w:rsidR="001956AF" w:rsidRPr="003B1BBB" w:rsidDel="00912C46">
        <w:rPr>
          <w:noProof/>
        </w:rPr>
        <w:t xml:space="preserve">covered </w:t>
      </w:r>
      <w:r w:rsidR="001956AF" w:rsidRPr="003B1BBB">
        <w:rPr>
          <w:noProof/>
        </w:rPr>
        <w:t xml:space="preserve">period; </w:t>
      </w:r>
    </w:p>
    <w:p w14:paraId="3AEA6A28" w14:textId="77777777" w:rsidR="0013507F" w:rsidRDefault="00412FF6" w:rsidP="00412FF6">
      <w:pPr>
        <w:pStyle w:val="Point1"/>
        <w:rPr>
          <w:noProof/>
        </w:rPr>
      </w:pPr>
      <w:r w:rsidRPr="00412FF6">
        <w:t>(f)</w:t>
      </w:r>
      <w:r w:rsidRPr="00412FF6">
        <w:tab/>
      </w:r>
      <w:r w:rsidR="00292952">
        <w:rPr>
          <w:noProof/>
        </w:rPr>
        <w:t>identification of the tax authority issuing the certificate;</w:t>
      </w:r>
    </w:p>
    <w:p w14:paraId="4DF74730" w14:textId="12DBBC23" w:rsidR="001C1433" w:rsidRDefault="001C1433" w:rsidP="00412FF6">
      <w:pPr>
        <w:pStyle w:val="Point1"/>
        <w:rPr>
          <w:noProof/>
        </w:rPr>
      </w:pPr>
      <w:r>
        <w:rPr>
          <w:b/>
          <w:i/>
        </w:rPr>
        <w:t>(f a)</w:t>
      </w:r>
      <w:r>
        <w:tab/>
      </w:r>
      <w:r>
        <w:rPr>
          <w:b/>
          <w:i/>
        </w:rPr>
        <w:t>the double tax treaty (</w:t>
      </w:r>
      <w:r w:rsidRPr="00261C29">
        <w:rPr>
          <w:b/>
          <w:i/>
        </w:rPr>
        <w:t>Greens 54, Renew 55</w:t>
      </w:r>
      <w:r>
        <w:rPr>
          <w:b/>
          <w:i/>
        </w:rPr>
        <w:t>)</w:t>
      </w:r>
      <w:r w:rsidR="008C3B68">
        <w:rPr>
          <w:b/>
          <w:i/>
        </w:rPr>
        <w:t>;</w:t>
      </w:r>
    </w:p>
    <w:p w14:paraId="2272E14B" w14:textId="77777777" w:rsidR="0013507F" w:rsidRPr="00771183" w:rsidRDefault="00412FF6" w:rsidP="00412FF6">
      <w:pPr>
        <w:pStyle w:val="Point1"/>
        <w:rPr>
          <w:b/>
          <w:i/>
          <w:noProof/>
        </w:rPr>
      </w:pPr>
      <w:r w:rsidRPr="00771183">
        <w:rPr>
          <w:b/>
          <w:i/>
          <w:strike/>
        </w:rPr>
        <w:t>(g)</w:t>
      </w:r>
      <w:r w:rsidRPr="00771183">
        <w:rPr>
          <w:b/>
          <w:i/>
          <w:strike/>
        </w:rPr>
        <w:tab/>
      </w:r>
      <w:r w:rsidR="003539B3" w:rsidRPr="00771183">
        <w:rPr>
          <w:b/>
          <w:i/>
          <w:strike/>
          <w:noProof/>
        </w:rPr>
        <w:t>any additional information that may be relevant where the certificate is issued to serve purposes other than relief of withholding tax under this Directive</w:t>
      </w:r>
      <w:r w:rsidR="00146A52" w:rsidRPr="00771183">
        <w:rPr>
          <w:b/>
          <w:i/>
          <w:strike/>
          <w:noProof/>
        </w:rPr>
        <w:t xml:space="preserve"> or information required to be included in a tax residence certificate under EU law</w:t>
      </w:r>
      <w:r w:rsidR="00AF46FA" w:rsidRPr="00771183">
        <w:rPr>
          <w:b/>
          <w:i/>
          <w:strike/>
          <w:noProof/>
        </w:rPr>
        <w:t>.</w:t>
      </w:r>
      <w:r w:rsidR="00771183">
        <w:rPr>
          <w:b/>
          <w:i/>
          <w:strike/>
          <w:noProof/>
        </w:rPr>
        <w:t xml:space="preserve"> </w:t>
      </w:r>
      <w:r w:rsidR="00771183">
        <w:rPr>
          <w:b/>
          <w:i/>
          <w:noProof/>
        </w:rPr>
        <w:t>(EPP 6</w:t>
      </w:r>
      <w:r w:rsidR="002A4AF6">
        <w:rPr>
          <w:b/>
          <w:i/>
          <w:noProof/>
        </w:rPr>
        <w:t>, 57, S&amp;D 56</w:t>
      </w:r>
      <w:r w:rsidR="00771183">
        <w:rPr>
          <w:b/>
          <w:i/>
          <w:noProof/>
        </w:rPr>
        <w:t>)</w:t>
      </w:r>
    </w:p>
    <w:p w14:paraId="2C39C075" w14:textId="77777777" w:rsidR="001956AF" w:rsidRPr="00350D94" w:rsidRDefault="00412FF6" w:rsidP="00412FF6">
      <w:pPr>
        <w:pStyle w:val="ManualNumPar1"/>
        <w:rPr>
          <w:noProof/>
          <w:lang w:val="en-IE"/>
        </w:rPr>
      </w:pPr>
      <w:r w:rsidRPr="00412FF6">
        <w:t>3.</w:t>
      </w:r>
      <w:r w:rsidRPr="00412FF6">
        <w:tab/>
      </w:r>
      <w:r w:rsidR="001956AF" w:rsidRPr="00350D94">
        <w:rPr>
          <w:noProof/>
          <w:lang w:val="en-IE"/>
        </w:rPr>
        <w:t>A</w:t>
      </w:r>
      <w:r w:rsidR="00003FD1">
        <w:rPr>
          <w:noProof/>
          <w:lang w:val="en-IE"/>
        </w:rPr>
        <w:t>n</w:t>
      </w:r>
      <w:r w:rsidR="001956AF" w:rsidRPr="00350D94">
        <w:rPr>
          <w:noProof/>
          <w:lang w:val="en-IE"/>
        </w:rPr>
        <w:t xml:space="preserve"> </w:t>
      </w:r>
      <w:r w:rsidR="00C87090">
        <w:rPr>
          <w:noProof/>
          <w:lang w:val="en-IE"/>
        </w:rPr>
        <w:t>eTRC</w:t>
      </w:r>
      <w:r w:rsidR="001956AF" w:rsidRPr="00350D94">
        <w:rPr>
          <w:noProof/>
          <w:lang w:val="en-IE"/>
        </w:rPr>
        <w:t xml:space="preserve"> shall cover </w:t>
      </w:r>
      <w:r w:rsidR="00C87090">
        <w:rPr>
          <w:noProof/>
          <w:lang w:val="en-IE"/>
        </w:rPr>
        <w:t xml:space="preserve">at least </w:t>
      </w:r>
      <w:r w:rsidR="001956AF" w:rsidRPr="00350D94">
        <w:rPr>
          <w:noProof/>
          <w:lang w:val="en-IE"/>
        </w:rPr>
        <w:t xml:space="preserve">the whole calendar year in which the request </w:t>
      </w:r>
      <w:r w:rsidR="00F319EE">
        <w:rPr>
          <w:noProof/>
          <w:lang w:val="en-IE"/>
        </w:rPr>
        <w:t xml:space="preserve">for such certificate </w:t>
      </w:r>
      <w:r w:rsidR="001956AF" w:rsidRPr="00350D94">
        <w:rPr>
          <w:noProof/>
          <w:lang w:val="en-IE"/>
        </w:rPr>
        <w:t>is made</w:t>
      </w:r>
      <w:r w:rsidR="005B2DC2">
        <w:rPr>
          <w:noProof/>
          <w:lang w:val="en-IE"/>
        </w:rPr>
        <w:t xml:space="preserve"> and shall be valid for such covered period</w:t>
      </w:r>
      <w:r w:rsidR="00146A52">
        <w:rPr>
          <w:noProof/>
          <w:lang w:val="en-IE"/>
        </w:rPr>
        <w:t xml:space="preserve"> unless and until the Member State issuing the eTRC has evidence that the person to which the eTRC refers is not resident in its jurisdiction</w:t>
      </w:r>
      <w:r w:rsidR="001956AF" w:rsidRPr="00350D94">
        <w:rPr>
          <w:noProof/>
          <w:lang w:val="en-IE"/>
        </w:rPr>
        <w:t xml:space="preserve">. </w:t>
      </w:r>
    </w:p>
    <w:p w14:paraId="3E99038C" w14:textId="0AE1F93F" w:rsidR="001956AF" w:rsidRPr="00350D94" w:rsidRDefault="00412FF6" w:rsidP="00412FF6">
      <w:pPr>
        <w:pStyle w:val="ManualNumPar1"/>
        <w:rPr>
          <w:noProof/>
          <w:lang w:val="en-IE"/>
        </w:rPr>
      </w:pPr>
      <w:r w:rsidRPr="00412FF6">
        <w:t>4.</w:t>
      </w:r>
      <w:r w:rsidRPr="00412FF6">
        <w:tab/>
      </w:r>
      <w:r w:rsidR="005226AB">
        <w:rPr>
          <w:noProof/>
          <w:lang w:val="en-IE"/>
        </w:rPr>
        <w:t>If</w:t>
      </w:r>
      <w:r w:rsidR="007D7D7C">
        <w:rPr>
          <w:noProof/>
          <w:lang w:val="en-IE"/>
        </w:rPr>
        <w:t xml:space="preserve"> more than </w:t>
      </w:r>
      <w:r w:rsidR="00771183" w:rsidRPr="00771183">
        <w:rPr>
          <w:b/>
          <w:i/>
          <w:strike/>
          <w:noProof/>
          <w:lang w:val="en-IE"/>
        </w:rPr>
        <w:t>one</w:t>
      </w:r>
      <w:r w:rsidR="00771183" w:rsidRPr="008A5257">
        <w:rPr>
          <w:noProof/>
          <w:lang w:val="en-IE"/>
        </w:rPr>
        <w:t xml:space="preserve"> </w:t>
      </w:r>
      <w:r w:rsidR="00C1236E" w:rsidRPr="00763CAC">
        <w:rPr>
          <w:b/>
          <w:i/>
          <w:noProof/>
          <w:u w:val="single"/>
          <w:lang w:val="en-IE"/>
        </w:rPr>
        <w:t>five</w:t>
      </w:r>
      <w:r w:rsidR="00C1236E">
        <w:rPr>
          <w:b/>
          <w:i/>
          <w:noProof/>
          <w:lang w:val="en-IE"/>
        </w:rPr>
        <w:t xml:space="preserve"> </w:t>
      </w:r>
      <w:r w:rsidR="00771183" w:rsidRPr="008A5257">
        <w:rPr>
          <w:noProof/>
          <w:lang w:val="en-IE"/>
        </w:rPr>
        <w:t xml:space="preserve">working </w:t>
      </w:r>
      <w:r w:rsidR="00771183" w:rsidRPr="00771183">
        <w:rPr>
          <w:b/>
          <w:i/>
          <w:strike/>
          <w:noProof/>
          <w:lang w:val="en-IE"/>
        </w:rPr>
        <w:t>day</w:t>
      </w:r>
      <w:r w:rsidR="00771183">
        <w:rPr>
          <w:b/>
          <w:i/>
          <w:strike/>
          <w:noProof/>
          <w:lang w:val="en-IE"/>
        </w:rPr>
        <w:t xml:space="preserve"> is</w:t>
      </w:r>
      <w:r w:rsidR="00771183" w:rsidRPr="008A5257">
        <w:rPr>
          <w:noProof/>
          <w:lang w:val="en-IE"/>
        </w:rPr>
        <w:t xml:space="preserve"> </w:t>
      </w:r>
      <w:r w:rsidR="00771183" w:rsidRPr="00463717">
        <w:rPr>
          <w:b/>
          <w:i/>
        </w:rPr>
        <w:t>days</w:t>
      </w:r>
      <w:r w:rsidR="00771183">
        <w:rPr>
          <w:b/>
          <w:i/>
        </w:rPr>
        <w:t xml:space="preserve"> are</w:t>
      </w:r>
      <w:r w:rsidR="00771183" w:rsidRPr="00463717">
        <w:t xml:space="preserve"> </w:t>
      </w:r>
      <w:r w:rsidR="00771183">
        <w:rPr>
          <w:b/>
          <w:i/>
        </w:rPr>
        <w:t>(EPP 7</w:t>
      </w:r>
      <w:r w:rsidR="004D3809">
        <w:rPr>
          <w:b/>
          <w:i/>
        </w:rPr>
        <w:t>,</w:t>
      </w:r>
      <w:r w:rsidR="001C1433" w:rsidRPr="00261C29">
        <w:rPr>
          <w:b/>
          <w:i/>
        </w:rPr>
        <w:t xml:space="preserve"> Renew 58</w:t>
      </w:r>
      <w:r w:rsidR="00771183">
        <w:rPr>
          <w:b/>
          <w:i/>
        </w:rPr>
        <w:t>)</w:t>
      </w:r>
      <w:r w:rsidR="007D7D7C">
        <w:rPr>
          <w:noProof/>
          <w:lang w:val="en-IE"/>
        </w:rPr>
        <w:t xml:space="preserve"> required to </w:t>
      </w:r>
      <w:r w:rsidR="007D7D7C" w:rsidRPr="007D7D7C">
        <w:rPr>
          <w:noProof/>
          <w:lang w:val="en-IE"/>
        </w:rPr>
        <w:t>verify the tax residency of a specific taxpayer, the Member State shall inform the person requesting the certificate of the additional time needed and the reasons for the delay</w:t>
      </w:r>
      <w:r w:rsidR="004D3809" w:rsidRPr="004D3809">
        <w:rPr>
          <w:b/>
          <w:i/>
        </w:rPr>
        <w:t xml:space="preserve"> </w:t>
      </w:r>
      <w:r w:rsidR="004D3809">
        <w:rPr>
          <w:b/>
          <w:i/>
        </w:rPr>
        <w:t xml:space="preserve">that, in any case, shall be no longer than </w:t>
      </w:r>
      <w:r w:rsidR="00C1236E" w:rsidRPr="00763CAC">
        <w:rPr>
          <w:b/>
          <w:i/>
          <w:u w:val="single"/>
        </w:rPr>
        <w:t>five</w:t>
      </w:r>
      <w:r w:rsidR="00C1236E">
        <w:rPr>
          <w:b/>
          <w:i/>
        </w:rPr>
        <w:t xml:space="preserve"> </w:t>
      </w:r>
      <w:r w:rsidR="004D3809">
        <w:rPr>
          <w:b/>
          <w:i/>
        </w:rPr>
        <w:t>working days</w:t>
      </w:r>
      <w:r w:rsidR="004D3809">
        <w:t xml:space="preserve"> </w:t>
      </w:r>
      <w:r w:rsidR="004D3809" w:rsidRPr="004D3809">
        <w:rPr>
          <w:b/>
          <w:i/>
        </w:rPr>
        <w:t>(EPP 59)</w:t>
      </w:r>
      <w:r w:rsidR="007D7D7C" w:rsidRPr="007D7D7C">
        <w:rPr>
          <w:noProof/>
          <w:lang w:val="en-IE"/>
        </w:rPr>
        <w:t xml:space="preserve">. </w:t>
      </w:r>
    </w:p>
    <w:p w14:paraId="0F29F0CC" w14:textId="77777777" w:rsidR="001C1433" w:rsidRDefault="00412FF6" w:rsidP="001C1433">
      <w:pPr>
        <w:pStyle w:val="ManualNumPar1"/>
        <w:rPr>
          <w:b/>
          <w:i/>
        </w:rPr>
      </w:pPr>
      <w:r w:rsidRPr="00412FF6">
        <w:t>5.</w:t>
      </w:r>
      <w:r w:rsidRPr="00412FF6">
        <w:tab/>
      </w:r>
      <w:r w:rsidR="001956AF" w:rsidRPr="00350D94">
        <w:rPr>
          <w:noProof/>
          <w:lang w:val="en-IE"/>
        </w:rPr>
        <w:t xml:space="preserve">Member States shall </w:t>
      </w:r>
      <w:r w:rsidR="001C7FE6">
        <w:rPr>
          <w:noProof/>
          <w:lang w:val="en-IE"/>
        </w:rPr>
        <w:t>recognise</w:t>
      </w:r>
      <w:r w:rsidR="001C7FE6" w:rsidRPr="00350D94">
        <w:rPr>
          <w:noProof/>
          <w:lang w:val="en-IE"/>
        </w:rPr>
        <w:t xml:space="preserve"> </w:t>
      </w:r>
      <w:r w:rsidR="00AD6C29">
        <w:rPr>
          <w:noProof/>
          <w:lang w:val="en-IE"/>
        </w:rPr>
        <w:t>an</w:t>
      </w:r>
      <w:r w:rsidR="00AD6C29" w:rsidRPr="00350D94">
        <w:rPr>
          <w:noProof/>
          <w:lang w:val="en-IE"/>
        </w:rPr>
        <w:t xml:space="preserve"> </w:t>
      </w:r>
      <w:r w:rsidR="00C87090">
        <w:rPr>
          <w:noProof/>
          <w:lang w:val="en-IE"/>
        </w:rPr>
        <w:t>eTRC</w:t>
      </w:r>
      <w:r w:rsidR="001956AF" w:rsidRPr="00350D94">
        <w:rPr>
          <w:noProof/>
          <w:lang w:val="en-IE"/>
        </w:rPr>
        <w:t xml:space="preserve"> issued by another Member State as adequate proof of residence of a taxpayer in that </w:t>
      </w:r>
      <w:r w:rsidR="001C7FE6">
        <w:rPr>
          <w:noProof/>
          <w:lang w:val="en-IE"/>
        </w:rPr>
        <w:t xml:space="preserve">other </w:t>
      </w:r>
      <w:r w:rsidR="001956AF" w:rsidRPr="00350D94">
        <w:rPr>
          <w:noProof/>
          <w:lang w:val="en-IE"/>
        </w:rPr>
        <w:t>Member State</w:t>
      </w:r>
      <w:r w:rsidR="00E86B87">
        <w:rPr>
          <w:noProof/>
          <w:lang w:val="en-IE"/>
        </w:rPr>
        <w:t xml:space="preserve"> in accordance with </w:t>
      </w:r>
      <w:r w:rsidR="00E86B87">
        <w:rPr>
          <w:noProof/>
          <w:lang w:val="en-IE"/>
        </w:rPr>
        <w:lastRenderedPageBreak/>
        <w:t>paragraph 3</w:t>
      </w:r>
      <w:r w:rsidR="001956AF" w:rsidRPr="00350D94">
        <w:rPr>
          <w:noProof/>
          <w:lang w:val="en-IE"/>
        </w:rPr>
        <w:t>.</w:t>
      </w:r>
      <w:r w:rsidR="001C1433">
        <w:rPr>
          <w:noProof/>
          <w:lang w:val="en-IE"/>
        </w:rPr>
        <w:t xml:space="preserve"> </w:t>
      </w:r>
      <w:r w:rsidR="001C1433">
        <w:rPr>
          <w:b/>
          <w:i/>
        </w:rPr>
        <w:t>In any case, Member States may prove the residence for tax purposes in their jurisdictions. (</w:t>
      </w:r>
      <w:r w:rsidR="001C1433" w:rsidRPr="00906809">
        <w:rPr>
          <w:b/>
          <w:i/>
        </w:rPr>
        <w:t>Renew 61</w:t>
      </w:r>
      <w:r w:rsidR="001C1433">
        <w:rPr>
          <w:b/>
          <w:i/>
        </w:rPr>
        <w:t>)</w:t>
      </w:r>
    </w:p>
    <w:p w14:paraId="57077AE7" w14:textId="77777777" w:rsidR="001C1433" w:rsidRPr="001C1433" w:rsidRDefault="001C1433" w:rsidP="001C1433">
      <w:pPr>
        <w:pStyle w:val="ManualNumPar1"/>
        <w:rPr>
          <w:b/>
          <w:i/>
        </w:rPr>
      </w:pPr>
      <w:r>
        <w:rPr>
          <w:b/>
          <w:i/>
        </w:rPr>
        <w:t>5 a.</w:t>
      </w:r>
      <w:r>
        <w:tab/>
      </w:r>
      <w:r>
        <w:rPr>
          <w:b/>
          <w:i/>
        </w:rPr>
        <w:t>Member States shall take the appropriate measures to require an individual or entity deemed resident in their jurisdiction for tax purposes to inform tax authorities issuing the eTRC about any change that could affect the validity or the content of the eTRC. (</w:t>
      </w:r>
      <w:r w:rsidRPr="00906809">
        <w:rPr>
          <w:b/>
          <w:i/>
        </w:rPr>
        <w:t>Greens 62</w:t>
      </w:r>
      <w:r>
        <w:rPr>
          <w:b/>
          <w:i/>
        </w:rPr>
        <w:t>)</w:t>
      </w:r>
    </w:p>
    <w:p w14:paraId="5502E3FB" w14:textId="77777777" w:rsidR="001956AF" w:rsidRDefault="00412FF6" w:rsidP="00412FF6">
      <w:pPr>
        <w:pStyle w:val="ManualNumPar1"/>
        <w:rPr>
          <w:noProof/>
          <w:lang w:val="en-IE"/>
        </w:rPr>
      </w:pPr>
      <w:r w:rsidRPr="00412FF6">
        <w:t>6.</w:t>
      </w:r>
      <w:r w:rsidRPr="00412FF6">
        <w:tab/>
      </w:r>
      <w:r w:rsidR="001956AF" w:rsidRPr="00350D94">
        <w:rPr>
          <w:noProof/>
          <w:lang w:val="en-IE"/>
        </w:rPr>
        <w:t>The Commission shall adopt implementing acts laying down standard computerised forms</w:t>
      </w:r>
      <w:r w:rsidR="001C1433">
        <w:rPr>
          <w:noProof/>
          <w:lang w:val="en-IE"/>
        </w:rPr>
        <w:t xml:space="preserve"> </w:t>
      </w:r>
      <w:r w:rsidR="001C1433">
        <w:rPr>
          <w:b/>
          <w:i/>
        </w:rPr>
        <w:t>in machine-readable format</w:t>
      </w:r>
      <w:r w:rsidR="001C1433" w:rsidRPr="001C1433">
        <w:rPr>
          <w:b/>
          <w:i/>
        </w:rPr>
        <w:t xml:space="preserve"> (</w:t>
      </w:r>
      <w:r w:rsidR="001C1433" w:rsidRPr="00906809">
        <w:rPr>
          <w:b/>
          <w:i/>
        </w:rPr>
        <w:t>S&amp;D</w:t>
      </w:r>
      <w:r w:rsidR="00151798">
        <w:rPr>
          <w:b/>
          <w:i/>
        </w:rPr>
        <w:t xml:space="preserve"> and Greens</w:t>
      </w:r>
      <w:r w:rsidR="001C1433" w:rsidRPr="00906809">
        <w:rPr>
          <w:b/>
          <w:i/>
        </w:rPr>
        <w:t xml:space="preserve"> 63</w:t>
      </w:r>
      <w:r w:rsidR="001C1433" w:rsidRPr="001C1433">
        <w:rPr>
          <w:b/>
          <w:i/>
        </w:rPr>
        <w:t>)</w:t>
      </w:r>
      <w:r w:rsidR="001956AF" w:rsidRPr="00350D94">
        <w:rPr>
          <w:noProof/>
          <w:lang w:val="en-IE"/>
        </w:rPr>
        <w:t xml:space="preserve">, including the linguistic arrangements, and technical protocols, including security standards, for </w:t>
      </w:r>
      <w:r w:rsidR="005226AB">
        <w:rPr>
          <w:noProof/>
          <w:lang w:val="en-IE"/>
        </w:rPr>
        <w:t>the</w:t>
      </w:r>
      <w:r w:rsidR="001956AF" w:rsidRPr="00350D94">
        <w:rPr>
          <w:noProof/>
          <w:lang w:val="en-IE"/>
        </w:rPr>
        <w:t xml:space="preserve"> issuance of </w:t>
      </w:r>
      <w:r w:rsidR="00CE1DEA">
        <w:rPr>
          <w:noProof/>
          <w:lang w:val="en-IE"/>
        </w:rPr>
        <w:t xml:space="preserve">an </w:t>
      </w:r>
      <w:r w:rsidR="00C87090">
        <w:rPr>
          <w:noProof/>
          <w:lang w:val="en-IE"/>
        </w:rPr>
        <w:t>eTRC</w:t>
      </w:r>
      <w:r w:rsidR="005226AB">
        <w:rPr>
          <w:noProof/>
          <w:lang w:val="en-IE"/>
        </w:rPr>
        <w:t>. Those implementing acts shall be adopted</w:t>
      </w:r>
      <w:r w:rsidR="001956AF" w:rsidRPr="00350D94">
        <w:rPr>
          <w:noProof/>
          <w:lang w:val="en-IE"/>
        </w:rPr>
        <w:t xml:space="preserve"> in accordance with the </w:t>
      </w:r>
      <w:r w:rsidR="005226AB">
        <w:rPr>
          <w:noProof/>
          <w:lang w:val="en-IE"/>
        </w:rPr>
        <w:t xml:space="preserve">examination </w:t>
      </w:r>
      <w:r w:rsidR="001956AF" w:rsidRPr="00350D94">
        <w:rPr>
          <w:noProof/>
          <w:lang w:val="en-IE"/>
        </w:rPr>
        <w:t>procedure referred to in Article 1</w:t>
      </w:r>
      <w:r w:rsidR="00940064">
        <w:rPr>
          <w:noProof/>
          <w:lang w:val="en-IE"/>
        </w:rPr>
        <w:t>8</w:t>
      </w:r>
      <w:r w:rsidR="001956AF" w:rsidRPr="00350D94">
        <w:rPr>
          <w:noProof/>
          <w:lang w:val="en-IE"/>
        </w:rPr>
        <w:t>.</w:t>
      </w:r>
    </w:p>
    <w:p w14:paraId="6AF0FBE2" w14:textId="77777777" w:rsidR="004D12F8" w:rsidRDefault="004D12F8" w:rsidP="004D12F8">
      <w:pPr>
        <w:rPr>
          <w:noProof/>
          <w:lang w:val="en-IE"/>
        </w:rPr>
      </w:pPr>
    </w:p>
    <w:p w14:paraId="6B0D18C0" w14:textId="77777777" w:rsidR="00261C29" w:rsidRDefault="00261C29" w:rsidP="004D12F8">
      <w:pPr>
        <w:rPr>
          <w:noProof/>
          <w:lang w:val="en-IE"/>
        </w:rPr>
      </w:pPr>
    </w:p>
    <w:p w14:paraId="707B6287" w14:textId="77777777" w:rsidR="001C1433" w:rsidRDefault="001C1433" w:rsidP="001C1433">
      <w:pPr>
        <w:pStyle w:val="ManualConsidrant"/>
        <w:rPr>
          <w:b/>
          <w:noProof/>
        </w:rPr>
      </w:pPr>
      <w:r w:rsidRPr="000E01EB">
        <w:rPr>
          <w:b/>
          <w:noProof/>
          <w:highlight w:val="green"/>
        </w:rPr>
        <w:t>COMP B</w:t>
      </w:r>
      <w:r w:rsidR="000E01EB" w:rsidRPr="000E01EB">
        <w:rPr>
          <w:b/>
          <w:noProof/>
          <w:highlight w:val="green"/>
        </w:rPr>
        <w:t xml:space="preserve"> </w:t>
      </w:r>
    </w:p>
    <w:p w14:paraId="267BCF55" w14:textId="77777777" w:rsidR="00375C92" w:rsidRDefault="00375C92" w:rsidP="00375C92">
      <w:pPr>
        <w:pStyle w:val="ManualConsidrant"/>
        <w:rPr>
          <w:b/>
          <w:noProof/>
        </w:rPr>
      </w:pPr>
    </w:p>
    <w:p w14:paraId="76CDB123" w14:textId="1792D8A3" w:rsidR="00375C92" w:rsidRPr="0043710D" w:rsidRDefault="00375C92" w:rsidP="00375C92">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AMs covered: 8, 74, 77 EPP, 69 S&amp;D and Greens, 78 Renew</w:t>
      </w:r>
      <w:r>
        <w:rPr>
          <w:b w:val="0"/>
          <w:i/>
        </w:rPr>
        <w:br/>
      </w:r>
      <w:r w:rsidRPr="0043710D">
        <w:rPr>
          <w:b w:val="0"/>
          <w:i/>
        </w:rPr>
        <w:t>AM</w:t>
      </w:r>
      <w:r>
        <w:rPr>
          <w:b w:val="0"/>
          <w:i/>
        </w:rPr>
        <w:t>s that fall if COMP is adopted: 64, 65, 66, 67, 68, 70, 71, 72, 73, 75, 76 The Left</w:t>
      </w:r>
    </w:p>
    <w:p w14:paraId="487FBAB8" w14:textId="77777777" w:rsidR="001C1433" w:rsidRPr="00350D94" w:rsidRDefault="001C1433" w:rsidP="004D12F8">
      <w:pPr>
        <w:rPr>
          <w:noProof/>
          <w:lang w:val="en-IE"/>
        </w:rPr>
      </w:pPr>
    </w:p>
    <w:p w14:paraId="672B116A" w14:textId="77777777" w:rsidR="001956AF" w:rsidRPr="00350D94" w:rsidRDefault="001956AF" w:rsidP="00350D94">
      <w:pPr>
        <w:jc w:val="center"/>
        <w:rPr>
          <w:b/>
          <w:bCs/>
          <w:i/>
          <w:noProof/>
          <w:lang w:val="en-IE"/>
        </w:rPr>
      </w:pPr>
      <w:bookmarkStart w:id="1" w:name="_Hlk119933448"/>
      <w:r w:rsidRPr="00350D94">
        <w:rPr>
          <w:b/>
          <w:bCs/>
          <w:noProof/>
          <w:lang w:val="en-IE"/>
        </w:rPr>
        <w:t>CHAPTER III</w:t>
      </w:r>
    </w:p>
    <w:bookmarkEnd w:id="1"/>
    <w:p w14:paraId="7A47F0E9" w14:textId="77777777" w:rsidR="001956AF" w:rsidRPr="00350D94" w:rsidRDefault="001956AF" w:rsidP="00350D94">
      <w:pPr>
        <w:jc w:val="center"/>
        <w:rPr>
          <w:b/>
          <w:bCs/>
          <w:noProof/>
          <w:lang w:val="en-IE"/>
        </w:rPr>
      </w:pPr>
      <w:r w:rsidRPr="00350D94">
        <w:rPr>
          <w:b/>
          <w:bCs/>
          <w:noProof/>
          <w:lang w:val="en-IE"/>
        </w:rPr>
        <w:t>WITHHOLDING TAX RE</w:t>
      </w:r>
      <w:r w:rsidR="001C7FE6">
        <w:rPr>
          <w:b/>
          <w:bCs/>
          <w:noProof/>
          <w:lang w:val="en-IE"/>
        </w:rPr>
        <w:t>LIEF</w:t>
      </w:r>
      <w:r w:rsidRPr="00350D94">
        <w:rPr>
          <w:b/>
          <w:bCs/>
          <w:noProof/>
          <w:lang w:val="en-IE"/>
        </w:rPr>
        <w:t xml:space="preserve"> PROCEDURE</w:t>
      </w:r>
    </w:p>
    <w:p w14:paraId="34F21FF1" w14:textId="77777777" w:rsidR="001956AF" w:rsidRPr="00350D94" w:rsidRDefault="001956AF" w:rsidP="00350D94">
      <w:pPr>
        <w:jc w:val="center"/>
        <w:rPr>
          <w:b/>
          <w:bCs/>
          <w:i/>
          <w:noProof/>
        </w:rPr>
      </w:pPr>
    </w:p>
    <w:p w14:paraId="47C03FC9" w14:textId="77777777" w:rsidR="001956AF" w:rsidRPr="00350D94" w:rsidRDefault="001956AF" w:rsidP="00350D94">
      <w:pPr>
        <w:jc w:val="center"/>
        <w:rPr>
          <w:b/>
          <w:bCs/>
          <w:i/>
          <w:noProof/>
        </w:rPr>
      </w:pPr>
      <w:r w:rsidRPr="00350D94">
        <w:rPr>
          <w:b/>
          <w:bCs/>
          <w:i/>
          <w:noProof/>
        </w:rPr>
        <w:t>SECTION 1</w:t>
      </w:r>
    </w:p>
    <w:p w14:paraId="355BD6B1" w14:textId="77777777" w:rsidR="001956AF" w:rsidRPr="00350D94" w:rsidRDefault="00F319EE" w:rsidP="00350D94">
      <w:pPr>
        <w:jc w:val="center"/>
        <w:rPr>
          <w:b/>
          <w:bCs/>
          <w:i/>
          <w:noProof/>
        </w:rPr>
      </w:pPr>
      <w:r>
        <w:rPr>
          <w:b/>
          <w:bCs/>
          <w:noProof/>
        </w:rPr>
        <w:t>CERTIFIED</w:t>
      </w:r>
      <w:r w:rsidR="001956AF" w:rsidRPr="00350D94">
        <w:rPr>
          <w:b/>
          <w:bCs/>
          <w:noProof/>
        </w:rPr>
        <w:t xml:space="preserve"> FINANCIAL INTERMEDIARIES</w:t>
      </w:r>
    </w:p>
    <w:p w14:paraId="1F480185" w14:textId="77777777" w:rsidR="001956AF" w:rsidRDefault="001956AF" w:rsidP="00350D94">
      <w:pPr>
        <w:pStyle w:val="Titrearticle"/>
        <w:rPr>
          <w:b/>
          <w:bCs/>
          <w:i w:val="0"/>
          <w:iCs/>
          <w:noProof/>
        </w:rPr>
      </w:pPr>
      <w:r>
        <w:rPr>
          <w:noProof/>
        </w:rPr>
        <w:t xml:space="preserve">Article </w:t>
      </w:r>
      <w:r w:rsidR="00B55DAB">
        <w:rPr>
          <w:noProof/>
        </w:rPr>
        <w:t>5</w:t>
      </w:r>
      <w:r w:rsidR="00350D94">
        <w:rPr>
          <w:noProof/>
        </w:rPr>
        <w:br/>
      </w:r>
      <w:r w:rsidR="00F319EE">
        <w:rPr>
          <w:b/>
          <w:bCs/>
          <w:i w:val="0"/>
          <w:iCs/>
          <w:noProof/>
        </w:rPr>
        <w:t xml:space="preserve">National </w:t>
      </w:r>
      <w:r w:rsidR="006479BA">
        <w:rPr>
          <w:b/>
          <w:bCs/>
          <w:i w:val="0"/>
          <w:iCs/>
          <w:noProof/>
        </w:rPr>
        <w:t>r</w:t>
      </w:r>
      <w:r w:rsidR="00F319EE">
        <w:rPr>
          <w:b/>
          <w:bCs/>
          <w:i w:val="0"/>
          <w:iCs/>
          <w:noProof/>
        </w:rPr>
        <w:t>egister</w:t>
      </w:r>
      <w:r w:rsidR="000D1985">
        <w:rPr>
          <w:b/>
          <w:bCs/>
          <w:i w:val="0"/>
          <w:iCs/>
          <w:noProof/>
        </w:rPr>
        <w:t xml:space="preserve"> of </w:t>
      </w:r>
      <w:r w:rsidR="006479BA">
        <w:rPr>
          <w:b/>
          <w:bCs/>
          <w:i w:val="0"/>
          <w:iCs/>
          <w:noProof/>
        </w:rPr>
        <w:t>c</w:t>
      </w:r>
      <w:r w:rsidR="000D1985">
        <w:rPr>
          <w:b/>
          <w:bCs/>
          <w:i w:val="0"/>
          <w:iCs/>
          <w:noProof/>
        </w:rPr>
        <w:t xml:space="preserve">ertified </w:t>
      </w:r>
      <w:r w:rsidR="006479BA">
        <w:rPr>
          <w:b/>
          <w:bCs/>
          <w:i w:val="0"/>
          <w:iCs/>
          <w:noProof/>
        </w:rPr>
        <w:t>f</w:t>
      </w:r>
      <w:r w:rsidR="000D1985">
        <w:rPr>
          <w:b/>
          <w:bCs/>
          <w:i w:val="0"/>
          <w:iCs/>
          <w:noProof/>
        </w:rPr>
        <w:t xml:space="preserve">inancial </w:t>
      </w:r>
      <w:r w:rsidR="006479BA">
        <w:rPr>
          <w:b/>
          <w:bCs/>
          <w:i w:val="0"/>
          <w:iCs/>
          <w:noProof/>
        </w:rPr>
        <w:t>i</w:t>
      </w:r>
      <w:r w:rsidR="000D1985">
        <w:rPr>
          <w:b/>
          <w:bCs/>
          <w:i w:val="0"/>
          <w:iCs/>
          <w:noProof/>
        </w:rPr>
        <w:t xml:space="preserve">ntermediaries </w:t>
      </w:r>
    </w:p>
    <w:p w14:paraId="286F0E27" w14:textId="4F07E13C" w:rsidR="00F737CA" w:rsidRDefault="00412FF6" w:rsidP="00412FF6">
      <w:pPr>
        <w:pStyle w:val="ManualNumPar1"/>
        <w:rPr>
          <w:noProof/>
        </w:rPr>
      </w:pPr>
      <w:r w:rsidRPr="00412FF6">
        <w:t>1.</w:t>
      </w:r>
      <w:r w:rsidRPr="00412FF6">
        <w:tab/>
      </w:r>
      <w:r w:rsidR="00EB7A3E">
        <w:rPr>
          <w:noProof/>
        </w:rPr>
        <w:t xml:space="preserve">Member States that levy </w:t>
      </w:r>
      <w:r w:rsidR="00EB7A3E" w:rsidRPr="118763D6">
        <w:rPr>
          <w:noProof/>
        </w:rPr>
        <w:t xml:space="preserve">a </w:t>
      </w:r>
      <w:r w:rsidR="00EB7A3E">
        <w:rPr>
          <w:noProof/>
        </w:rPr>
        <w:t>withholding tax on dividends from publicly traded shares paid to registered owners resident for tax purposes outside that Member State and that provide relief of excess withholding tax</w:t>
      </w:r>
      <w:r w:rsidR="00375C92">
        <w:rPr>
          <w:noProof/>
        </w:rPr>
        <w:t xml:space="preserve"> shall </w:t>
      </w:r>
      <w:r w:rsidR="00EB7A3E">
        <w:rPr>
          <w:noProof/>
        </w:rPr>
        <w:t>establish a national register of certified financial intermediaries. Member States may opt to use this national register also in relation to relief of excess withholding tax on interest from publicly traded bonds, if applicable</w:t>
      </w:r>
      <w:r w:rsidR="00D925B4">
        <w:rPr>
          <w:noProof/>
        </w:rPr>
        <w:t>.</w:t>
      </w:r>
      <w:r w:rsidR="00F737CA">
        <w:rPr>
          <w:noProof/>
        </w:rPr>
        <w:t xml:space="preserve"> </w:t>
      </w:r>
    </w:p>
    <w:p w14:paraId="477EC8E8" w14:textId="77777777" w:rsidR="00F319EE" w:rsidRPr="006A0DC3" w:rsidRDefault="00412FF6" w:rsidP="00412FF6">
      <w:pPr>
        <w:pStyle w:val="ManualNumPar1"/>
        <w:rPr>
          <w:noProof/>
        </w:rPr>
      </w:pPr>
      <w:r w:rsidRPr="00412FF6">
        <w:t>2.</w:t>
      </w:r>
      <w:r w:rsidRPr="00412FF6">
        <w:tab/>
      </w:r>
      <w:r w:rsidR="000D1985" w:rsidRPr="006A0DC3" w:rsidDel="00D925B4">
        <w:rPr>
          <w:noProof/>
        </w:rPr>
        <w:t>Member States</w:t>
      </w:r>
      <w:r w:rsidR="00435F6A" w:rsidDel="00D925B4">
        <w:rPr>
          <w:noProof/>
        </w:rPr>
        <w:t xml:space="preserve"> </w:t>
      </w:r>
      <w:r w:rsidR="004131CF" w:rsidDel="00D925B4">
        <w:rPr>
          <w:noProof/>
        </w:rPr>
        <w:t>that levy a withholding tax on interest from publicly traded bonds</w:t>
      </w:r>
      <w:r w:rsidR="00417CB2">
        <w:rPr>
          <w:noProof/>
        </w:rPr>
        <w:t xml:space="preserve"> </w:t>
      </w:r>
      <w:r w:rsidR="00F95B4F">
        <w:rPr>
          <w:noProof/>
        </w:rPr>
        <w:t>while they do not levy withholding tax on dividends from publicly traded shares</w:t>
      </w:r>
      <w:r w:rsidR="00F95B4F" w:rsidDel="00D925B4">
        <w:rPr>
          <w:noProof/>
        </w:rPr>
        <w:t xml:space="preserve"> </w:t>
      </w:r>
      <w:r w:rsidR="0122C0A8" w:rsidDel="00D925B4">
        <w:rPr>
          <w:noProof/>
        </w:rPr>
        <w:t xml:space="preserve">may opt to </w:t>
      </w:r>
      <w:r w:rsidR="000D1985" w:rsidRPr="006A0DC3">
        <w:rPr>
          <w:noProof/>
        </w:rPr>
        <w:t>establish</w:t>
      </w:r>
      <w:r w:rsidR="00A01504" w:rsidDel="00D925B4">
        <w:rPr>
          <w:noProof/>
        </w:rPr>
        <w:t xml:space="preserve"> a </w:t>
      </w:r>
      <w:r w:rsidR="002955A0">
        <w:rPr>
          <w:noProof/>
        </w:rPr>
        <w:t>n</w:t>
      </w:r>
      <w:r w:rsidR="000D1985" w:rsidRPr="00003FD1" w:rsidDel="00D925B4">
        <w:rPr>
          <w:noProof/>
        </w:rPr>
        <w:t xml:space="preserve">ational </w:t>
      </w:r>
      <w:r w:rsidR="002955A0">
        <w:rPr>
          <w:noProof/>
        </w:rPr>
        <w:t>r</w:t>
      </w:r>
      <w:r w:rsidR="000D1985" w:rsidRPr="00003FD1" w:rsidDel="00D925B4">
        <w:rPr>
          <w:noProof/>
        </w:rPr>
        <w:t>egister</w:t>
      </w:r>
      <w:r w:rsidR="00765DBA">
        <w:rPr>
          <w:noProof/>
        </w:rPr>
        <w:t>.</w:t>
      </w:r>
    </w:p>
    <w:p w14:paraId="65EE44D8" w14:textId="77777777" w:rsidR="00F319EE" w:rsidRPr="006A0DC3" w:rsidRDefault="00412FF6" w:rsidP="00412FF6">
      <w:pPr>
        <w:pStyle w:val="ManualNumPar1"/>
        <w:rPr>
          <w:noProof/>
          <w:lang w:val="en-IE"/>
        </w:rPr>
      </w:pPr>
      <w:r w:rsidRPr="00412FF6">
        <w:t>3.</w:t>
      </w:r>
      <w:r w:rsidRPr="00412FF6">
        <w:tab/>
      </w:r>
      <w:r w:rsidR="00F319EE">
        <w:rPr>
          <w:noProof/>
        </w:rPr>
        <w:t xml:space="preserve">Member States establishing a </w:t>
      </w:r>
      <w:r w:rsidR="002955A0">
        <w:rPr>
          <w:noProof/>
        </w:rPr>
        <w:t>n</w:t>
      </w:r>
      <w:r w:rsidR="00F319EE">
        <w:rPr>
          <w:noProof/>
        </w:rPr>
        <w:t xml:space="preserve">ational </w:t>
      </w:r>
      <w:r w:rsidR="002955A0">
        <w:rPr>
          <w:noProof/>
        </w:rPr>
        <w:t>r</w:t>
      </w:r>
      <w:r w:rsidR="00F319EE">
        <w:rPr>
          <w:noProof/>
        </w:rPr>
        <w:t xml:space="preserve">egister </w:t>
      </w:r>
      <w:r w:rsidR="00D925B4">
        <w:rPr>
          <w:noProof/>
        </w:rPr>
        <w:t>according to paragraph 1</w:t>
      </w:r>
      <w:r w:rsidR="00F319EE">
        <w:rPr>
          <w:noProof/>
        </w:rPr>
        <w:t xml:space="preserve"> </w:t>
      </w:r>
      <w:r w:rsidR="00765DBA">
        <w:rPr>
          <w:noProof/>
        </w:rPr>
        <w:t>and 2</w:t>
      </w:r>
      <w:r w:rsidR="00F319EE">
        <w:rPr>
          <w:noProof/>
        </w:rPr>
        <w:t xml:space="preserve"> shall designate a competent authority responsible </w:t>
      </w:r>
      <w:r w:rsidR="00685CB1">
        <w:rPr>
          <w:noProof/>
        </w:rPr>
        <w:t>for</w:t>
      </w:r>
      <w:r w:rsidR="00F319EE">
        <w:rPr>
          <w:noProof/>
        </w:rPr>
        <w:t xml:space="preserve"> maintain</w:t>
      </w:r>
      <w:r w:rsidR="00685CB1">
        <w:rPr>
          <w:noProof/>
        </w:rPr>
        <w:t>ing</w:t>
      </w:r>
      <w:r w:rsidR="00F319EE">
        <w:rPr>
          <w:noProof/>
        </w:rPr>
        <w:t xml:space="preserve"> and updat</w:t>
      </w:r>
      <w:r w:rsidR="00685CB1">
        <w:rPr>
          <w:noProof/>
        </w:rPr>
        <w:t>ing</w:t>
      </w:r>
      <w:r w:rsidR="00F319EE">
        <w:rPr>
          <w:noProof/>
        </w:rPr>
        <w:t xml:space="preserve"> </w:t>
      </w:r>
      <w:r w:rsidR="00685CB1">
        <w:rPr>
          <w:noProof/>
        </w:rPr>
        <w:t>that</w:t>
      </w:r>
      <w:r w:rsidR="00F319EE">
        <w:rPr>
          <w:noProof/>
        </w:rPr>
        <w:t xml:space="preserve"> register.</w:t>
      </w:r>
    </w:p>
    <w:p w14:paraId="00D40723" w14:textId="77777777" w:rsidR="00F319EE" w:rsidRPr="006A0DC3" w:rsidRDefault="00412FF6" w:rsidP="00412FF6">
      <w:pPr>
        <w:pStyle w:val="ManualNumPar1"/>
        <w:rPr>
          <w:noProof/>
          <w:lang w:val="en-IE"/>
        </w:rPr>
      </w:pPr>
      <w:r w:rsidRPr="00412FF6">
        <w:t>4.</w:t>
      </w:r>
      <w:r w:rsidRPr="00412FF6">
        <w:tab/>
      </w:r>
      <w:r w:rsidR="00F319EE" w:rsidRPr="006A0DC3">
        <w:rPr>
          <w:noProof/>
          <w:lang w:val="en-IE"/>
        </w:rPr>
        <w:t xml:space="preserve">The </w:t>
      </w:r>
      <w:r w:rsidR="002955A0">
        <w:rPr>
          <w:noProof/>
          <w:lang w:val="en-IE"/>
        </w:rPr>
        <w:t>n</w:t>
      </w:r>
      <w:r w:rsidR="00F319EE" w:rsidRPr="006A0DC3">
        <w:rPr>
          <w:noProof/>
          <w:lang w:val="en-IE"/>
        </w:rPr>
        <w:t xml:space="preserve">ational </w:t>
      </w:r>
      <w:r w:rsidR="002955A0">
        <w:rPr>
          <w:noProof/>
          <w:lang w:val="en-IE"/>
        </w:rPr>
        <w:t>r</w:t>
      </w:r>
      <w:r w:rsidR="00F319EE" w:rsidRPr="006A0DC3">
        <w:rPr>
          <w:noProof/>
          <w:lang w:val="en-IE"/>
        </w:rPr>
        <w:t xml:space="preserve">egister shall include the following information on the </w:t>
      </w:r>
      <w:r w:rsidR="002955A0">
        <w:rPr>
          <w:noProof/>
          <w:lang w:val="en-IE"/>
        </w:rPr>
        <w:t>c</w:t>
      </w:r>
      <w:r w:rsidR="00F319EE" w:rsidRPr="006A0DC3">
        <w:rPr>
          <w:noProof/>
          <w:lang w:val="en-IE"/>
        </w:rPr>
        <w:t xml:space="preserve">ertified </w:t>
      </w:r>
      <w:r w:rsidR="002955A0">
        <w:rPr>
          <w:noProof/>
          <w:lang w:val="en-IE"/>
        </w:rPr>
        <w:t>f</w:t>
      </w:r>
      <w:r w:rsidR="00F319EE" w:rsidRPr="006A0DC3">
        <w:rPr>
          <w:noProof/>
          <w:lang w:val="en-IE"/>
        </w:rPr>
        <w:t xml:space="preserve">inancial </w:t>
      </w:r>
      <w:r w:rsidR="002955A0">
        <w:rPr>
          <w:noProof/>
          <w:lang w:val="en-IE"/>
        </w:rPr>
        <w:t>i</w:t>
      </w:r>
      <w:r w:rsidR="00F319EE" w:rsidRPr="006A0DC3">
        <w:rPr>
          <w:noProof/>
          <w:lang w:val="en-IE"/>
        </w:rPr>
        <w:t>ntermediaries:</w:t>
      </w:r>
    </w:p>
    <w:p w14:paraId="61227612" w14:textId="77777777" w:rsidR="00F319EE" w:rsidRPr="004D12F8" w:rsidRDefault="00412FF6" w:rsidP="00412FF6">
      <w:pPr>
        <w:pStyle w:val="Point1"/>
        <w:rPr>
          <w:noProof/>
          <w:lang w:val="en-IE"/>
        </w:rPr>
      </w:pPr>
      <w:r w:rsidRPr="00412FF6">
        <w:t>(a)</w:t>
      </w:r>
      <w:r w:rsidRPr="00412FF6">
        <w:tab/>
      </w:r>
      <w:r w:rsidR="00F319EE">
        <w:rPr>
          <w:noProof/>
        </w:rPr>
        <w:t>n</w:t>
      </w:r>
      <w:r w:rsidR="00F319EE" w:rsidRPr="004D12F8">
        <w:rPr>
          <w:noProof/>
          <w:lang w:val="en-IE"/>
        </w:rPr>
        <w:t>ame</w:t>
      </w:r>
      <w:r w:rsidR="00F319EE" w:rsidRPr="004D12F8" w:rsidDel="00981818">
        <w:rPr>
          <w:noProof/>
          <w:lang w:val="en-IE"/>
        </w:rPr>
        <w:t xml:space="preserve"> </w:t>
      </w:r>
      <w:r w:rsidR="00F319EE" w:rsidRPr="004D12F8">
        <w:rPr>
          <w:noProof/>
          <w:lang w:val="en-IE"/>
        </w:rPr>
        <w:t xml:space="preserve">of the </w:t>
      </w:r>
      <w:r w:rsidR="002955A0" w:rsidRPr="004D12F8">
        <w:rPr>
          <w:noProof/>
          <w:lang w:val="en-IE"/>
        </w:rPr>
        <w:t>c</w:t>
      </w:r>
      <w:r w:rsidR="00F319EE" w:rsidRPr="004D12F8">
        <w:rPr>
          <w:noProof/>
          <w:lang w:val="en-IE"/>
        </w:rPr>
        <w:t xml:space="preserve">ertified </w:t>
      </w:r>
      <w:r w:rsidR="002955A0" w:rsidRPr="004D12F8">
        <w:rPr>
          <w:noProof/>
          <w:lang w:val="en-IE"/>
        </w:rPr>
        <w:t>f</w:t>
      </w:r>
      <w:r w:rsidR="00F319EE" w:rsidRPr="004D12F8">
        <w:rPr>
          <w:noProof/>
          <w:lang w:val="en-IE"/>
        </w:rPr>
        <w:t xml:space="preserve">inancial </w:t>
      </w:r>
      <w:r w:rsidR="002955A0" w:rsidRPr="004D12F8">
        <w:rPr>
          <w:noProof/>
          <w:lang w:val="en-IE"/>
        </w:rPr>
        <w:t>i</w:t>
      </w:r>
      <w:r w:rsidR="00F319EE" w:rsidRPr="004D12F8">
        <w:rPr>
          <w:noProof/>
          <w:lang w:val="en-IE"/>
        </w:rPr>
        <w:t>ntermediary;</w:t>
      </w:r>
    </w:p>
    <w:p w14:paraId="02187EC4" w14:textId="77777777" w:rsidR="00F319EE" w:rsidRPr="004D12F8" w:rsidRDefault="00412FF6" w:rsidP="00412FF6">
      <w:pPr>
        <w:pStyle w:val="Point1"/>
        <w:rPr>
          <w:noProof/>
          <w:lang w:val="en-IE"/>
        </w:rPr>
      </w:pPr>
      <w:r w:rsidRPr="00412FF6">
        <w:t>(b)</w:t>
      </w:r>
      <w:r w:rsidRPr="00412FF6">
        <w:tab/>
      </w:r>
      <w:r w:rsidR="00F319EE" w:rsidRPr="004D12F8">
        <w:rPr>
          <w:noProof/>
          <w:lang w:val="en-IE"/>
        </w:rPr>
        <w:t>date of registration;</w:t>
      </w:r>
    </w:p>
    <w:p w14:paraId="00C3C534" w14:textId="77777777" w:rsidR="00F319EE" w:rsidRPr="004D12F8" w:rsidRDefault="00412FF6" w:rsidP="00412FF6">
      <w:pPr>
        <w:pStyle w:val="Point1"/>
        <w:rPr>
          <w:noProof/>
          <w:lang w:val="en-IE"/>
        </w:rPr>
      </w:pPr>
      <w:r w:rsidRPr="00412FF6">
        <w:lastRenderedPageBreak/>
        <w:t>(c)</w:t>
      </w:r>
      <w:r w:rsidRPr="00412FF6">
        <w:tab/>
      </w:r>
      <w:r w:rsidR="00F319EE" w:rsidRPr="004D12F8">
        <w:rPr>
          <w:noProof/>
          <w:lang w:val="en-IE"/>
        </w:rPr>
        <w:t xml:space="preserve">contact details and any existing website of the </w:t>
      </w:r>
      <w:r w:rsidR="002955A0" w:rsidRPr="004D12F8">
        <w:rPr>
          <w:noProof/>
          <w:lang w:val="en-IE"/>
        </w:rPr>
        <w:t>c</w:t>
      </w:r>
      <w:r w:rsidR="00F319EE" w:rsidRPr="004D12F8">
        <w:rPr>
          <w:noProof/>
          <w:lang w:val="en-IE"/>
        </w:rPr>
        <w:t xml:space="preserve">ertified </w:t>
      </w:r>
      <w:r w:rsidR="002955A0" w:rsidRPr="004D12F8">
        <w:rPr>
          <w:noProof/>
          <w:lang w:val="en-IE"/>
        </w:rPr>
        <w:t>f</w:t>
      </w:r>
      <w:r w:rsidR="00F319EE" w:rsidRPr="004D12F8">
        <w:rPr>
          <w:noProof/>
          <w:lang w:val="en-IE"/>
        </w:rPr>
        <w:t xml:space="preserve">inancial </w:t>
      </w:r>
      <w:r w:rsidR="002955A0" w:rsidRPr="004D12F8">
        <w:rPr>
          <w:noProof/>
          <w:lang w:val="en-IE"/>
        </w:rPr>
        <w:t>i</w:t>
      </w:r>
      <w:r w:rsidR="00F319EE" w:rsidRPr="004D12F8">
        <w:rPr>
          <w:noProof/>
          <w:lang w:val="en-IE"/>
        </w:rPr>
        <w:t>ntermediary;</w:t>
      </w:r>
    </w:p>
    <w:p w14:paraId="7170FE82" w14:textId="77777777" w:rsidR="00F319EE" w:rsidRDefault="00412FF6" w:rsidP="00412FF6">
      <w:pPr>
        <w:pStyle w:val="Point1"/>
        <w:rPr>
          <w:noProof/>
          <w:lang w:val="en-IE"/>
        </w:rPr>
      </w:pPr>
      <w:r w:rsidRPr="00412FF6">
        <w:t>(d)</w:t>
      </w:r>
      <w:r w:rsidRPr="00412FF6">
        <w:tab/>
      </w:r>
      <w:r w:rsidR="00F319EE">
        <w:rPr>
          <w:noProof/>
        </w:rPr>
        <w:t>t</w:t>
      </w:r>
      <w:r w:rsidR="00F319EE" w:rsidRPr="00981818">
        <w:rPr>
          <w:noProof/>
        </w:rPr>
        <w:t xml:space="preserve">he </w:t>
      </w:r>
      <w:r w:rsidR="00D53ECF">
        <w:rPr>
          <w:noProof/>
        </w:rPr>
        <w:t>EUID</w:t>
      </w:r>
      <w:r w:rsidR="00F319EE">
        <w:rPr>
          <w:noProof/>
        </w:rPr>
        <w:t xml:space="preserve">, or, </w:t>
      </w:r>
      <w:r w:rsidR="00685CB1">
        <w:rPr>
          <w:noProof/>
        </w:rPr>
        <w:t>where</w:t>
      </w:r>
      <w:r w:rsidR="00F319EE">
        <w:rPr>
          <w:noProof/>
        </w:rPr>
        <w:t xml:space="preserve"> the </w:t>
      </w:r>
      <w:r w:rsidR="002955A0">
        <w:rPr>
          <w:noProof/>
        </w:rPr>
        <w:t>c</w:t>
      </w:r>
      <w:r w:rsidR="00CD7E1D">
        <w:rPr>
          <w:noProof/>
        </w:rPr>
        <w:t xml:space="preserve">ertified </w:t>
      </w:r>
      <w:r w:rsidR="002955A0">
        <w:rPr>
          <w:noProof/>
        </w:rPr>
        <w:t>f</w:t>
      </w:r>
      <w:r w:rsidR="00CD7E1D">
        <w:rPr>
          <w:noProof/>
        </w:rPr>
        <w:t xml:space="preserve">inancial </w:t>
      </w:r>
      <w:r w:rsidR="00A431C7">
        <w:rPr>
          <w:noProof/>
        </w:rPr>
        <w:t>i</w:t>
      </w:r>
      <w:r w:rsidR="00CD7E1D">
        <w:rPr>
          <w:noProof/>
        </w:rPr>
        <w:t>ntermediary</w:t>
      </w:r>
      <w:r w:rsidR="00C87090">
        <w:rPr>
          <w:noProof/>
        </w:rPr>
        <w:t xml:space="preserve"> </w:t>
      </w:r>
      <w:r w:rsidR="00F319EE">
        <w:rPr>
          <w:noProof/>
        </w:rPr>
        <w:t xml:space="preserve">has no such number, </w:t>
      </w:r>
      <w:r w:rsidR="00D53ECF">
        <w:rPr>
          <w:noProof/>
        </w:rPr>
        <w:t xml:space="preserve">the </w:t>
      </w:r>
      <w:r w:rsidR="00D53ECF" w:rsidRPr="00981818">
        <w:rPr>
          <w:noProof/>
        </w:rPr>
        <w:t>legal entity identifier (LEI</w:t>
      </w:r>
      <w:r w:rsidR="00D53ECF">
        <w:rPr>
          <w:noProof/>
        </w:rPr>
        <w:t xml:space="preserve">) or </w:t>
      </w:r>
      <w:r w:rsidR="00F319EE" w:rsidRPr="004D12F8">
        <w:rPr>
          <w:noProof/>
          <w:lang w:val="en-IE"/>
        </w:rPr>
        <w:t xml:space="preserve">any legal entity registration number issued by </w:t>
      </w:r>
      <w:r w:rsidR="00C87090" w:rsidRPr="004D12F8">
        <w:rPr>
          <w:noProof/>
          <w:lang w:val="en-IE"/>
        </w:rPr>
        <w:t xml:space="preserve">its </w:t>
      </w:r>
      <w:r w:rsidR="00F319EE" w:rsidRPr="004D12F8">
        <w:rPr>
          <w:noProof/>
          <w:lang w:val="en-IE"/>
        </w:rPr>
        <w:t>country of residence.</w:t>
      </w:r>
    </w:p>
    <w:p w14:paraId="16E0AEEB" w14:textId="77777777" w:rsidR="001C1433" w:rsidRPr="004D12F8" w:rsidRDefault="001C1433" w:rsidP="00412FF6">
      <w:pPr>
        <w:pStyle w:val="Point1"/>
        <w:rPr>
          <w:noProof/>
          <w:lang w:val="en-IE"/>
        </w:rPr>
      </w:pPr>
      <w:r>
        <w:rPr>
          <w:b/>
          <w:i/>
        </w:rPr>
        <w:t>(d a)</w:t>
      </w:r>
      <w:r>
        <w:tab/>
      </w:r>
      <w:r>
        <w:rPr>
          <w:b/>
          <w:i/>
        </w:rPr>
        <w:t>Information on the fees charged for the provision of services under this Directive. (</w:t>
      </w:r>
      <w:r w:rsidRPr="00906809">
        <w:rPr>
          <w:b/>
          <w:i/>
        </w:rPr>
        <w:t>S&amp;D</w:t>
      </w:r>
      <w:r w:rsidR="00151798">
        <w:rPr>
          <w:b/>
          <w:i/>
        </w:rPr>
        <w:t xml:space="preserve"> and Greens</w:t>
      </w:r>
      <w:r w:rsidRPr="00906809">
        <w:rPr>
          <w:b/>
          <w:i/>
        </w:rPr>
        <w:t xml:space="preserve"> 69</w:t>
      </w:r>
      <w:r>
        <w:rPr>
          <w:b/>
          <w:i/>
        </w:rPr>
        <w:t>)</w:t>
      </w:r>
    </w:p>
    <w:p w14:paraId="44A3312E" w14:textId="77777777" w:rsidR="00F319EE" w:rsidRDefault="00412FF6" w:rsidP="00412FF6">
      <w:pPr>
        <w:pStyle w:val="ManualNumPar1"/>
        <w:rPr>
          <w:noProof/>
          <w:lang w:val="en-IE"/>
        </w:rPr>
      </w:pPr>
      <w:r w:rsidRPr="00412FF6">
        <w:t>5.</w:t>
      </w:r>
      <w:r w:rsidRPr="00412FF6">
        <w:tab/>
      </w:r>
      <w:r w:rsidR="00F319EE" w:rsidRPr="006A0DC3">
        <w:rPr>
          <w:noProof/>
          <w:lang w:val="en-IE"/>
        </w:rPr>
        <w:t xml:space="preserve">The </w:t>
      </w:r>
      <w:r w:rsidR="002955A0">
        <w:rPr>
          <w:noProof/>
          <w:lang w:val="en-IE"/>
        </w:rPr>
        <w:t>n</w:t>
      </w:r>
      <w:r w:rsidR="00F319EE" w:rsidRPr="006A0DC3">
        <w:rPr>
          <w:noProof/>
          <w:lang w:val="en-IE"/>
        </w:rPr>
        <w:t xml:space="preserve">ational </w:t>
      </w:r>
      <w:r w:rsidR="002955A0">
        <w:rPr>
          <w:noProof/>
          <w:lang w:val="en-IE"/>
        </w:rPr>
        <w:t>r</w:t>
      </w:r>
      <w:r w:rsidR="00F319EE" w:rsidRPr="006A0DC3">
        <w:rPr>
          <w:noProof/>
          <w:lang w:val="en-IE"/>
        </w:rPr>
        <w:t xml:space="preserve">egister shall be </w:t>
      </w:r>
      <w:r w:rsidR="00685CB1">
        <w:rPr>
          <w:noProof/>
          <w:lang w:val="en-IE"/>
        </w:rPr>
        <w:t>made</w:t>
      </w:r>
      <w:r w:rsidR="00F319EE" w:rsidRPr="006A0DC3">
        <w:rPr>
          <w:noProof/>
          <w:lang w:val="en-IE"/>
        </w:rPr>
        <w:t xml:space="preserve"> publicly accessible on a dedicated website of the Member State</w:t>
      </w:r>
      <w:r w:rsidR="00F319EE" w:rsidRPr="006A0DC3" w:rsidDel="00CD43F1">
        <w:rPr>
          <w:noProof/>
          <w:lang w:val="en-IE"/>
        </w:rPr>
        <w:t xml:space="preserve"> </w:t>
      </w:r>
      <w:r w:rsidR="00F319EE" w:rsidRPr="006A0DC3">
        <w:rPr>
          <w:noProof/>
          <w:lang w:val="en-IE"/>
        </w:rPr>
        <w:t xml:space="preserve">and updated </w:t>
      </w:r>
      <w:r w:rsidR="00F319EE">
        <w:rPr>
          <w:noProof/>
          <w:lang w:val="en-IE"/>
        </w:rPr>
        <w:t xml:space="preserve">at least </w:t>
      </w:r>
      <w:r w:rsidR="00685CB1">
        <w:rPr>
          <w:noProof/>
          <w:lang w:val="en-IE"/>
        </w:rPr>
        <w:t>once a month</w:t>
      </w:r>
      <w:r w:rsidR="00F319EE" w:rsidRPr="006A0DC3">
        <w:rPr>
          <w:noProof/>
          <w:lang w:val="en-IE"/>
        </w:rPr>
        <w:t xml:space="preserve">. </w:t>
      </w:r>
    </w:p>
    <w:p w14:paraId="43A29A50" w14:textId="77777777" w:rsidR="001956AF" w:rsidRDefault="001956AF" w:rsidP="00350D94">
      <w:pPr>
        <w:pStyle w:val="Titrearticle"/>
        <w:rPr>
          <w:b/>
          <w:bCs/>
          <w:i w:val="0"/>
          <w:iCs/>
          <w:noProof/>
        </w:rPr>
      </w:pPr>
      <w:r w:rsidRPr="00DF0D27">
        <w:rPr>
          <w:noProof/>
        </w:rPr>
        <w:t xml:space="preserve">Article </w:t>
      </w:r>
      <w:r w:rsidR="00B55DAB">
        <w:rPr>
          <w:noProof/>
        </w:rPr>
        <w:t>6</w:t>
      </w:r>
      <w:r w:rsidR="00350D94">
        <w:rPr>
          <w:noProof/>
        </w:rPr>
        <w:br/>
      </w:r>
      <w:r w:rsidR="00974BE9">
        <w:rPr>
          <w:b/>
          <w:bCs/>
          <w:i w:val="0"/>
          <w:iCs/>
          <w:noProof/>
        </w:rPr>
        <w:t xml:space="preserve">Requirement to </w:t>
      </w:r>
      <w:r w:rsidR="002955A0">
        <w:rPr>
          <w:b/>
          <w:bCs/>
          <w:i w:val="0"/>
          <w:iCs/>
          <w:noProof/>
        </w:rPr>
        <w:t>r</w:t>
      </w:r>
      <w:r w:rsidR="00974BE9">
        <w:rPr>
          <w:b/>
          <w:bCs/>
          <w:i w:val="0"/>
          <w:iCs/>
          <w:noProof/>
        </w:rPr>
        <w:t xml:space="preserve">egister as </w:t>
      </w:r>
      <w:r w:rsidR="002955A0">
        <w:rPr>
          <w:b/>
          <w:bCs/>
          <w:i w:val="0"/>
          <w:iCs/>
          <w:noProof/>
        </w:rPr>
        <w:t>c</w:t>
      </w:r>
      <w:r w:rsidRPr="00350D94">
        <w:rPr>
          <w:b/>
          <w:bCs/>
          <w:i w:val="0"/>
          <w:iCs/>
          <w:noProof/>
        </w:rPr>
        <w:t xml:space="preserve">ertified </w:t>
      </w:r>
      <w:r w:rsidR="002955A0">
        <w:rPr>
          <w:b/>
          <w:bCs/>
          <w:i w:val="0"/>
          <w:iCs/>
          <w:noProof/>
        </w:rPr>
        <w:t>f</w:t>
      </w:r>
      <w:r w:rsidRPr="00350D94">
        <w:rPr>
          <w:b/>
          <w:bCs/>
          <w:i w:val="0"/>
          <w:iCs/>
          <w:noProof/>
        </w:rPr>
        <w:t xml:space="preserve">inancial </w:t>
      </w:r>
      <w:r w:rsidR="002955A0">
        <w:rPr>
          <w:b/>
          <w:bCs/>
          <w:i w:val="0"/>
          <w:iCs/>
          <w:noProof/>
        </w:rPr>
        <w:t>i</w:t>
      </w:r>
      <w:r w:rsidRPr="00350D94">
        <w:rPr>
          <w:b/>
          <w:bCs/>
          <w:i w:val="0"/>
          <w:iCs/>
          <w:noProof/>
        </w:rPr>
        <w:t>ntermediar</w:t>
      </w:r>
      <w:r w:rsidR="00974BE9">
        <w:rPr>
          <w:b/>
          <w:bCs/>
          <w:i w:val="0"/>
          <w:iCs/>
          <w:noProof/>
        </w:rPr>
        <w:t>y</w:t>
      </w:r>
    </w:p>
    <w:p w14:paraId="5006B86B" w14:textId="77777777" w:rsidR="00974BE9" w:rsidRPr="006A0DC3" w:rsidRDefault="00412FF6" w:rsidP="00412FF6">
      <w:pPr>
        <w:pStyle w:val="ManualNumPar1"/>
        <w:rPr>
          <w:noProof/>
        </w:rPr>
      </w:pPr>
      <w:r w:rsidRPr="00412FF6">
        <w:t>1.</w:t>
      </w:r>
      <w:r w:rsidRPr="00412FF6">
        <w:tab/>
      </w:r>
      <w:r w:rsidR="00974BE9" w:rsidRPr="006A0DC3">
        <w:rPr>
          <w:noProof/>
        </w:rPr>
        <w:t xml:space="preserve">Member States </w:t>
      </w:r>
      <w:r w:rsidR="00F533DE">
        <w:rPr>
          <w:noProof/>
        </w:rPr>
        <w:t>that maintain</w:t>
      </w:r>
      <w:r w:rsidR="00974BE9" w:rsidRPr="006A0DC3">
        <w:rPr>
          <w:noProof/>
        </w:rPr>
        <w:t xml:space="preserve"> a </w:t>
      </w:r>
      <w:r w:rsidR="00685CB1">
        <w:rPr>
          <w:noProof/>
        </w:rPr>
        <w:t>n</w:t>
      </w:r>
      <w:r w:rsidR="00974BE9" w:rsidRPr="006A0DC3">
        <w:rPr>
          <w:noProof/>
        </w:rPr>
        <w:t xml:space="preserve">ational </w:t>
      </w:r>
      <w:r w:rsidR="00685CB1">
        <w:rPr>
          <w:noProof/>
        </w:rPr>
        <w:t>r</w:t>
      </w:r>
      <w:r w:rsidR="00974BE9" w:rsidRPr="006A0DC3">
        <w:rPr>
          <w:noProof/>
        </w:rPr>
        <w:t>egister</w:t>
      </w:r>
      <w:r w:rsidR="00F533DE">
        <w:rPr>
          <w:noProof/>
        </w:rPr>
        <w:t xml:space="preserve"> according to Article 5</w:t>
      </w:r>
      <w:r w:rsidR="00974BE9" w:rsidRPr="006A0DC3">
        <w:rPr>
          <w:noProof/>
        </w:rPr>
        <w:t xml:space="preserve"> shall require </w:t>
      </w:r>
      <w:r w:rsidR="00974BE9" w:rsidRPr="008864CE">
        <w:rPr>
          <w:noProof/>
        </w:rPr>
        <w:t xml:space="preserve">all </w:t>
      </w:r>
      <w:r w:rsidR="00923AF0">
        <w:rPr>
          <w:noProof/>
        </w:rPr>
        <w:t>large</w:t>
      </w:r>
      <w:r w:rsidR="00F533DE" w:rsidRPr="008864CE">
        <w:rPr>
          <w:noProof/>
        </w:rPr>
        <w:t xml:space="preserve"> </w:t>
      </w:r>
      <w:r w:rsidR="00974BE9" w:rsidRPr="008864CE">
        <w:rPr>
          <w:noProof/>
        </w:rPr>
        <w:t>institutions</w:t>
      </w:r>
      <w:r w:rsidR="00F533DE">
        <w:rPr>
          <w:noProof/>
        </w:rPr>
        <w:t xml:space="preserve"> </w:t>
      </w:r>
      <w:r w:rsidR="00F6124B">
        <w:rPr>
          <w:noProof/>
        </w:rPr>
        <w:t xml:space="preserve">as referred to in Article 3(10) </w:t>
      </w:r>
      <w:r w:rsidR="00F533DE">
        <w:rPr>
          <w:noProof/>
        </w:rPr>
        <w:t>that</w:t>
      </w:r>
      <w:r w:rsidR="00185844">
        <w:rPr>
          <w:noProof/>
        </w:rPr>
        <w:t xml:space="preserve"> handle payments of dividends and, where relevant, interest on securities originating in their jurisdictions</w:t>
      </w:r>
      <w:r w:rsidR="00974BE9" w:rsidRPr="006A0DC3">
        <w:rPr>
          <w:noProof/>
        </w:rPr>
        <w:t xml:space="preserve">, and </w:t>
      </w:r>
      <w:r w:rsidR="00F533DE">
        <w:rPr>
          <w:noProof/>
        </w:rPr>
        <w:t>c</w:t>
      </w:r>
      <w:r w:rsidR="00974BE9" w:rsidRPr="006A0DC3">
        <w:rPr>
          <w:noProof/>
        </w:rPr>
        <w:t xml:space="preserve">entral </w:t>
      </w:r>
      <w:r w:rsidR="00F533DE">
        <w:rPr>
          <w:noProof/>
        </w:rPr>
        <w:t>s</w:t>
      </w:r>
      <w:r w:rsidR="00974BE9" w:rsidRPr="006A0DC3">
        <w:rPr>
          <w:noProof/>
        </w:rPr>
        <w:t xml:space="preserve">ecurities </w:t>
      </w:r>
      <w:r w:rsidR="00F533DE">
        <w:rPr>
          <w:noProof/>
        </w:rPr>
        <w:t>d</w:t>
      </w:r>
      <w:r w:rsidR="00974BE9" w:rsidRPr="006A0DC3">
        <w:rPr>
          <w:noProof/>
        </w:rPr>
        <w:t xml:space="preserve">epositories </w:t>
      </w:r>
      <w:r w:rsidR="00F6124B">
        <w:rPr>
          <w:noProof/>
        </w:rPr>
        <w:t xml:space="preserve">as referred to in Article 3(4) </w:t>
      </w:r>
      <w:r w:rsidR="00974BE9" w:rsidRPr="006A0DC3">
        <w:rPr>
          <w:noProof/>
        </w:rPr>
        <w:t xml:space="preserve">that </w:t>
      </w:r>
      <w:r w:rsidR="00974BE9" w:rsidRPr="00572382">
        <w:rPr>
          <w:noProof/>
        </w:rPr>
        <w:t>provide withholding tax agent services</w:t>
      </w:r>
      <w:r w:rsidR="00185844">
        <w:rPr>
          <w:noProof/>
        </w:rPr>
        <w:t xml:space="preserve"> for the same payments</w:t>
      </w:r>
      <w:r w:rsidR="00974BE9" w:rsidRPr="00572382">
        <w:rPr>
          <w:noProof/>
        </w:rPr>
        <w:t xml:space="preserve">, </w:t>
      </w:r>
      <w:r w:rsidR="00974BE9" w:rsidRPr="006A0DC3">
        <w:rPr>
          <w:noProof/>
        </w:rPr>
        <w:t xml:space="preserve">to register </w:t>
      </w:r>
      <w:bookmarkStart w:id="2" w:name="_Hlk132976132"/>
      <w:r w:rsidR="00974BE9" w:rsidRPr="006A0DC3">
        <w:rPr>
          <w:noProof/>
        </w:rPr>
        <w:t>with the</w:t>
      </w:r>
      <w:r w:rsidR="00F533DE">
        <w:rPr>
          <w:noProof/>
        </w:rPr>
        <w:t>ir</w:t>
      </w:r>
      <w:r w:rsidR="00974BE9" w:rsidRPr="006A0DC3">
        <w:rPr>
          <w:noProof/>
        </w:rPr>
        <w:t xml:space="preserve"> </w:t>
      </w:r>
      <w:r w:rsidR="00A431C7">
        <w:rPr>
          <w:noProof/>
        </w:rPr>
        <w:t>n</w:t>
      </w:r>
      <w:r w:rsidR="00974BE9" w:rsidRPr="006A0DC3">
        <w:rPr>
          <w:noProof/>
        </w:rPr>
        <w:t xml:space="preserve">ational </w:t>
      </w:r>
      <w:r w:rsidR="00A431C7">
        <w:rPr>
          <w:noProof/>
        </w:rPr>
        <w:t>r</w:t>
      </w:r>
      <w:r w:rsidR="00974BE9" w:rsidRPr="006A0DC3">
        <w:rPr>
          <w:noProof/>
        </w:rPr>
        <w:t>egister</w:t>
      </w:r>
      <w:bookmarkEnd w:id="2"/>
      <w:r w:rsidR="00974BE9" w:rsidRPr="006A0DC3">
        <w:rPr>
          <w:noProof/>
        </w:rPr>
        <w:t>.</w:t>
      </w:r>
    </w:p>
    <w:p w14:paraId="2CDDB40B" w14:textId="77777777" w:rsidR="00974BE9" w:rsidRPr="006A0DC3" w:rsidRDefault="00412FF6" w:rsidP="00412FF6">
      <w:pPr>
        <w:pStyle w:val="ManualNumPar1"/>
        <w:rPr>
          <w:noProof/>
        </w:rPr>
      </w:pPr>
      <w:r w:rsidRPr="00412FF6">
        <w:t>2.</w:t>
      </w:r>
      <w:r w:rsidRPr="00412FF6">
        <w:tab/>
      </w:r>
      <w:r w:rsidR="00974BE9" w:rsidRPr="006A0DC3">
        <w:rPr>
          <w:noProof/>
        </w:rPr>
        <w:t xml:space="preserve">Member States maintaining a </w:t>
      </w:r>
      <w:r w:rsidR="00522AF7">
        <w:rPr>
          <w:noProof/>
        </w:rPr>
        <w:t>n</w:t>
      </w:r>
      <w:r w:rsidR="00974BE9" w:rsidRPr="006A0DC3">
        <w:rPr>
          <w:noProof/>
        </w:rPr>
        <w:t xml:space="preserve">ational </w:t>
      </w:r>
      <w:r w:rsidR="00522AF7">
        <w:rPr>
          <w:noProof/>
        </w:rPr>
        <w:t>r</w:t>
      </w:r>
      <w:r w:rsidR="00974BE9" w:rsidRPr="006A0DC3">
        <w:rPr>
          <w:noProof/>
        </w:rPr>
        <w:t xml:space="preserve">egister in accordance with </w:t>
      </w:r>
      <w:r w:rsidR="005D645B">
        <w:rPr>
          <w:noProof/>
        </w:rPr>
        <w:t xml:space="preserve">Article </w:t>
      </w:r>
      <w:r w:rsidR="00C87090">
        <w:rPr>
          <w:noProof/>
        </w:rPr>
        <w:t>5</w:t>
      </w:r>
      <w:r w:rsidR="00974BE9" w:rsidRPr="006A0DC3">
        <w:rPr>
          <w:noProof/>
        </w:rPr>
        <w:t xml:space="preserve"> shall enable</w:t>
      </w:r>
      <w:r w:rsidR="00904426">
        <w:rPr>
          <w:noProof/>
        </w:rPr>
        <w:t>,</w:t>
      </w:r>
      <w:r w:rsidR="00974BE9" w:rsidRPr="006A0DC3">
        <w:rPr>
          <w:noProof/>
        </w:rPr>
        <w:t xml:space="preserve"> </w:t>
      </w:r>
      <w:r w:rsidR="00904426" w:rsidRPr="006A0DC3">
        <w:rPr>
          <w:noProof/>
        </w:rPr>
        <w:t>upon request</w:t>
      </w:r>
      <w:r w:rsidR="00904426">
        <w:rPr>
          <w:noProof/>
        </w:rPr>
        <w:t>,</w:t>
      </w:r>
      <w:r w:rsidR="00904426" w:rsidRPr="006A0DC3">
        <w:rPr>
          <w:noProof/>
        </w:rPr>
        <w:t xml:space="preserve"> </w:t>
      </w:r>
      <w:r w:rsidR="00974BE9" w:rsidRPr="006A0DC3">
        <w:rPr>
          <w:noProof/>
        </w:rPr>
        <w:t xml:space="preserve">the registration in </w:t>
      </w:r>
      <w:r w:rsidR="00D25AFF">
        <w:rPr>
          <w:noProof/>
        </w:rPr>
        <w:t>that</w:t>
      </w:r>
      <w:r w:rsidR="00D25AFF" w:rsidRPr="006A0DC3">
        <w:rPr>
          <w:noProof/>
        </w:rPr>
        <w:t xml:space="preserve"> </w:t>
      </w:r>
      <w:r w:rsidR="00974BE9" w:rsidRPr="006A0DC3">
        <w:rPr>
          <w:noProof/>
        </w:rPr>
        <w:t xml:space="preserve">register of any financial intermediary </w:t>
      </w:r>
      <w:r w:rsidR="00904426">
        <w:rPr>
          <w:noProof/>
        </w:rPr>
        <w:t xml:space="preserve">meeting the requirements of </w:t>
      </w:r>
      <w:r w:rsidR="00974BE9" w:rsidRPr="006A0DC3">
        <w:rPr>
          <w:noProof/>
        </w:rPr>
        <w:t>Article 7</w:t>
      </w:r>
      <w:r w:rsidR="3FAFF5DD">
        <w:rPr>
          <w:noProof/>
        </w:rPr>
        <w:t>.</w:t>
      </w:r>
    </w:p>
    <w:p w14:paraId="5050D54C" w14:textId="77777777" w:rsidR="001956AF" w:rsidRDefault="001956AF" w:rsidP="006F5C2E">
      <w:pPr>
        <w:pStyle w:val="Titrearticle"/>
        <w:rPr>
          <w:b/>
          <w:bCs/>
          <w:i w:val="0"/>
          <w:iCs/>
          <w:noProof/>
        </w:rPr>
      </w:pPr>
      <w:r w:rsidRPr="00D7209E">
        <w:rPr>
          <w:noProof/>
          <w:lang w:val="en-IE"/>
        </w:rPr>
        <w:t xml:space="preserve">Article </w:t>
      </w:r>
      <w:r w:rsidR="00B55DAB">
        <w:rPr>
          <w:noProof/>
          <w:lang w:val="en-IE"/>
        </w:rPr>
        <w:t>7</w:t>
      </w:r>
      <w:r w:rsidR="006F5C2E">
        <w:rPr>
          <w:noProof/>
          <w:lang w:val="en-IE"/>
        </w:rPr>
        <w:br/>
      </w:r>
      <w:r w:rsidRPr="006F5C2E">
        <w:rPr>
          <w:b/>
          <w:bCs/>
          <w:i w:val="0"/>
          <w:iCs/>
          <w:noProof/>
        </w:rPr>
        <w:t xml:space="preserve">Registration </w:t>
      </w:r>
      <w:r w:rsidR="00522AF7">
        <w:rPr>
          <w:b/>
          <w:bCs/>
          <w:i w:val="0"/>
          <w:iCs/>
          <w:noProof/>
        </w:rPr>
        <w:t>p</w:t>
      </w:r>
      <w:r w:rsidR="00974BE9">
        <w:rPr>
          <w:b/>
          <w:bCs/>
          <w:i w:val="0"/>
          <w:iCs/>
          <w:noProof/>
        </w:rPr>
        <w:t>rocedure</w:t>
      </w:r>
    </w:p>
    <w:p w14:paraId="4813B381" w14:textId="77777777" w:rsidR="001956AF" w:rsidRPr="00E75766" w:rsidRDefault="00412FF6" w:rsidP="00412FF6">
      <w:pPr>
        <w:pStyle w:val="ManualNumPar1"/>
        <w:rPr>
          <w:noProof/>
          <w:lang w:val="en-IE"/>
        </w:rPr>
      </w:pPr>
      <w:r w:rsidRPr="00412FF6">
        <w:t>1.</w:t>
      </w:r>
      <w:r w:rsidRPr="00412FF6">
        <w:tab/>
      </w:r>
      <w:r w:rsidR="001956AF" w:rsidRPr="00E75766">
        <w:rPr>
          <w:noProof/>
          <w:lang w:val="en-IE"/>
        </w:rPr>
        <w:t xml:space="preserve">Member States shall </w:t>
      </w:r>
      <w:r w:rsidR="00D25AFF" w:rsidRPr="00E75766">
        <w:rPr>
          <w:noProof/>
          <w:lang w:val="en-IE"/>
        </w:rPr>
        <w:t xml:space="preserve">ensure that a financial intermediary is </w:t>
      </w:r>
      <w:r w:rsidR="001956AF" w:rsidRPr="00E75766">
        <w:rPr>
          <w:noProof/>
          <w:lang w:val="en-IE"/>
        </w:rPr>
        <w:t>register</w:t>
      </w:r>
      <w:r w:rsidR="00D25AFF" w:rsidRPr="00E75766">
        <w:rPr>
          <w:noProof/>
          <w:lang w:val="en-IE"/>
        </w:rPr>
        <w:t>ed</w:t>
      </w:r>
      <w:r w:rsidR="001956AF" w:rsidRPr="00E75766">
        <w:rPr>
          <w:noProof/>
          <w:lang w:val="en-IE"/>
        </w:rPr>
        <w:t xml:space="preserve"> in their </w:t>
      </w:r>
      <w:r w:rsidR="00D25AFF" w:rsidRPr="00E75766">
        <w:rPr>
          <w:noProof/>
          <w:lang w:val="en-IE"/>
        </w:rPr>
        <w:t>n</w:t>
      </w:r>
      <w:r w:rsidR="001956AF" w:rsidRPr="00E75766">
        <w:rPr>
          <w:noProof/>
          <w:lang w:val="en-IE"/>
        </w:rPr>
        <w:t xml:space="preserve">ational </w:t>
      </w:r>
      <w:r w:rsidR="00D25AFF" w:rsidRPr="00E75766">
        <w:rPr>
          <w:noProof/>
          <w:lang w:val="en-IE"/>
        </w:rPr>
        <w:t>r</w:t>
      </w:r>
      <w:r w:rsidR="001956AF" w:rsidRPr="00E75766">
        <w:rPr>
          <w:noProof/>
          <w:lang w:val="en-IE"/>
        </w:rPr>
        <w:t>egister</w:t>
      </w:r>
      <w:r w:rsidR="00C556B6" w:rsidRPr="00E75766">
        <w:rPr>
          <w:noProof/>
          <w:lang w:val="en-IE"/>
        </w:rPr>
        <w:t xml:space="preserve"> of certified financial intermediaries </w:t>
      </w:r>
      <w:r w:rsidR="00061B4D" w:rsidRPr="00E75766">
        <w:rPr>
          <w:noProof/>
          <w:lang w:val="en-IE"/>
        </w:rPr>
        <w:t xml:space="preserve">within </w:t>
      </w:r>
      <w:r w:rsidR="00061B4D" w:rsidRPr="001C1433">
        <w:rPr>
          <w:b/>
          <w:i/>
          <w:strike/>
          <w:noProof/>
          <w:lang w:val="en-IE"/>
        </w:rPr>
        <w:t>three</w:t>
      </w:r>
      <w:r w:rsidR="001C1433" w:rsidRPr="004D3809">
        <w:rPr>
          <w:b/>
          <w:i/>
          <w:noProof/>
          <w:lang w:val="en-IE"/>
        </w:rPr>
        <w:t xml:space="preserve"> </w:t>
      </w:r>
      <w:r w:rsidR="001C1433">
        <w:rPr>
          <w:b/>
          <w:i/>
        </w:rPr>
        <w:t>two (</w:t>
      </w:r>
      <w:r w:rsidR="001C1433" w:rsidRPr="00906809">
        <w:rPr>
          <w:b/>
          <w:i/>
        </w:rPr>
        <w:t>EPP 74</w:t>
      </w:r>
      <w:r w:rsidR="001C1433">
        <w:rPr>
          <w:b/>
          <w:i/>
        </w:rPr>
        <w:t>)</w:t>
      </w:r>
      <w:r w:rsidR="00061B4D" w:rsidRPr="00E75766">
        <w:rPr>
          <w:noProof/>
          <w:lang w:val="en-IE"/>
        </w:rPr>
        <w:t xml:space="preserve"> months from submission of a request</w:t>
      </w:r>
      <w:r w:rsidR="001956AF" w:rsidRPr="00E75766">
        <w:rPr>
          <w:noProof/>
          <w:lang w:val="en-IE"/>
        </w:rPr>
        <w:t xml:space="preserve"> </w:t>
      </w:r>
      <w:r w:rsidR="00D25AFF" w:rsidRPr="00E75766">
        <w:rPr>
          <w:noProof/>
          <w:lang w:val="en-IE"/>
        </w:rPr>
        <w:t>of the</w:t>
      </w:r>
      <w:r w:rsidR="00DF2EC2" w:rsidRPr="00E75766">
        <w:rPr>
          <w:noProof/>
          <w:lang w:val="en-IE"/>
        </w:rPr>
        <w:t xml:space="preserve"> </w:t>
      </w:r>
      <w:r w:rsidR="001956AF" w:rsidRPr="00E75766">
        <w:rPr>
          <w:noProof/>
          <w:lang w:val="en-IE"/>
        </w:rPr>
        <w:t xml:space="preserve">financial intermediary that </w:t>
      </w:r>
      <w:r w:rsidR="00061B4D" w:rsidRPr="00E75766">
        <w:rPr>
          <w:noProof/>
          <w:lang w:val="en-IE"/>
        </w:rPr>
        <w:t>provides evidence of</w:t>
      </w:r>
      <w:r w:rsidR="00F87E14" w:rsidRPr="00E75766">
        <w:rPr>
          <w:noProof/>
          <w:lang w:val="en-IE"/>
        </w:rPr>
        <w:t xml:space="preserve"> all</w:t>
      </w:r>
      <w:r w:rsidR="00061B4D" w:rsidRPr="00E75766">
        <w:rPr>
          <w:noProof/>
          <w:lang w:val="en-IE"/>
        </w:rPr>
        <w:t xml:space="preserve"> </w:t>
      </w:r>
      <w:r w:rsidR="00D25AFF" w:rsidRPr="00E75766">
        <w:rPr>
          <w:noProof/>
          <w:lang w:val="en-IE"/>
        </w:rPr>
        <w:t xml:space="preserve">of </w:t>
      </w:r>
      <w:r w:rsidR="001956AF" w:rsidRPr="00E75766">
        <w:rPr>
          <w:noProof/>
          <w:lang w:val="en-IE"/>
        </w:rPr>
        <w:t>the following</w:t>
      </w:r>
      <w:r w:rsidR="00F87E14" w:rsidRPr="00E75766">
        <w:rPr>
          <w:noProof/>
          <w:lang w:val="en-IE"/>
        </w:rPr>
        <w:t xml:space="preserve"> </w:t>
      </w:r>
      <w:r w:rsidR="00904426" w:rsidRPr="00E75766">
        <w:rPr>
          <w:noProof/>
          <w:lang w:val="en-IE"/>
        </w:rPr>
        <w:t>requirements</w:t>
      </w:r>
      <w:r w:rsidR="00D51384" w:rsidRPr="00E75766">
        <w:rPr>
          <w:noProof/>
          <w:lang w:val="en-IE"/>
        </w:rPr>
        <w:t>:</w:t>
      </w:r>
      <w:r w:rsidR="001956AF" w:rsidRPr="00E75766">
        <w:rPr>
          <w:noProof/>
          <w:lang w:val="en-IE"/>
        </w:rPr>
        <w:t xml:space="preserve"> </w:t>
      </w:r>
    </w:p>
    <w:p w14:paraId="36DA2F1C" w14:textId="77777777" w:rsidR="00061B4D" w:rsidRPr="004D12F8" w:rsidRDefault="00412FF6" w:rsidP="00412FF6">
      <w:pPr>
        <w:pStyle w:val="Point1"/>
        <w:rPr>
          <w:noProof/>
          <w:lang w:val="en-IE"/>
        </w:rPr>
      </w:pPr>
      <w:r w:rsidRPr="00412FF6">
        <w:t>(a)</w:t>
      </w:r>
      <w:r w:rsidRPr="00412FF6">
        <w:tab/>
      </w:r>
      <w:r w:rsidR="000B25F2">
        <w:rPr>
          <w:noProof/>
        </w:rPr>
        <w:t xml:space="preserve">a </w:t>
      </w:r>
      <w:r w:rsidR="00AF46FA" w:rsidRPr="004D12F8">
        <w:rPr>
          <w:noProof/>
          <w:lang w:val="en-IE"/>
        </w:rPr>
        <w:t>r</w:t>
      </w:r>
      <w:r w:rsidR="00061B4D" w:rsidRPr="004D12F8">
        <w:rPr>
          <w:noProof/>
          <w:lang w:val="en-IE"/>
        </w:rPr>
        <w:t xml:space="preserve">esidence for tax purposes </w:t>
      </w:r>
      <w:r w:rsidR="00061B4D" w:rsidRPr="004D12F8" w:rsidDel="00061B4D">
        <w:rPr>
          <w:noProof/>
          <w:lang w:val="en-IE"/>
        </w:rPr>
        <w:t xml:space="preserve">in a </w:t>
      </w:r>
      <w:r w:rsidR="00061B4D" w:rsidRPr="004D12F8">
        <w:rPr>
          <w:noProof/>
          <w:lang w:val="en-IE"/>
        </w:rPr>
        <w:t>Member State or</w:t>
      </w:r>
      <w:r w:rsidR="00061B4D" w:rsidRPr="004D12F8" w:rsidDel="00061B4D">
        <w:rPr>
          <w:noProof/>
          <w:lang w:val="en-IE"/>
        </w:rPr>
        <w:t xml:space="preserve"> </w:t>
      </w:r>
      <w:r w:rsidR="00061B4D" w:rsidRPr="004D12F8">
        <w:rPr>
          <w:noProof/>
          <w:lang w:val="en-IE"/>
        </w:rPr>
        <w:t>third country jurisdiction</w:t>
      </w:r>
      <w:r w:rsidR="004360A9" w:rsidRPr="004D12F8">
        <w:rPr>
          <w:noProof/>
          <w:lang w:val="en-IE"/>
        </w:rPr>
        <w:t xml:space="preserve"> not included on Annex I of the EU list of non-cooperative jurisdictions for tax purposes</w:t>
      </w:r>
      <w:r w:rsidR="00D25AFF">
        <w:rPr>
          <w:rStyle w:val="FootnoteReference"/>
          <w:noProof/>
          <w:lang w:val="en-IE"/>
        </w:rPr>
        <w:footnoteReference w:id="8"/>
      </w:r>
      <w:r w:rsidR="00D5618A" w:rsidRPr="004D12F8">
        <w:rPr>
          <w:noProof/>
          <w:lang w:val="en-IE"/>
        </w:rPr>
        <w:t xml:space="preserve"> </w:t>
      </w:r>
      <w:r w:rsidR="00E66B1A" w:rsidRPr="004D12F8">
        <w:rPr>
          <w:noProof/>
          <w:lang w:val="en-IE"/>
        </w:rPr>
        <w:t xml:space="preserve">nor on </w:t>
      </w:r>
      <w:r w:rsidR="00D5618A" w:rsidRPr="004D12F8">
        <w:rPr>
          <w:noProof/>
          <w:lang w:val="en-IE"/>
        </w:rPr>
        <w:t>the</w:t>
      </w:r>
      <w:r w:rsidR="00F55744" w:rsidRPr="004D12F8">
        <w:rPr>
          <w:noProof/>
          <w:lang w:val="en-IE"/>
        </w:rPr>
        <w:t xml:space="preserve"> table I of the Annex to Delegated Regulation (EU) 2016/1675</w:t>
      </w:r>
      <w:r w:rsidR="005B777E">
        <w:rPr>
          <w:rStyle w:val="FootnoteReference"/>
          <w:noProof/>
          <w:lang w:val="en-IE"/>
        </w:rPr>
        <w:footnoteReference w:id="9"/>
      </w:r>
      <w:r w:rsidR="00061B4D" w:rsidRPr="004D12F8">
        <w:rPr>
          <w:noProof/>
          <w:lang w:val="en-IE"/>
        </w:rPr>
        <w:t xml:space="preserve">; </w:t>
      </w:r>
    </w:p>
    <w:p w14:paraId="6B4E1771" w14:textId="77777777" w:rsidR="001956AF" w:rsidRPr="004D12F8" w:rsidRDefault="00412FF6" w:rsidP="00412FF6">
      <w:pPr>
        <w:pStyle w:val="Point1"/>
        <w:rPr>
          <w:noProof/>
          <w:lang w:val="en-IE"/>
        </w:rPr>
      </w:pPr>
      <w:r w:rsidRPr="00412FF6">
        <w:t>(b)</w:t>
      </w:r>
      <w:r w:rsidRPr="00412FF6">
        <w:tab/>
      </w:r>
      <w:r w:rsidR="00051BC3" w:rsidRPr="00051BC3">
        <w:rPr>
          <w:noProof/>
        </w:rPr>
        <w:t xml:space="preserve">if the requesting financial intermediary is a credit institution, an authorisation in the jurisdiction of residence for tax purposes to perform custodial activities </w:t>
      </w:r>
      <w:r w:rsidR="00AA343B">
        <w:rPr>
          <w:noProof/>
        </w:rPr>
        <w:t>under</w:t>
      </w:r>
      <w:r w:rsidR="00051BC3" w:rsidRPr="00051BC3">
        <w:rPr>
          <w:noProof/>
        </w:rPr>
        <w:t xml:space="preserve"> points (12) or (14) of Annex I of Directive 2013/36/EU or comparable legislation of a third country; if the requesting financial intermediary is an investment firm,</w:t>
      </w:r>
      <w:r w:rsidR="00051BC3">
        <w:rPr>
          <w:noProof/>
        </w:rPr>
        <w:t xml:space="preserve"> </w:t>
      </w:r>
      <w:r w:rsidR="000513BD">
        <w:rPr>
          <w:noProof/>
        </w:rPr>
        <w:t>an authorisation</w:t>
      </w:r>
      <w:r w:rsidR="00061B4D" w:rsidRPr="004D12F8">
        <w:rPr>
          <w:noProof/>
          <w:lang w:val="en-IE"/>
        </w:rPr>
        <w:t xml:space="preserve"> in the</w:t>
      </w:r>
      <w:r w:rsidR="001956AF" w:rsidRPr="004D12F8">
        <w:rPr>
          <w:noProof/>
          <w:lang w:val="en-IE"/>
        </w:rPr>
        <w:t xml:space="preserve"> jurisdiction of residence for tax purposes to perform custodial activities under </w:t>
      </w:r>
      <w:r w:rsidR="00972424" w:rsidRPr="004D12F8">
        <w:rPr>
          <w:noProof/>
          <w:lang w:val="en-IE"/>
        </w:rPr>
        <w:t xml:space="preserve">Section B(1) </w:t>
      </w:r>
      <w:r w:rsidR="002C02BA" w:rsidRPr="004D12F8">
        <w:rPr>
          <w:noProof/>
          <w:lang w:val="en-IE"/>
        </w:rPr>
        <w:t xml:space="preserve">of </w:t>
      </w:r>
      <w:r w:rsidR="00222E0D" w:rsidRPr="004D12F8">
        <w:rPr>
          <w:noProof/>
          <w:lang w:val="en-IE"/>
        </w:rPr>
        <w:t xml:space="preserve">Annex I of </w:t>
      </w:r>
      <w:r w:rsidR="001956AF" w:rsidRPr="004D12F8">
        <w:rPr>
          <w:noProof/>
          <w:lang w:val="en-IE"/>
        </w:rPr>
        <w:t xml:space="preserve">Directive </w:t>
      </w:r>
      <w:r w:rsidR="001956AF" w:rsidRPr="00E61B82">
        <w:rPr>
          <w:noProof/>
        </w:rPr>
        <w:t>2014/65</w:t>
      </w:r>
      <w:r w:rsidR="001956AF" w:rsidRPr="004D12F8">
        <w:rPr>
          <w:noProof/>
          <w:lang w:val="en-IE"/>
        </w:rPr>
        <w:t xml:space="preserve">/EU </w:t>
      </w:r>
      <w:r w:rsidR="001956AF" w:rsidRPr="00E61B82">
        <w:rPr>
          <w:noProof/>
        </w:rPr>
        <w:t xml:space="preserve">or </w:t>
      </w:r>
      <w:r w:rsidR="00972424">
        <w:rPr>
          <w:noProof/>
        </w:rPr>
        <w:t xml:space="preserve">comparable </w:t>
      </w:r>
      <w:r w:rsidR="001956AF" w:rsidRPr="004D12F8">
        <w:rPr>
          <w:noProof/>
          <w:lang w:val="en-IE"/>
        </w:rPr>
        <w:t>legislation</w:t>
      </w:r>
      <w:r w:rsidR="00061B4D" w:rsidRPr="004D12F8">
        <w:rPr>
          <w:noProof/>
          <w:lang w:val="en-IE"/>
        </w:rPr>
        <w:t xml:space="preserve"> of a</w:t>
      </w:r>
      <w:r w:rsidR="001956AF" w:rsidRPr="004D12F8" w:rsidDel="00061B4D">
        <w:rPr>
          <w:noProof/>
          <w:lang w:val="en-IE"/>
        </w:rPr>
        <w:t xml:space="preserve"> </w:t>
      </w:r>
      <w:r w:rsidR="001956AF" w:rsidRPr="004D12F8">
        <w:rPr>
          <w:noProof/>
          <w:lang w:val="en-IE"/>
        </w:rPr>
        <w:t>third country</w:t>
      </w:r>
      <w:r w:rsidR="00061B4D" w:rsidRPr="004D12F8">
        <w:rPr>
          <w:noProof/>
          <w:lang w:val="en-IE"/>
        </w:rPr>
        <w:t xml:space="preserve"> </w:t>
      </w:r>
      <w:r w:rsidR="00E814D6" w:rsidRPr="004D12F8">
        <w:rPr>
          <w:noProof/>
          <w:lang w:val="en-IE"/>
        </w:rPr>
        <w:t>or</w:t>
      </w:r>
      <w:r w:rsidR="00051BC3" w:rsidRPr="004D12F8">
        <w:rPr>
          <w:noProof/>
          <w:lang w:val="en-IE"/>
        </w:rPr>
        <w:t>;</w:t>
      </w:r>
      <w:r w:rsidR="00E814D6" w:rsidRPr="004D12F8">
        <w:rPr>
          <w:noProof/>
          <w:lang w:val="en-IE"/>
        </w:rPr>
        <w:t xml:space="preserve"> if the requesting financial intermediary is a central securities depository, an authorisation in the jurisdiction of residence for tax purposes </w:t>
      </w:r>
      <w:r w:rsidR="00222E0D" w:rsidRPr="004D12F8">
        <w:rPr>
          <w:noProof/>
          <w:lang w:val="en-IE"/>
        </w:rPr>
        <w:t xml:space="preserve">under Regulation EU 909/2014 or </w:t>
      </w:r>
      <w:r w:rsidR="00800DF7" w:rsidRPr="004D12F8">
        <w:rPr>
          <w:noProof/>
          <w:lang w:val="en-IE"/>
        </w:rPr>
        <w:t xml:space="preserve">comparable </w:t>
      </w:r>
      <w:r w:rsidR="00222E0D" w:rsidRPr="004D12F8">
        <w:rPr>
          <w:noProof/>
          <w:lang w:val="en-IE"/>
        </w:rPr>
        <w:lastRenderedPageBreak/>
        <w:t>legislation of a third country of residence</w:t>
      </w:r>
      <w:r w:rsidR="00D361EC" w:rsidRPr="004D12F8">
        <w:rPr>
          <w:noProof/>
          <w:lang w:val="en-IE"/>
        </w:rPr>
        <w:t>;</w:t>
      </w:r>
      <w:r w:rsidR="00771183">
        <w:rPr>
          <w:noProof/>
          <w:lang w:val="en-IE"/>
        </w:rPr>
        <w:t xml:space="preserve"> </w:t>
      </w:r>
      <w:r w:rsidR="00771183" w:rsidRPr="00463717">
        <w:rPr>
          <w:b/>
          <w:i/>
        </w:rPr>
        <w:t>the Commission shall issue guidance on minimum standards for comparable legislation;</w:t>
      </w:r>
      <w:r w:rsidR="00771183">
        <w:rPr>
          <w:b/>
          <w:i/>
        </w:rPr>
        <w:t xml:space="preserve"> (EPP 8)</w:t>
      </w:r>
    </w:p>
    <w:p w14:paraId="2DE634D3" w14:textId="77777777" w:rsidR="004360A9" w:rsidRPr="004D12F8" w:rsidRDefault="00412FF6" w:rsidP="00412FF6">
      <w:pPr>
        <w:pStyle w:val="Point1"/>
        <w:rPr>
          <w:noProof/>
          <w:lang w:val="en-IE"/>
        </w:rPr>
      </w:pPr>
      <w:r w:rsidRPr="00412FF6">
        <w:t>(c)</w:t>
      </w:r>
      <w:r w:rsidRPr="00412FF6">
        <w:tab/>
      </w:r>
      <w:r w:rsidR="00AF46FA" w:rsidRPr="0089020B">
        <w:rPr>
          <w:noProof/>
        </w:rPr>
        <w:t xml:space="preserve">a </w:t>
      </w:r>
      <w:r w:rsidR="004131CF" w:rsidRPr="0089020B">
        <w:rPr>
          <w:noProof/>
          <w:lang w:val="en-IE"/>
        </w:rPr>
        <w:t xml:space="preserve">declaration of </w:t>
      </w:r>
      <w:r w:rsidR="008C4F04" w:rsidRPr="0089020B">
        <w:rPr>
          <w:noProof/>
          <w:lang w:val="en-IE"/>
        </w:rPr>
        <w:t>compl</w:t>
      </w:r>
      <w:r w:rsidR="004131CF" w:rsidRPr="0089020B">
        <w:rPr>
          <w:noProof/>
          <w:lang w:val="en-IE"/>
        </w:rPr>
        <w:t>iance</w:t>
      </w:r>
      <w:r w:rsidR="008C4F04" w:rsidRPr="0089020B">
        <w:rPr>
          <w:noProof/>
          <w:lang w:val="en-IE"/>
        </w:rPr>
        <w:t xml:space="preserve"> </w:t>
      </w:r>
      <w:r w:rsidR="004360A9" w:rsidRPr="0089020B">
        <w:rPr>
          <w:noProof/>
          <w:lang w:val="en-IE"/>
        </w:rPr>
        <w:t xml:space="preserve">with </w:t>
      </w:r>
      <w:bookmarkStart w:id="3" w:name="_Hlk132982294"/>
      <w:r w:rsidR="004360A9" w:rsidRPr="0089020B">
        <w:rPr>
          <w:noProof/>
          <w:lang w:val="en-IE"/>
        </w:rPr>
        <w:t>the</w:t>
      </w:r>
      <w:r w:rsidR="00A77BBD" w:rsidRPr="0089020B">
        <w:rPr>
          <w:noProof/>
        </w:rPr>
        <w:t xml:space="preserve"> </w:t>
      </w:r>
      <w:r w:rsidR="00A77BBD" w:rsidRPr="0089020B">
        <w:rPr>
          <w:noProof/>
          <w:lang w:val="en-IE"/>
        </w:rPr>
        <w:t xml:space="preserve">provisions of </w:t>
      </w:r>
      <w:r w:rsidR="00583BEE" w:rsidRPr="0089020B">
        <w:rPr>
          <w:noProof/>
          <w:lang w:val="en-IE"/>
        </w:rPr>
        <w:t xml:space="preserve">Council </w:t>
      </w:r>
      <w:r w:rsidR="00A77BBD" w:rsidRPr="0089020B">
        <w:rPr>
          <w:noProof/>
          <w:lang w:val="en-IE"/>
        </w:rPr>
        <w:t>Directive 2014/107/EU</w:t>
      </w:r>
      <w:r w:rsidR="006B3A6D" w:rsidRPr="0089020B">
        <w:rPr>
          <w:rStyle w:val="FootnoteReference"/>
          <w:noProof/>
          <w:lang w:val="en-IE"/>
        </w:rPr>
        <w:footnoteReference w:id="10"/>
      </w:r>
      <w:r w:rsidR="00A77BBD" w:rsidRPr="0089020B">
        <w:rPr>
          <w:noProof/>
          <w:lang w:val="en-IE"/>
        </w:rPr>
        <w:t xml:space="preserve"> </w:t>
      </w:r>
      <w:r w:rsidR="001956AF" w:rsidRPr="0089020B">
        <w:rPr>
          <w:noProof/>
          <w:lang w:val="en-IE"/>
        </w:rPr>
        <w:t xml:space="preserve">or </w:t>
      </w:r>
      <w:r w:rsidR="008C4F04" w:rsidRPr="0089020B">
        <w:rPr>
          <w:noProof/>
          <w:lang w:val="en-IE"/>
        </w:rPr>
        <w:t>the provisions of Directive</w:t>
      </w:r>
      <w:r w:rsidR="005B1CE5" w:rsidRPr="0089020B">
        <w:rPr>
          <w:noProof/>
          <w:lang w:val="en-IE"/>
        </w:rPr>
        <w:t xml:space="preserve"> 2018/843/EU</w:t>
      </w:r>
      <w:r w:rsidR="00583BEE" w:rsidRPr="0089020B">
        <w:rPr>
          <w:noProof/>
          <w:lang w:val="en-IE"/>
        </w:rPr>
        <w:t xml:space="preserve"> of the European Parliament and of the Council</w:t>
      </w:r>
      <w:r w:rsidR="006B3A6D" w:rsidRPr="0089020B">
        <w:rPr>
          <w:rStyle w:val="FootnoteReference"/>
          <w:noProof/>
          <w:lang w:val="en-IE"/>
        </w:rPr>
        <w:footnoteReference w:id="11"/>
      </w:r>
      <w:r w:rsidR="008C4F04" w:rsidRPr="0089020B">
        <w:rPr>
          <w:noProof/>
          <w:lang w:val="en-IE"/>
        </w:rPr>
        <w:t xml:space="preserve"> </w:t>
      </w:r>
      <w:r w:rsidR="0057077D">
        <w:rPr>
          <w:noProof/>
          <w:lang w:val="en-IE"/>
        </w:rPr>
        <w:t xml:space="preserve">as applicable </w:t>
      </w:r>
      <w:r w:rsidR="008C4F04" w:rsidRPr="0089020B">
        <w:rPr>
          <w:noProof/>
          <w:lang w:val="en-IE"/>
        </w:rPr>
        <w:t xml:space="preserve">or </w:t>
      </w:r>
      <w:r w:rsidR="0057077D">
        <w:rPr>
          <w:noProof/>
          <w:lang w:val="en-IE"/>
        </w:rPr>
        <w:t xml:space="preserve">with a </w:t>
      </w:r>
      <w:r w:rsidR="008862FE" w:rsidRPr="0089020B">
        <w:rPr>
          <w:noProof/>
          <w:lang w:val="en-IE"/>
        </w:rPr>
        <w:t xml:space="preserve">comparable </w:t>
      </w:r>
      <w:r w:rsidR="008C4F04" w:rsidRPr="0089020B">
        <w:rPr>
          <w:noProof/>
          <w:lang w:val="en-IE"/>
        </w:rPr>
        <w:t>legislation</w:t>
      </w:r>
      <w:r w:rsidR="008C4F04" w:rsidRPr="004D12F8">
        <w:rPr>
          <w:noProof/>
          <w:lang w:val="en-IE"/>
        </w:rPr>
        <w:t xml:space="preserve"> of a third country jurisdiction</w:t>
      </w:r>
      <w:r w:rsidR="00251B54" w:rsidRPr="004D12F8">
        <w:rPr>
          <w:noProof/>
          <w:lang w:val="en-IE"/>
        </w:rPr>
        <w:t xml:space="preserve"> not included on Annex I of the EU list of non-cooperative jurisdictions for tax purposes</w:t>
      </w:r>
      <w:bookmarkEnd w:id="3"/>
      <w:r w:rsidR="000F3FBC" w:rsidRPr="004D12F8">
        <w:rPr>
          <w:noProof/>
          <w:lang w:val="en-IE"/>
        </w:rPr>
        <w:t xml:space="preserve"> or on the table I of the Annex to Delegated Regulation (EU) 2016/1675</w:t>
      </w:r>
      <w:r w:rsidR="00B111A2" w:rsidRPr="004D12F8">
        <w:rPr>
          <w:noProof/>
          <w:lang w:val="en-IE"/>
        </w:rPr>
        <w:t>.</w:t>
      </w:r>
    </w:p>
    <w:p w14:paraId="73855658" w14:textId="35BC539E" w:rsidR="0039309F" w:rsidRDefault="00412FF6" w:rsidP="0039309F">
      <w:pPr>
        <w:pStyle w:val="ManualNumPar1"/>
        <w:rPr>
          <w:noProof/>
          <w:lang w:val="en-IE"/>
        </w:rPr>
      </w:pPr>
      <w:r w:rsidRPr="00412FF6">
        <w:t>2.</w:t>
      </w:r>
      <w:r w:rsidRPr="00412FF6">
        <w:tab/>
      </w:r>
      <w:r w:rsidR="00583BEE">
        <w:rPr>
          <w:noProof/>
        </w:rPr>
        <w:t>F</w:t>
      </w:r>
      <w:r w:rsidR="004573F8">
        <w:rPr>
          <w:noProof/>
        </w:rPr>
        <w:t>inancial intermediar</w:t>
      </w:r>
      <w:r w:rsidR="00583BEE">
        <w:rPr>
          <w:noProof/>
        </w:rPr>
        <w:t>ies</w:t>
      </w:r>
      <w:r w:rsidR="004573F8">
        <w:rPr>
          <w:noProof/>
        </w:rPr>
        <w:t xml:space="preserve"> </w:t>
      </w:r>
      <w:r w:rsidR="00583BEE">
        <w:rPr>
          <w:noProof/>
          <w:lang w:val="en-IE"/>
        </w:rPr>
        <w:t>shall</w:t>
      </w:r>
      <w:r w:rsidR="00DF2EC2" w:rsidRPr="006A0DC3">
        <w:rPr>
          <w:noProof/>
          <w:lang w:val="en-IE"/>
        </w:rPr>
        <w:t xml:space="preserve"> notify without </w:t>
      </w:r>
      <w:r w:rsidR="002A4AF6">
        <w:rPr>
          <w:b/>
          <w:i/>
        </w:rPr>
        <w:t>undue (</w:t>
      </w:r>
      <w:r w:rsidR="002A4AF6" w:rsidRPr="00906809">
        <w:rPr>
          <w:b/>
          <w:i/>
        </w:rPr>
        <w:t>EPP 77</w:t>
      </w:r>
      <w:r w:rsidR="002A4AF6">
        <w:rPr>
          <w:b/>
          <w:i/>
        </w:rPr>
        <w:t xml:space="preserve">) </w:t>
      </w:r>
      <w:r w:rsidR="00DF2EC2" w:rsidRPr="006A0DC3">
        <w:rPr>
          <w:noProof/>
          <w:lang w:val="en-IE"/>
        </w:rPr>
        <w:t xml:space="preserve">delay the competent authority of the Member State of any change in the information provided under </w:t>
      </w:r>
      <w:r w:rsidR="00583BEE">
        <w:rPr>
          <w:noProof/>
          <w:lang w:val="en-IE"/>
        </w:rPr>
        <w:t>points (</w:t>
      </w:r>
      <w:r w:rsidR="00DF2EC2" w:rsidRPr="006A0DC3">
        <w:rPr>
          <w:noProof/>
          <w:lang w:val="en-IE"/>
        </w:rPr>
        <w:t>a</w:t>
      </w:r>
      <w:r w:rsidR="00583BEE">
        <w:rPr>
          <w:noProof/>
          <w:lang w:val="en-IE"/>
        </w:rPr>
        <w:t>) to (</w:t>
      </w:r>
      <w:r w:rsidR="00DF2EC2" w:rsidRPr="006A0DC3">
        <w:rPr>
          <w:noProof/>
          <w:lang w:val="en-IE"/>
        </w:rPr>
        <w:t>c</w:t>
      </w:r>
      <w:r w:rsidR="00583BEE">
        <w:rPr>
          <w:noProof/>
          <w:lang w:val="en-IE"/>
        </w:rPr>
        <w:t>)</w:t>
      </w:r>
      <w:r w:rsidR="002A4AF6">
        <w:rPr>
          <w:b/>
          <w:i/>
        </w:rPr>
        <w:t xml:space="preserve">, providing the relevant documents where necessary </w:t>
      </w:r>
      <w:r w:rsidR="002A4AF6" w:rsidRPr="00906809">
        <w:rPr>
          <w:b/>
          <w:i/>
        </w:rPr>
        <w:t>(EPP 77)</w:t>
      </w:r>
      <w:r w:rsidR="001956AF" w:rsidRPr="00906809" w:rsidDel="004360A9">
        <w:rPr>
          <w:noProof/>
          <w:lang w:val="en-IE"/>
        </w:rPr>
        <w:t>.</w:t>
      </w:r>
    </w:p>
    <w:p w14:paraId="5D4E6A0C" w14:textId="69AE5015" w:rsidR="0039309F" w:rsidRPr="008552C3" w:rsidRDefault="0039309F" w:rsidP="0039309F">
      <w:pPr>
        <w:pStyle w:val="ManualNumPar1"/>
        <w:rPr>
          <w:b/>
          <w:i/>
        </w:rPr>
      </w:pPr>
      <w:r>
        <w:rPr>
          <w:b/>
          <w:i/>
        </w:rPr>
        <w:t>2 a.</w:t>
      </w:r>
      <w:r>
        <w:tab/>
      </w:r>
      <w:r>
        <w:rPr>
          <w:b/>
          <w:i/>
        </w:rPr>
        <w:t xml:space="preserve">Member States shall inform all other Member States about rejections of registration as soon as possible, according to </w:t>
      </w:r>
      <w:r w:rsidR="000F7CA3" w:rsidRPr="00D62231">
        <w:rPr>
          <w:b/>
          <w:i/>
          <w:u w:val="single"/>
        </w:rPr>
        <w:t>Article 9 of</w:t>
      </w:r>
      <w:r w:rsidR="000F7CA3" w:rsidRPr="00D62231">
        <w:rPr>
          <w:b/>
          <w:i/>
        </w:rPr>
        <w:t xml:space="preserve"> </w:t>
      </w:r>
      <w:r w:rsidRPr="000F7CA3">
        <w:rPr>
          <w:b/>
          <w:i/>
        </w:rPr>
        <w:t>Council Directive 2011/16/EU on administrative cooperation in the field of taxation.</w:t>
      </w:r>
      <w:r w:rsidRPr="000F7CA3">
        <w:rPr>
          <w:b/>
          <w:i/>
          <w:strike/>
        </w:rPr>
        <w:t xml:space="preserve"> </w:t>
      </w:r>
      <w:r w:rsidRPr="008552C3">
        <w:rPr>
          <w:b/>
          <w:i/>
        </w:rPr>
        <w:t>(Renew 78)</w:t>
      </w:r>
    </w:p>
    <w:p w14:paraId="17A6874F" w14:textId="77777777" w:rsidR="00261C29" w:rsidRDefault="00261C29" w:rsidP="00261C29">
      <w:pPr>
        <w:pStyle w:val="Text1"/>
      </w:pPr>
    </w:p>
    <w:p w14:paraId="6AA1AF53" w14:textId="77777777" w:rsidR="00261C29" w:rsidRDefault="00261C29" w:rsidP="00261C29">
      <w:pPr>
        <w:pStyle w:val="ManualConsidrant"/>
        <w:rPr>
          <w:b/>
          <w:noProof/>
        </w:rPr>
      </w:pPr>
      <w:r>
        <w:rPr>
          <w:b/>
          <w:noProof/>
          <w:highlight w:val="green"/>
        </w:rPr>
        <w:t xml:space="preserve">COMP C </w:t>
      </w:r>
    </w:p>
    <w:p w14:paraId="57CFE3E2" w14:textId="1D9D44B5" w:rsidR="00261C29" w:rsidRDefault="00261C29" w:rsidP="00375C92">
      <w:pPr>
        <w:pStyle w:val="Text1"/>
        <w:ind w:left="0"/>
      </w:pPr>
    </w:p>
    <w:p w14:paraId="3E98723F" w14:textId="74A02F2D" w:rsidR="00375C92" w:rsidRPr="0043710D" w:rsidRDefault="00375C92" w:rsidP="00375C92">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AMs covered: 81, 85, 87 EPP, 82, 83 S&amp;D and Greens, 80, 84, 89, 95, 98, 99 Renew</w:t>
      </w:r>
      <w:r>
        <w:rPr>
          <w:b w:val="0"/>
          <w:i/>
        </w:rPr>
        <w:br/>
      </w:r>
      <w:r w:rsidRPr="0043710D">
        <w:rPr>
          <w:b w:val="0"/>
          <w:i/>
        </w:rPr>
        <w:t>AM</w:t>
      </w:r>
      <w:r>
        <w:rPr>
          <w:b w:val="0"/>
          <w:i/>
        </w:rPr>
        <w:t xml:space="preserve">s that fall if COMP is adopted: </w:t>
      </w:r>
      <w:r w:rsidR="00974931">
        <w:rPr>
          <w:b w:val="0"/>
          <w:i/>
        </w:rPr>
        <w:t xml:space="preserve">94, </w:t>
      </w:r>
      <w:r>
        <w:rPr>
          <w:b w:val="0"/>
          <w:i/>
        </w:rPr>
        <w:t>96 Renew, 79, 86, 88, 90, 91, 92, 93, 97 The Left</w:t>
      </w:r>
    </w:p>
    <w:p w14:paraId="3561A474" w14:textId="77777777" w:rsidR="00375C92" w:rsidRPr="00261C29" w:rsidRDefault="00375C92" w:rsidP="00375C92">
      <w:pPr>
        <w:pStyle w:val="Text1"/>
        <w:ind w:left="0"/>
      </w:pPr>
    </w:p>
    <w:p w14:paraId="5D66420C" w14:textId="77777777" w:rsidR="001956AF" w:rsidRDefault="001956AF" w:rsidP="00974BE9">
      <w:pPr>
        <w:pStyle w:val="Titrearticle"/>
        <w:rPr>
          <w:b/>
          <w:bCs/>
          <w:i w:val="0"/>
          <w:iCs/>
          <w:noProof/>
          <w:lang w:val="en-IE"/>
        </w:rPr>
      </w:pPr>
      <w:r w:rsidRPr="00FF43D3">
        <w:rPr>
          <w:noProof/>
          <w:lang w:val="en-IE"/>
        </w:rPr>
        <w:t xml:space="preserve">Article </w:t>
      </w:r>
      <w:r w:rsidR="00B55DAB">
        <w:rPr>
          <w:noProof/>
          <w:lang w:val="en-IE"/>
        </w:rPr>
        <w:t>8</w:t>
      </w:r>
      <w:r w:rsidR="008E734B">
        <w:rPr>
          <w:noProof/>
          <w:lang w:val="en-IE"/>
        </w:rPr>
        <w:br/>
      </w:r>
      <w:r w:rsidRPr="008E734B">
        <w:rPr>
          <w:b/>
          <w:bCs/>
          <w:i w:val="0"/>
          <w:iCs/>
          <w:noProof/>
          <w:lang w:val="en-IE"/>
        </w:rPr>
        <w:t xml:space="preserve">Removal from the </w:t>
      </w:r>
      <w:r w:rsidR="00F45352">
        <w:rPr>
          <w:b/>
          <w:bCs/>
          <w:i w:val="0"/>
          <w:iCs/>
          <w:noProof/>
          <w:lang w:val="en-IE"/>
        </w:rPr>
        <w:t>n</w:t>
      </w:r>
      <w:r w:rsidRPr="008E734B">
        <w:rPr>
          <w:b/>
          <w:bCs/>
          <w:i w:val="0"/>
          <w:iCs/>
          <w:noProof/>
          <w:lang w:val="en-IE"/>
        </w:rPr>
        <w:t xml:space="preserve">ational </w:t>
      </w:r>
      <w:r w:rsidR="00F45352">
        <w:rPr>
          <w:b/>
          <w:bCs/>
          <w:i w:val="0"/>
          <w:iCs/>
          <w:noProof/>
          <w:lang w:val="en-IE"/>
        </w:rPr>
        <w:t>r</w:t>
      </w:r>
      <w:r w:rsidRPr="008E734B">
        <w:rPr>
          <w:b/>
          <w:bCs/>
          <w:i w:val="0"/>
          <w:iCs/>
          <w:noProof/>
          <w:lang w:val="en-IE"/>
        </w:rPr>
        <w:t>egister</w:t>
      </w:r>
    </w:p>
    <w:p w14:paraId="3700A43F" w14:textId="77777777" w:rsidR="001956AF" w:rsidRPr="00E75766" w:rsidRDefault="00412FF6" w:rsidP="00412FF6">
      <w:pPr>
        <w:pStyle w:val="ManualNumPar1"/>
        <w:rPr>
          <w:noProof/>
          <w:lang w:val="en-IE"/>
        </w:rPr>
      </w:pPr>
      <w:r w:rsidRPr="00412FF6">
        <w:t>1.</w:t>
      </w:r>
      <w:r w:rsidRPr="00412FF6">
        <w:tab/>
      </w:r>
      <w:r w:rsidR="001956AF" w:rsidRPr="00E75766">
        <w:rPr>
          <w:noProof/>
          <w:lang w:val="en-IE"/>
        </w:rPr>
        <w:t xml:space="preserve">Member States shall remove </w:t>
      </w:r>
      <w:r w:rsidR="008C4F04" w:rsidRPr="00E75766">
        <w:rPr>
          <w:noProof/>
          <w:lang w:val="en-IE"/>
        </w:rPr>
        <w:t xml:space="preserve">from </w:t>
      </w:r>
      <w:r w:rsidR="5DDED19D" w:rsidRPr="00E75766">
        <w:rPr>
          <w:noProof/>
          <w:lang w:val="en-IE"/>
        </w:rPr>
        <w:t>the</w:t>
      </w:r>
      <w:r w:rsidR="4288F89C" w:rsidRPr="00E75766">
        <w:rPr>
          <w:noProof/>
          <w:lang w:val="en-IE"/>
        </w:rPr>
        <w:t>ir</w:t>
      </w:r>
      <w:r w:rsidR="008C4F04" w:rsidRPr="00E75766">
        <w:rPr>
          <w:noProof/>
          <w:lang w:val="en-IE"/>
        </w:rPr>
        <w:t xml:space="preserve"> </w:t>
      </w:r>
      <w:r w:rsidR="00F45352" w:rsidRPr="00E75766">
        <w:rPr>
          <w:noProof/>
          <w:lang w:val="en-IE"/>
        </w:rPr>
        <w:t>n</w:t>
      </w:r>
      <w:r w:rsidR="008C4F04" w:rsidRPr="00E75766">
        <w:rPr>
          <w:noProof/>
          <w:lang w:val="en-IE"/>
        </w:rPr>
        <w:t xml:space="preserve">ational </w:t>
      </w:r>
      <w:r w:rsidR="00F45352" w:rsidRPr="00E75766">
        <w:rPr>
          <w:noProof/>
          <w:lang w:val="en-IE"/>
        </w:rPr>
        <w:t>r</w:t>
      </w:r>
      <w:r w:rsidR="008C4F04" w:rsidRPr="00E75766">
        <w:rPr>
          <w:noProof/>
          <w:lang w:val="en-IE"/>
        </w:rPr>
        <w:t>egister</w:t>
      </w:r>
      <w:r w:rsidR="00F03031" w:rsidRPr="00E75766">
        <w:rPr>
          <w:noProof/>
          <w:lang w:val="en-IE"/>
        </w:rPr>
        <w:t xml:space="preserve"> </w:t>
      </w:r>
      <w:r w:rsidR="008C4F04" w:rsidRPr="00E75766">
        <w:rPr>
          <w:noProof/>
          <w:lang w:val="en-IE"/>
        </w:rPr>
        <w:t xml:space="preserve">any </w:t>
      </w:r>
      <w:r w:rsidR="00F45352" w:rsidRPr="00E75766">
        <w:rPr>
          <w:noProof/>
          <w:lang w:val="en-IE"/>
        </w:rPr>
        <w:t>c</w:t>
      </w:r>
      <w:r w:rsidR="001956AF" w:rsidRPr="00E75766">
        <w:rPr>
          <w:noProof/>
          <w:lang w:val="en-IE"/>
        </w:rPr>
        <w:t xml:space="preserve">ertified </w:t>
      </w:r>
      <w:r w:rsidR="00F45352" w:rsidRPr="00E75766">
        <w:rPr>
          <w:noProof/>
          <w:lang w:val="en-IE"/>
        </w:rPr>
        <w:t>f</w:t>
      </w:r>
      <w:r w:rsidR="001956AF" w:rsidRPr="00E75766">
        <w:rPr>
          <w:noProof/>
          <w:lang w:val="en-IE"/>
        </w:rPr>
        <w:t xml:space="preserve">inancial </w:t>
      </w:r>
      <w:r w:rsidR="00F45352" w:rsidRPr="00E75766">
        <w:rPr>
          <w:noProof/>
          <w:lang w:val="en-IE"/>
        </w:rPr>
        <w:t>i</w:t>
      </w:r>
      <w:r w:rsidR="001956AF" w:rsidRPr="00E75766">
        <w:rPr>
          <w:noProof/>
          <w:lang w:val="en-IE"/>
        </w:rPr>
        <w:t>ntermediar</w:t>
      </w:r>
      <w:r w:rsidR="00631649" w:rsidRPr="00E75766">
        <w:rPr>
          <w:noProof/>
          <w:lang w:val="en-IE"/>
        </w:rPr>
        <w:t>y</w:t>
      </w:r>
      <w:r w:rsidR="00F45352" w:rsidRPr="00E75766">
        <w:rPr>
          <w:noProof/>
          <w:lang w:val="en-IE"/>
        </w:rPr>
        <w:t>, where such intermediary</w:t>
      </w:r>
      <w:r w:rsidR="008C4F04" w:rsidRPr="00E75766">
        <w:rPr>
          <w:noProof/>
          <w:lang w:val="en-IE"/>
        </w:rPr>
        <w:t>:</w:t>
      </w:r>
      <w:r w:rsidR="00D21D96" w:rsidRPr="00E75766">
        <w:rPr>
          <w:noProof/>
          <w:lang w:val="en-IE"/>
        </w:rPr>
        <w:t xml:space="preserve"> </w:t>
      </w:r>
    </w:p>
    <w:p w14:paraId="2EA9CF38" w14:textId="77777777" w:rsidR="001956AF" w:rsidRPr="004D12F8" w:rsidRDefault="00412FF6" w:rsidP="00412FF6">
      <w:pPr>
        <w:pStyle w:val="Point1"/>
        <w:rPr>
          <w:noProof/>
          <w:lang w:val="en-IE"/>
        </w:rPr>
      </w:pPr>
      <w:r w:rsidRPr="00412FF6">
        <w:t>(a)</w:t>
      </w:r>
      <w:r w:rsidRPr="00412FF6">
        <w:tab/>
      </w:r>
      <w:r w:rsidR="008C4F04">
        <w:rPr>
          <w:noProof/>
        </w:rPr>
        <w:t>requests such removal</w:t>
      </w:r>
      <w:r w:rsidR="003B7A50">
        <w:rPr>
          <w:noProof/>
        </w:rPr>
        <w:t>;</w:t>
      </w:r>
      <w:r w:rsidR="00F17877">
        <w:rPr>
          <w:noProof/>
        </w:rPr>
        <w:t xml:space="preserve"> or</w:t>
      </w:r>
    </w:p>
    <w:p w14:paraId="437F5203" w14:textId="77777777" w:rsidR="001956AF" w:rsidRPr="004D12F8" w:rsidRDefault="00412FF6" w:rsidP="00412FF6">
      <w:pPr>
        <w:pStyle w:val="Point1"/>
        <w:rPr>
          <w:noProof/>
          <w:lang w:val="en-IE"/>
        </w:rPr>
      </w:pPr>
      <w:r w:rsidRPr="00412FF6">
        <w:t>(b)</w:t>
      </w:r>
      <w:r w:rsidRPr="00412FF6">
        <w:tab/>
      </w:r>
      <w:r w:rsidR="001956AF" w:rsidRPr="004D12F8">
        <w:rPr>
          <w:noProof/>
          <w:lang w:val="en-IE"/>
        </w:rPr>
        <w:t xml:space="preserve">no longer meets the requirements of Article </w:t>
      </w:r>
      <w:r w:rsidR="00CB59B9" w:rsidRPr="004D12F8">
        <w:rPr>
          <w:noProof/>
          <w:lang w:val="en-IE"/>
        </w:rPr>
        <w:t>7</w:t>
      </w:r>
      <w:r w:rsidR="00F45352" w:rsidRPr="004D12F8">
        <w:rPr>
          <w:noProof/>
          <w:lang w:val="en-IE"/>
        </w:rPr>
        <w:t>.</w:t>
      </w:r>
      <w:r w:rsidR="001956AF" w:rsidRPr="004D12F8">
        <w:rPr>
          <w:noProof/>
          <w:lang w:val="en-IE"/>
        </w:rPr>
        <w:t xml:space="preserve"> </w:t>
      </w:r>
    </w:p>
    <w:p w14:paraId="067A1F8D" w14:textId="77777777" w:rsidR="001439E8" w:rsidRDefault="00412FF6" w:rsidP="00412FF6">
      <w:pPr>
        <w:pStyle w:val="ManualNumPar1"/>
        <w:rPr>
          <w:noProof/>
        </w:rPr>
      </w:pPr>
      <w:r w:rsidRPr="00412FF6">
        <w:t>2.</w:t>
      </w:r>
      <w:r w:rsidRPr="00412FF6">
        <w:tab/>
      </w:r>
      <w:r w:rsidR="001439E8">
        <w:rPr>
          <w:noProof/>
        </w:rPr>
        <w:t xml:space="preserve">Member States may </w:t>
      </w:r>
      <w:r w:rsidR="00BE7E55" w:rsidRPr="005E5BD8">
        <w:rPr>
          <w:noProof/>
        </w:rPr>
        <w:t>remove</w:t>
      </w:r>
      <w:r w:rsidR="001439E8" w:rsidRPr="005E5BD8">
        <w:rPr>
          <w:noProof/>
        </w:rPr>
        <w:t xml:space="preserve"> f</w:t>
      </w:r>
      <w:r w:rsidR="001439E8">
        <w:rPr>
          <w:noProof/>
        </w:rPr>
        <w:t xml:space="preserve">rom their </w:t>
      </w:r>
      <w:r w:rsidR="00A431C7">
        <w:rPr>
          <w:noProof/>
        </w:rPr>
        <w:t>n</w:t>
      </w:r>
      <w:r w:rsidR="001439E8">
        <w:rPr>
          <w:noProof/>
        </w:rPr>
        <w:t xml:space="preserve">ational </w:t>
      </w:r>
      <w:r w:rsidR="00A431C7">
        <w:rPr>
          <w:noProof/>
        </w:rPr>
        <w:t>r</w:t>
      </w:r>
      <w:r w:rsidR="001439E8">
        <w:rPr>
          <w:noProof/>
        </w:rPr>
        <w:t xml:space="preserve">egister any </w:t>
      </w:r>
      <w:r w:rsidR="00A431C7">
        <w:rPr>
          <w:noProof/>
        </w:rPr>
        <w:t>c</w:t>
      </w:r>
      <w:r w:rsidR="001439E8">
        <w:rPr>
          <w:noProof/>
        </w:rPr>
        <w:t xml:space="preserve">ertified </w:t>
      </w:r>
      <w:r w:rsidR="00A431C7">
        <w:rPr>
          <w:noProof/>
        </w:rPr>
        <w:t>f</w:t>
      </w:r>
      <w:r w:rsidR="001439E8">
        <w:rPr>
          <w:noProof/>
        </w:rPr>
        <w:t xml:space="preserve">inancial </w:t>
      </w:r>
      <w:r w:rsidR="00A431C7" w:rsidRPr="00E75766">
        <w:rPr>
          <w:noProof/>
          <w:lang w:val="en-IE"/>
        </w:rPr>
        <w:t>i</w:t>
      </w:r>
      <w:r w:rsidR="001439E8" w:rsidRPr="00E75766">
        <w:rPr>
          <w:noProof/>
          <w:lang w:val="en-IE"/>
        </w:rPr>
        <w:t>ntermediary</w:t>
      </w:r>
      <w:r w:rsidR="001439E8">
        <w:rPr>
          <w:noProof/>
        </w:rPr>
        <w:t xml:space="preserve"> that has been found to have </w:t>
      </w:r>
      <w:r w:rsidR="00BE7E55">
        <w:rPr>
          <w:noProof/>
        </w:rPr>
        <w:t xml:space="preserve">repeatedly </w:t>
      </w:r>
      <w:r w:rsidR="00A156EF">
        <w:rPr>
          <w:noProof/>
        </w:rPr>
        <w:t xml:space="preserve">and intentionally </w:t>
      </w:r>
      <w:r w:rsidR="001439E8">
        <w:rPr>
          <w:noProof/>
        </w:rPr>
        <w:t>not complied with its obligations under any of the following instruments:</w:t>
      </w:r>
    </w:p>
    <w:p w14:paraId="16190B43" w14:textId="77777777" w:rsidR="001439E8" w:rsidRDefault="00412FF6" w:rsidP="00412FF6">
      <w:pPr>
        <w:pStyle w:val="Point1"/>
        <w:rPr>
          <w:noProof/>
        </w:rPr>
      </w:pPr>
      <w:r w:rsidRPr="00412FF6">
        <w:t>(a)</w:t>
      </w:r>
      <w:r w:rsidRPr="00412FF6">
        <w:tab/>
      </w:r>
      <w:r w:rsidR="001439E8">
        <w:rPr>
          <w:noProof/>
        </w:rPr>
        <w:t>this Directive;</w:t>
      </w:r>
    </w:p>
    <w:p w14:paraId="59D1D52B" w14:textId="77777777" w:rsidR="001439E8" w:rsidRDefault="00412FF6" w:rsidP="00412FF6">
      <w:pPr>
        <w:pStyle w:val="Point1"/>
        <w:rPr>
          <w:noProof/>
        </w:rPr>
      </w:pPr>
      <w:r w:rsidRPr="00412FF6">
        <w:t>(b)</w:t>
      </w:r>
      <w:r w:rsidRPr="00412FF6">
        <w:tab/>
      </w:r>
      <w:r w:rsidR="00EE72EC" w:rsidRPr="00EE72EC">
        <w:rPr>
          <w:noProof/>
        </w:rPr>
        <w:t>Council Directive 2014/107/EU</w:t>
      </w:r>
      <w:r w:rsidR="001439E8">
        <w:rPr>
          <w:noProof/>
        </w:rPr>
        <w:t>;</w:t>
      </w:r>
      <w:r w:rsidR="003F5F62">
        <w:rPr>
          <w:noProof/>
        </w:rPr>
        <w:t xml:space="preserve"> or</w:t>
      </w:r>
    </w:p>
    <w:p w14:paraId="61EBA591" w14:textId="77777777" w:rsidR="001439E8" w:rsidRDefault="00412FF6" w:rsidP="00412FF6">
      <w:pPr>
        <w:pStyle w:val="Point1"/>
        <w:rPr>
          <w:noProof/>
        </w:rPr>
      </w:pPr>
      <w:r w:rsidRPr="00412FF6">
        <w:t>(c)</w:t>
      </w:r>
      <w:r w:rsidRPr="00412FF6">
        <w:tab/>
      </w:r>
      <w:r w:rsidR="001439E8">
        <w:rPr>
          <w:noProof/>
        </w:rPr>
        <w:t xml:space="preserve">Directive 2018/843/EU; or </w:t>
      </w:r>
    </w:p>
    <w:p w14:paraId="283B8870" w14:textId="77777777" w:rsidR="001439E8" w:rsidRDefault="00412FF6" w:rsidP="00412FF6">
      <w:pPr>
        <w:pStyle w:val="Point1"/>
        <w:rPr>
          <w:noProof/>
        </w:rPr>
      </w:pPr>
      <w:r w:rsidRPr="00412FF6">
        <w:t>(d)</w:t>
      </w:r>
      <w:r w:rsidRPr="00412FF6">
        <w:tab/>
      </w:r>
      <w:r w:rsidR="00F45352">
        <w:rPr>
          <w:noProof/>
        </w:rPr>
        <w:t>c</w:t>
      </w:r>
      <w:r w:rsidR="00871AA8">
        <w:rPr>
          <w:noProof/>
        </w:rPr>
        <w:t xml:space="preserve">omparable </w:t>
      </w:r>
      <w:r w:rsidR="001439E8">
        <w:rPr>
          <w:noProof/>
        </w:rPr>
        <w:t>legislation of a third country of residence for tax purposes.</w:t>
      </w:r>
    </w:p>
    <w:p w14:paraId="0EEE0596" w14:textId="77777777" w:rsidR="00BB6C03" w:rsidRDefault="00412FF6" w:rsidP="00BB6C03">
      <w:pPr>
        <w:pStyle w:val="ManualNumPar1"/>
        <w:rPr>
          <w:noProof/>
          <w:lang w:val="en-IE"/>
        </w:rPr>
      </w:pPr>
      <w:r w:rsidRPr="00412FF6">
        <w:t>3.</w:t>
      </w:r>
      <w:r w:rsidRPr="00412FF6">
        <w:tab/>
      </w:r>
      <w:r w:rsidR="001956AF" w:rsidRPr="006A0DC3">
        <w:rPr>
          <w:noProof/>
          <w:lang w:val="en-IE"/>
        </w:rPr>
        <w:t xml:space="preserve">The Member State </w:t>
      </w:r>
      <w:r w:rsidR="001439E8">
        <w:rPr>
          <w:noProof/>
          <w:lang w:val="en-IE"/>
        </w:rPr>
        <w:t xml:space="preserve">that removes a </w:t>
      </w:r>
      <w:r w:rsidR="00A431C7">
        <w:rPr>
          <w:noProof/>
          <w:lang w:val="en-IE"/>
        </w:rPr>
        <w:t>c</w:t>
      </w:r>
      <w:r w:rsidR="001439E8">
        <w:rPr>
          <w:noProof/>
          <w:lang w:val="en-IE"/>
        </w:rPr>
        <w:t xml:space="preserve">ertified </w:t>
      </w:r>
      <w:r w:rsidR="00A431C7">
        <w:rPr>
          <w:noProof/>
          <w:lang w:val="en-IE"/>
        </w:rPr>
        <w:t>f</w:t>
      </w:r>
      <w:r w:rsidR="001439E8">
        <w:rPr>
          <w:noProof/>
          <w:lang w:val="en-IE"/>
        </w:rPr>
        <w:t xml:space="preserve">inancial </w:t>
      </w:r>
      <w:r w:rsidR="00A431C7">
        <w:rPr>
          <w:noProof/>
          <w:lang w:val="en-IE"/>
        </w:rPr>
        <w:t>i</w:t>
      </w:r>
      <w:r w:rsidR="001439E8">
        <w:rPr>
          <w:noProof/>
          <w:lang w:val="en-IE"/>
        </w:rPr>
        <w:t xml:space="preserve">ntermediary from its </w:t>
      </w:r>
      <w:r w:rsidR="00A431C7">
        <w:rPr>
          <w:noProof/>
          <w:lang w:val="en-IE"/>
        </w:rPr>
        <w:t>n</w:t>
      </w:r>
      <w:r w:rsidR="001439E8">
        <w:rPr>
          <w:noProof/>
          <w:lang w:val="en-IE"/>
        </w:rPr>
        <w:t xml:space="preserve">ational </w:t>
      </w:r>
      <w:r w:rsidR="00A431C7">
        <w:rPr>
          <w:noProof/>
          <w:lang w:val="en-IE"/>
        </w:rPr>
        <w:t>r</w:t>
      </w:r>
      <w:r w:rsidR="001439E8">
        <w:rPr>
          <w:noProof/>
          <w:lang w:val="en-IE"/>
        </w:rPr>
        <w:t xml:space="preserve">egister </w:t>
      </w:r>
      <w:r w:rsidR="001956AF" w:rsidRPr="00E75766">
        <w:rPr>
          <w:noProof/>
        </w:rPr>
        <w:t>shall</w:t>
      </w:r>
      <w:r w:rsidR="001956AF" w:rsidRPr="006A0DC3">
        <w:rPr>
          <w:noProof/>
          <w:lang w:val="en-IE"/>
        </w:rPr>
        <w:t xml:space="preserve"> inform</w:t>
      </w:r>
      <w:r w:rsidR="0039309F">
        <w:rPr>
          <w:b/>
          <w:i/>
        </w:rPr>
        <w:t>, according to Council Directive 2011/16/EU on administrative cooperation in the field of taxation,</w:t>
      </w:r>
      <w:r w:rsidR="0039309F">
        <w:t xml:space="preserve"> </w:t>
      </w:r>
      <w:r w:rsidR="0039309F">
        <w:rPr>
          <w:b/>
          <w:i/>
        </w:rPr>
        <w:t>(</w:t>
      </w:r>
      <w:r w:rsidR="0039309F" w:rsidRPr="00151798">
        <w:rPr>
          <w:b/>
          <w:i/>
        </w:rPr>
        <w:t>Renew 80</w:t>
      </w:r>
      <w:r w:rsidR="0039309F">
        <w:rPr>
          <w:b/>
          <w:i/>
        </w:rPr>
        <w:t>)</w:t>
      </w:r>
      <w:r w:rsidR="001956AF" w:rsidRPr="006A0DC3">
        <w:rPr>
          <w:noProof/>
          <w:lang w:val="en-IE"/>
        </w:rPr>
        <w:t xml:space="preserve"> </w:t>
      </w:r>
      <w:r w:rsidR="001439E8">
        <w:rPr>
          <w:noProof/>
          <w:lang w:val="en-IE"/>
        </w:rPr>
        <w:t xml:space="preserve">without </w:t>
      </w:r>
      <w:r w:rsidR="0039309F">
        <w:rPr>
          <w:b/>
          <w:i/>
        </w:rPr>
        <w:t>undue</w:t>
      </w:r>
      <w:r w:rsidR="0039309F">
        <w:t xml:space="preserve"> </w:t>
      </w:r>
      <w:r w:rsidR="0039309F">
        <w:rPr>
          <w:b/>
          <w:i/>
        </w:rPr>
        <w:t>(</w:t>
      </w:r>
      <w:r w:rsidR="0039309F" w:rsidRPr="00151798">
        <w:rPr>
          <w:b/>
          <w:i/>
        </w:rPr>
        <w:t>EPP 81)</w:t>
      </w:r>
      <w:r w:rsidR="0039309F" w:rsidRPr="00151798">
        <w:rPr>
          <w:noProof/>
          <w:lang w:val="en-IE"/>
        </w:rPr>
        <w:t xml:space="preserve"> </w:t>
      </w:r>
      <w:r w:rsidR="001439E8" w:rsidRPr="00151798">
        <w:rPr>
          <w:noProof/>
          <w:lang w:val="en-IE"/>
        </w:rPr>
        <w:t xml:space="preserve">delay </w:t>
      </w:r>
      <w:r w:rsidR="001956AF" w:rsidRPr="00151798">
        <w:rPr>
          <w:noProof/>
          <w:lang w:val="en-IE"/>
        </w:rPr>
        <w:t xml:space="preserve">all </w:t>
      </w:r>
      <w:r w:rsidR="001956AF" w:rsidRPr="00151798">
        <w:rPr>
          <w:noProof/>
          <w:lang w:val="en-IE"/>
        </w:rPr>
        <w:lastRenderedPageBreak/>
        <w:t xml:space="preserve">other Member States that </w:t>
      </w:r>
      <w:r w:rsidR="001439E8" w:rsidRPr="00151798">
        <w:rPr>
          <w:noProof/>
          <w:lang w:val="en-IE"/>
        </w:rPr>
        <w:t xml:space="preserve">maintain a </w:t>
      </w:r>
      <w:r w:rsidR="00A431C7" w:rsidRPr="00151798">
        <w:rPr>
          <w:noProof/>
          <w:lang w:val="en-IE"/>
        </w:rPr>
        <w:t>n</w:t>
      </w:r>
      <w:r w:rsidR="001956AF" w:rsidRPr="00151798">
        <w:rPr>
          <w:noProof/>
          <w:lang w:val="en-IE"/>
        </w:rPr>
        <w:t xml:space="preserve">ational </w:t>
      </w:r>
      <w:r w:rsidR="00A431C7" w:rsidRPr="00151798">
        <w:rPr>
          <w:noProof/>
          <w:lang w:val="en-IE"/>
        </w:rPr>
        <w:t>r</w:t>
      </w:r>
      <w:r w:rsidR="001956AF" w:rsidRPr="00151798">
        <w:rPr>
          <w:noProof/>
          <w:lang w:val="en-IE"/>
        </w:rPr>
        <w:t>egister</w:t>
      </w:r>
      <w:r w:rsidR="001439E8" w:rsidRPr="00151798">
        <w:rPr>
          <w:noProof/>
          <w:lang w:val="en-IE"/>
        </w:rPr>
        <w:t xml:space="preserve"> according to Article 5</w:t>
      </w:r>
      <w:r w:rsidR="0039309F" w:rsidRPr="00151798">
        <w:rPr>
          <w:b/>
          <w:i/>
        </w:rPr>
        <w:t>, specifying the grounds of the removal according to paragraphs 1 and 2 (EPP 81</w:t>
      </w:r>
      <w:r w:rsidR="00BB6C03" w:rsidRPr="00151798">
        <w:rPr>
          <w:b/>
          <w:i/>
        </w:rPr>
        <w:t xml:space="preserve">, S&amp;D </w:t>
      </w:r>
      <w:r w:rsidR="00FE2654">
        <w:rPr>
          <w:b/>
          <w:i/>
        </w:rPr>
        <w:t xml:space="preserve">and Greens </w:t>
      </w:r>
      <w:r w:rsidR="00BB6C03" w:rsidRPr="00151798">
        <w:rPr>
          <w:b/>
          <w:i/>
        </w:rPr>
        <w:t>82</w:t>
      </w:r>
      <w:r w:rsidR="0039309F" w:rsidRPr="00151798">
        <w:rPr>
          <w:b/>
          <w:i/>
        </w:rPr>
        <w:t>)</w:t>
      </w:r>
      <w:r w:rsidR="001956AF" w:rsidRPr="00151798">
        <w:rPr>
          <w:noProof/>
          <w:lang w:val="en-IE"/>
        </w:rPr>
        <w:t>.</w:t>
      </w:r>
    </w:p>
    <w:p w14:paraId="5C58F740" w14:textId="77777777" w:rsidR="00BB6C03" w:rsidRPr="00BB6C03" w:rsidRDefault="00BB6C03" w:rsidP="00BB6C03">
      <w:pPr>
        <w:pStyle w:val="ManualNumPar1"/>
        <w:rPr>
          <w:lang w:val="en-IE"/>
        </w:rPr>
      </w:pPr>
      <w:r>
        <w:rPr>
          <w:b/>
          <w:i/>
        </w:rPr>
        <w:t>3 a.</w:t>
      </w:r>
      <w:r>
        <w:tab/>
      </w:r>
      <w:r>
        <w:rPr>
          <w:b/>
          <w:i/>
        </w:rPr>
        <w:t>Member States shall update their national registers to reflect the status of financial intermediaries no longer holding certification. In cases where the removal as a certified financial intermediary results from a decision by a Member State, the specific reasons for such action shall be clearly indicated in the register. (</w:t>
      </w:r>
      <w:r w:rsidRPr="00151798">
        <w:rPr>
          <w:b/>
          <w:i/>
        </w:rPr>
        <w:t>S&amp;D</w:t>
      </w:r>
      <w:r w:rsidR="00151798">
        <w:rPr>
          <w:b/>
          <w:i/>
        </w:rPr>
        <w:t xml:space="preserve"> and Greens</w:t>
      </w:r>
      <w:r w:rsidRPr="00151798">
        <w:rPr>
          <w:b/>
          <w:i/>
        </w:rPr>
        <w:t xml:space="preserve"> 83</w:t>
      </w:r>
      <w:r>
        <w:rPr>
          <w:b/>
          <w:i/>
        </w:rPr>
        <w:t>)</w:t>
      </w:r>
    </w:p>
    <w:p w14:paraId="5C122F16" w14:textId="77777777" w:rsidR="00F82A9C" w:rsidRDefault="00412FF6" w:rsidP="00412FF6">
      <w:pPr>
        <w:pStyle w:val="ManualNumPar1"/>
        <w:rPr>
          <w:noProof/>
          <w:lang w:val="en-IE"/>
        </w:rPr>
      </w:pPr>
      <w:r w:rsidRPr="00412FF6">
        <w:t>4.</w:t>
      </w:r>
      <w:r w:rsidRPr="00412FF6">
        <w:tab/>
      </w:r>
      <w:r w:rsidR="00F82A9C">
        <w:rPr>
          <w:noProof/>
          <w:lang w:val="en-IE"/>
        </w:rPr>
        <w:t xml:space="preserve">Member States shall </w:t>
      </w:r>
      <w:r w:rsidR="00FC39FC">
        <w:rPr>
          <w:noProof/>
          <w:lang w:val="en-IE"/>
        </w:rPr>
        <w:t xml:space="preserve">ensure that the financial intermediary that has been removed from the national </w:t>
      </w:r>
      <w:r w:rsidR="00F82A9C">
        <w:rPr>
          <w:noProof/>
          <w:lang w:val="en-IE"/>
        </w:rPr>
        <w:t xml:space="preserve">register </w:t>
      </w:r>
      <w:r w:rsidR="00FC39FC">
        <w:rPr>
          <w:noProof/>
          <w:lang w:val="en-IE"/>
        </w:rPr>
        <w:t xml:space="preserve">pursuant to paragraph 1 is </w:t>
      </w:r>
      <w:r w:rsidR="00F82A9C">
        <w:rPr>
          <w:noProof/>
          <w:lang w:val="en-IE"/>
        </w:rPr>
        <w:t>re-register</w:t>
      </w:r>
      <w:r w:rsidR="00FC39FC">
        <w:rPr>
          <w:noProof/>
          <w:lang w:val="en-IE"/>
        </w:rPr>
        <w:t>ed</w:t>
      </w:r>
      <w:r w:rsidR="00F82A9C">
        <w:rPr>
          <w:noProof/>
          <w:lang w:val="en-IE"/>
        </w:rPr>
        <w:t xml:space="preserve"> </w:t>
      </w:r>
      <w:r w:rsidR="00FC39FC">
        <w:rPr>
          <w:noProof/>
          <w:lang w:val="en-IE"/>
        </w:rPr>
        <w:t>where</w:t>
      </w:r>
      <w:r w:rsidR="00F82A9C">
        <w:rPr>
          <w:noProof/>
          <w:lang w:val="en-IE"/>
        </w:rPr>
        <w:t xml:space="preserve"> </w:t>
      </w:r>
      <w:r w:rsidR="00F82A9C">
        <w:rPr>
          <w:noProof/>
        </w:rPr>
        <w:t>any non-compliance with the provisions of this Directive</w:t>
      </w:r>
      <w:r w:rsidR="008D02B3">
        <w:rPr>
          <w:noProof/>
        </w:rPr>
        <w:t xml:space="preserve"> </w:t>
      </w:r>
      <w:r w:rsidR="00F82A9C">
        <w:rPr>
          <w:noProof/>
          <w:lang w:val="en-IE"/>
        </w:rPr>
        <w:t>has been remedied</w:t>
      </w:r>
      <w:r w:rsidR="00D87F0B">
        <w:rPr>
          <w:noProof/>
        </w:rPr>
        <w:t xml:space="preserve">, including payment or settlement of </w:t>
      </w:r>
      <w:r w:rsidR="00D87F0B" w:rsidRPr="006A0DC3">
        <w:rPr>
          <w:noProof/>
          <w:lang w:val="en-IE"/>
        </w:rPr>
        <w:t>any amounts outstanding due to non-compliance therewith</w:t>
      </w:r>
      <w:r w:rsidR="00D50B11">
        <w:rPr>
          <w:noProof/>
          <w:lang w:val="en-IE"/>
        </w:rPr>
        <w:t xml:space="preserve">. </w:t>
      </w:r>
    </w:p>
    <w:p w14:paraId="40A53ADB" w14:textId="77777777" w:rsidR="001956AF" w:rsidRPr="008E734B" w:rsidRDefault="001956AF" w:rsidP="004D12F8">
      <w:pPr>
        <w:rPr>
          <w:noProof/>
          <w:lang w:val="en-IE"/>
        </w:rPr>
      </w:pPr>
    </w:p>
    <w:p w14:paraId="1DCFB190" w14:textId="77777777" w:rsidR="001956AF" w:rsidRPr="008E734B" w:rsidRDefault="001956AF" w:rsidP="001956AF">
      <w:pPr>
        <w:jc w:val="center"/>
        <w:rPr>
          <w:b/>
          <w:bCs/>
          <w:i/>
          <w:noProof/>
        </w:rPr>
      </w:pPr>
      <w:r w:rsidRPr="008E734B">
        <w:rPr>
          <w:b/>
          <w:bCs/>
          <w:i/>
          <w:noProof/>
        </w:rPr>
        <w:t>SECTION 2</w:t>
      </w:r>
    </w:p>
    <w:p w14:paraId="43DB9829" w14:textId="77777777" w:rsidR="001956AF" w:rsidRPr="008E734B" w:rsidRDefault="001956AF" w:rsidP="008E734B">
      <w:pPr>
        <w:jc w:val="center"/>
        <w:rPr>
          <w:b/>
          <w:bCs/>
          <w:iCs/>
          <w:noProof/>
        </w:rPr>
      </w:pPr>
      <w:r w:rsidRPr="008E734B">
        <w:rPr>
          <w:b/>
          <w:bCs/>
          <w:iCs/>
          <w:noProof/>
        </w:rPr>
        <w:t>REPORTING</w:t>
      </w:r>
    </w:p>
    <w:p w14:paraId="5A69353C" w14:textId="77777777" w:rsidR="001956AF" w:rsidRDefault="001956AF" w:rsidP="008E734B">
      <w:pPr>
        <w:pStyle w:val="Titrearticle"/>
        <w:rPr>
          <w:b/>
          <w:bCs/>
          <w:i w:val="0"/>
          <w:iCs/>
          <w:noProof/>
          <w:lang w:val="en-IE"/>
        </w:rPr>
      </w:pPr>
      <w:r>
        <w:rPr>
          <w:noProof/>
        </w:rPr>
        <w:t xml:space="preserve">Article </w:t>
      </w:r>
      <w:r w:rsidR="0000236E">
        <w:rPr>
          <w:noProof/>
        </w:rPr>
        <w:t>9</w:t>
      </w:r>
      <w:r>
        <w:rPr>
          <w:noProof/>
        </w:rPr>
        <w:t xml:space="preserve"> </w:t>
      </w:r>
      <w:r w:rsidR="008E734B">
        <w:rPr>
          <w:noProof/>
        </w:rPr>
        <w:br/>
      </w:r>
      <w:r w:rsidRPr="008E734B">
        <w:rPr>
          <w:b/>
          <w:bCs/>
          <w:i w:val="0"/>
          <w:iCs/>
          <w:noProof/>
          <w:lang w:val="en-IE"/>
        </w:rPr>
        <w:t>Obligation to report</w:t>
      </w:r>
    </w:p>
    <w:p w14:paraId="112C1E8F" w14:textId="77777777" w:rsidR="00326812" w:rsidRPr="00E75766" w:rsidRDefault="00412FF6" w:rsidP="00412FF6">
      <w:pPr>
        <w:pStyle w:val="ManualNumPar1"/>
        <w:rPr>
          <w:noProof/>
          <w:lang w:val="en-IE"/>
        </w:rPr>
      </w:pPr>
      <w:r w:rsidRPr="00412FF6">
        <w:t>1.</w:t>
      </w:r>
      <w:r w:rsidRPr="00412FF6">
        <w:tab/>
      </w:r>
      <w:r w:rsidR="001956AF">
        <w:rPr>
          <w:noProof/>
        </w:rPr>
        <w:t xml:space="preserve">Member States </w:t>
      </w:r>
      <w:r w:rsidR="001956AF" w:rsidRPr="00E75766">
        <w:rPr>
          <w:noProof/>
          <w:lang w:val="en-IE"/>
        </w:rPr>
        <w:t xml:space="preserve">shall take the necessary measures to require </w:t>
      </w:r>
      <w:r w:rsidR="00A431C7" w:rsidRPr="00E75766">
        <w:rPr>
          <w:noProof/>
          <w:lang w:val="en-IE"/>
        </w:rPr>
        <w:t>c</w:t>
      </w:r>
      <w:r w:rsidR="001956AF" w:rsidRPr="00E75766">
        <w:rPr>
          <w:noProof/>
          <w:lang w:val="en-IE"/>
        </w:rPr>
        <w:t xml:space="preserve">ertified </w:t>
      </w:r>
      <w:r w:rsidR="00A431C7" w:rsidRPr="00E75766">
        <w:rPr>
          <w:noProof/>
          <w:lang w:val="en-IE"/>
        </w:rPr>
        <w:t>f</w:t>
      </w:r>
      <w:r w:rsidR="001956AF" w:rsidRPr="00E75766">
        <w:rPr>
          <w:noProof/>
          <w:lang w:val="en-IE"/>
        </w:rPr>
        <w:t xml:space="preserve">inancial </w:t>
      </w:r>
      <w:r w:rsidR="00A431C7" w:rsidRPr="00E75766">
        <w:rPr>
          <w:noProof/>
          <w:lang w:val="en-IE"/>
        </w:rPr>
        <w:t>i</w:t>
      </w:r>
      <w:r w:rsidR="001956AF" w:rsidRPr="00E75766">
        <w:rPr>
          <w:noProof/>
          <w:lang w:val="en-IE"/>
        </w:rPr>
        <w:t xml:space="preserve">ntermediaries in their </w:t>
      </w:r>
      <w:r w:rsidR="00A431C7" w:rsidRPr="00E75766">
        <w:rPr>
          <w:noProof/>
          <w:lang w:val="en-IE"/>
        </w:rPr>
        <w:t>n</w:t>
      </w:r>
      <w:r w:rsidR="001956AF" w:rsidRPr="00E75766">
        <w:rPr>
          <w:noProof/>
          <w:lang w:val="en-IE"/>
        </w:rPr>
        <w:t xml:space="preserve">ational </w:t>
      </w:r>
      <w:r w:rsidR="00A431C7" w:rsidRPr="00E75766">
        <w:rPr>
          <w:noProof/>
          <w:lang w:val="en-IE"/>
        </w:rPr>
        <w:t>r</w:t>
      </w:r>
      <w:r w:rsidR="001956AF" w:rsidRPr="00E75766">
        <w:rPr>
          <w:noProof/>
          <w:lang w:val="en-IE"/>
        </w:rPr>
        <w:t xml:space="preserve">egister </w:t>
      </w:r>
      <w:r w:rsidR="008D14AE" w:rsidRPr="00E75766">
        <w:rPr>
          <w:noProof/>
          <w:lang w:val="en-IE"/>
        </w:rPr>
        <w:t xml:space="preserve">to </w:t>
      </w:r>
      <w:r w:rsidR="001956AF" w:rsidRPr="00E75766">
        <w:rPr>
          <w:noProof/>
          <w:lang w:val="en-IE"/>
        </w:rPr>
        <w:t>report</w:t>
      </w:r>
      <w:r w:rsidR="00A810CE" w:rsidRPr="00E75766">
        <w:rPr>
          <w:noProof/>
          <w:lang w:val="en-IE"/>
        </w:rPr>
        <w:t xml:space="preserve"> </w:t>
      </w:r>
      <w:r w:rsidR="00A836A0" w:rsidRPr="00E75766">
        <w:rPr>
          <w:noProof/>
          <w:lang w:val="en-IE"/>
        </w:rPr>
        <w:t xml:space="preserve">to the competent authority </w:t>
      </w:r>
      <w:r w:rsidR="00A810CE" w:rsidRPr="00E75766">
        <w:rPr>
          <w:noProof/>
          <w:lang w:val="en-IE"/>
        </w:rPr>
        <w:t xml:space="preserve">the </w:t>
      </w:r>
      <w:r w:rsidR="001956AF" w:rsidRPr="00E75766">
        <w:rPr>
          <w:noProof/>
          <w:lang w:val="en-IE"/>
        </w:rPr>
        <w:t xml:space="preserve">information </w:t>
      </w:r>
      <w:r w:rsidR="00EF0B32" w:rsidRPr="00E75766">
        <w:rPr>
          <w:noProof/>
          <w:lang w:val="en-IE"/>
        </w:rPr>
        <w:t>referred to</w:t>
      </w:r>
      <w:r w:rsidR="001956AF" w:rsidRPr="00E75766">
        <w:rPr>
          <w:noProof/>
          <w:lang w:val="en-IE"/>
        </w:rPr>
        <w:t xml:space="preserve"> in Annex II </w:t>
      </w:r>
      <w:r w:rsidR="0098755D" w:rsidRPr="00375C92">
        <w:rPr>
          <w:noProof/>
          <w:lang w:val="en-IE"/>
        </w:rPr>
        <w:t>as soon as possible</w:t>
      </w:r>
      <w:r w:rsidR="0098755D" w:rsidRPr="00E75766">
        <w:rPr>
          <w:noProof/>
          <w:lang w:val="en-IE"/>
        </w:rPr>
        <w:t xml:space="preserve"> </w:t>
      </w:r>
      <w:r w:rsidR="001C1433">
        <w:rPr>
          <w:b/>
          <w:i/>
        </w:rPr>
        <w:t>within a maximum of 20 calendar days (</w:t>
      </w:r>
      <w:r w:rsidR="001C1433" w:rsidRPr="00151798">
        <w:rPr>
          <w:b/>
          <w:i/>
        </w:rPr>
        <w:t>Renew 84)</w:t>
      </w:r>
      <w:r w:rsidR="001C1433">
        <w:t xml:space="preserve"> </w:t>
      </w:r>
      <w:r w:rsidR="0098755D" w:rsidRPr="00E75766">
        <w:rPr>
          <w:noProof/>
          <w:lang w:val="en-IE"/>
        </w:rPr>
        <w:t xml:space="preserve">after </w:t>
      </w:r>
      <w:r w:rsidR="4ADBFD03" w:rsidRPr="00E75766">
        <w:rPr>
          <w:noProof/>
          <w:lang w:val="en-IE"/>
        </w:rPr>
        <w:t>the record date, unless a settlement instruction in respect of any part of a transaction is pending on the record date, in which case the reporting for that transaction sh</w:t>
      </w:r>
      <w:r w:rsidR="24F97211" w:rsidRPr="00E75766">
        <w:rPr>
          <w:noProof/>
          <w:lang w:val="en-IE"/>
        </w:rPr>
        <w:t>all</w:t>
      </w:r>
      <w:r w:rsidR="4ADBFD03" w:rsidRPr="00E75766">
        <w:rPr>
          <w:noProof/>
          <w:lang w:val="en-IE"/>
        </w:rPr>
        <w:t xml:space="preserve"> </w:t>
      </w:r>
      <w:r w:rsidR="290D4ACD" w:rsidRPr="00E75766">
        <w:rPr>
          <w:noProof/>
          <w:lang w:val="en-IE"/>
        </w:rPr>
        <w:t>take place</w:t>
      </w:r>
      <w:r w:rsidR="4ADBFD03" w:rsidRPr="00E75766">
        <w:rPr>
          <w:noProof/>
          <w:lang w:val="en-IE"/>
        </w:rPr>
        <w:t xml:space="preserve"> as soon as possible after the settlement</w:t>
      </w:r>
      <w:r w:rsidR="05548E51" w:rsidRPr="00E75766">
        <w:rPr>
          <w:noProof/>
          <w:lang w:val="en-IE"/>
        </w:rPr>
        <w:t>.</w:t>
      </w:r>
      <w:r w:rsidR="0098755D" w:rsidRPr="00E75766">
        <w:rPr>
          <w:noProof/>
          <w:lang w:val="en-IE"/>
        </w:rPr>
        <w:t xml:space="preserve"> If </w:t>
      </w:r>
      <w:r w:rsidR="0098755D" w:rsidRPr="001C1433">
        <w:rPr>
          <w:b/>
          <w:i/>
          <w:strike/>
          <w:noProof/>
          <w:lang w:val="en-IE"/>
        </w:rPr>
        <w:t>20</w:t>
      </w:r>
      <w:r w:rsidR="0098755D" w:rsidRPr="00E75766">
        <w:rPr>
          <w:noProof/>
          <w:lang w:val="en-IE"/>
        </w:rPr>
        <w:t xml:space="preserve"> </w:t>
      </w:r>
      <w:r w:rsidR="001C1433">
        <w:rPr>
          <w:b/>
          <w:i/>
        </w:rPr>
        <w:t>15</w:t>
      </w:r>
      <w:r w:rsidR="001C1433" w:rsidRPr="001C1433">
        <w:rPr>
          <w:b/>
          <w:i/>
        </w:rPr>
        <w:t xml:space="preserve"> </w:t>
      </w:r>
      <w:r w:rsidR="001C1433" w:rsidRPr="00151798">
        <w:rPr>
          <w:b/>
          <w:i/>
        </w:rPr>
        <w:t>(EPP 85</w:t>
      </w:r>
      <w:r w:rsidR="001C1433" w:rsidRPr="001C1433">
        <w:rPr>
          <w:b/>
          <w:i/>
        </w:rPr>
        <w:t>)</w:t>
      </w:r>
      <w:r w:rsidR="001C1433">
        <w:t xml:space="preserve"> </w:t>
      </w:r>
      <w:r w:rsidR="0098755D" w:rsidRPr="00E75766">
        <w:rPr>
          <w:noProof/>
          <w:lang w:val="en-IE"/>
        </w:rPr>
        <w:t>days after the record date</w:t>
      </w:r>
      <w:r w:rsidR="00326812" w:rsidRPr="00E75766">
        <w:rPr>
          <w:noProof/>
          <w:lang w:val="en-IE"/>
        </w:rPr>
        <w:t>,</w:t>
      </w:r>
      <w:r w:rsidR="0098755D" w:rsidRPr="00E75766">
        <w:rPr>
          <w:noProof/>
          <w:lang w:val="en-IE"/>
        </w:rPr>
        <w:t xml:space="preserve"> settlement is still pending for any part of the </w:t>
      </w:r>
      <w:r w:rsidR="00C17987" w:rsidRPr="00E75766">
        <w:rPr>
          <w:noProof/>
          <w:lang w:val="en-IE"/>
        </w:rPr>
        <w:t>transaction</w:t>
      </w:r>
      <w:r w:rsidR="0098755D" w:rsidRPr="00E75766">
        <w:rPr>
          <w:noProof/>
          <w:lang w:val="en-IE"/>
        </w:rPr>
        <w:t xml:space="preserve">, </w:t>
      </w:r>
      <w:r w:rsidR="00A431C7" w:rsidRPr="00E75766">
        <w:rPr>
          <w:noProof/>
          <w:lang w:val="en-IE"/>
        </w:rPr>
        <w:t>c</w:t>
      </w:r>
      <w:r w:rsidR="0098755D" w:rsidRPr="00E75766">
        <w:rPr>
          <w:noProof/>
          <w:lang w:val="en-IE"/>
        </w:rPr>
        <w:t xml:space="preserve">ertified </w:t>
      </w:r>
      <w:r w:rsidR="00A431C7" w:rsidRPr="00E75766">
        <w:rPr>
          <w:noProof/>
          <w:lang w:val="en-IE"/>
        </w:rPr>
        <w:t>f</w:t>
      </w:r>
      <w:r w:rsidR="0098755D" w:rsidRPr="00E75766">
        <w:rPr>
          <w:noProof/>
          <w:lang w:val="en-IE"/>
        </w:rPr>
        <w:t xml:space="preserve">inancial </w:t>
      </w:r>
      <w:r w:rsidR="00A431C7" w:rsidRPr="00E75766">
        <w:rPr>
          <w:noProof/>
          <w:lang w:val="en-IE"/>
        </w:rPr>
        <w:t>i</w:t>
      </w:r>
      <w:r w:rsidR="0098755D" w:rsidRPr="00E75766">
        <w:rPr>
          <w:noProof/>
          <w:lang w:val="en-IE"/>
        </w:rPr>
        <w:t xml:space="preserve">ntermediaries shall report within the next 5 calendar days </w:t>
      </w:r>
      <w:r w:rsidR="001956AF" w:rsidRPr="00E75766">
        <w:rPr>
          <w:noProof/>
          <w:lang w:val="en-IE"/>
        </w:rPr>
        <w:t xml:space="preserve">indicating </w:t>
      </w:r>
      <w:r w:rsidR="0098755D" w:rsidRPr="00E75766">
        <w:rPr>
          <w:noProof/>
          <w:lang w:val="en-IE"/>
        </w:rPr>
        <w:t>the</w:t>
      </w:r>
      <w:r w:rsidR="001956AF" w:rsidRPr="00E75766">
        <w:rPr>
          <w:noProof/>
          <w:lang w:val="en-IE"/>
        </w:rPr>
        <w:t xml:space="preserve"> part for which settlement is pending. </w:t>
      </w:r>
    </w:p>
    <w:p w14:paraId="649D0CAB" w14:textId="6AC0243A" w:rsidR="001956AF" w:rsidRPr="006A0DC3" w:rsidRDefault="00412FF6" w:rsidP="00412FF6">
      <w:pPr>
        <w:pStyle w:val="ManualNumPar1"/>
        <w:rPr>
          <w:noProof/>
          <w:lang w:val="en-US"/>
        </w:rPr>
      </w:pPr>
      <w:r w:rsidRPr="00412FF6">
        <w:t>2.</w:t>
      </w:r>
      <w:r w:rsidRPr="00412FF6">
        <w:tab/>
      </w:r>
      <w:r w:rsidR="00326812" w:rsidRPr="006A0DC3">
        <w:rPr>
          <w:noProof/>
          <w:lang w:val="en-IE"/>
        </w:rPr>
        <w:t xml:space="preserve">Member States </w:t>
      </w:r>
      <w:r w:rsidR="00A603CD">
        <w:rPr>
          <w:noProof/>
          <w:lang w:val="en-IE"/>
        </w:rPr>
        <w:t xml:space="preserve">shall </w:t>
      </w:r>
      <w:r w:rsidR="00326812" w:rsidRPr="006A0DC3">
        <w:rPr>
          <w:noProof/>
          <w:lang w:val="en-IE"/>
        </w:rPr>
        <w:t xml:space="preserve">provide that </w:t>
      </w:r>
      <w:r w:rsidR="00A431C7">
        <w:rPr>
          <w:noProof/>
          <w:lang w:val="en-IE"/>
        </w:rPr>
        <w:t>c</w:t>
      </w:r>
      <w:r w:rsidR="00326812" w:rsidRPr="006A0DC3">
        <w:rPr>
          <w:noProof/>
          <w:lang w:val="en-IE"/>
        </w:rPr>
        <w:t xml:space="preserve">ertified </w:t>
      </w:r>
      <w:r w:rsidR="00A431C7">
        <w:rPr>
          <w:noProof/>
          <w:lang w:val="en-IE"/>
        </w:rPr>
        <w:t>f</w:t>
      </w:r>
      <w:r w:rsidR="00326812" w:rsidRPr="006A0DC3">
        <w:rPr>
          <w:noProof/>
          <w:lang w:val="en-IE"/>
        </w:rPr>
        <w:t xml:space="preserve">inancial </w:t>
      </w:r>
      <w:r w:rsidR="00A431C7">
        <w:rPr>
          <w:noProof/>
          <w:lang w:val="en-IE"/>
        </w:rPr>
        <w:t>i</w:t>
      </w:r>
      <w:r w:rsidR="00326812" w:rsidRPr="006A0DC3">
        <w:rPr>
          <w:noProof/>
          <w:lang w:val="en-IE"/>
        </w:rPr>
        <w:t>ntermediaries do not need to report</w:t>
      </w:r>
      <w:r w:rsidR="0098755D" w:rsidRPr="006A0DC3">
        <w:rPr>
          <w:noProof/>
          <w:lang w:val="en-IE"/>
        </w:rPr>
        <w:t xml:space="preserve"> information </w:t>
      </w:r>
      <w:r w:rsidR="00EF0B32">
        <w:rPr>
          <w:noProof/>
          <w:lang w:val="en-IE"/>
        </w:rPr>
        <w:t>referred to in</w:t>
      </w:r>
      <w:r w:rsidR="0098755D" w:rsidRPr="006A0DC3">
        <w:rPr>
          <w:noProof/>
          <w:lang w:val="en-IE"/>
        </w:rPr>
        <w:t xml:space="preserve"> Annex II</w:t>
      </w:r>
      <w:r w:rsidR="00EF0B32">
        <w:rPr>
          <w:noProof/>
          <w:lang w:val="en-IE"/>
        </w:rPr>
        <w:t>,</w:t>
      </w:r>
      <w:r w:rsidR="0098755D" w:rsidRPr="006A0DC3">
        <w:rPr>
          <w:noProof/>
          <w:lang w:val="en-IE"/>
        </w:rPr>
        <w:t xml:space="preserve"> </w:t>
      </w:r>
      <w:r w:rsidR="00EF0B32" w:rsidRPr="006A0DC3">
        <w:rPr>
          <w:noProof/>
          <w:lang w:val="en-IE"/>
        </w:rPr>
        <w:t>heading E</w:t>
      </w:r>
      <w:r w:rsidR="00251560">
        <w:rPr>
          <w:noProof/>
          <w:lang w:val="en-IE"/>
        </w:rPr>
        <w:t>,</w:t>
      </w:r>
      <w:r w:rsidR="00EF0B32" w:rsidRPr="006A0DC3">
        <w:rPr>
          <w:noProof/>
          <w:lang w:val="en-IE"/>
        </w:rPr>
        <w:t xml:space="preserve"> </w:t>
      </w:r>
      <w:r w:rsidR="0098755D" w:rsidRPr="006A0DC3">
        <w:rPr>
          <w:noProof/>
          <w:lang w:val="en-IE"/>
        </w:rPr>
        <w:t xml:space="preserve">if the </w:t>
      </w:r>
      <w:r w:rsidR="00D361EC">
        <w:rPr>
          <w:noProof/>
          <w:lang w:val="en-IE"/>
        </w:rPr>
        <w:t>total</w:t>
      </w:r>
      <w:r w:rsidR="0098755D" w:rsidRPr="006A0DC3">
        <w:rPr>
          <w:noProof/>
          <w:lang w:val="en-IE"/>
        </w:rPr>
        <w:t xml:space="preserve"> dividend </w:t>
      </w:r>
      <w:r w:rsidR="005E569E" w:rsidRPr="000C056D">
        <w:rPr>
          <w:noProof/>
          <w:lang w:val="en-IE"/>
        </w:rPr>
        <w:t xml:space="preserve">paid to </w:t>
      </w:r>
      <w:r w:rsidR="00C224FE" w:rsidRPr="000C056D">
        <w:rPr>
          <w:noProof/>
          <w:lang w:val="en-IE"/>
        </w:rPr>
        <w:t xml:space="preserve">the </w:t>
      </w:r>
      <w:r w:rsidR="00BF7E1F">
        <w:rPr>
          <w:noProof/>
          <w:lang w:val="en-IE"/>
        </w:rPr>
        <w:t>re</w:t>
      </w:r>
      <w:r w:rsidR="00EB19CD">
        <w:rPr>
          <w:noProof/>
          <w:lang w:val="en-IE"/>
        </w:rPr>
        <w:t xml:space="preserve">gistered </w:t>
      </w:r>
      <w:r w:rsidR="00BF7E1F" w:rsidRPr="00151798">
        <w:rPr>
          <w:noProof/>
          <w:lang w:val="en-IE"/>
        </w:rPr>
        <w:t>owner</w:t>
      </w:r>
      <w:r w:rsidR="00C224FE" w:rsidRPr="00151798">
        <w:rPr>
          <w:noProof/>
          <w:lang w:val="en-IE"/>
        </w:rPr>
        <w:t xml:space="preserve"> </w:t>
      </w:r>
      <w:r w:rsidR="00D361EC" w:rsidRPr="00151798">
        <w:rPr>
          <w:noProof/>
          <w:lang w:val="en-IE"/>
        </w:rPr>
        <w:t xml:space="preserve">on the owner’s </w:t>
      </w:r>
      <w:r w:rsidR="6BB315C3" w:rsidRPr="00151798">
        <w:rPr>
          <w:noProof/>
          <w:lang w:val="en-IE"/>
        </w:rPr>
        <w:t>s</w:t>
      </w:r>
      <w:r w:rsidR="12CE19F3" w:rsidRPr="00151798">
        <w:rPr>
          <w:noProof/>
          <w:lang w:val="en-IE"/>
        </w:rPr>
        <w:t>hare</w:t>
      </w:r>
      <w:r w:rsidR="00EB19CD" w:rsidRPr="00151798">
        <w:rPr>
          <w:noProof/>
          <w:lang w:val="en-IE"/>
        </w:rPr>
        <w:t>holding</w:t>
      </w:r>
      <w:r w:rsidR="00FC4004" w:rsidRPr="00151798">
        <w:rPr>
          <w:noProof/>
          <w:lang w:val="en-IE"/>
        </w:rPr>
        <w:t xml:space="preserve"> </w:t>
      </w:r>
      <w:r w:rsidR="001626E0" w:rsidRPr="00151798">
        <w:rPr>
          <w:noProof/>
          <w:lang w:val="en-IE"/>
        </w:rPr>
        <w:t xml:space="preserve">in a company </w:t>
      </w:r>
      <w:r w:rsidR="0098755D" w:rsidRPr="00151798">
        <w:rPr>
          <w:noProof/>
          <w:lang w:val="en-IE"/>
        </w:rPr>
        <w:t xml:space="preserve">does not exceed EUR </w:t>
      </w:r>
      <w:r w:rsidR="00BE1B0B" w:rsidRPr="00151798">
        <w:rPr>
          <w:b/>
          <w:i/>
          <w:strike/>
          <w:noProof/>
          <w:lang w:val="en-IE"/>
        </w:rPr>
        <w:t>10</w:t>
      </w:r>
      <w:r w:rsidR="0098755D" w:rsidRPr="00151798">
        <w:rPr>
          <w:b/>
          <w:i/>
          <w:strike/>
          <w:noProof/>
          <w:lang w:val="en-IE"/>
        </w:rPr>
        <w:t>00</w:t>
      </w:r>
      <w:r w:rsidR="001C1433" w:rsidRPr="00151798">
        <w:rPr>
          <w:noProof/>
          <w:lang w:val="en-IE"/>
        </w:rPr>
        <w:t xml:space="preserve"> </w:t>
      </w:r>
      <w:r w:rsidR="004B1880" w:rsidRPr="00D62231">
        <w:rPr>
          <w:b/>
          <w:i/>
          <w:u w:val="single"/>
        </w:rPr>
        <w:t>1500</w:t>
      </w:r>
      <w:r w:rsidR="00213B3D" w:rsidRPr="00D62231">
        <w:rPr>
          <w:b/>
          <w:i/>
        </w:rPr>
        <w:t xml:space="preserve"> </w:t>
      </w:r>
      <w:r w:rsidR="001C1433" w:rsidRPr="00151798">
        <w:rPr>
          <w:b/>
          <w:i/>
        </w:rPr>
        <w:t>(EPP 87</w:t>
      </w:r>
      <w:r w:rsidR="001C1433">
        <w:rPr>
          <w:b/>
          <w:i/>
        </w:rPr>
        <w:t>)</w:t>
      </w:r>
      <w:r w:rsidR="0098755D" w:rsidRPr="000C056D">
        <w:rPr>
          <w:noProof/>
          <w:lang w:val="en-IE"/>
        </w:rPr>
        <w:t>.</w:t>
      </w:r>
    </w:p>
    <w:p w14:paraId="77FBE937" w14:textId="77777777" w:rsidR="00567641" w:rsidRPr="005E5BD8" w:rsidRDefault="00412FF6" w:rsidP="00412FF6">
      <w:pPr>
        <w:pStyle w:val="ManualNumPar1"/>
        <w:rPr>
          <w:noProof/>
          <w:lang w:val="en-US"/>
        </w:rPr>
      </w:pPr>
      <w:r w:rsidRPr="00412FF6">
        <w:t>3.</w:t>
      </w:r>
      <w:r w:rsidRPr="00412FF6">
        <w:tab/>
      </w:r>
      <w:r w:rsidR="00567641" w:rsidRPr="006A0DC3">
        <w:rPr>
          <w:noProof/>
          <w:lang w:val="en-IE"/>
        </w:rPr>
        <w:t xml:space="preserve">Member States that </w:t>
      </w:r>
      <w:r w:rsidR="00931BE3">
        <w:rPr>
          <w:noProof/>
          <w:lang w:val="en-IE"/>
        </w:rPr>
        <w:t>opt to use</w:t>
      </w:r>
      <w:r w:rsidR="005E569E">
        <w:rPr>
          <w:noProof/>
          <w:lang w:val="en-IE"/>
        </w:rPr>
        <w:t xml:space="preserve"> a </w:t>
      </w:r>
      <w:r w:rsidR="00EF0B32">
        <w:rPr>
          <w:noProof/>
          <w:lang w:val="en-IE"/>
        </w:rPr>
        <w:t>n</w:t>
      </w:r>
      <w:r w:rsidR="005E569E">
        <w:rPr>
          <w:noProof/>
          <w:lang w:val="en-IE"/>
        </w:rPr>
        <w:t xml:space="preserve">ational </w:t>
      </w:r>
      <w:r w:rsidR="00EF0B32">
        <w:rPr>
          <w:noProof/>
          <w:lang w:val="en-IE"/>
        </w:rPr>
        <w:t>r</w:t>
      </w:r>
      <w:r w:rsidR="005E569E">
        <w:rPr>
          <w:noProof/>
          <w:lang w:val="en-IE"/>
        </w:rPr>
        <w:t>egister</w:t>
      </w:r>
      <w:r w:rsidR="00931BE3">
        <w:rPr>
          <w:noProof/>
          <w:lang w:val="en-IE"/>
        </w:rPr>
        <w:t xml:space="preserve"> established </w:t>
      </w:r>
      <w:r w:rsidR="00EF0B32">
        <w:rPr>
          <w:noProof/>
          <w:lang w:val="en-IE"/>
        </w:rPr>
        <w:t xml:space="preserve">in accordance with </w:t>
      </w:r>
      <w:r w:rsidR="00931BE3">
        <w:rPr>
          <w:noProof/>
          <w:lang w:val="en-IE"/>
        </w:rPr>
        <w:t>Article 5 in relation to payments of interest</w:t>
      </w:r>
      <w:r w:rsidR="00D9206F" w:rsidRPr="006A0DC3">
        <w:rPr>
          <w:noProof/>
          <w:lang w:val="en-IE"/>
        </w:rPr>
        <w:t xml:space="preserve">, </w:t>
      </w:r>
      <w:r w:rsidR="00AF6A5D" w:rsidRPr="006A0DC3">
        <w:rPr>
          <w:noProof/>
          <w:lang w:val="en-IE"/>
        </w:rPr>
        <w:t xml:space="preserve">shall </w:t>
      </w:r>
      <w:r w:rsidR="00931BE3">
        <w:rPr>
          <w:noProof/>
          <w:lang w:val="en-IE"/>
        </w:rPr>
        <w:t xml:space="preserve">require </w:t>
      </w:r>
      <w:r w:rsidR="00EF0B32">
        <w:rPr>
          <w:noProof/>
          <w:lang w:val="en-IE"/>
        </w:rPr>
        <w:t>c</w:t>
      </w:r>
      <w:r w:rsidR="00931BE3">
        <w:rPr>
          <w:noProof/>
          <w:lang w:val="en-IE"/>
        </w:rPr>
        <w:t xml:space="preserve">ertified </w:t>
      </w:r>
      <w:r w:rsidR="00EF0B32">
        <w:rPr>
          <w:noProof/>
          <w:lang w:val="en-IE"/>
        </w:rPr>
        <w:t>f</w:t>
      </w:r>
      <w:r w:rsidR="00931BE3">
        <w:rPr>
          <w:noProof/>
          <w:lang w:val="en-IE"/>
        </w:rPr>
        <w:t xml:space="preserve">inancial </w:t>
      </w:r>
      <w:r w:rsidR="00EF0B32">
        <w:rPr>
          <w:noProof/>
          <w:lang w:val="en-IE"/>
        </w:rPr>
        <w:t>i</w:t>
      </w:r>
      <w:r w:rsidR="00931BE3">
        <w:rPr>
          <w:noProof/>
          <w:lang w:val="en-IE"/>
        </w:rPr>
        <w:t xml:space="preserve">ntermediaries to report the information included in Annex II but shall not require </w:t>
      </w:r>
      <w:r w:rsidR="00AF6A5D" w:rsidRPr="006A0DC3">
        <w:rPr>
          <w:noProof/>
          <w:lang w:val="en-IE"/>
        </w:rPr>
        <w:t xml:space="preserve">reporting </w:t>
      </w:r>
      <w:r w:rsidR="005E569E">
        <w:rPr>
          <w:noProof/>
          <w:lang w:val="en-IE"/>
        </w:rPr>
        <w:t>of</w:t>
      </w:r>
      <w:r w:rsidR="00693FA9" w:rsidRPr="006A0DC3">
        <w:rPr>
          <w:noProof/>
          <w:lang w:val="en-IE"/>
        </w:rPr>
        <w:t xml:space="preserve"> information under heading E</w:t>
      </w:r>
      <w:r w:rsidR="00AF6A5D" w:rsidRPr="006A0DC3">
        <w:rPr>
          <w:noProof/>
          <w:lang w:val="en-IE"/>
        </w:rPr>
        <w:t xml:space="preserve">. </w:t>
      </w:r>
    </w:p>
    <w:p w14:paraId="162ECECE" w14:textId="77777777" w:rsidR="001956AF" w:rsidRPr="006A0DC3" w:rsidRDefault="00412FF6" w:rsidP="00412FF6">
      <w:pPr>
        <w:pStyle w:val="ManualNumPar1"/>
        <w:rPr>
          <w:noProof/>
          <w:lang w:val="en-US"/>
        </w:rPr>
      </w:pPr>
      <w:r w:rsidRPr="00412FF6">
        <w:t>4.</w:t>
      </w:r>
      <w:r w:rsidRPr="00412FF6">
        <w:tab/>
      </w:r>
      <w:r w:rsidR="0098755D" w:rsidRPr="006A0DC3">
        <w:rPr>
          <w:noProof/>
          <w:lang w:val="en-IE"/>
        </w:rPr>
        <w:t xml:space="preserve">The Commission shall adopt implementing acts laying down standard computerised forms, including the linguistic arrangements, and requirements for the communication channels, for the reporting of information </w:t>
      </w:r>
      <w:r w:rsidR="0030687B">
        <w:rPr>
          <w:noProof/>
          <w:lang w:val="en-IE"/>
        </w:rPr>
        <w:t>referred to in Annex II</w:t>
      </w:r>
      <w:r w:rsidR="00EF0B32">
        <w:rPr>
          <w:noProof/>
          <w:lang w:val="en-IE"/>
        </w:rPr>
        <w:t xml:space="preserve">. Those implementing acts shall be adopted </w:t>
      </w:r>
      <w:r w:rsidR="0098755D" w:rsidRPr="006A0DC3">
        <w:rPr>
          <w:noProof/>
          <w:lang w:val="en-IE"/>
        </w:rPr>
        <w:t xml:space="preserve">in accordance with the </w:t>
      </w:r>
      <w:r w:rsidR="00EF0B32">
        <w:rPr>
          <w:noProof/>
          <w:lang w:val="en-IE"/>
        </w:rPr>
        <w:t xml:space="preserve">examination </w:t>
      </w:r>
      <w:r w:rsidR="0098755D" w:rsidRPr="006A0DC3">
        <w:rPr>
          <w:noProof/>
          <w:lang w:val="en-IE"/>
        </w:rPr>
        <w:t xml:space="preserve">procedure referred to in Article </w:t>
      </w:r>
      <w:r w:rsidR="00282365" w:rsidRPr="006A0DC3">
        <w:rPr>
          <w:noProof/>
          <w:lang w:val="en-IE"/>
        </w:rPr>
        <w:t>1</w:t>
      </w:r>
      <w:r w:rsidR="000C742A" w:rsidRPr="006A0DC3">
        <w:rPr>
          <w:noProof/>
          <w:lang w:val="en-IE"/>
        </w:rPr>
        <w:t>8</w:t>
      </w:r>
      <w:r w:rsidR="0098755D" w:rsidRPr="006A0DC3">
        <w:rPr>
          <w:noProof/>
          <w:lang w:val="en-IE"/>
        </w:rPr>
        <w:t>.</w:t>
      </w:r>
    </w:p>
    <w:p w14:paraId="1CC07700" w14:textId="21E45510" w:rsidR="001956AF" w:rsidRPr="006A0DC3" w:rsidRDefault="00412FF6" w:rsidP="00412FF6">
      <w:pPr>
        <w:pStyle w:val="ManualNumPar1"/>
        <w:rPr>
          <w:noProof/>
          <w:lang w:val="en-IE"/>
        </w:rPr>
      </w:pPr>
      <w:r w:rsidRPr="00412FF6">
        <w:t>5.</w:t>
      </w:r>
      <w:r w:rsidRPr="00412FF6">
        <w:tab/>
      </w:r>
      <w:r w:rsidR="001956AF" w:rsidRPr="006A0DC3">
        <w:rPr>
          <w:noProof/>
          <w:lang w:val="en-IE"/>
        </w:rPr>
        <w:t xml:space="preserve">Member States shall require </w:t>
      </w:r>
      <w:r w:rsidR="00EF0B32">
        <w:rPr>
          <w:noProof/>
          <w:lang w:val="en-IE"/>
        </w:rPr>
        <w:t>c</w:t>
      </w:r>
      <w:r w:rsidR="001956AF" w:rsidRPr="006A0DC3">
        <w:rPr>
          <w:noProof/>
          <w:lang w:val="en-IE"/>
        </w:rPr>
        <w:t xml:space="preserve">ertified </w:t>
      </w:r>
      <w:r w:rsidR="00EF0B32">
        <w:rPr>
          <w:noProof/>
          <w:lang w:val="en-IE"/>
        </w:rPr>
        <w:t>f</w:t>
      </w:r>
      <w:r w:rsidR="001956AF" w:rsidRPr="006A0DC3">
        <w:rPr>
          <w:noProof/>
          <w:lang w:val="en-IE"/>
        </w:rPr>
        <w:t xml:space="preserve">inancial </w:t>
      </w:r>
      <w:r w:rsidR="00EF0B32">
        <w:rPr>
          <w:noProof/>
          <w:lang w:val="en-IE"/>
        </w:rPr>
        <w:t>i</w:t>
      </w:r>
      <w:r w:rsidR="001956AF" w:rsidRPr="006A0DC3">
        <w:rPr>
          <w:noProof/>
          <w:lang w:val="en-IE"/>
        </w:rPr>
        <w:t xml:space="preserve">ntermediaries in their </w:t>
      </w:r>
      <w:r w:rsidR="00EF0B32">
        <w:rPr>
          <w:noProof/>
          <w:lang w:val="en-IE"/>
        </w:rPr>
        <w:t>n</w:t>
      </w:r>
      <w:r w:rsidR="001956AF" w:rsidRPr="006A0DC3">
        <w:rPr>
          <w:noProof/>
          <w:lang w:val="en-IE"/>
        </w:rPr>
        <w:t xml:space="preserve">ational </w:t>
      </w:r>
      <w:r w:rsidR="00EF0B32">
        <w:rPr>
          <w:noProof/>
          <w:lang w:val="en-IE"/>
        </w:rPr>
        <w:t>r</w:t>
      </w:r>
      <w:r w:rsidR="001956AF" w:rsidRPr="006A0DC3">
        <w:rPr>
          <w:noProof/>
          <w:lang w:val="en-IE"/>
        </w:rPr>
        <w:t xml:space="preserve">egister to </w:t>
      </w:r>
      <w:r w:rsidR="00934E15" w:rsidRPr="006A0DC3">
        <w:rPr>
          <w:noProof/>
          <w:lang w:val="en-IE"/>
        </w:rPr>
        <w:t xml:space="preserve">keep the </w:t>
      </w:r>
      <w:r w:rsidR="001956AF" w:rsidRPr="006A0DC3">
        <w:rPr>
          <w:noProof/>
          <w:lang w:val="en-IE"/>
        </w:rPr>
        <w:t xml:space="preserve">documentation supporting the information reported </w:t>
      </w:r>
      <w:r w:rsidR="00EF0B32" w:rsidRPr="006A0DC3">
        <w:rPr>
          <w:noProof/>
          <w:lang w:val="en-IE"/>
        </w:rPr>
        <w:t xml:space="preserve">for </w:t>
      </w:r>
      <w:r w:rsidR="00EF0B32" w:rsidRPr="00630966">
        <w:rPr>
          <w:b/>
          <w:i/>
          <w:strike/>
          <w:noProof/>
          <w:lang w:val="en-IE"/>
        </w:rPr>
        <w:t>five</w:t>
      </w:r>
      <w:r w:rsidR="00630966" w:rsidRPr="00630966">
        <w:rPr>
          <w:b/>
          <w:i/>
          <w:noProof/>
          <w:lang w:val="en-IE"/>
        </w:rPr>
        <w:t xml:space="preserve"> </w:t>
      </w:r>
      <w:r w:rsidR="004716B3" w:rsidRPr="00763CAC">
        <w:rPr>
          <w:b/>
          <w:i/>
          <w:noProof/>
          <w:u w:val="single"/>
          <w:lang w:val="en-IE"/>
        </w:rPr>
        <w:t>six</w:t>
      </w:r>
      <w:r w:rsidR="004716B3">
        <w:rPr>
          <w:b/>
          <w:i/>
          <w:noProof/>
          <w:lang w:val="en-IE"/>
        </w:rPr>
        <w:t xml:space="preserve"> </w:t>
      </w:r>
      <w:r w:rsidR="00630966">
        <w:rPr>
          <w:b/>
          <w:i/>
          <w:noProof/>
          <w:lang w:val="en-IE"/>
        </w:rPr>
        <w:t>(Renew 89)</w:t>
      </w:r>
      <w:r w:rsidR="00EF0B32" w:rsidRPr="006A0DC3">
        <w:rPr>
          <w:noProof/>
          <w:lang w:val="en-IE"/>
        </w:rPr>
        <w:t xml:space="preserve"> years </w:t>
      </w:r>
      <w:r w:rsidR="001956AF" w:rsidRPr="006A0DC3">
        <w:rPr>
          <w:noProof/>
          <w:lang w:val="en-IE"/>
        </w:rPr>
        <w:t xml:space="preserve">and </w:t>
      </w:r>
      <w:r w:rsidR="00A810CE" w:rsidRPr="006A0DC3">
        <w:rPr>
          <w:noProof/>
          <w:lang w:val="en-IE"/>
        </w:rPr>
        <w:t xml:space="preserve">to provide </w:t>
      </w:r>
      <w:r w:rsidR="001956AF" w:rsidRPr="006A0DC3">
        <w:rPr>
          <w:noProof/>
          <w:lang w:val="en-IE"/>
        </w:rPr>
        <w:t xml:space="preserve">access to any other information, </w:t>
      </w:r>
      <w:r w:rsidR="009B76CF">
        <w:rPr>
          <w:noProof/>
          <w:lang w:val="en-IE"/>
        </w:rPr>
        <w:t>as well as</w:t>
      </w:r>
      <w:r w:rsidR="001956AF" w:rsidRPr="006A0DC3">
        <w:rPr>
          <w:noProof/>
          <w:lang w:val="en-IE"/>
        </w:rPr>
        <w:t xml:space="preserve"> access to </w:t>
      </w:r>
      <w:r w:rsidR="003D361B" w:rsidRPr="006A0DC3">
        <w:rPr>
          <w:noProof/>
          <w:lang w:val="en-IE"/>
        </w:rPr>
        <w:t>the</w:t>
      </w:r>
      <w:r w:rsidR="0027383B">
        <w:rPr>
          <w:noProof/>
          <w:lang w:val="en-IE"/>
        </w:rPr>
        <w:t>ir</w:t>
      </w:r>
      <w:r w:rsidR="003D361B" w:rsidRPr="006A0DC3">
        <w:rPr>
          <w:noProof/>
          <w:lang w:val="en-IE"/>
        </w:rPr>
        <w:t xml:space="preserve"> </w:t>
      </w:r>
      <w:r w:rsidR="001956AF" w:rsidRPr="006A0DC3">
        <w:rPr>
          <w:noProof/>
          <w:lang w:val="en-IE"/>
        </w:rPr>
        <w:t>premises for the purpose of audit</w:t>
      </w:r>
      <w:r w:rsidR="004678FD">
        <w:rPr>
          <w:noProof/>
          <w:lang w:val="en-IE"/>
        </w:rPr>
        <w:t xml:space="preserve"> and shall require </w:t>
      </w:r>
      <w:r w:rsidR="00EF0B32">
        <w:rPr>
          <w:noProof/>
          <w:lang w:val="en-IE"/>
        </w:rPr>
        <w:t>c</w:t>
      </w:r>
      <w:r w:rsidR="004678FD">
        <w:rPr>
          <w:noProof/>
          <w:lang w:val="en-IE"/>
        </w:rPr>
        <w:t xml:space="preserve">ertified </w:t>
      </w:r>
      <w:r w:rsidR="00EF0B32">
        <w:rPr>
          <w:noProof/>
          <w:lang w:val="en-IE"/>
        </w:rPr>
        <w:t>f</w:t>
      </w:r>
      <w:r w:rsidR="004678FD">
        <w:rPr>
          <w:noProof/>
          <w:lang w:val="en-IE"/>
        </w:rPr>
        <w:t xml:space="preserve">inancial </w:t>
      </w:r>
      <w:r w:rsidR="00EF0B32">
        <w:rPr>
          <w:noProof/>
          <w:lang w:val="en-IE"/>
        </w:rPr>
        <w:t>i</w:t>
      </w:r>
      <w:r w:rsidR="004678FD">
        <w:rPr>
          <w:noProof/>
          <w:lang w:val="en-IE"/>
        </w:rPr>
        <w:t xml:space="preserve">ntermediaries to delete or anonymise any personal data included in such documentation </w:t>
      </w:r>
      <w:r w:rsidR="000E3755">
        <w:rPr>
          <w:noProof/>
          <w:lang w:val="en-IE"/>
        </w:rPr>
        <w:t>as soon as the audit has been completed</w:t>
      </w:r>
      <w:r w:rsidR="00301E1E">
        <w:rPr>
          <w:noProof/>
          <w:lang w:val="en-IE"/>
        </w:rPr>
        <w:t xml:space="preserve"> and at </w:t>
      </w:r>
      <w:r w:rsidR="00607739">
        <w:rPr>
          <w:noProof/>
          <w:lang w:val="en-IE"/>
        </w:rPr>
        <w:t xml:space="preserve">the </w:t>
      </w:r>
      <w:r w:rsidR="00301E1E">
        <w:rPr>
          <w:noProof/>
          <w:lang w:val="en-IE"/>
        </w:rPr>
        <w:t xml:space="preserve">latest </w:t>
      </w:r>
      <w:r w:rsidR="00630966" w:rsidRPr="00630966">
        <w:rPr>
          <w:b/>
          <w:i/>
          <w:strike/>
          <w:noProof/>
          <w:lang w:val="en-IE"/>
        </w:rPr>
        <w:t>five</w:t>
      </w:r>
      <w:r w:rsidR="00630966" w:rsidRPr="00630966">
        <w:rPr>
          <w:b/>
          <w:i/>
          <w:noProof/>
          <w:lang w:val="en-IE"/>
        </w:rPr>
        <w:t xml:space="preserve"> </w:t>
      </w:r>
      <w:r w:rsidR="004716B3" w:rsidRPr="00763CAC">
        <w:rPr>
          <w:b/>
          <w:i/>
          <w:noProof/>
          <w:u w:val="single"/>
          <w:lang w:val="en-IE"/>
        </w:rPr>
        <w:t>six</w:t>
      </w:r>
      <w:r w:rsidR="004716B3">
        <w:rPr>
          <w:b/>
          <w:i/>
          <w:noProof/>
          <w:lang w:val="en-IE"/>
        </w:rPr>
        <w:t xml:space="preserve"> </w:t>
      </w:r>
      <w:r w:rsidR="00630966">
        <w:rPr>
          <w:b/>
          <w:i/>
          <w:noProof/>
          <w:lang w:val="en-IE"/>
        </w:rPr>
        <w:t xml:space="preserve">(Renew 89) </w:t>
      </w:r>
      <w:r w:rsidR="00301E1E">
        <w:rPr>
          <w:noProof/>
          <w:lang w:val="en-IE"/>
        </w:rPr>
        <w:t>years after reporting</w:t>
      </w:r>
      <w:r w:rsidR="000E3755">
        <w:rPr>
          <w:noProof/>
          <w:lang w:val="en-IE"/>
        </w:rPr>
        <w:t>.</w:t>
      </w:r>
    </w:p>
    <w:p w14:paraId="1EA1FD64" w14:textId="77777777" w:rsidR="008E734B" w:rsidRDefault="001956AF" w:rsidP="008E734B">
      <w:pPr>
        <w:jc w:val="center"/>
        <w:rPr>
          <w:b/>
          <w:bCs/>
          <w:i/>
          <w:noProof/>
        </w:rPr>
      </w:pPr>
      <w:r w:rsidRPr="008E734B">
        <w:rPr>
          <w:b/>
          <w:bCs/>
          <w:i/>
          <w:noProof/>
        </w:rPr>
        <w:lastRenderedPageBreak/>
        <w:t>SECTION 3</w:t>
      </w:r>
    </w:p>
    <w:p w14:paraId="47829642" w14:textId="77777777" w:rsidR="001956AF" w:rsidRPr="008E734B" w:rsidRDefault="001956AF" w:rsidP="008E734B">
      <w:pPr>
        <w:jc w:val="center"/>
        <w:rPr>
          <w:b/>
          <w:bCs/>
          <w:i/>
          <w:noProof/>
        </w:rPr>
      </w:pPr>
      <w:r w:rsidRPr="008E734B">
        <w:rPr>
          <w:b/>
          <w:bCs/>
          <w:iCs/>
          <w:noProof/>
        </w:rPr>
        <w:t>SYSTEMS OF RELIEF</w:t>
      </w:r>
    </w:p>
    <w:p w14:paraId="77CB2CE7" w14:textId="77777777" w:rsidR="001956AF" w:rsidRDefault="001956AF" w:rsidP="00BA7238">
      <w:pPr>
        <w:pStyle w:val="Titrearticle"/>
        <w:rPr>
          <w:b/>
          <w:bCs/>
          <w:i w:val="0"/>
          <w:iCs/>
          <w:noProof/>
        </w:rPr>
      </w:pPr>
      <w:r>
        <w:rPr>
          <w:noProof/>
        </w:rPr>
        <w:t xml:space="preserve">Article </w:t>
      </w:r>
      <w:r w:rsidR="005E3AA5">
        <w:rPr>
          <w:noProof/>
        </w:rPr>
        <w:t>10</w:t>
      </w:r>
      <w:r w:rsidR="00BA7238">
        <w:rPr>
          <w:noProof/>
        </w:rPr>
        <w:br/>
      </w:r>
      <w:r w:rsidRPr="00BA7238">
        <w:rPr>
          <w:b/>
          <w:bCs/>
          <w:i w:val="0"/>
          <w:iCs/>
          <w:noProof/>
        </w:rPr>
        <w:t xml:space="preserve">Request for </w:t>
      </w:r>
      <w:r w:rsidR="0030687B">
        <w:rPr>
          <w:b/>
          <w:bCs/>
          <w:i w:val="0"/>
          <w:iCs/>
          <w:noProof/>
        </w:rPr>
        <w:t>r</w:t>
      </w:r>
      <w:r w:rsidRPr="00BA7238">
        <w:rPr>
          <w:b/>
          <w:bCs/>
          <w:i w:val="0"/>
          <w:iCs/>
          <w:noProof/>
        </w:rPr>
        <w:t xml:space="preserve">elief at </w:t>
      </w:r>
      <w:r w:rsidR="0030687B">
        <w:rPr>
          <w:b/>
          <w:bCs/>
          <w:i w:val="0"/>
          <w:iCs/>
          <w:noProof/>
        </w:rPr>
        <w:t>s</w:t>
      </w:r>
      <w:r w:rsidRPr="00BA7238">
        <w:rPr>
          <w:b/>
          <w:bCs/>
          <w:i w:val="0"/>
          <w:iCs/>
          <w:noProof/>
        </w:rPr>
        <w:t xml:space="preserve">ource or </w:t>
      </w:r>
      <w:r w:rsidR="0030687B">
        <w:rPr>
          <w:b/>
          <w:bCs/>
          <w:i w:val="0"/>
          <w:iCs/>
          <w:noProof/>
        </w:rPr>
        <w:t>q</w:t>
      </w:r>
      <w:r w:rsidRPr="00BA7238">
        <w:rPr>
          <w:b/>
          <w:bCs/>
          <w:i w:val="0"/>
          <w:iCs/>
          <w:noProof/>
        </w:rPr>
        <w:t xml:space="preserve">uick </w:t>
      </w:r>
      <w:r w:rsidR="0030687B">
        <w:rPr>
          <w:b/>
          <w:bCs/>
          <w:i w:val="0"/>
          <w:iCs/>
          <w:noProof/>
        </w:rPr>
        <w:t>r</w:t>
      </w:r>
      <w:r w:rsidRPr="00BA7238">
        <w:rPr>
          <w:b/>
          <w:bCs/>
          <w:i w:val="0"/>
          <w:iCs/>
          <w:noProof/>
        </w:rPr>
        <w:t>efund</w:t>
      </w:r>
    </w:p>
    <w:p w14:paraId="48868C55" w14:textId="77777777" w:rsidR="00F03F98" w:rsidRDefault="00412FF6" w:rsidP="00412FF6">
      <w:pPr>
        <w:pStyle w:val="ManualNumPar1"/>
        <w:rPr>
          <w:noProof/>
        </w:rPr>
      </w:pPr>
      <w:bookmarkStart w:id="4" w:name="_Hlk136606527"/>
      <w:r w:rsidRPr="00412FF6">
        <w:t>1.</w:t>
      </w:r>
      <w:r w:rsidRPr="00412FF6">
        <w:tab/>
      </w:r>
      <w:r w:rsidR="001956AF">
        <w:rPr>
          <w:noProof/>
        </w:rPr>
        <w:t xml:space="preserve">Member States shall </w:t>
      </w:r>
      <w:r w:rsidR="00C7407E">
        <w:rPr>
          <w:noProof/>
        </w:rPr>
        <w:t xml:space="preserve">require </w:t>
      </w:r>
      <w:r w:rsidR="00AC78DE">
        <w:rPr>
          <w:noProof/>
        </w:rPr>
        <w:t xml:space="preserve">a </w:t>
      </w:r>
      <w:r w:rsidR="0030687B" w:rsidRPr="00E75766">
        <w:rPr>
          <w:noProof/>
          <w:lang w:val="en-IE"/>
        </w:rPr>
        <w:t>c</w:t>
      </w:r>
      <w:r w:rsidR="001956AF" w:rsidRPr="00E75766">
        <w:rPr>
          <w:noProof/>
          <w:lang w:val="en-IE"/>
        </w:rPr>
        <w:t xml:space="preserve">ertified </w:t>
      </w:r>
      <w:r w:rsidR="0030687B" w:rsidRPr="00E75766">
        <w:rPr>
          <w:noProof/>
          <w:lang w:val="en-IE"/>
        </w:rPr>
        <w:t>f</w:t>
      </w:r>
      <w:r w:rsidR="001956AF" w:rsidRPr="00E75766">
        <w:rPr>
          <w:noProof/>
          <w:lang w:val="en-IE"/>
        </w:rPr>
        <w:t xml:space="preserve">inancial </w:t>
      </w:r>
      <w:r w:rsidR="0030687B" w:rsidRPr="00E75766">
        <w:rPr>
          <w:noProof/>
          <w:lang w:val="en-IE"/>
        </w:rPr>
        <w:t>i</w:t>
      </w:r>
      <w:r w:rsidR="001956AF" w:rsidRPr="00E75766">
        <w:rPr>
          <w:noProof/>
          <w:lang w:val="en-IE"/>
        </w:rPr>
        <w:t>ntermediar</w:t>
      </w:r>
      <w:r w:rsidR="008F7600" w:rsidRPr="00E75766">
        <w:rPr>
          <w:noProof/>
          <w:lang w:val="en-IE"/>
        </w:rPr>
        <w:t xml:space="preserve">y </w:t>
      </w:r>
      <w:r w:rsidR="003B7A50" w:rsidRPr="00E75766">
        <w:rPr>
          <w:noProof/>
          <w:lang w:val="en-IE"/>
        </w:rPr>
        <w:t>maintain</w:t>
      </w:r>
      <w:r w:rsidR="00934E15" w:rsidRPr="00E75766">
        <w:rPr>
          <w:noProof/>
          <w:lang w:val="en-IE"/>
        </w:rPr>
        <w:t>ing</w:t>
      </w:r>
      <w:r w:rsidR="003B7A50" w:rsidRPr="00E75766">
        <w:rPr>
          <w:noProof/>
          <w:lang w:val="en-IE"/>
        </w:rPr>
        <w:t xml:space="preserve"> the investment account</w:t>
      </w:r>
      <w:r w:rsidR="00AC78DE" w:rsidRPr="00E75766">
        <w:rPr>
          <w:noProof/>
          <w:lang w:val="en-IE"/>
        </w:rPr>
        <w:t xml:space="preserve"> of a registered owner</w:t>
      </w:r>
      <w:r w:rsidR="00F03F98" w:rsidRPr="00E75766">
        <w:rPr>
          <w:noProof/>
          <w:lang w:val="en-IE"/>
        </w:rPr>
        <w:t xml:space="preserve"> receiving dividends or interest</w:t>
      </w:r>
      <w:r w:rsidR="008F7600" w:rsidRPr="00E75766">
        <w:rPr>
          <w:noProof/>
          <w:lang w:val="en-IE"/>
        </w:rPr>
        <w:t xml:space="preserve"> </w:t>
      </w:r>
      <w:r w:rsidR="001956AF" w:rsidRPr="00E75766">
        <w:rPr>
          <w:noProof/>
          <w:lang w:val="en-IE"/>
        </w:rPr>
        <w:t xml:space="preserve">to </w:t>
      </w:r>
      <w:r w:rsidR="001956AF">
        <w:rPr>
          <w:noProof/>
        </w:rPr>
        <w:t xml:space="preserve">request relief </w:t>
      </w:r>
      <w:r w:rsidR="0030687B">
        <w:rPr>
          <w:noProof/>
        </w:rPr>
        <w:t>pursuant to</w:t>
      </w:r>
      <w:r w:rsidR="001956AF" w:rsidDel="00BA137E">
        <w:rPr>
          <w:noProof/>
        </w:rPr>
        <w:t xml:space="preserve"> </w:t>
      </w:r>
      <w:r w:rsidR="001956AF">
        <w:rPr>
          <w:noProof/>
        </w:rPr>
        <w:t>Article 1</w:t>
      </w:r>
      <w:r w:rsidR="00554887">
        <w:rPr>
          <w:noProof/>
        </w:rPr>
        <w:t>2</w:t>
      </w:r>
      <w:r w:rsidR="00BA137E">
        <w:rPr>
          <w:noProof/>
        </w:rPr>
        <w:t xml:space="preserve"> </w:t>
      </w:r>
      <w:r w:rsidR="00AC23A2">
        <w:rPr>
          <w:noProof/>
        </w:rPr>
        <w:t>and/</w:t>
      </w:r>
      <w:r w:rsidR="002F6E07">
        <w:rPr>
          <w:noProof/>
        </w:rPr>
        <w:t>or Article 1</w:t>
      </w:r>
      <w:r w:rsidR="00554887">
        <w:rPr>
          <w:noProof/>
        </w:rPr>
        <w:t>3</w:t>
      </w:r>
      <w:r w:rsidR="00BA137E">
        <w:rPr>
          <w:noProof/>
        </w:rPr>
        <w:t xml:space="preserve">, </w:t>
      </w:r>
      <w:r w:rsidR="001956AF">
        <w:rPr>
          <w:noProof/>
        </w:rPr>
        <w:t xml:space="preserve">on behalf </w:t>
      </w:r>
      <w:r w:rsidR="00FF4FA4">
        <w:rPr>
          <w:noProof/>
        </w:rPr>
        <w:t xml:space="preserve">of </w:t>
      </w:r>
      <w:r w:rsidR="00F03F98">
        <w:rPr>
          <w:noProof/>
        </w:rPr>
        <w:t>such</w:t>
      </w:r>
      <w:r w:rsidR="00AC78DE">
        <w:rPr>
          <w:noProof/>
        </w:rPr>
        <w:t xml:space="preserve"> registered owner</w:t>
      </w:r>
      <w:r w:rsidR="008F7600">
        <w:rPr>
          <w:noProof/>
        </w:rPr>
        <w:t>, if the</w:t>
      </w:r>
      <w:r w:rsidR="00F03F98">
        <w:rPr>
          <w:noProof/>
        </w:rPr>
        <w:t xml:space="preserve"> following conditions are met:</w:t>
      </w:r>
    </w:p>
    <w:p w14:paraId="6CC280CD" w14:textId="77777777" w:rsidR="00F03F98" w:rsidRDefault="00412FF6" w:rsidP="00412FF6">
      <w:pPr>
        <w:pStyle w:val="Point1"/>
        <w:rPr>
          <w:noProof/>
        </w:rPr>
      </w:pPr>
      <w:r w:rsidRPr="00412FF6">
        <w:t>(a)</w:t>
      </w:r>
      <w:r w:rsidRPr="00412FF6">
        <w:tab/>
      </w:r>
      <w:r w:rsidR="00F03F98">
        <w:rPr>
          <w:noProof/>
        </w:rPr>
        <w:t>The registered owner h</w:t>
      </w:r>
      <w:r w:rsidR="77124479">
        <w:rPr>
          <w:noProof/>
        </w:rPr>
        <w:t xml:space="preserve">as </w:t>
      </w:r>
      <w:r w:rsidR="00F03F98">
        <w:rPr>
          <w:noProof/>
        </w:rPr>
        <w:t xml:space="preserve">authorised the </w:t>
      </w:r>
      <w:r w:rsidR="0030687B">
        <w:rPr>
          <w:noProof/>
        </w:rPr>
        <w:t>c</w:t>
      </w:r>
      <w:r w:rsidR="00F03F98">
        <w:rPr>
          <w:noProof/>
        </w:rPr>
        <w:t xml:space="preserve">ertified </w:t>
      </w:r>
      <w:r w:rsidR="0030687B">
        <w:rPr>
          <w:noProof/>
        </w:rPr>
        <w:t>f</w:t>
      </w:r>
      <w:r w:rsidR="00F03F98">
        <w:rPr>
          <w:noProof/>
        </w:rPr>
        <w:t xml:space="preserve">inancial </w:t>
      </w:r>
      <w:r w:rsidR="0030687B">
        <w:rPr>
          <w:noProof/>
        </w:rPr>
        <w:t>i</w:t>
      </w:r>
      <w:r w:rsidR="00F03F98">
        <w:rPr>
          <w:noProof/>
        </w:rPr>
        <w:t>ntermediary</w:t>
      </w:r>
      <w:r w:rsidR="77124479">
        <w:rPr>
          <w:noProof/>
        </w:rPr>
        <w:t xml:space="preserve"> </w:t>
      </w:r>
      <w:r w:rsidR="00F03F98">
        <w:rPr>
          <w:noProof/>
        </w:rPr>
        <w:t xml:space="preserve">to request relief on its behalf; </w:t>
      </w:r>
      <w:r w:rsidR="77124479">
        <w:rPr>
          <w:noProof/>
        </w:rPr>
        <w:t xml:space="preserve">and </w:t>
      </w:r>
    </w:p>
    <w:p w14:paraId="7CD43633" w14:textId="77777777" w:rsidR="00497364" w:rsidRDefault="00412FF6" w:rsidP="00412FF6">
      <w:pPr>
        <w:pStyle w:val="Point1"/>
        <w:rPr>
          <w:noProof/>
        </w:rPr>
      </w:pPr>
      <w:r w:rsidRPr="00412FF6">
        <w:t>(b)</w:t>
      </w:r>
      <w:r w:rsidRPr="00412FF6">
        <w:tab/>
      </w:r>
      <w:r w:rsidR="00F03F98">
        <w:rPr>
          <w:noProof/>
        </w:rPr>
        <w:t xml:space="preserve">The </w:t>
      </w:r>
      <w:r w:rsidR="0030687B">
        <w:rPr>
          <w:noProof/>
        </w:rPr>
        <w:t>c</w:t>
      </w:r>
      <w:r w:rsidR="00F03F98">
        <w:rPr>
          <w:noProof/>
        </w:rPr>
        <w:t>ert</w:t>
      </w:r>
      <w:r w:rsidR="0055500F">
        <w:rPr>
          <w:noProof/>
        </w:rPr>
        <w:t>i</w:t>
      </w:r>
      <w:r w:rsidR="00F03F98">
        <w:rPr>
          <w:noProof/>
        </w:rPr>
        <w:t xml:space="preserve">fied </w:t>
      </w:r>
      <w:r w:rsidR="0030687B">
        <w:rPr>
          <w:noProof/>
        </w:rPr>
        <w:t>f</w:t>
      </w:r>
      <w:r w:rsidR="00F03F98">
        <w:rPr>
          <w:noProof/>
        </w:rPr>
        <w:t xml:space="preserve">inancial </w:t>
      </w:r>
      <w:r w:rsidR="0030687B">
        <w:rPr>
          <w:noProof/>
        </w:rPr>
        <w:t>i</w:t>
      </w:r>
      <w:r w:rsidR="00F03F98">
        <w:rPr>
          <w:noProof/>
        </w:rPr>
        <w:t xml:space="preserve">ntermediary </w:t>
      </w:r>
      <w:r w:rsidR="00A3343B">
        <w:rPr>
          <w:noProof/>
        </w:rPr>
        <w:t xml:space="preserve">has </w:t>
      </w:r>
      <w:r w:rsidR="00F03F98">
        <w:rPr>
          <w:noProof/>
        </w:rPr>
        <w:t>verifie</w:t>
      </w:r>
      <w:r w:rsidR="00A3343B">
        <w:rPr>
          <w:noProof/>
        </w:rPr>
        <w:t>d</w:t>
      </w:r>
      <w:r w:rsidR="00F03F98">
        <w:rPr>
          <w:noProof/>
        </w:rPr>
        <w:t xml:space="preserve"> </w:t>
      </w:r>
      <w:r w:rsidR="0030687B">
        <w:rPr>
          <w:noProof/>
        </w:rPr>
        <w:t xml:space="preserve">and established </w:t>
      </w:r>
      <w:r w:rsidR="00F03F98">
        <w:rPr>
          <w:noProof/>
        </w:rPr>
        <w:t xml:space="preserve">the registered owner’s eligibility </w:t>
      </w:r>
      <w:r w:rsidR="00BA137E">
        <w:rPr>
          <w:noProof/>
        </w:rPr>
        <w:t xml:space="preserve">in accordance with </w:t>
      </w:r>
      <w:r w:rsidR="001956AF">
        <w:rPr>
          <w:noProof/>
        </w:rPr>
        <w:t>Article 1</w:t>
      </w:r>
      <w:r w:rsidR="00554887">
        <w:rPr>
          <w:noProof/>
        </w:rPr>
        <w:t>1</w:t>
      </w:r>
      <w:r w:rsidR="00487350">
        <w:rPr>
          <w:noProof/>
        </w:rPr>
        <w:t>.</w:t>
      </w:r>
      <w:r w:rsidR="001956AF">
        <w:rPr>
          <w:noProof/>
        </w:rPr>
        <w:t xml:space="preserve"> </w:t>
      </w:r>
      <w:r w:rsidR="00C22AAA">
        <w:rPr>
          <w:noProof/>
        </w:rPr>
        <w:t xml:space="preserve">Such verification may also include </w:t>
      </w:r>
      <w:r w:rsidR="00497364" w:rsidRPr="00F678B6">
        <w:rPr>
          <w:noProof/>
        </w:rPr>
        <w:t xml:space="preserve">a risk assessment </w:t>
      </w:r>
      <w:r w:rsidR="00C22AAA">
        <w:rPr>
          <w:noProof/>
        </w:rPr>
        <w:t xml:space="preserve">that </w:t>
      </w:r>
      <w:r w:rsidR="00487350" w:rsidRPr="00F678B6">
        <w:rPr>
          <w:noProof/>
        </w:rPr>
        <w:t>tak</w:t>
      </w:r>
      <w:r w:rsidR="00C22AAA">
        <w:rPr>
          <w:noProof/>
        </w:rPr>
        <w:t>es</w:t>
      </w:r>
      <w:r w:rsidR="00487350" w:rsidRPr="00F678B6">
        <w:rPr>
          <w:noProof/>
        </w:rPr>
        <w:t xml:space="preserve"> into</w:t>
      </w:r>
      <w:r w:rsidR="00051BC3" w:rsidRPr="00F678B6">
        <w:rPr>
          <w:noProof/>
        </w:rPr>
        <w:t xml:space="preserve"> </w:t>
      </w:r>
      <w:r w:rsidR="00497364" w:rsidRPr="00F678B6">
        <w:rPr>
          <w:noProof/>
        </w:rPr>
        <w:t>account the credit risk and fraud risk</w:t>
      </w:r>
      <w:r w:rsidR="00C22AAA">
        <w:rPr>
          <w:noProof/>
        </w:rPr>
        <w:t>.</w:t>
      </w:r>
      <w:bookmarkEnd w:id="4"/>
    </w:p>
    <w:p w14:paraId="74303AEF" w14:textId="4F349427" w:rsidR="001956AF" w:rsidRPr="00CB646F" w:rsidRDefault="00412FF6" w:rsidP="00412FF6">
      <w:pPr>
        <w:pStyle w:val="ManualNumPar1"/>
        <w:rPr>
          <w:noProof/>
        </w:rPr>
      </w:pPr>
      <w:r w:rsidRPr="00412FF6">
        <w:t>2.</w:t>
      </w:r>
      <w:r w:rsidRPr="00412FF6">
        <w:tab/>
      </w:r>
      <w:r w:rsidR="001956AF" w:rsidRPr="00CB646F">
        <w:rPr>
          <w:iCs/>
          <w:noProof/>
        </w:rPr>
        <w:t>Notwithstanding paragraph 1</w:t>
      </w:r>
      <w:r w:rsidR="001956AF" w:rsidRPr="00CB646F">
        <w:rPr>
          <w:noProof/>
        </w:rPr>
        <w:t>, Member States</w:t>
      </w:r>
      <w:r w:rsidR="00961436">
        <w:rPr>
          <w:noProof/>
        </w:rPr>
        <w:t xml:space="preserve"> shall</w:t>
      </w:r>
      <w:r w:rsidR="00BA137E" w:rsidRPr="00CB646F">
        <w:rPr>
          <w:noProof/>
        </w:rPr>
        <w:t xml:space="preserve"> </w:t>
      </w:r>
      <w:r w:rsidR="001F2242" w:rsidRPr="00CB646F">
        <w:rPr>
          <w:noProof/>
        </w:rPr>
        <w:t xml:space="preserve">not provide </w:t>
      </w:r>
      <w:r w:rsidR="003A3AB2" w:rsidRPr="00CB646F">
        <w:rPr>
          <w:noProof/>
        </w:rPr>
        <w:t xml:space="preserve">relief under </w:t>
      </w:r>
      <w:r w:rsidR="003E5E60" w:rsidRPr="00CB646F">
        <w:rPr>
          <w:noProof/>
        </w:rPr>
        <w:t xml:space="preserve">the systems as provided for under </w:t>
      </w:r>
      <w:r w:rsidR="003A3AB2" w:rsidRPr="00CB646F">
        <w:rPr>
          <w:noProof/>
        </w:rPr>
        <w:t>Article</w:t>
      </w:r>
      <w:r w:rsidR="00AC23A2" w:rsidRPr="00CB646F">
        <w:rPr>
          <w:noProof/>
        </w:rPr>
        <w:t>s 1</w:t>
      </w:r>
      <w:r w:rsidR="00554887" w:rsidRPr="00CB646F">
        <w:rPr>
          <w:noProof/>
        </w:rPr>
        <w:t>2</w:t>
      </w:r>
      <w:r w:rsidR="00AC23A2" w:rsidRPr="00CB646F">
        <w:rPr>
          <w:noProof/>
        </w:rPr>
        <w:t xml:space="preserve"> and</w:t>
      </w:r>
      <w:r w:rsidR="003A3AB2" w:rsidRPr="00CB646F">
        <w:rPr>
          <w:noProof/>
        </w:rPr>
        <w:t xml:space="preserve"> 1</w:t>
      </w:r>
      <w:r w:rsidR="00554887" w:rsidRPr="00CB646F">
        <w:rPr>
          <w:noProof/>
        </w:rPr>
        <w:t>3</w:t>
      </w:r>
      <w:r w:rsidR="003A3AB2" w:rsidRPr="00CB646F">
        <w:rPr>
          <w:noProof/>
        </w:rPr>
        <w:t xml:space="preserve"> </w:t>
      </w:r>
      <w:r w:rsidR="005B0478" w:rsidRPr="00CB646F">
        <w:rPr>
          <w:noProof/>
        </w:rPr>
        <w:t>for a request</w:t>
      </w:r>
      <w:r w:rsidR="003A3AB2" w:rsidRPr="00CB646F">
        <w:rPr>
          <w:noProof/>
        </w:rPr>
        <w:t>,</w:t>
      </w:r>
      <w:r w:rsidR="001956AF" w:rsidRPr="00CB646F">
        <w:rPr>
          <w:noProof/>
        </w:rPr>
        <w:t xml:space="preserve"> where:</w:t>
      </w:r>
    </w:p>
    <w:p w14:paraId="7951DF21" w14:textId="77777777" w:rsidR="005B0478" w:rsidRDefault="00412FF6" w:rsidP="00412FF6">
      <w:pPr>
        <w:pStyle w:val="Point1"/>
        <w:rPr>
          <w:noProof/>
        </w:rPr>
      </w:pPr>
      <w:r w:rsidRPr="00CB646F">
        <w:t>(a)</w:t>
      </w:r>
      <w:r w:rsidRPr="00CB646F">
        <w:tab/>
      </w:r>
      <w:r w:rsidR="005B0478" w:rsidRPr="00CB646F">
        <w:rPr>
          <w:noProof/>
        </w:rPr>
        <w:t xml:space="preserve">the dividend has been paid on a publicly traded share that the registered owner acquired within a period of </w:t>
      </w:r>
      <w:r w:rsidR="005B0478" w:rsidRPr="00CB646F">
        <w:rPr>
          <w:b/>
          <w:i/>
          <w:strike/>
          <w:noProof/>
        </w:rPr>
        <w:t>two</w:t>
      </w:r>
      <w:r w:rsidR="005B0478" w:rsidRPr="00CB646F">
        <w:rPr>
          <w:noProof/>
        </w:rPr>
        <w:t xml:space="preserve"> </w:t>
      </w:r>
      <w:r w:rsidR="007250D6" w:rsidRPr="00CB646F">
        <w:rPr>
          <w:b/>
          <w:i/>
        </w:rPr>
        <w:t>five (Renew 95)</w:t>
      </w:r>
      <w:r w:rsidR="007250D6" w:rsidRPr="00CB646F">
        <w:t xml:space="preserve"> </w:t>
      </w:r>
      <w:r w:rsidR="005B0478" w:rsidRPr="00CB646F">
        <w:rPr>
          <w:noProof/>
        </w:rPr>
        <w:t>days before the ex-dividend date;</w:t>
      </w:r>
    </w:p>
    <w:p w14:paraId="54E9DC04" w14:textId="77777777" w:rsidR="007250D6" w:rsidRDefault="00412FF6" w:rsidP="00412FF6">
      <w:pPr>
        <w:pStyle w:val="Point1"/>
        <w:rPr>
          <w:noProof/>
        </w:rPr>
      </w:pPr>
      <w:r w:rsidRPr="00412FF6">
        <w:t>(b)</w:t>
      </w:r>
      <w:r w:rsidRPr="00412FF6">
        <w:tab/>
      </w:r>
      <w:r w:rsidR="003B7A50" w:rsidRPr="000B68F0">
        <w:rPr>
          <w:noProof/>
        </w:rPr>
        <w:t>the</w:t>
      </w:r>
      <w:r w:rsidR="001956AF" w:rsidRPr="000B68F0">
        <w:rPr>
          <w:noProof/>
        </w:rPr>
        <w:t xml:space="preserve"> dividend</w:t>
      </w:r>
      <w:r w:rsidR="00FC79A4" w:rsidRPr="000B68F0">
        <w:rPr>
          <w:noProof/>
        </w:rPr>
        <w:t xml:space="preserve"> </w:t>
      </w:r>
      <w:r w:rsidR="001956AF" w:rsidRPr="000B68F0">
        <w:rPr>
          <w:noProof/>
        </w:rPr>
        <w:t>payment o</w:t>
      </w:r>
      <w:r w:rsidR="000B68F0" w:rsidRPr="000B68F0">
        <w:rPr>
          <w:noProof/>
        </w:rPr>
        <w:t>n</w:t>
      </w:r>
      <w:r w:rsidR="001956AF" w:rsidRPr="000B68F0">
        <w:rPr>
          <w:noProof/>
        </w:rPr>
        <w:t xml:space="preserve"> the underlying security for which relief is requested</w:t>
      </w:r>
      <w:r w:rsidR="000B68F0" w:rsidRPr="000B68F0">
        <w:rPr>
          <w:noProof/>
        </w:rPr>
        <w:t xml:space="preserve"> is linked to a financial arrangement that has not been settled, expired or otherwise terminated at the ex-dividend date</w:t>
      </w:r>
      <w:r w:rsidR="00463799">
        <w:rPr>
          <w:noProof/>
        </w:rPr>
        <w:t>.</w:t>
      </w:r>
    </w:p>
    <w:p w14:paraId="2AAA5601" w14:textId="77777777" w:rsidR="007250D6" w:rsidRDefault="00412FF6" w:rsidP="007250D6">
      <w:pPr>
        <w:pStyle w:val="ManualNumPar1"/>
        <w:rPr>
          <w:noProof/>
        </w:rPr>
      </w:pPr>
      <w:r w:rsidRPr="00412FF6">
        <w:t>3.</w:t>
      </w:r>
      <w:r w:rsidRPr="00412FF6">
        <w:tab/>
      </w:r>
      <w:r w:rsidR="6D09F942">
        <w:rPr>
          <w:noProof/>
        </w:rPr>
        <w:t>Notwithstanding paragraph 1, Member States may</w:t>
      </w:r>
      <w:r w:rsidR="00340191">
        <w:rPr>
          <w:noProof/>
        </w:rPr>
        <w:t xml:space="preserve"> </w:t>
      </w:r>
      <w:r w:rsidR="6D09F942">
        <w:rPr>
          <w:noProof/>
        </w:rPr>
        <w:t xml:space="preserve">exclude </w:t>
      </w:r>
      <w:r w:rsidR="00340191">
        <w:rPr>
          <w:noProof/>
        </w:rPr>
        <w:t xml:space="preserve">requests from </w:t>
      </w:r>
      <w:r w:rsidR="6D09F942">
        <w:rPr>
          <w:noProof/>
        </w:rPr>
        <w:t>relief under Articles 12 and 13, where:</w:t>
      </w:r>
    </w:p>
    <w:p w14:paraId="63B221F4" w14:textId="77777777" w:rsidR="3E2E3C02" w:rsidRPr="00D70754" w:rsidRDefault="00412FF6" w:rsidP="00412FF6">
      <w:pPr>
        <w:pStyle w:val="Point1"/>
        <w:rPr>
          <w:noProof/>
        </w:rPr>
      </w:pPr>
      <w:r w:rsidRPr="00412FF6">
        <w:t>(a)</w:t>
      </w:r>
      <w:r w:rsidRPr="00412FF6">
        <w:tab/>
      </w:r>
      <w:r w:rsidR="3E2E3C02">
        <w:rPr>
          <w:noProof/>
        </w:rPr>
        <w:t>at least one of the financial intermediaries in the securities payment chain</w:t>
      </w:r>
      <w:r w:rsidR="00527029">
        <w:rPr>
          <w:noProof/>
        </w:rPr>
        <w:t xml:space="preserve"> is not a </w:t>
      </w:r>
      <w:r w:rsidR="00F70C95">
        <w:rPr>
          <w:noProof/>
        </w:rPr>
        <w:t>c</w:t>
      </w:r>
      <w:r w:rsidR="00527029">
        <w:rPr>
          <w:noProof/>
        </w:rPr>
        <w:t xml:space="preserve">ertified </w:t>
      </w:r>
      <w:r w:rsidR="00F70C95">
        <w:rPr>
          <w:noProof/>
        </w:rPr>
        <w:t>f</w:t>
      </w:r>
      <w:r w:rsidR="00527029">
        <w:rPr>
          <w:noProof/>
        </w:rPr>
        <w:t xml:space="preserve">inancial </w:t>
      </w:r>
      <w:r w:rsidR="00F70C95">
        <w:rPr>
          <w:noProof/>
        </w:rPr>
        <w:t>i</w:t>
      </w:r>
      <w:r w:rsidR="00527029">
        <w:rPr>
          <w:noProof/>
        </w:rPr>
        <w:t>ntermediary</w:t>
      </w:r>
      <w:r w:rsidR="00AF721E">
        <w:rPr>
          <w:noProof/>
        </w:rPr>
        <w:t xml:space="preserve"> and </w:t>
      </w:r>
      <w:r w:rsidR="00527029">
        <w:rPr>
          <w:noProof/>
        </w:rPr>
        <w:t xml:space="preserve">a subsequent </w:t>
      </w:r>
      <w:r w:rsidR="002E3599">
        <w:rPr>
          <w:noProof/>
        </w:rPr>
        <w:t xml:space="preserve">certified financial intermediary </w:t>
      </w:r>
      <w:r w:rsidR="00527029">
        <w:rPr>
          <w:noProof/>
        </w:rPr>
        <w:t xml:space="preserve">in the chain </w:t>
      </w:r>
      <w:r w:rsidR="3E2E3C02" w:rsidRPr="00D70754">
        <w:rPr>
          <w:noProof/>
        </w:rPr>
        <w:t xml:space="preserve">has not provided to </w:t>
      </w:r>
      <w:r w:rsidR="00527029" w:rsidRPr="00D70754">
        <w:rPr>
          <w:noProof/>
        </w:rPr>
        <w:t>the competent authority</w:t>
      </w:r>
      <w:r w:rsidR="3E2E3C02" w:rsidRPr="00D70754">
        <w:rPr>
          <w:noProof/>
        </w:rPr>
        <w:t xml:space="preserve"> the information </w:t>
      </w:r>
      <w:r w:rsidR="00527029" w:rsidRPr="00D70754">
        <w:rPr>
          <w:noProof/>
        </w:rPr>
        <w:t xml:space="preserve">that the financial intermediary should report under this Directive if it were a </w:t>
      </w:r>
      <w:r w:rsidR="00215A44" w:rsidRPr="00D70754">
        <w:rPr>
          <w:noProof/>
        </w:rPr>
        <w:t>c</w:t>
      </w:r>
      <w:r w:rsidR="00527029" w:rsidRPr="00D70754">
        <w:rPr>
          <w:noProof/>
        </w:rPr>
        <w:t xml:space="preserve">ertified </w:t>
      </w:r>
      <w:r w:rsidR="00215A44" w:rsidRPr="00D70754">
        <w:rPr>
          <w:noProof/>
        </w:rPr>
        <w:t>f</w:t>
      </w:r>
      <w:r w:rsidR="00527029" w:rsidRPr="00D70754">
        <w:rPr>
          <w:noProof/>
        </w:rPr>
        <w:t xml:space="preserve">inancial </w:t>
      </w:r>
      <w:r w:rsidR="00215A44" w:rsidRPr="00D70754">
        <w:rPr>
          <w:noProof/>
        </w:rPr>
        <w:t>i</w:t>
      </w:r>
      <w:r w:rsidR="00527029" w:rsidRPr="00D70754">
        <w:rPr>
          <w:noProof/>
        </w:rPr>
        <w:t>ntermediary</w:t>
      </w:r>
      <w:r w:rsidR="00340191" w:rsidRPr="00D70754">
        <w:rPr>
          <w:noProof/>
        </w:rPr>
        <w:t>; or</w:t>
      </w:r>
    </w:p>
    <w:p w14:paraId="43CD7352" w14:textId="1276E77C" w:rsidR="007250D6" w:rsidRPr="00D70754" w:rsidRDefault="00412FF6" w:rsidP="007250D6">
      <w:pPr>
        <w:pStyle w:val="Point1"/>
        <w:rPr>
          <w:noProof/>
        </w:rPr>
      </w:pPr>
      <w:r w:rsidRPr="00D70754">
        <w:t>(b)</w:t>
      </w:r>
      <w:r w:rsidRPr="00D70754">
        <w:tab/>
      </w:r>
      <w:r w:rsidR="00340191" w:rsidRPr="00D70754">
        <w:rPr>
          <w:noProof/>
        </w:rPr>
        <w:t>an exemption</w:t>
      </w:r>
      <w:r w:rsidR="007250D6" w:rsidRPr="00412BD0">
        <w:rPr>
          <w:noProof/>
        </w:rPr>
        <w:t xml:space="preserve"> </w:t>
      </w:r>
      <w:r w:rsidR="00340191" w:rsidRPr="00D70754">
        <w:rPr>
          <w:noProof/>
        </w:rPr>
        <w:t>of the withholding tax is claimed.</w:t>
      </w:r>
      <w:r w:rsidR="00340191" w:rsidRPr="00D70754" w:rsidDel="6D09F942">
        <w:rPr>
          <w:noProof/>
        </w:rPr>
        <w:t xml:space="preserve"> </w:t>
      </w:r>
    </w:p>
    <w:p w14:paraId="3BCDD6EC" w14:textId="77777777" w:rsidR="007250D6" w:rsidRDefault="007250D6" w:rsidP="007250D6">
      <w:pPr>
        <w:pStyle w:val="ManualNumPar1"/>
        <w:rPr>
          <w:noProof/>
        </w:rPr>
      </w:pPr>
      <w:r w:rsidRPr="00D70754">
        <w:rPr>
          <w:b/>
          <w:i/>
        </w:rPr>
        <w:t>3 a.</w:t>
      </w:r>
      <w:r w:rsidRPr="00D70754">
        <w:tab/>
      </w:r>
      <w:r w:rsidRPr="00D70754">
        <w:rPr>
          <w:b/>
          <w:i/>
        </w:rPr>
        <w:t>The control powers of Member States, pursuant to their national legislation, on the taxable income to which the relief was applied, shall not be limited. (Renew 99)</w:t>
      </w:r>
    </w:p>
    <w:p w14:paraId="62BAF62C" w14:textId="77777777" w:rsidR="007250D6" w:rsidRDefault="007250D6" w:rsidP="007250D6">
      <w:pPr>
        <w:pStyle w:val="Point1"/>
        <w:ind w:left="0" w:firstLine="0"/>
        <w:rPr>
          <w:noProof/>
        </w:rPr>
      </w:pPr>
    </w:p>
    <w:p w14:paraId="3A3A6118" w14:textId="77777777" w:rsidR="00906809" w:rsidRDefault="00906809" w:rsidP="00906809">
      <w:pPr>
        <w:pStyle w:val="Text1"/>
      </w:pPr>
    </w:p>
    <w:p w14:paraId="6CABABA9" w14:textId="77777777" w:rsidR="00906809" w:rsidRDefault="00906809" w:rsidP="007250D6">
      <w:pPr>
        <w:pStyle w:val="Point1"/>
        <w:ind w:left="0" w:firstLine="0"/>
        <w:rPr>
          <w:noProof/>
        </w:rPr>
      </w:pPr>
    </w:p>
    <w:p w14:paraId="10E55959" w14:textId="77777777" w:rsidR="00261C29" w:rsidRPr="00657833" w:rsidRDefault="00261C29" w:rsidP="00261C29">
      <w:pPr>
        <w:rPr>
          <w:noProof/>
          <w:lang w:val="en-US"/>
        </w:rPr>
      </w:pPr>
      <w:r w:rsidRPr="000E01EB">
        <w:rPr>
          <w:b/>
          <w:noProof/>
          <w:highlight w:val="green"/>
        </w:rPr>
        <w:t xml:space="preserve">COMP </w:t>
      </w:r>
      <w:r>
        <w:rPr>
          <w:b/>
          <w:noProof/>
          <w:highlight w:val="green"/>
        </w:rPr>
        <w:t>D</w:t>
      </w:r>
      <w:r w:rsidRPr="000E01EB">
        <w:rPr>
          <w:b/>
          <w:noProof/>
          <w:highlight w:val="green"/>
        </w:rPr>
        <w:t xml:space="preserve"> </w:t>
      </w:r>
    </w:p>
    <w:p w14:paraId="6F2936F5" w14:textId="77777777" w:rsidR="00375C92" w:rsidRDefault="00375C92" w:rsidP="00375C92">
      <w:pPr>
        <w:pStyle w:val="ManualConsidrant"/>
        <w:rPr>
          <w:b/>
          <w:noProof/>
        </w:rPr>
      </w:pPr>
    </w:p>
    <w:p w14:paraId="1B2E3FA1" w14:textId="272F79B2" w:rsidR="00375C92" w:rsidRPr="0043710D" w:rsidRDefault="00974931" w:rsidP="00375C92">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AMs covered: 106</w:t>
      </w:r>
      <w:r w:rsidR="00375C92">
        <w:rPr>
          <w:b w:val="0"/>
          <w:i/>
        </w:rPr>
        <w:t xml:space="preserve"> EPP, 108 S&amp;D and Greens, 100, 101, 102, 107, 110, 113, 118 Renew</w:t>
      </w:r>
      <w:r w:rsidR="009D3962">
        <w:rPr>
          <w:b w:val="0"/>
          <w:i/>
        </w:rPr>
        <w:t xml:space="preserve"> </w:t>
      </w:r>
      <w:r w:rsidR="00375C92">
        <w:rPr>
          <w:b w:val="0"/>
          <w:i/>
        </w:rPr>
        <w:br/>
      </w:r>
      <w:r w:rsidR="00375C92" w:rsidRPr="0043710D">
        <w:rPr>
          <w:b w:val="0"/>
          <w:i/>
        </w:rPr>
        <w:t>AM</w:t>
      </w:r>
      <w:r w:rsidR="00375C92">
        <w:rPr>
          <w:b w:val="0"/>
          <w:i/>
        </w:rPr>
        <w:t>s that fall if COMP is adopted:</w:t>
      </w:r>
      <w:r>
        <w:rPr>
          <w:b w:val="0"/>
          <w:i/>
        </w:rPr>
        <w:t xml:space="preserve">111, 114 EPP, </w:t>
      </w:r>
      <w:r w:rsidR="00375C92">
        <w:rPr>
          <w:b w:val="0"/>
          <w:i/>
        </w:rPr>
        <w:t xml:space="preserve">103 S&amp;D, </w:t>
      </w:r>
      <w:r>
        <w:rPr>
          <w:b w:val="0"/>
          <w:i/>
        </w:rPr>
        <w:t xml:space="preserve">113 Renew, </w:t>
      </w:r>
      <w:r w:rsidR="00375C92">
        <w:rPr>
          <w:b w:val="0"/>
          <w:i/>
        </w:rPr>
        <w:t>104</w:t>
      </w:r>
      <w:r w:rsidR="009D3962">
        <w:rPr>
          <w:b w:val="0"/>
          <w:i/>
        </w:rPr>
        <w:t>, 115</w:t>
      </w:r>
      <w:r w:rsidR="00375C92">
        <w:rPr>
          <w:b w:val="0"/>
          <w:i/>
        </w:rPr>
        <w:t xml:space="preserve"> Greens, 105, 109, 112, 116, 117 The left</w:t>
      </w:r>
    </w:p>
    <w:p w14:paraId="49A174FC" w14:textId="77777777" w:rsidR="00261C29" w:rsidRDefault="00261C29" w:rsidP="007250D6">
      <w:pPr>
        <w:pStyle w:val="Point1"/>
        <w:ind w:left="0" w:firstLine="0"/>
        <w:rPr>
          <w:noProof/>
        </w:rPr>
      </w:pPr>
    </w:p>
    <w:p w14:paraId="5211D697" w14:textId="77777777" w:rsidR="001956AF" w:rsidRPr="00D70754" w:rsidRDefault="001956AF" w:rsidP="000A0493">
      <w:pPr>
        <w:pStyle w:val="Titrearticle"/>
        <w:rPr>
          <w:b/>
          <w:bCs/>
          <w:i w:val="0"/>
          <w:iCs/>
          <w:noProof/>
        </w:rPr>
      </w:pPr>
      <w:r w:rsidRPr="0017549F">
        <w:rPr>
          <w:noProof/>
        </w:rPr>
        <w:lastRenderedPageBreak/>
        <w:t xml:space="preserve">Article </w:t>
      </w:r>
      <w:r>
        <w:rPr>
          <w:iCs/>
          <w:noProof/>
        </w:rPr>
        <w:t>1</w:t>
      </w:r>
      <w:r w:rsidR="005E3AA5">
        <w:rPr>
          <w:iCs/>
          <w:noProof/>
        </w:rPr>
        <w:t>1</w:t>
      </w:r>
      <w:r w:rsidR="000A0493">
        <w:rPr>
          <w:noProof/>
        </w:rPr>
        <w:br/>
      </w:r>
      <w:r w:rsidRPr="00D70754">
        <w:rPr>
          <w:b/>
          <w:bCs/>
          <w:i w:val="0"/>
          <w:iCs/>
          <w:noProof/>
        </w:rPr>
        <w:t xml:space="preserve">Due diligence of </w:t>
      </w:r>
      <w:r w:rsidR="00F70C95" w:rsidRPr="00D70754">
        <w:rPr>
          <w:b/>
          <w:bCs/>
          <w:i w:val="0"/>
          <w:iCs/>
          <w:noProof/>
        </w:rPr>
        <w:t>r</w:t>
      </w:r>
      <w:r w:rsidR="000C0442" w:rsidRPr="00D70754">
        <w:rPr>
          <w:b/>
          <w:bCs/>
          <w:i w:val="0"/>
          <w:iCs/>
          <w:noProof/>
        </w:rPr>
        <w:t xml:space="preserve">egistered </w:t>
      </w:r>
      <w:r w:rsidR="00F70C95" w:rsidRPr="00D70754">
        <w:rPr>
          <w:b/>
          <w:bCs/>
          <w:i w:val="0"/>
          <w:iCs/>
          <w:noProof/>
        </w:rPr>
        <w:t>o</w:t>
      </w:r>
      <w:r w:rsidR="000C0442" w:rsidRPr="00D70754">
        <w:rPr>
          <w:b/>
          <w:bCs/>
          <w:i w:val="0"/>
          <w:iCs/>
          <w:noProof/>
        </w:rPr>
        <w:t>wner</w:t>
      </w:r>
      <w:r w:rsidRPr="00D70754">
        <w:rPr>
          <w:b/>
          <w:bCs/>
          <w:i w:val="0"/>
          <w:iCs/>
          <w:noProof/>
        </w:rPr>
        <w:t xml:space="preserve">’s </w:t>
      </w:r>
      <w:r w:rsidR="00F70C95" w:rsidRPr="00D70754">
        <w:rPr>
          <w:b/>
          <w:bCs/>
          <w:i w:val="0"/>
          <w:iCs/>
          <w:noProof/>
        </w:rPr>
        <w:t>e</w:t>
      </w:r>
      <w:r w:rsidRPr="00D70754">
        <w:rPr>
          <w:b/>
          <w:bCs/>
          <w:i w:val="0"/>
          <w:iCs/>
          <w:noProof/>
        </w:rPr>
        <w:t>ligibility</w:t>
      </w:r>
    </w:p>
    <w:p w14:paraId="1162400A" w14:textId="77777777" w:rsidR="001956AF" w:rsidRPr="00D70754" w:rsidRDefault="00412FF6" w:rsidP="00412FF6">
      <w:pPr>
        <w:pStyle w:val="ManualNumPar1"/>
        <w:rPr>
          <w:noProof/>
        </w:rPr>
      </w:pPr>
      <w:r w:rsidRPr="00D70754">
        <w:t>1.</w:t>
      </w:r>
      <w:r w:rsidRPr="00D70754">
        <w:tab/>
      </w:r>
      <w:r w:rsidR="001956AF" w:rsidRPr="00D70754">
        <w:rPr>
          <w:noProof/>
        </w:rPr>
        <w:t xml:space="preserve">Member States shall </w:t>
      </w:r>
      <w:r w:rsidR="007250D6" w:rsidRPr="00D70754">
        <w:rPr>
          <w:b/>
          <w:i/>
        </w:rPr>
        <w:t>take the necessary measures to (Renew 100)</w:t>
      </w:r>
      <w:r w:rsidR="007250D6" w:rsidRPr="00D70754">
        <w:rPr>
          <w:noProof/>
        </w:rPr>
        <w:t xml:space="preserve"> </w:t>
      </w:r>
      <w:r w:rsidR="00F70C95" w:rsidRPr="00D70754">
        <w:rPr>
          <w:noProof/>
        </w:rPr>
        <w:t>ensure</w:t>
      </w:r>
      <w:r w:rsidR="001956AF" w:rsidRPr="00D70754">
        <w:rPr>
          <w:noProof/>
        </w:rPr>
        <w:t xml:space="preserve"> </w:t>
      </w:r>
      <w:r w:rsidR="000A591C" w:rsidRPr="00D70754">
        <w:rPr>
          <w:noProof/>
        </w:rPr>
        <w:t xml:space="preserve">that </w:t>
      </w:r>
      <w:r w:rsidR="001956AF" w:rsidRPr="00D70754">
        <w:rPr>
          <w:noProof/>
        </w:rPr>
        <w:t xml:space="preserve">the </w:t>
      </w:r>
      <w:r w:rsidR="00F70C95" w:rsidRPr="00D70754">
        <w:rPr>
          <w:noProof/>
        </w:rPr>
        <w:t>c</w:t>
      </w:r>
      <w:r w:rsidR="001956AF" w:rsidRPr="00D70754">
        <w:rPr>
          <w:noProof/>
        </w:rPr>
        <w:t xml:space="preserve">ertified </w:t>
      </w:r>
      <w:r w:rsidR="00F70C95" w:rsidRPr="00D70754">
        <w:rPr>
          <w:noProof/>
        </w:rPr>
        <w:t>f</w:t>
      </w:r>
      <w:r w:rsidR="001956AF" w:rsidRPr="00D70754">
        <w:rPr>
          <w:noProof/>
        </w:rPr>
        <w:t xml:space="preserve">inancial </w:t>
      </w:r>
      <w:r w:rsidR="00F70C95" w:rsidRPr="00D70754">
        <w:rPr>
          <w:noProof/>
        </w:rPr>
        <w:t>i</w:t>
      </w:r>
      <w:r w:rsidR="001956AF" w:rsidRPr="00D70754">
        <w:rPr>
          <w:noProof/>
        </w:rPr>
        <w:t xml:space="preserve">ntermediary </w:t>
      </w:r>
      <w:r w:rsidR="000F47C1" w:rsidRPr="00D70754">
        <w:rPr>
          <w:noProof/>
        </w:rPr>
        <w:t>requesting</w:t>
      </w:r>
      <w:r w:rsidR="46A3D038" w:rsidRPr="00D70754">
        <w:rPr>
          <w:noProof/>
        </w:rPr>
        <w:t xml:space="preserve"> </w:t>
      </w:r>
      <w:r w:rsidR="05EA1DD0" w:rsidRPr="00D70754">
        <w:rPr>
          <w:noProof/>
        </w:rPr>
        <w:t xml:space="preserve">relief </w:t>
      </w:r>
      <w:r w:rsidR="000F47C1" w:rsidRPr="00D70754">
        <w:rPr>
          <w:noProof/>
        </w:rPr>
        <w:t xml:space="preserve">under Article 12 and/or 13 </w:t>
      </w:r>
      <w:r w:rsidR="05EA1DD0" w:rsidRPr="00D70754">
        <w:rPr>
          <w:noProof/>
        </w:rPr>
        <w:t xml:space="preserve">on </w:t>
      </w:r>
      <w:r w:rsidR="2B068B0C" w:rsidRPr="00D70754">
        <w:rPr>
          <w:noProof/>
        </w:rPr>
        <w:t>behalf of</w:t>
      </w:r>
      <w:r w:rsidR="000F47C1" w:rsidRPr="00D70754">
        <w:rPr>
          <w:noProof/>
        </w:rPr>
        <w:t xml:space="preserve"> a</w:t>
      </w:r>
      <w:r w:rsidR="2B068B0C" w:rsidRPr="00D70754">
        <w:rPr>
          <w:noProof/>
        </w:rPr>
        <w:t xml:space="preserve"> </w:t>
      </w:r>
      <w:r w:rsidR="000F47C1" w:rsidRPr="00D70754">
        <w:rPr>
          <w:noProof/>
        </w:rPr>
        <w:t>registered owner</w:t>
      </w:r>
      <w:r w:rsidR="00C56ACB" w:rsidRPr="00D70754">
        <w:rPr>
          <w:noProof/>
        </w:rPr>
        <w:t xml:space="preserve"> </w:t>
      </w:r>
      <w:r w:rsidR="000A591C" w:rsidRPr="00D70754">
        <w:rPr>
          <w:noProof/>
        </w:rPr>
        <w:t>obtain</w:t>
      </w:r>
      <w:r w:rsidR="00C56ACB" w:rsidRPr="00D70754">
        <w:rPr>
          <w:noProof/>
        </w:rPr>
        <w:t>s</w:t>
      </w:r>
      <w:r w:rsidR="000A591C" w:rsidRPr="00D70754">
        <w:rPr>
          <w:noProof/>
        </w:rPr>
        <w:t xml:space="preserve"> from </w:t>
      </w:r>
      <w:r w:rsidR="000F47C1" w:rsidRPr="00D70754">
        <w:rPr>
          <w:noProof/>
        </w:rPr>
        <w:t>such registered owner</w:t>
      </w:r>
      <w:r w:rsidR="000A591C" w:rsidRPr="00D70754">
        <w:rPr>
          <w:noProof/>
        </w:rPr>
        <w:t xml:space="preserve"> </w:t>
      </w:r>
      <w:r w:rsidR="001956AF" w:rsidRPr="00D70754">
        <w:rPr>
          <w:noProof/>
        </w:rPr>
        <w:t xml:space="preserve">a </w:t>
      </w:r>
      <w:r w:rsidR="000A591C" w:rsidRPr="00D70754">
        <w:rPr>
          <w:noProof/>
        </w:rPr>
        <w:t xml:space="preserve">declaration that </w:t>
      </w:r>
      <w:r w:rsidR="000F47C1" w:rsidRPr="00D70754">
        <w:rPr>
          <w:noProof/>
        </w:rPr>
        <w:t>the registered owner</w:t>
      </w:r>
      <w:r w:rsidR="001956AF" w:rsidRPr="00D70754">
        <w:rPr>
          <w:noProof/>
        </w:rPr>
        <w:t>:</w:t>
      </w:r>
    </w:p>
    <w:p w14:paraId="013F89AB" w14:textId="77777777" w:rsidR="001956AF" w:rsidRPr="00D70754" w:rsidRDefault="00412FF6" w:rsidP="00412FF6">
      <w:pPr>
        <w:pStyle w:val="Point1"/>
        <w:rPr>
          <w:noProof/>
        </w:rPr>
      </w:pPr>
      <w:r w:rsidRPr="00D70754">
        <w:t>(a)</w:t>
      </w:r>
      <w:r w:rsidRPr="00D70754">
        <w:tab/>
      </w:r>
      <w:r w:rsidR="001956AF" w:rsidRPr="00D70754">
        <w:rPr>
          <w:noProof/>
        </w:rPr>
        <w:t xml:space="preserve">is the beneficial owner of the dividend </w:t>
      </w:r>
      <w:r w:rsidR="00FC79A4" w:rsidRPr="00D70754">
        <w:rPr>
          <w:noProof/>
        </w:rPr>
        <w:t xml:space="preserve">or interest </w:t>
      </w:r>
      <w:r w:rsidR="001956AF" w:rsidRPr="00D70754">
        <w:rPr>
          <w:noProof/>
        </w:rPr>
        <w:t xml:space="preserve">as defined under the national legislation of the </w:t>
      </w:r>
      <w:r w:rsidR="000F47C1" w:rsidRPr="00D70754">
        <w:rPr>
          <w:noProof/>
        </w:rPr>
        <w:t xml:space="preserve">source </w:t>
      </w:r>
      <w:r w:rsidR="001956AF" w:rsidRPr="00D70754">
        <w:rPr>
          <w:noProof/>
        </w:rPr>
        <w:t>Member State</w:t>
      </w:r>
      <w:r w:rsidR="007250D6" w:rsidRPr="00D70754">
        <w:rPr>
          <w:b/>
          <w:i/>
        </w:rPr>
        <w:t xml:space="preserve"> or a double tax treaty (Renew 101)</w:t>
      </w:r>
      <w:r w:rsidR="001956AF" w:rsidRPr="00D70754">
        <w:rPr>
          <w:noProof/>
        </w:rPr>
        <w:t>; and</w:t>
      </w:r>
    </w:p>
    <w:p w14:paraId="7D9103EA" w14:textId="77777777" w:rsidR="001956AF" w:rsidRPr="00D70754" w:rsidRDefault="00412FF6" w:rsidP="00412FF6">
      <w:pPr>
        <w:pStyle w:val="Point1"/>
        <w:rPr>
          <w:noProof/>
        </w:rPr>
      </w:pPr>
      <w:r w:rsidRPr="00D70754">
        <w:t>(b)</w:t>
      </w:r>
      <w:r w:rsidRPr="00D70754">
        <w:tab/>
      </w:r>
      <w:r w:rsidR="001956AF" w:rsidRPr="00D70754">
        <w:rPr>
          <w:noProof/>
        </w:rPr>
        <w:t xml:space="preserve">has not engaged in a financial arrangement linked to the underlying </w:t>
      </w:r>
      <w:r w:rsidR="000F47C1" w:rsidRPr="00D70754">
        <w:rPr>
          <w:noProof/>
        </w:rPr>
        <w:t xml:space="preserve">publicly traded share </w:t>
      </w:r>
      <w:r w:rsidR="00982764" w:rsidRPr="00D70754">
        <w:rPr>
          <w:noProof/>
        </w:rPr>
        <w:t>that has not been settled, expired or otherwise terminated at the ex-dividend date</w:t>
      </w:r>
      <w:r w:rsidR="001956AF" w:rsidRPr="00D70754">
        <w:rPr>
          <w:noProof/>
        </w:rPr>
        <w:t>.</w:t>
      </w:r>
    </w:p>
    <w:p w14:paraId="3F501AF3" w14:textId="77777777" w:rsidR="007250D6" w:rsidRDefault="00412FF6" w:rsidP="007250D6">
      <w:pPr>
        <w:pStyle w:val="ManualNumPar1"/>
        <w:rPr>
          <w:noProof/>
        </w:rPr>
      </w:pPr>
      <w:r w:rsidRPr="00D70754">
        <w:t>2.</w:t>
      </w:r>
      <w:r w:rsidRPr="00D70754">
        <w:tab/>
      </w:r>
      <w:r w:rsidR="001956AF" w:rsidRPr="00D70754">
        <w:rPr>
          <w:noProof/>
        </w:rPr>
        <w:t xml:space="preserve">Member States shall </w:t>
      </w:r>
      <w:r w:rsidR="007250D6" w:rsidRPr="00D70754">
        <w:rPr>
          <w:b/>
          <w:i/>
        </w:rPr>
        <w:t>take the necessary measures to (Renew 102)</w:t>
      </w:r>
      <w:r w:rsidR="007250D6" w:rsidRPr="00D70754">
        <w:rPr>
          <w:noProof/>
        </w:rPr>
        <w:t xml:space="preserve"> </w:t>
      </w:r>
      <w:r w:rsidR="00CC5F96" w:rsidRPr="00D70754">
        <w:rPr>
          <w:noProof/>
        </w:rPr>
        <w:t>ensure</w:t>
      </w:r>
      <w:r w:rsidR="001956AF" w:rsidRPr="008D6E55" w:rsidDel="00EE06AE">
        <w:rPr>
          <w:noProof/>
        </w:rPr>
        <w:t xml:space="preserve"> </w:t>
      </w:r>
      <w:r w:rsidR="00CC5F96">
        <w:rPr>
          <w:noProof/>
        </w:rPr>
        <w:t>c</w:t>
      </w:r>
      <w:r w:rsidR="001956AF">
        <w:rPr>
          <w:noProof/>
        </w:rPr>
        <w:t xml:space="preserve">ertified </w:t>
      </w:r>
      <w:r w:rsidR="00CC5F96">
        <w:rPr>
          <w:noProof/>
        </w:rPr>
        <w:t>f</w:t>
      </w:r>
      <w:r w:rsidR="001956AF">
        <w:rPr>
          <w:noProof/>
        </w:rPr>
        <w:t xml:space="preserve">inancial </w:t>
      </w:r>
      <w:r w:rsidR="00CC5F96">
        <w:rPr>
          <w:noProof/>
        </w:rPr>
        <w:t>i</w:t>
      </w:r>
      <w:r w:rsidR="001956AF">
        <w:rPr>
          <w:noProof/>
        </w:rPr>
        <w:t xml:space="preserve">ntermediaries </w:t>
      </w:r>
      <w:r w:rsidR="000C5A98">
        <w:rPr>
          <w:noProof/>
        </w:rPr>
        <w:t>requesting</w:t>
      </w:r>
      <w:r w:rsidR="1E67AFF9">
        <w:rPr>
          <w:noProof/>
        </w:rPr>
        <w:t xml:space="preserve"> relief </w:t>
      </w:r>
      <w:r w:rsidR="000C5A98">
        <w:rPr>
          <w:noProof/>
        </w:rPr>
        <w:t xml:space="preserve">under Article 12 and/or 13 </w:t>
      </w:r>
      <w:r w:rsidR="1E67AFF9">
        <w:rPr>
          <w:noProof/>
        </w:rPr>
        <w:t xml:space="preserve">on behalf of </w:t>
      </w:r>
      <w:r w:rsidR="000C5A98">
        <w:rPr>
          <w:noProof/>
        </w:rPr>
        <w:t>a registered owner</w:t>
      </w:r>
      <w:r w:rsidR="005A66ED">
        <w:rPr>
          <w:noProof/>
        </w:rPr>
        <w:t xml:space="preserve"> </w:t>
      </w:r>
      <w:r w:rsidR="008E49A6">
        <w:rPr>
          <w:noProof/>
        </w:rPr>
        <w:t>to verify</w:t>
      </w:r>
      <w:r w:rsidR="001956AF">
        <w:rPr>
          <w:noProof/>
        </w:rPr>
        <w:t xml:space="preserve">: </w:t>
      </w:r>
    </w:p>
    <w:p w14:paraId="7F26B3B7" w14:textId="447D4E05" w:rsidR="007250D6" w:rsidRDefault="007250D6" w:rsidP="00D70754">
      <w:pPr>
        <w:pStyle w:val="Point1"/>
        <w:rPr>
          <w:noProof/>
        </w:rPr>
      </w:pPr>
      <w:r w:rsidRPr="00412FF6">
        <w:t xml:space="preserve"> </w:t>
      </w:r>
      <w:r w:rsidR="00412FF6" w:rsidRPr="00412FF6">
        <w:t>(a)</w:t>
      </w:r>
      <w:r w:rsidR="00412FF6" w:rsidRPr="00412FF6">
        <w:tab/>
      </w:r>
      <w:r w:rsidR="008E49A6">
        <w:rPr>
          <w:noProof/>
        </w:rPr>
        <w:t>the</w:t>
      </w:r>
      <w:r w:rsidR="001956AF">
        <w:rPr>
          <w:noProof/>
        </w:rPr>
        <w:t xml:space="preserve"> eTRC</w:t>
      </w:r>
      <w:r w:rsidR="000C5A98">
        <w:rPr>
          <w:noProof/>
        </w:rPr>
        <w:t xml:space="preserve"> of the registered owner</w:t>
      </w:r>
      <w:r w:rsidR="001956AF">
        <w:rPr>
          <w:noProof/>
        </w:rPr>
        <w:t xml:space="preserve"> and</w:t>
      </w:r>
      <w:r w:rsidR="008E49A6">
        <w:rPr>
          <w:noProof/>
        </w:rPr>
        <w:t>/or</w:t>
      </w:r>
      <w:r w:rsidR="001956AF">
        <w:rPr>
          <w:noProof/>
        </w:rPr>
        <w:t xml:space="preserve"> </w:t>
      </w:r>
      <w:r w:rsidR="00C224FE">
        <w:rPr>
          <w:noProof/>
        </w:rPr>
        <w:t xml:space="preserve">appropriate </w:t>
      </w:r>
      <w:r w:rsidR="001956AF">
        <w:rPr>
          <w:noProof/>
        </w:rPr>
        <w:t>proof of</w:t>
      </w:r>
      <w:r w:rsidR="00C224FE">
        <w:rPr>
          <w:noProof/>
        </w:rPr>
        <w:t xml:space="preserve"> tax</w:t>
      </w:r>
      <w:r w:rsidR="001956AF">
        <w:rPr>
          <w:noProof/>
        </w:rPr>
        <w:t xml:space="preserve"> residence</w:t>
      </w:r>
      <w:r w:rsidR="00C224FE">
        <w:rPr>
          <w:noProof/>
        </w:rPr>
        <w:t xml:space="preserve"> in a </w:t>
      </w:r>
      <w:r w:rsidR="00CC5F96">
        <w:rPr>
          <w:noProof/>
        </w:rPr>
        <w:t>third</w:t>
      </w:r>
      <w:r w:rsidR="00C224FE">
        <w:rPr>
          <w:noProof/>
        </w:rPr>
        <w:t xml:space="preserve"> country</w:t>
      </w:r>
      <w:r w:rsidR="001956AF">
        <w:rPr>
          <w:noProof/>
        </w:rPr>
        <w:t xml:space="preserve">; </w:t>
      </w:r>
    </w:p>
    <w:p w14:paraId="1626E0BF" w14:textId="42F08F03" w:rsidR="00E4548D" w:rsidRPr="00D62231" w:rsidRDefault="00E4548D" w:rsidP="00D70754">
      <w:pPr>
        <w:pStyle w:val="Point1"/>
        <w:rPr>
          <w:b/>
          <w:i/>
          <w:noProof/>
        </w:rPr>
      </w:pPr>
      <w:r w:rsidRPr="00D62231">
        <w:rPr>
          <w:b/>
          <w:i/>
          <w:noProof/>
        </w:rPr>
        <w:t>(a a)</w:t>
      </w:r>
      <w:r w:rsidRPr="00D62231">
        <w:rPr>
          <w:b/>
          <w:i/>
          <w:noProof/>
        </w:rPr>
        <w:tab/>
      </w:r>
      <w:r w:rsidR="00C40060" w:rsidRPr="00D62231">
        <w:rPr>
          <w:b/>
          <w:i/>
        </w:rPr>
        <w:t xml:space="preserve">the risks </w:t>
      </w:r>
      <w:r w:rsidR="00C40060" w:rsidRPr="00D62231">
        <w:rPr>
          <w:b/>
          <w:i/>
          <w:u w:val="single"/>
        </w:rPr>
        <w:t>of residence and citizenship by investment schemes that present a potentially high risk, as identified by the OECD,</w:t>
      </w:r>
      <w:r w:rsidR="00C40060" w:rsidRPr="00D62231">
        <w:rPr>
          <w:b/>
          <w:i/>
        </w:rPr>
        <w:t xml:space="preserve"> associated with the </w:t>
      </w:r>
      <w:r w:rsidR="00C40060" w:rsidRPr="00D62231">
        <w:rPr>
          <w:b/>
          <w:i/>
          <w:u w:val="single"/>
        </w:rPr>
        <w:t>possible</w:t>
      </w:r>
      <w:r w:rsidR="00C40060" w:rsidRPr="00D62231">
        <w:rPr>
          <w:b/>
          <w:i/>
        </w:rPr>
        <w:t xml:space="preserve"> misuse by the registered owners of an eTRC issued by Member States or third countries </w:t>
      </w:r>
      <w:r w:rsidR="00C40060" w:rsidRPr="00D62231">
        <w:rPr>
          <w:b/>
          <w:i/>
          <w:u w:val="single"/>
        </w:rPr>
        <w:t>which offer such schemes</w:t>
      </w:r>
      <w:r w:rsidR="001B081C" w:rsidRPr="00D62231">
        <w:rPr>
          <w:b/>
          <w:i/>
          <w:noProof/>
        </w:rPr>
        <w:t>; (</w:t>
      </w:r>
      <w:r w:rsidRPr="00D62231">
        <w:rPr>
          <w:b/>
          <w:i/>
          <w:noProof/>
        </w:rPr>
        <w:t>S&amp;D</w:t>
      </w:r>
      <w:r w:rsidR="00CE6226" w:rsidRPr="00D62231">
        <w:rPr>
          <w:b/>
          <w:i/>
          <w:noProof/>
        </w:rPr>
        <w:t xml:space="preserve"> </w:t>
      </w:r>
      <w:r w:rsidR="001B081C" w:rsidRPr="00D62231">
        <w:rPr>
          <w:b/>
          <w:i/>
          <w:noProof/>
        </w:rPr>
        <w:t>103, Greens 104</w:t>
      </w:r>
      <w:r w:rsidRPr="00D62231">
        <w:rPr>
          <w:b/>
          <w:i/>
          <w:noProof/>
        </w:rPr>
        <w:t>)</w:t>
      </w:r>
    </w:p>
    <w:p w14:paraId="0AC972B6" w14:textId="77777777" w:rsidR="001956AF" w:rsidRDefault="00412FF6" w:rsidP="00412FF6">
      <w:pPr>
        <w:pStyle w:val="Point1"/>
        <w:rPr>
          <w:noProof/>
        </w:rPr>
      </w:pPr>
      <w:r w:rsidRPr="00412FF6">
        <w:t>(b)</w:t>
      </w:r>
      <w:r w:rsidRPr="00412FF6">
        <w:tab/>
      </w:r>
      <w:r w:rsidR="001956AF">
        <w:rPr>
          <w:noProof/>
        </w:rPr>
        <w:t xml:space="preserve">the </w:t>
      </w:r>
      <w:r w:rsidR="000C5A98">
        <w:rPr>
          <w:noProof/>
        </w:rPr>
        <w:t xml:space="preserve">registered owner’s </w:t>
      </w:r>
      <w:r w:rsidR="008E49A6">
        <w:rPr>
          <w:noProof/>
        </w:rPr>
        <w:t xml:space="preserve">declaration </w:t>
      </w:r>
      <w:r w:rsidR="00CC5F96">
        <w:rPr>
          <w:noProof/>
        </w:rPr>
        <w:t xml:space="preserve">and tax residence </w:t>
      </w:r>
      <w:r w:rsidR="008E49A6">
        <w:rPr>
          <w:noProof/>
        </w:rPr>
        <w:t>against</w:t>
      </w:r>
      <w:r w:rsidR="001956AF">
        <w:rPr>
          <w:noProof/>
        </w:rPr>
        <w:t xml:space="preserve"> information from </w:t>
      </w:r>
      <w:r w:rsidR="18BED899">
        <w:rPr>
          <w:noProof/>
        </w:rPr>
        <w:t>the in</w:t>
      </w:r>
      <w:r w:rsidR="18BED899" w:rsidRPr="005E5BD8">
        <w:rPr>
          <w:noProof/>
        </w:rPr>
        <w:t xml:space="preserve">ternal control mechanisms used by the </w:t>
      </w:r>
      <w:r w:rsidR="00CC5F96">
        <w:rPr>
          <w:noProof/>
        </w:rPr>
        <w:t>c</w:t>
      </w:r>
      <w:r w:rsidR="18BED899" w:rsidRPr="005E5BD8">
        <w:rPr>
          <w:noProof/>
        </w:rPr>
        <w:t>ertified</w:t>
      </w:r>
      <w:r w:rsidR="0403D0B6" w:rsidRPr="005E5BD8">
        <w:rPr>
          <w:noProof/>
        </w:rPr>
        <w:t xml:space="preserve"> </w:t>
      </w:r>
      <w:r w:rsidR="00CC5F96">
        <w:rPr>
          <w:noProof/>
        </w:rPr>
        <w:t>f</w:t>
      </w:r>
      <w:r w:rsidR="0403D0B6" w:rsidRPr="005E5BD8">
        <w:rPr>
          <w:noProof/>
        </w:rPr>
        <w:t xml:space="preserve">inancial </w:t>
      </w:r>
      <w:r w:rsidR="00CC5F96">
        <w:rPr>
          <w:noProof/>
        </w:rPr>
        <w:t>i</w:t>
      </w:r>
      <w:r w:rsidR="0403D0B6" w:rsidRPr="005E5BD8">
        <w:rPr>
          <w:noProof/>
        </w:rPr>
        <w:t xml:space="preserve">ntermediary </w:t>
      </w:r>
      <w:r w:rsidR="18BED899" w:rsidRPr="005E5BD8">
        <w:rPr>
          <w:noProof/>
        </w:rPr>
        <w:t>in order to comply with the obligations in relation to money laundering and terrorist financing under Directive (EU) 2015/849</w:t>
      </w:r>
      <w:r w:rsidR="003874C1" w:rsidRPr="005C6A5D">
        <w:rPr>
          <w:rStyle w:val="FootnoteReference"/>
          <w:noProof/>
        </w:rPr>
        <w:footnoteReference w:id="12"/>
      </w:r>
      <w:r w:rsidR="29645EAF">
        <w:rPr>
          <w:noProof/>
        </w:rPr>
        <w:t xml:space="preserve"> </w:t>
      </w:r>
      <w:r w:rsidR="0B81D057">
        <w:rPr>
          <w:noProof/>
        </w:rPr>
        <w:t xml:space="preserve">or </w:t>
      </w:r>
      <w:r w:rsidR="00871AA8">
        <w:rPr>
          <w:noProof/>
        </w:rPr>
        <w:t xml:space="preserve">comparable </w:t>
      </w:r>
      <w:r w:rsidR="0B81D057">
        <w:rPr>
          <w:noProof/>
        </w:rPr>
        <w:t xml:space="preserve">information </w:t>
      </w:r>
      <w:r w:rsidR="008E1BC0">
        <w:rPr>
          <w:noProof/>
        </w:rPr>
        <w:t xml:space="preserve">required in </w:t>
      </w:r>
      <w:r w:rsidR="0B81D057">
        <w:rPr>
          <w:noProof/>
        </w:rPr>
        <w:t>third countries</w:t>
      </w:r>
      <w:r w:rsidR="001956AF">
        <w:rPr>
          <w:noProof/>
        </w:rPr>
        <w:t>;</w:t>
      </w:r>
    </w:p>
    <w:p w14:paraId="6D427413" w14:textId="77777777" w:rsidR="001956AF" w:rsidRDefault="00412FF6" w:rsidP="00412FF6">
      <w:pPr>
        <w:pStyle w:val="Point1"/>
        <w:rPr>
          <w:noProof/>
        </w:rPr>
      </w:pPr>
      <w:r w:rsidRPr="00412FF6">
        <w:t>(c)</w:t>
      </w:r>
      <w:r w:rsidRPr="00412FF6">
        <w:tab/>
      </w:r>
      <w:r w:rsidR="008E49A6">
        <w:rPr>
          <w:noProof/>
        </w:rPr>
        <w:t>the</w:t>
      </w:r>
      <w:r w:rsidR="001956AF" w:rsidDel="008E49A6">
        <w:rPr>
          <w:noProof/>
        </w:rPr>
        <w:t xml:space="preserve"> </w:t>
      </w:r>
      <w:r w:rsidR="003C104E">
        <w:rPr>
          <w:noProof/>
        </w:rPr>
        <w:t xml:space="preserve">registered owner’s </w:t>
      </w:r>
      <w:r w:rsidR="001956AF">
        <w:rPr>
          <w:noProof/>
        </w:rPr>
        <w:t xml:space="preserve">entitlement to a </w:t>
      </w:r>
      <w:r w:rsidR="008E49A6">
        <w:rPr>
          <w:noProof/>
        </w:rPr>
        <w:t xml:space="preserve">specific </w:t>
      </w:r>
      <w:r w:rsidR="001956AF">
        <w:rPr>
          <w:noProof/>
        </w:rPr>
        <w:t xml:space="preserve">reduced </w:t>
      </w:r>
      <w:r w:rsidR="003C104E">
        <w:rPr>
          <w:noProof/>
        </w:rPr>
        <w:t xml:space="preserve">withholding </w:t>
      </w:r>
      <w:r w:rsidR="001956AF">
        <w:rPr>
          <w:noProof/>
        </w:rPr>
        <w:t>tax rate</w:t>
      </w:r>
      <w:r w:rsidR="007C09CD">
        <w:rPr>
          <w:noProof/>
        </w:rPr>
        <w:t xml:space="preserve"> </w:t>
      </w:r>
      <w:r w:rsidR="003C104E">
        <w:rPr>
          <w:noProof/>
        </w:rPr>
        <w:t xml:space="preserve">in accordance with </w:t>
      </w:r>
      <w:r w:rsidR="007C09CD">
        <w:rPr>
          <w:noProof/>
        </w:rPr>
        <w:t xml:space="preserve">a </w:t>
      </w:r>
      <w:r w:rsidR="002E6D2A">
        <w:rPr>
          <w:noProof/>
        </w:rPr>
        <w:t>d</w:t>
      </w:r>
      <w:r w:rsidR="007C09CD">
        <w:rPr>
          <w:noProof/>
        </w:rPr>
        <w:t xml:space="preserve">ouble </w:t>
      </w:r>
      <w:r w:rsidR="002E6D2A">
        <w:rPr>
          <w:noProof/>
        </w:rPr>
        <w:t>t</w:t>
      </w:r>
      <w:r w:rsidR="007C09CD">
        <w:rPr>
          <w:noProof/>
        </w:rPr>
        <w:t xml:space="preserve">ax </w:t>
      </w:r>
      <w:r w:rsidR="002E6D2A">
        <w:rPr>
          <w:noProof/>
        </w:rPr>
        <w:t>t</w:t>
      </w:r>
      <w:r w:rsidR="007C09CD">
        <w:rPr>
          <w:noProof/>
        </w:rPr>
        <w:t xml:space="preserve">reaty between the </w:t>
      </w:r>
      <w:r w:rsidR="00CC5F96">
        <w:rPr>
          <w:noProof/>
        </w:rPr>
        <w:t>s</w:t>
      </w:r>
      <w:r w:rsidR="007C09CD">
        <w:rPr>
          <w:noProof/>
        </w:rPr>
        <w:t xml:space="preserve">ource Member State and the jurisdictions where the </w:t>
      </w:r>
      <w:r w:rsidR="003C104E">
        <w:rPr>
          <w:noProof/>
        </w:rPr>
        <w:t>registered owner</w:t>
      </w:r>
      <w:r w:rsidR="007C09CD">
        <w:rPr>
          <w:noProof/>
        </w:rPr>
        <w:t xml:space="preserve"> is resident for tax purposes or specific national legislation of the </w:t>
      </w:r>
      <w:r w:rsidR="00CC5F96">
        <w:rPr>
          <w:noProof/>
        </w:rPr>
        <w:t>s</w:t>
      </w:r>
      <w:r w:rsidR="007C09CD">
        <w:rPr>
          <w:noProof/>
        </w:rPr>
        <w:t>ource Member State</w:t>
      </w:r>
      <w:r w:rsidR="001956AF">
        <w:rPr>
          <w:noProof/>
        </w:rPr>
        <w:t xml:space="preserve">; </w:t>
      </w:r>
    </w:p>
    <w:p w14:paraId="296BF371" w14:textId="3468A6FD" w:rsidR="00EE06AE" w:rsidRDefault="00412FF6" w:rsidP="00412FF6">
      <w:pPr>
        <w:pStyle w:val="Point1"/>
        <w:rPr>
          <w:noProof/>
          <w:lang w:val="en-US"/>
        </w:rPr>
      </w:pPr>
      <w:r w:rsidRPr="00412FF6">
        <w:t>(d)</w:t>
      </w:r>
      <w:r w:rsidRPr="00412FF6">
        <w:tab/>
      </w:r>
      <w:r w:rsidR="00C05948" w:rsidRPr="001823DA">
        <w:rPr>
          <w:noProof/>
        </w:rPr>
        <w:t>in case of a dividend payment</w:t>
      </w:r>
      <w:r w:rsidR="5E5B8B7C" w:rsidRPr="001823DA">
        <w:rPr>
          <w:noProof/>
        </w:rPr>
        <w:t xml:space="preserve"> and based on the information available to the </w:t>
      </w:r>
      <w:r w:rsidR="002E6D2A" w:rsidRPr="001823DA">
        <w:rPr>
          <w:noProof/>
        </w:rPr>
        <w:t>c</w:t>
      </w:r>
      <w:r w:rsidR="5E5B8B7C" w:rsidRPr="001823DA">
        <w:rPr>
          <w:noProof/>
        </w:rPr>
        <w:t xml:space="preserve">ertified </w:t>
      </w:r>
      <w:r w:rsidR="002E6D2A" w:rsidRPr="001823DA">
        <w:rPr>
          <w:noProof/>
        </w:rPr>
        <w:t>f</w:t>
      </w:r>
      <w:r w:rsidR="5E5B8B7C" w:rsidRPr="001823DA">
        <w:rPr>
          <w:noProof/>
        </w:rPr>
        <w:t xml:space="preserve">inancial </w:t>
      </w:r>
      <w:r w:rsidR="002E6D2A" w:rsidRPr="001823DA">
        <w:rPr>
          <w:noProof/>
        </w:rPr>
        <w:t>i</w:t>
      </w:r>
      <w:r w:rsidR="5E5B8B7C" w:rsidRPr="001823DA">
        <w:rPr>
          <w:noProof/>
        </w:rPr>
        <w:t>ntermediary</w:t>
      </w:r>
      <w:r w:rsidR="67BDAE5C" w:rsidRPr="001823DA">
        <w:rPr>
          <w:noProof/>
        </w:rPr>
        <w:t xml:space="preserve">, </w:t>
      </w:r>
      <w:r w:rsidR="7FE50F9F" w:rsidRPr="001823DA">
        <w:rPr>
          <w:noProof/>
        </w:rPr>
        <w:t xml:space="preserve">the </w:t>
      </w:r>
      <w:r w:rsidR="6BBC72F6" w:rsidRPr="001823DA">
        <w:rPr>
          <w:noProof/>
        </w:rPr>
        <w:t>possible</w:t>
      </w:r>
      <w:r w:rsidR="008E49A6" w:rsidRPr="001823DA">
        <w:rPr>
          <w:noProof/>
        </w:rPr>
        <w:t xml:space="preserve"> existence of</w:t>
      </w:r>
      <w:r w:rsidR="001956AF" w:rsidRPr="001823DA">
        <w:rPr>
          <w:noProof/>
        </w:rPr>
        <w:t xml:space="preserve"> a</w:t>
      </w:r>
      <w:r w:rsidR="008E49A6" w:rsidRPr="001823DA">
        <w:rPr>
          <w:noProof/>
        </w:rPr>
        <w:t>ny</w:t>
      </w:r>
      <w:r w:rsidR="001956AF" w:rsidRPr="001823DA">
        <w:rPr>
          <w:noProof/>
        </w:rPr>
        <w:t xml:space="preserve"> financial arrangement </w:t>
      </w:r>
      <w:r w:rsidR="000744D4" w:rsidRPr="001823DA">
        <w:rPr>
          <w:noProof/>
        </w:rPr>
        <w:t>that has not been settled, expired or otherwise terminated at the ex-dividend date</w:t>
      </w:r>
      <w:r w:rsidR="00EE06AE" w:rsidRPr="001823DA">
        <w:rPr>
          <w:noProof/>
        </w:rPr>
        <w:t xml:space="preserve">, unless the </w:t>
      </w:r>
      <w:r w:rsidR="00EE06AE" w:rsidRPr="001823DA">
        <w:rPr>
          <w:noProof/>
          <w:lang w:val="en-US"/>
        </w:rPr>
        <w:t xml:space="preserve">dividend paid to </w:t>
      </w:r>
      <w:r w:rsidR="00C71358" w:rsidRPr="001823DA">
        <w:rPr>
          <w:noProof/>
          <w:lang w:val="en-US"/>
        </w:rPr>
        <w:t>the registered owner</w:t>
      </w:r>
      <w:r w:rsidR="00EE06AE" w:rsidRPr="001823DA">
        <w:rPr>
          <w:noProof/>
          <w:lang w:val="en-US"/>
        </w:rPr>
        <w:t xml:space="preserve"> </w:t>
      </w:r>
      <w:r w:rsidR="00FC410B" w:rsidRPr="001823DA">
        <w:rPr>
          <w:noProof/>
          <w:lang w:val="en-US"/>
        </w:rPr>
        <w:t xml:space="preserve">for each group of identical </w:t>
      </w:r>
      <w:r w:rsidR="00C71358" w:rsidRPr="001823DA">
        <w:rPr>
          <w:noProof/>
          <w:lang w:val="en-US"/>
        </w:rPr>
        <w:t>shares</w:t>
      </w:r>
      <w:r w:rsidR="00FC410B" w:rsidRPr="001823DA">
        <w:rPr>
          <w:noProof/>
          <w:lang w:val="en-US"/>
        </w:rPr>
        <w:t xml:space="preserve"> held</w:t>
      </w:r>
      <w:r w:rsidR="00EE06AE" w:rsidRPr="001823DA">
        <w:rPr>
          <w:noProof/>
          <w:lang w:val="en-US"/>
        </w:rPr>
        <w:t xml:space="preserve"> </w:t>
      </w:r>
      <w:r w:rsidR="00C71358" w:rsidRPr="001823DA">
        <w:rPr>
          <w:noProof/>
          <w:lang w:val="en-US"/>
        </w:rPr>
        <w:t xml:space="preserve">does not exceed </w:t>
      </w:r>
      <w:r w:rsidR="00EE06AE" w:rsidRPr="001823DA">
        <w:rPr>
          <w:noProof/>
          <w:lang w:val="en-US"/>
        </w:rPr>
        <w:t xml:space="preserve">EUR </w:t>
      </w:r>
      <w:r w:rsidR="007250D6" w:rsidRPr="001823DA">
        <w:rPr>
          <w:b/>
          <w:i/>
          <w:strike/>
          <w:noProof/>
          <w:lang w:val="en-IE"/>
        </w:rPr>
        <w:t>1000</w:t>
      </w:r>
      <w:r w:rsidR="007250D6" w:rsidRPr="001823DA">
        <w:rPr>
          <w:noProof/>
          <w:lang w:val="en-IE"/>
        </w:rPr>
        <w:t xml:space="preserve"> </w:t>
      </w:r>
      <w:r w:rsidR="004B1880" w:rsidRPr="00D62231">
        <w:rPr>
          <w:b/>
          <w:i/>
          <w:u w:val="single"/>
        </w:rPr>
        <w:t>1500</w:t>
      </w:r>
      <w:r w:rsidR="007250D6" w:rsidRPr="00D62231">
        <w:rPr>
          <w:b/>
          <w:i/>
        </w:rPr>
        <w:t xml:space="preserve"> </w:t>
      </w:r>
      <w:r w:rsidR="007250D6" w:rsidRPr="001823DA">
        <w:rPr>
          <w:b/>
          <w:i/>
        </w:rPr>
        <w:t>(EPP 106)</w:t>
      </w:r>
      <w:r w:rsidR="00EE06AE" w:rsidRPr="001823DA">
        <w:rPr>
          <w:noProof/>
          <w:lang w:val="en-US"/>
        </w:rPr>
        <w:t>.</w:t>
      </w:r>
    </w:p>
    <w:p w14:paraId="468EB62E" w14:textId="5BB54C79" w:rsidR="00510FE1" w:rsidRPr="00510FE1" w:rsidRDefault="007250D6" w:rsidP="00510FE1">
      <w:pPr>
        <w:pStyle w:val="Text1"/>
        <w:ind w:left="720" w:hanging="720"/>
        <w:rPr>
          <w:b/>
          <w:i/>
        </w:rPr>
      </w:pPr>
      <w:r>
        <w:rPr>
          <w:b/>
          <w:i/>
        </w:rPr>
        <w:t>2 a.</w:t>
      </w:r>
      <w:r>
        <w:tab/>
      </w:r>
      <w:r>
        <w:rPr>
          <w:b/>
          <w:i/>
        </w:rPr>
        <w:t xml:space="preserve">Member States may allow to obtain the declaration according to </w:t>
      </w:r>
      <w:r w:rsidRPr="00D70754">
        <w:rPr>
          <w:b/>
          <w:i/>
        </w:rPr>
        <w:t>paragraph 1 and to carry out the verifications according to paragraph 2</w:t>
      </w:r>
      <w:r w:rsidR="00E27D00">
        <w:rPr>
          <w:b/>
          <w:i/>
        </w:rPr>
        <w:t xml:space="preserve"> </w:t>
      </w:r>
      <w:r w:rsidR="00D62231">
        <w:rPr>
          <w:b/>
          <w:i/>
        </w:rPr>
        <w:t xml:space="preserve">on </w:t>
      </w:r>
      <w:r w:rsidRPr="00E27D00">
        <w:rPr>
          <w:b/>
          <w:i/>
        </w:rPr>
        <w:t>a</w:t>
      </w:r>
      <w:r w:rsidR="00510FE1">
        <w:rPr>
          <w:b/>
          <w:i/>
        </w:rPr>
        <w:t xml:space="preserve">n </w:t>
      </w:r>
      <w:r w:rsidRPr="009E4D88">
        <w:rPr>
          <w:b/>
          <w:i/>
        </w:rPr>
        <w:t>annual</w:t>
      </w:r>
      <w:r w:rsidRPr="009E4D88">
        <w:rPr>
          <w:b/>
          <w:i/>
          <w:strike/>
        </w:rPr>
        <w:t xml:space="preserve"> </w:t>
      </w:r>
      <w:r w:rsidRPr="009E4D88">
        <w:rPr>
          <w:b/>
          <w:i/>
        </w:rPr>
        <w:t>basis</w:t>
      </w:r>
      <w:r w:rsidR="00510FE1">
        <w:rPr>
          <w:b/>
          <w:i/>
        </w:rPr>
        <w:t xml:space="preserve"> </w:t>
      </w:r>
      <w:r w:rsidR="00510FE1" w:rsidRPr="00D62231">
        <w:rPr>
          <w:b/>
          <w:bCs/>
          <w:i/>
          <w:iCs/>
          <w:u w:val="single"/>
        </w:rPr>
        <w:t>and, on an ad hoc basis, when there are reasons to assume a change of circumstances or incorrect or unreliable information</w:t>
      </w:r>
      <w:r w:rsidR="00510FE1">
        <w:rPr>
          <w:b/>
          <w:bCs/>
          <w:i/>
          <w:iCs/>
        </w:rPr>
        <w:t xml:space="preserve">. </w:t>
      </w:r>
      <w:r w:rsidRPr="00D70754">
        <w:rPr>
          <w:b/>
          <w:i/>
        </w:rPr>
        <w:t>(Renew 107)</w:t>
      </w:r>
    </w:p>
    <w:p w14:paraId="622A99EB" w14:textId="77777777" w:rsidR="007250D6" w:rsidRPr="00D70754" w:rsidRDefault="00412FF6" w:rsidP="007250D6">
      <w:pPr>
        <w:pStyle w:val="ManualNumPar1"/>
        <w:rPr>
          <w:noProof/>
        </w:rPr>
      </w:pPr>
      <w:r w:rsidRPr="00412FF6">
        <w:t>3.</w:t>
      </w:r>
      <w:r w:rsidRPr="00412FF6">
        <w:tab/>
      </w:r>
      <w:r w:rsidR="00EE06AE">
        <w:rPr>
          <w:noProof/>
        </w:rPr>
        <w:t xml:space="preserve">Member States shall ensure that </w:t>
      </w:r>
      <w:r w:rsidR="00CC5F96">
        <w:rPr>
          <w:noProof/>
        </w:rPr>
        <w:t>c</w:t>
      </w:r>
      <w:r w:rsidR="00EE06AE">
        <w:rPr>
          <w:noProof/>
        </w:rPr>
        <w:t xml:space="preserve">ertified </w:t>
      </w:r>
      <w:r w:rsidR="00CC5F96">
        <w:rPr>
          <w:noProof/>
        </w:rPr>
        <w:t>f</w:t>
      </w:r>
      <w:r w:rsidR="00EE06AE">
        <w:rPr>
          <w:noProof/>
        </w:rPr>
        <w:t xml:space="preserve">inancial </w:t>
      </w:r>
      <w:r w:rsidR="00CC5F96">
        <w:rPr>
          <w:noProof/>
        </w:rPr>
        <w:t>i</w:t>
      </w:r>
      <w:r w:rsidR="00EE06AE">
        <w:rPr>
          <w:noProof/>
        </w:rPr>
        <w:t xml:space="preserve">ntermediaries have adequate procedures </w:t>
      </w:r>
      <w:r w:rsidR="00EE06AE" w:rsidRPr="00D70754">
        <w:rPr>
          <w:noProof/>
        </w:rPr>
        <w:t xml:space="preserve">in place to perform verifications </w:t>
      </w:r>
      <w:r w:rsidR="00EB23E0" w:rsidRPr="00D70754">
        <w:rPr>
          <w:noProof/>
        </w:rPr>
        <w:t>in accordance with</w:t>
      </w:r>
      <w:r w:rsidR="00EE06AE" w:rsidRPr="00D70754">
        <w:rPr>
          <w:noProof/>
        </w:rPr>
        <w:t xml:space="preserve"> paragraph 2.</w:t>
      </w:r>
    </w:p>
    <w:p w14:paraId="175FAEC1" w14:textId="07BCDB57" w:rsidR="007250D6" w:rsidRPr="007250D6" w:rsidRDefault="007250D6" w:rsidP="007250D6">
      <w:pPr>
        <w:pStyle w:val="ManualNumPar1"/>
        <w:rPr>
          <w:noProof/>
        </w:rPr>
      </w:pPr>
      <w:r w:rsidRPr="00D70754">
        <w:rPr>
          <w:b/>
          <w:i/>
        </w:rPr>
        <w:lastRenderedPageBreak/>
        <w:t>3 a.</w:t>
      </w:r>
      <w:r w:rsidRPr="00D70754">
        <w:tab/>
      </w:r>
      <w:r w:rsidR="00D62231" w:rsidRPr="00D62231">
        <w:rPr>
          <w:b/>
          <w:i/>
        </w:rPr>
        <w:t>T</w:t>
      </w:r>
      <w:r w:rsidRPr="00D70754">
        <w:rPr>
          <w:b/>
          <w:i/>
        </w:rPr>
        <w:t xml:space="preserve">he Commission </w:t>
      </w:r>
      <w:r w:rsidR="009E4D88" w:rsidRPr="00D62231">
        <w:rPr>
          <w:b/>
          <w:i/>
          <w:u w:val="single"/>
        </w:rPr>
        <w:t>is empowered to</w:t>
      </w:r>
      <w:r w:rsidR="009E4D88" w:rsidRPr="009E4D88">
        <w:rPr>
          <w:b/>
          <w:i/>
          <w:color w:val="FF0000"/>
        </w:rPr>
        <w:t xml:space="preserve"> </w:t>
      </w:r>
      <w:r w:rsidRPr="00D70754">
        <w:rPr>
          <w:b/>
          <w:i/>
        </w:rPr>
        <w:t xml:space="preserve">adopt </w:t>
      </w:r>
      <w:r w:rsidR="009E4D88" w:rsidRPr="00D62231">
        <w:rPr>
          <w:b/>
          <w:i/>
          <w:u w:val="single"/>
        </w:rPr>
        <w:t>guidelines</w:t>
      </w:r>
      <w:r w:rsidR="009E4D88" w:rsidRPr="00D62231">
        <w:rPr>
          <w:b/>
          <w:i/>
        </w:rPr>
        <w:t xml:space="preserve"> </w:t>
      </w:r>
      <w:r w:rsidRPr="00D70754">
        <w:rPr>
          <w:b/>
          <w:i/>
        </w:rPr>
        <w:t xml:space="preserve">for the fulfilment of the requirements laid down in paragraph 2. (S&amp;D </w:t>
      </w:r>
      <w:r w:rsidR="00D70754" w:rsidRPr="00D70754">
        <w:rPr>
          <w:b/>
          <w:i/>
        </w:rPr>
        <w:t xml:space="preserve">and Greens </w:t>
      </w:r>
      <w:r w:rsidRPr="00D70754">
        <w:rPr>
          <w:b/>
          <w:i/>
        </w:rPr>
        <w:t>108</w:t>
      </w:r>
      <w:r>
        <w:rPr>
          <w:b/>
          <w:i/>
        </w:rPr>
        <w:t>)</w:t>
      </w:r>
    </w:p>
    <w:p w14:paraId="4CBFE88C" w14:textId="77777777" w:rsidR="001956AF" w:rsidRDefault="001956AF" w:rsidP="00655C22">
      <w:pPr>
        <w:pStyle w:val="Titrearticle"/>
        <w:rPr>
          <w:b/>
          <w:bCs/>
          <w:i w:val="0"/>
          <w:iCs/>
          <w:noProof/>
        </w:rPr>
      </w:pPr>
      <w:r>
        <w:rPr>
          <w:noProof/>
        </w:rPr>
        <w:t xml:space="preserve">Article </w:t>
      </w:r>
      <w:r>
        <w:rPr>
          <w:iCs/>
          <w:noProof/>
        </w:rPr>
        <w:t>1</w:t>
      </w:r>
      <w:r w:rsidR="005E3AA5">
        <w:rPr>
          <w:iCs/>
          <w:noProof/>
        </w:rPr>
        <w:t>2</w:t>
      </w:r>
      <w:r w:rsidR="00655C22">
        <w:rPr>
          <w:iCs/>
          <w:noProof/>
        </w:rPr>
        <w:br/>
      </w:r>
      <w:r w:rsidRPr="00655C22">
        <w:rPr>
          <w:b/>
          <w:bCs/>
          <w:i w:val="0"/>
          <w:iCs/>
          <w:noProof/>
        </w:rPr>
        <w:t xml:space="preserve">Relief at </w:t>
      </w:r>
      <w:r w:rsidR="00CC5F96">
        <w:rPr>
          <w:b/>
          <w:bCs/>
          <w:i w:val="0"/>
          <w:iCs/>
          <w:noProof/>
        </w:rPr>
        <w:t>s</w:t>
      </w:r>
      <w:r w:rsidRPr="00655C22">
        <w:rPr>
          <w:b/>
          <w:bCs/>
          <w:i w:val="0"/>
          <w:iCs/>
          <w:noProof/>
        </w:rPr>
        <w:t>ource system</w:t>
      </w:r>
    </w:p>
    <w:p w14:paraId="794912CE" w14:textId="77777777" w:rsidR="001956AF" w:rsidRDefault="00AC23A2" w:rsidP="004D12F8">
      <w:pPr>
        <w:rPr>
          <w:noProof/>
        </w:rPr>
      </w:pPr>
      <w:r>
        <w:rPr>
          <w:noProof/>
        </w:rPr>
        <w:t xml:space="preserve">Member States may allow </w:t>
      </w:r>
      <w:bookmarkStart w:id="5" w:name="_Hlk133000417"/>
      <w:r w:rsidR="00CC5F96">
        <w:rPr>
          <w:noProof/>
        </w:rPr>
        <w:t>c</w:t>
      </w:r>
      <w:r w:rsidR="001956AF">
        <w:rPr>
          <w:noProof/>
        </w:rPr>
        <w:t xml:space="preserve">ertified </w:t>
      </w:r>
      <w:r w:rsidR="00CC5F96">
        <w:rPr>
          <w:noProof/>
        </w:rPr>
        <w:t>f</w:t>
      </w:r>
      <w:r w:rsidR="001956AF">
        <w:rPr>
          <w:noProof/>
        </w:rPr>
        <w:t xml:space="preserve">inancial </w:t>
      </w:r>
      <w:r w:rsidR="00CC5F96">
        <w:rPr>
          <w:noProof/>
        </w:rPr>
        <w:t>i</w:t>
      </w:r>
      <w:r w:rsidR="001956AF">
        <w:rPr>
          <w:noProof/>
        </w:rPr>
        <w:t>ntermediar</w:t>
      </w:r>
      <w:r w:rsidR="00C43668">
        <w:rPr>
          <w:noProof/>
        </w:rPr>
        <w:t>ies</w:t>
      </w:r>
      <w:r w:rsidR="000E5554">
        <w:rPr>
          <w:noProof/>
        </w:rPr>
        <w:t xml:space="preserve"> </w:t>
      </w:r>
      <w:r w:rsidR="007867AE">
        <w:rPr>
          <w:noProof/>
        </w:rPr>
        <w:t xml:space="preserve">maintaining a </w:t>
      </w:r>
      <w:r w:rsidR="00463799">
        <w:rPr>
          <w:noProof/>
        </w:rPr>
        <w:t>registered</w:t>
      </w:r>
      <w:r w:rsidR="00454FF9">
        <w:rPr>
          <w:noProof/>
        </w:rPr>
        <w:t xml:space="preserve"> owner’s </w:t>
      </w:r>
      <w:r w:rsidR="007867AE">
        <w:rPr>
          <w:noProof/>
        </w:rPr>
        <w:t>investment account</w:t>
      </w:r>
      <w:r w:rsidR="000E5554">
        <w:rPr>
          <w:noProof/>
        </w:rPr>
        <w:t xml:space="preserve"> </w:t>
      </w:r>
      <w:r>
        <w:rPr>
          <w:noProof/>
        </w:rPr>
        <w:t>to</w:t>
      </w:r>
      <w:r w:rsidR="000E5554">
        <w:rPr>
          <w:noProof/>
        </w:rPr>
        <w:t xml:space="preserve"> request</w:t>
      </w:r>
      <w:bookmarkEnd w:id="5"/>
      <w:r w:rsidR="000E5554">
        <w:rPr>
          <w:noProof/>
        </w:rPr>
        <w:t xml:space="preserve"> </w:t>
      </w:r>
      <w:r w:rsidR="001956AF">
        <w:rPr>
          <w:noProof/>
        </w:rPr>
        <w:t xml:space="preserve">relief </w:t>
      </w:r>
      <w:r w:rsidR="007F5F90">
        <w:rPr>
          <w:noProof/>
        </w:rPr>
        <w:t xml:space="preserve">at source </w:t>
      </w:r>
      <w:r w:rsidR="000C62EF">
        <w:rPr>
          <w:noProof/>
        </w:rPr>
        <w:t xml:space="preserve">on behalf of a registered owner in accordance with Article 10 </w:t>
      </w:r>
      <w:r w:rsidR="00114DAA">
        <w:rPr>
          <w:noProof/>
        </w:rPr>
        <w:t xml:space="preserve">by </w:t>
      </w:r>
      <w:r w:rsidR="000E5554">
        <w:rPr>
          <w:noProof/>
        </w:rPr>
        <w:t>providing</w:t>
      </w:r>
      <w:r w:rsidR="001956AF">
        <w:rPr>
          <w:noProof/>
        </w:rPr>
        <w:t xml:space="preserve"> </w:t>
      </w:r>
      <w:r w:rsidR="00CD0EE5">
        <w:rPr>
          <w:noProof/>
        </w:rPr>
        <w:t xml:space="preserve">to the </w:t>
      </w:r>
      <w:r w:rsidR="00CC5F96">
        <w:rPr>
          <w:noProof/>
        </w:rPr>
        <w:t>w</w:t>
      </w:r>
      <w:r w:rsidR="00CD0EE5">
        <w:rPr>
          <w:noProof/>
        </w:rPr>
        <w:t xml:space="preserve">ithholding </w:t>
      </w:r>
      <w:r w:rsidR="00CC5F96">
        <w:rPr>
          <w:noProof/>
        </w:rPr>
        <w:t>t</w:t>
      </w:r>
      <w:r w:rsidR="004C1352">
        <w:rPr>
          <w:noProof/>
        </w:rPr>
        <w:t xml:space="preserve">ax </w:t>
      </w:r>
      <w:r w:rsidR="00CC5F96">
        <w:rPr>
          <w:noProof/>
        </w:rPr>
        <w:t>a</w:t>
      </w:r>
      <w:r w:rsidR="00CD0EE5">
        <w:rPr>
          <w:noProof/>
        </w:rPr>
        <w:t xml:space="preserve">gent </w:t>
      </w:r>
      <w:r w:rsidR="001956AF">
        <w:rPr>
          <w:noProof/>
        </w:rPr>
        <w:t>the following information:</w:t>
      </w:r>
    </w:p>
    <w:p w14:paraId="036361C6" w14:textId="77777777" w:rsidR="001956AF" w:rsidRDefault="00412FF6" w:rsidP="00412FF6">
      <w:pPr>
        <w:pStyle w:val="Point0"/>
        <w:rPr>
          <w:noProof/>
        </w:rPr>
      </w:pPr>
      <w:r w:rsidRPr="00412FF6">
        <w:t>(a)</w:t>
      </w:r>
      <w:r w:rsidRPr="00412FF6">
        <w:tab/>
      </w:r>
      <w:r w:rsidR="00CC5F96">
        <w:rPr>
          <w:noProof/>
        </w:rPr>
        <w:t>the t</w:t>
      </w:r>
      <w:r w:rsidR="001956AF">
        <w:rPr>
          <w:noProof/>
        </w:rPr>
        <w:t xml:space="preserve">ax residence of the </w:t>
      </w:r>
      <w:r w:rsidR="00454FF9">
        <w:rPr>
          <w:noProof/>
        </w:rPr>
        <w:t>registered owner</w:t>
      </w:r>
      <w:r w:rsidR="001956AF">
        <w:rPr>
          <w:noProof/>
        </w:rPr>
        <w:t>; and</w:t>
      </w:r>
    </w:p>
    <w:p w14:paraId="16AAA301" w14:textId="77777777" w:rsidR="001956AF" w:rsidRDefault="00412FF6" w:rsidP="00412FF6">
      <w:pPr>
        <w:pStyle w:val="Point0"/>
        <w:rPr>
          <w:noProof/>
        </w:rPr>
      </w:pPr>
      <w:r w:rsidRPr="00412FF6">
        <w:t>(b)</w:t>
      </w:r>
      <w:r w:rsidRPr="00412FF6">
        <w:tab/>
      </w:r>
      <w:r w:rsidR="00CC5F96">
        <w:rPr>
          <w:noProof/>
        </w:rPr>
        <w:t>the a</w:t>
      </w:r>
      <w:r w:rsidR="003B7A50">
        <w:rPr>
          <w:noProof/>
        </w:rPr>
        <w:t xml:space="preserve">pplicable withholding </w:t>
      </w:r>
      <w:r w:rsidR="001956AF">
        <w:rPr>
          <w:noProof/>
        </w:rPr>
        <w:t>tax rate on the payment</w:t>
      </w:r>
      <w:r w:rsidR="00CD0EE5">
        <w:rPr>
          <w:noProof/>
        </w:rPr>
        <w:t xml:space="preserve"> </w:t>
      </w:r>
      <w:r w:rsidR="00886472">
        <w:rPr>
          <w:noProof/>
        </w:rPr>
        <w:t xml:space="preserve">in accordance with a </w:t>
      </w:r>
      <w:r w:rsidR="00CC5F96">
        <w:rPr>
          <w:noProof/>
        </w:rPr>
        <w:t>d</w:t>
      </w:r>
      <w:r w:rsidR="00886472">
        <w:rPr>
          <w:noProof/>
        </w:rPr>
        <w:t xml:space="preserve">ouble </w:t>
      </w:r>
      <w:r w:rsidR="00CC5F96">
        <w:rPr>
          <w:noProof/>
        </w:rPr>
        <w:t>t</w:t>
      </w:r>
      <w:r w:rsidR="00886472">
        <w:rPr>
          <w:noProof/>
        </w:rPr>
        <w:t xml:space="preserve">ax </w:t>
      </w:r>
      <w:r w:rsidR="001F69BA">
        <w:rPr>
          <w:noProof/>
        </w:rPr>
        <w:t>treaty</w:t>
      </w:r>
      <w:r w:rsidR="00886472">
        <w:rPr>
          <w:noProof/>
        </w:rPr>
        <w:t xml:space="preserve"> or specific national legislation</w:t>
      </w:r>
      <w:r w:rsidR="001956AF">
        <w:rPr>
          <w:noProof/>
        </w:rPr>
        <w:t xml:space="preserve">. </w:t>
      </w:r>
    </w:p>
    <w:p w14:paraId="2B3C0813" w14:textId="77777777" w:rsidR="001956AF" w:rsidRDefault="001956AF" w:rsidP="008010FF">
      <w:pPr>
        <w:pStyle w:val="Titrearticle"/>
        <w:rPr>
          <w:b/>
          <w:bCs/>
          <w:i w:val="0"/>
          <w:iCs/>
          <w:noProof/>
        </w:rPr>
      </w:pPr>
      <w:r>
        <w:rPr>
          <w:noProof/>
        </w:rPr>
        <w:t>Article 1</w:t>
      </w:r>
      <w:r w:rsidR="005E3AA5">
        <w:rPr>
          <w:noProof/>
        </w:rPr>
        <w:t>3</w:t>
      </w:r>
      <w:r w:rsidR="008010FF">
        <w:rPr>
          <w:noProof/>
        </w:rPr>
        <w:br/>
      </w:r>
      <w:r w:rsidRPr="008010FF">
        <w:rPr>
          <w:b/>
          <w:bCs/>
          <w:i w:val="0"/>
          <w:iCs/>
          <w:noProof/>
        </w:rPr>
        <w:t>Quick refund system</w:t>
      </w:r>
    </w:p>
    <w:p w14:paraId="390E88E9" w14:textId="39368204" w:rsidR="001956AF" w:rsidRDefault="00412FF6" w:rsidP="00412FF6">
      <w:pPr>
        <w:pStyle w:val="ManualNumPar1"/>
        <w:rPr>
          <w:noProof/>
        </w:rPr>
      </w:pPr>
      <w:r w:rsidRPr="00412FF6">
        <w:t>1.</w:t>
      </w:r>
      <w:r w:rsidRPr="00412FF6">
        <w:tab/>
      </w:r>
      <w:r w:rsidR="001F36D2" w:rsidRPr="001F36D2">
        <w:rPr>
          <w:noProof/>
        </w:rPr>
        <w:t xml:space="preserve">Member States </w:t>
      </w:r>
      <w:r w:rsidR="00AC23A2">
        <w:rPr>
          <w:noProof/>
        </w:rPr>
        <w:t xml:space="preserve">may allow </w:t>
      </w:r>
      <w:r w:rsidR="00CC5F96">
        <w:rPr>
          <w:noProof/>
        </w:rPr>
        <w:t>c</w:t>
      </w:r>
      <w:r w:rsidR="00AC23A2">
        <w:rPr>
          <w:noProof/>
        </w:rPr>
        <w:t xml:space="preserve">ertified </w:t>
      </w:r>
      <w:r w:rsidR="00CC5F96">
        <w:rPr>
          <w:noProof/>
        </w:rPr>
        <w:t>f</w:t>
      </w:r>
      <w:r w:rsidR="00AC23A2">
        <w:rPr>
          <w:noProof/>
        </w:rPr>
        <w:t xml:space="preserve">inancial </w:t>
      </w:r>
      <w:r w:rsidR="00CC5F96">
        <w:rPr>
          <w:noProof/>
        </w:rPr>
        <w:t>i</w:t>
      </w:r>
      <w:r w:rsidR="00AC23A2">
        <w:rPr>
          <w:noProof/>
        </w:rPr>
        <w:t>ntermediar</w:t>
      </w:r>
      <w:r w:rsidR="00C43668">
        <w:rPr>
          <w:noProof/>
        </w:rPr>
        <w:t>ies</w:t>
      </w:r>
      <w:r w:rsidR="00AC23A2">
        <w:rPr>
          <w:noProof/>
        </w:rPr>
        <w:t xml:space="preserve"> </w:t>
      </w:r>
      <w:r w:rsidR="007867AE">
        <w:rPr>
          <w:noProof/>
        </w:rPr>
        <w:t>maintaining a</w:t>
      </w:r>
      <w:r w:rsidR="009F70B8">
        <w:rPr>
          <w:noProof/>
        </w:rPr>
        <w:t xml:space="preserve"> registered owner</w:t>
      </w:r>
      <w:r w:rsidR="007867AE">
        <w:rPr>
          <w:noProof/>
        </w:rPr>
        <w:t>’s investment account</w:t>
      </w:r>
      <w:r w:rsidR="00AC23A2">
        <w:rPr>
          <w:noProof/>
        </w:rPr>
        <w:t xml:space="preserve"> </w:t>
      </w:r>
      <w:r w:rsidR="00AC23A2" w:rsidRPr="00D70754">
        <w:rPr>
          <w:noProof/>
        </w:rPr>
        <w:t>to</w:t>
      </w:r>
      <w:r w:rsidR="001F36D2" w:rsidRPr="00D70754">
        <w:rPr>
          <w:noProof/>
        </w:rPr>
        <w:t xml:space="preserve"> request </w:t>
      </w:r>
      <w:r w:rsidR="00EE1727" w:rsidRPr="00D70754">
        <w:rPr>
          <w:noProof/>
        </w:rPr>
        <w:t xml:space="preserve">a </w:t>
      </w:r>
      <w:r w:rsidR="004C1352" w:rsidRPr="00D70754">
        <w:rPr>
          <w:noProof/>
        </w:rPr>
        <w:t xml:space="preserve">quick </w:t>
      </w:r>
      <w:r w:rsidR="001F36D2" w:rsidRPr="00D70754">
        <w:rPr>
          <w:noProof/>
        </w:rPr>
        <w:t xml:space="preserve">refund of </w:t>
      </w:r>
      <w:r w:rsidR="00CD0EE5" w:rsidRPr="00D70754">
        <w:rPr>
          <w:noProof/>
        </w:rPr>
        <w:t xml:space="preserve">the </w:t>
      </w:r>
      <w:r w:rsidR="001F36D2" w:rsidRPr="00D70754">
        <w:rPr>
          <w:noProof/>
        </w:rPr>
        <w:t xml:space="preserve">excess </w:t>
      </w:r>
      <w:r w:rsidR="00CD0EE5" w:rsidRPr="00D70754">
        <w:rPr>
          <w:noProof/>
        </w:rPr>
        <w:t>withholding</w:t>
      </w:r>
      <w:r w:rsidR="001F36D2" w:rsidRPr="00D70754">
        <w:rPr>
          <w:noProof/>
        </w:rPr>
        <w:t xml:space="preserve"> tax, </w:t>
      </w:r>
      <w:r w:rsidR="00AC23A2" w:rsidRPr="00D70754">
        <w:rPr>
          <w:noProof/>
        </w:rPr>
        <w:t xml:space="preserve">on behalf of </w:t>
      </w:r>
      <w:r w:rsidR="009F70B8" w:rsidRPr="00D70754">
        <w:rPr>
          <w:noProof/>
        </w:rPr>
        <w:t>such registered owner</w:t>
      </w:r>
      <w:r w:rsidR="00AC23A2" w:rsidRPr="00D70754">
        <w:rPr>
          <w:noProof/>
        </w:rPr>
        <w:t xml:space="preserve"> in accordance with Article 1</w:t>
      </w:r>
      <w:r w:rsidR="009F70B8" w:rsidRPr="00D70754">
        <w:rPr>
          <w:noProof/>
        </w:rPr>
        <w:t>0</w:t>
      </w:r>
      <w:r w:rsidR="001F36D2" w:rsidRPr="00D70754" w:rsidDel="00AC23A2">
        <w:rPr>
          <w:noProof/>
        </w:rPr>
        <w:t xml:space="preserve"> </w:t>
      </w:r>
      <w:r w:rsidR="00251560" w:rsidRPr="00D70754">
        <w:rPr>
          <w:noProof/>
        </w:rPr>
        <w:t xml:space="preserve">if </w:t>
      </w:r>
      <w:r w:rsidR="009F70B8" w:rsidRPr="00D70754">
        <w:rPr>
          <w:noProof/>
        </w:rPr>
        <w:t xml:space="preserve">the </w:t>
      </w:r>
      <w:r w:rsidR="001F36D2" w:rsidRPr="00D70754">
        <w:rPr>
          <w:noProof/>
        </w:rPr>
        <w:t xml:space="preserve">information </w:t>
      </w:r>
      <w:r w:rsidR="00CC5F96" w:rsidRPr="00D70754">
        <w:rPr>
          <w:noProof/>
        </w:rPr>
        <w:t xml:space="preserve">referred to </w:t>
      </w:r>
      <w:r w:rsidR="009F70B8" w:rsidRPr="00D70754">
        <w:rPr>
          <w:noProof/>
        </w:rPr>
        <w:t>in</w:t>
      </w:r>
      <w:r w:rsidR="001F36D2" w:rsidRPr="00D70754">
        <w:rPr>
          <w:noProof/>
        </w:rPr>
        <w:t xml:space="preserve"> paragraph </w:t>
      </w:r>
      <w:r w:rsidR="00C05948" w:rsidRPr="00D70754">
        <w:rPr>
          <w:noProof/>
        </w:rPr>
        <w:t>3</w:t>
      </w:r>
      <w:r w:rsidR="001F36D2" w:rsidRPr="00D70754">
        <w:rPr>
          <w:noProof/>
        </w:rPr>
        <w:t xml:space="preserve"> of this Article </w:t>
      </w:r>
      <w:r w:rsidR="00251560" w:rsidRPr="00D70754">
        <w:rPr>
          <w:noProof/>
        </w:rPr>
        <w:t xml:space="preserve">is provided </w:t>
      </w:r>
      <w:r w:rsidR="00B55BD4" w:rsidRPr="00D70754">
        <w:rPr>
          <w:b/>
          <w:i/>
          <w:strike/>
          <w:noProof/>
        </w:rPr>
        <w:t xml:space="preserve">as soon as possible </w:t>
      </w:r>
      <w:r w:rsidR="00000172" w:rsidRPr="00D70754">
        <w:rPr>
          <w:b/>
          <w:i/>
          <w:strike/>
          <w:noProof/>
        </w:rPr>
        <w:t xml:space="preserve">after the payment date </w:t>
      </w:r>
      <w:r w:rsidR="00B55BD4" w:rsidRPr="00D70754">
        <w:rPr>
          <w:b/>
          <w:i/>
          <w:strike/>
          <w:noProof/>
        </w:rPr>
        <w:t>and at the latest</w:t>
      </w:r>
      <w:r w:rsidR="00280192" w:rsidRPr="00D70754">
        <w:rPr>
          <w:b/>
          <w:i/>
          <w:noProof/>
        </w:rPr>
        <w:t xml:space="preserve"> (Renew 110)</w:t>
      </w:r>
      <w:r w:rsidR="00B55BD4" w:rsidRPr="00D70754">
        <w:rPr>
          <w:noProof/>
        </w:rPr>
        <w:t xml:space="preserve"> </w:t>
      </w:r>
      <w:r w:rsidR="001F36D2" w:rsidRPr="00D70754">
        <w:rPr>
          <w:noProof/>
        </w:rPr>
        <w:t xml:space="preserve">within </w:t>
      </w:r>
      <w:r w:rsidR="00961436">
        <w:rPr>
          <w:noProof/>
        </w:rPr>
        <w:t xml:space="preserve">25 </w:t>
      </w:r>
      <w:r w:rsidR="001F36D2" w:rsidRPr="00D70754">
        <w:rPr>
          <w:noProof/>
        </w:rPr>
        <w:t xml:space="preserve">calendar days from </w:t>
      </w:r>
      <w:r w:rsidR="00000172" w:rsidRPr="00D70754">
        <w:rPr>
          <w:noProof/>
        </w:rPr>
        <w:t>th</w:t>
      </w:r>
      <w:r w:rsidR="000C5822" w:rsidRPr="00D70754">
        <w:rPr>
          <w:noProof/>
        </w:rPr>
        <w:t xml:space="preserve">e </w:t>
      </w:r>
      <w:r w:rsidR="001F36D2" w:rsidRPr="00D70754">
        <w:rPr>
          <w:noProof/>
        </w:rPr>
        <w:t xml:space="preserve">date of </w:t>
      </w:r>
      <w:r w:rsidR="000C5822" w:rsidRPr="00D70754">
        <w:rPr>
          <w:noProof/>
        </w:rPr>
        <w:t xml:space="preserve">payment of </w:t>
      </w:r>
      <w:r w:rsidR="001F36D2" w:rsidRPr="00D70754">
        <w:rPr>
          <w:noProof/>
        </w:rPr>
        <w:t>the dividend</w:t>
      </w:r>
      <w:r w:rsidR="00FC79A4" w:rsidRPr="00D70754">
        <w:rPr>
          <w:noProof/>
        </w:rPr>
        <w:t xml:space="preserve"> or interest</w:t>
      </w:r>
      <w:r w:rsidR="001F36D2" w:rsidRPr="00D70754">
        <w:rPr>
          <w:noProof/>
        </w:rPr>
        <w:t>.</w:t>
      </w:r>
    </w:p>
    <w:p w14:paraId="7DA71B79" w14:textId="79F8C0AA" w:rsidR="00C53616" w:rsidRDefault="00412FF6" w:rsidP="00412FF6">
      <w:pPr>
        <w:pStyle w:val="ManualNumPar1"/>
        <w:rPr>
          <w:noProof/>
        </w:rPr>
      </w:pPr>
      <w:r w:rsidRPr="00412FF6">
        <w:t>2.</w:t>
      </w:r>
      <w:r w:rsidRPr="00412FF6">
        <w:tab/>
      </w:r>
      <w:r w:rsidR="001F36D2" w:rsidRPr="001F36D2">
        <w:rPr>
          <w:noProof/>
        </w:rPr>
        <w:t xml:space="preserve">Member States shall </w:t>
      </w:r>
      <w:r w:rsidR="00AC23A2">
        <w:rPr>
          <w:noProof/>
        </w:rPr>
        <w:t>process</w:t>
      </w:r>
      <w:r w:rsidR="001F36D2" w:rsidRPr="001F36D2">
        <w:rPr>
          <w:noProof/>
        </w:rPr>
        <w:t xml:space="preserve"> a refund request </w:t>
      </w:r>
      <w:r w:rsidR="009F70B8">
        <w:rPr>
          <w:noProof/>
        </w:rPr>
        <w:t>made in accordance with</w:t>
      </w:r>
      <w:r w:rsidR="009F70B8" w:rsidRPr="001F36D2">
        <w:rPr>
          <w:noProof/>
        </w:rPr>
        <w:t xml:space="preserve"> </w:t>
      </w:r>
      <w:r w:rsidR="001F36D2" w:rsidRPr="001F36D2">
        <w:rPr>
          <w:noProof/>
        </w:rPr>
        <w:t xml:space="preserve">paragraph 1 within </w:t>
      </w:r>
      <w:r w:rsidR="00961436">
        <w:rPr>
          <w:noProof/>
        </w:rPr>
        <w:t xml:space="preserve"> 25 </w:t>
      </w:r>
      <w:r w:rsidR="001F36D2" w:rsidRPr="00197B06">
        <w:rPr>
          <w:noProof/>
        </w:rPr>
        <w:t xml:space="preserve">calendar days from </w:t>
      </w:r>
      <w:r w:rsidR="00573E98" w:rsidRPr="00197B06">
        <w:rPr>
          <w:noProof/>
        </w:rPr>
        <w:t xml:space="preserve">the date of </w:t>
      </w:r>
      <w:r w:rsidR="00B55BD4" w:rsidRPr="00197B06">
        <w:rPr>
          <w:noProof/>
        </w:rPr>
        <w:t>such</w:t>
      </w:r>
      <w:r w:rsidR="00573E98" w:rsidRPr="00197B06">
        <w:rPr>
          <w:noProof/>
        </w:rPr>
        <w:t xml:space="preserve"> request </w:t>
      </w:r>
      <w:r w:rsidR="00B55BD4" w:rsidRPr="00197B06">
        <w:rPr>
          <w:noProof/>
        </w:rPr>
        <w:t xml:space="preserve">or from </w:t>
      </w:r>
      <w:r w:rsidR="00573E98" w:rsidRPr="00197B06">
        <w:rPr>
          <w:noProof/>
        </w:rPr>
        <w:t xml:space="preserve">the </w:t>
      </w:r>
      <w:r w:rsidR="00B55BD4" w:rsidRPr="00197B06">
        <w:rPr>
          <w:noProof/>
        </w:rPr>
        <w:t xml:space="preserve">date reporting obligations under this Directive have been met by all relevant </w:t>
      </w:r>
      <w:r w:rsidR="00CC5F96">
        <w:rPr>
          <w:noProof/>
        </w:rPr>
        <w:t>c</w:t>
      </w:r>
      <w:r w:rsidR="00B55BD4" w:rsidRPr="00197B06">
        <w:rPr>
          <w:noProof/>
        </w:rPr>
        <w:t xml:space="preserve">ertified </w:t>
      </w:r>
      <w:r w:rsidR="00CC5F96">
        <w:rPr>
          <w:noProof/>
        </w:rPr>
        <w:t>f</w:t>
      </w:r>
      <w:r w:rsidR="00B55BD4" w:rsidRPr="00197B06">
        <w:rPr>
          <w:noProof/>
        </w:rPr>
        <w:t xml:space="preserve">inancial </w:t>
      </w:r>
      <w:r w:rsidR="00CC5F96">
        <w:rPr>
          <w:noProof/>
        </w:rPr>
        <w:t>i</w:t>
      </w:r>
      <w:r w:rsidR="00B55BD4" w:rsidRPr="00197B06">
        <w:rPr>
          <w:noProof/>
        </w:rPr>
        <w:t>ntermediaries, whichever is the latest</w:t>
      </w:r>
      <w:r w:rsidR="003E7F0F">
        <w:rPr>
          <w:noProof/>
        </w:rPr>
        <w:t>. Member States</w:t>
      </w:r>
      <w:r w:rsidR="004A0A00" w:rsidRPr="00197B06">
        <w:rPr>
          <w:noProof/>
        </w:rPr>
        <w:t xml:space="preserve"> shall apply </w:t>
      </w:r>
      <w:r w:rsidR="004A0A00" w:rsidRPr="00197B06">
        <w:rPr>
          <w:noProof/>
          <w:lang w:val="en-IE"/>
        </w:rPr>
        <w:t>interest in accordance with Article 14</w:t>
      </w:r>
      <w:r w:rsidR="004A0A00">
        <w:rPr>
          <w:noProof/>
          <w:lang w:val="en-IE"/>
        </w:rPr>
        <w:t xml:space="preserve"> </w:t>
      </w:r>
      <w:r w:rsidR="004A0A00" w:rsidRPr="000E37A2">
        <w:rPr>
          <w:noProof/>
          <w:lang w:val="en-IE"/>
        </w:rPr>
        <w:t>on the amount of such refund for each day of delay</w:t>
      </w:r>
      <w:r w:rsidR="004A0A00">
        <w:rPr>
          <w:noProof/>
          <w:lang w:val="en-IE"/>
        </w:rPr>
        <w:t xml:space="preserve"> after the </w:t>
      </w:r>
      <w:r w:rsidR="00961436">
        <w:rPr>
          <w:noProof/>
          <w:lang w:val="en-IE"/>
        </w:rPr>
        <w:t>25</w:t>
      </w:r>
      <w:r w:rsidR="00EB23E0" w:rsidRPr="00974931">
        <w:rPr>
          <w:noProof/>
          <w:vertAlign w:val="superscript"/>
          <w:lang w:val="en-IE"/>
        </w:rPr>
        <w:t>th</w:t>
      </w:r>
      <w:r w:rsidR="00EB23E0">
        <w:rPr>
          <w:noProof/>
          <w:lang w:val="en-IE"/>
        </w:rPr>
        <w:t xml:space="preserve"> </w:t>
      </w:r>
      <w:r w:rsidR="004A0A00">
        <w:rPr>
          <w:noProof/>
          <w:lang w:val="en-IE"/>
        </w:rPr>
        <w:t>day</w:t>
      </w:r>
      <w:r w:rsidR="00A438F4">
        <w:rPr>
          <w:b/>
          <w:i/>
        </w:rPr>
        <w:t xml:space="preserve">, </w:t>
      </w:r>
      <w:r w:rsidR="00A438F4" w:rsidRPr="00D62231">
        <w:rPr>
          <w:b/>
          <w:i/>
        </w:rPr>
        <w:t>unless the Member State has reasonable doubts on the legitimacy of the refund request. (Greens 115)</w:t>
      </w:r>
    </w:p>
    <w:p w14:paraId="0ED5E014" w14:textId="77777777" w:rsidR="00280192" w:rsidRDefault="00412FF6" w:rsidP="00280192">
      <w:pPr>
        <w:pStyle w:val="ManualNumPar1"/>
        <w:rPr>
          <w:noProof/>
          <w:lang w:val="en-IE"/>
        </w:rPr>
      </w:pPr>
      <w:r w:rsidRPr="00412FF6">
        <w:t>3.</w:t>
      </w:r>
      <w:r w:rsidRPr="00412FF6">
        <w:tab/>
      </w:r>
      <w:r w:rsidR="00AC23A2">
        <w:rPr>
          <w:noProof/>
        </w:rPr>
        <w:t xml:space="preserve">A </w:t>
      </w:r>
      <w:r w:rsidR="00CC5F96">
        <w:rPr>
          <w:noProof/>
        </w:rPr>
        <w:t>c</w:t>
      </w:r>
      <w:r w:rsidR="00AC23A2">
        <w:rPr>
          <w:noProof/>
        </w:rPr>
        <w:t xml:space="preserve">ertified </w:t>
      </w:r>
      <w:r w:rsidR="00CC5F96">
        <w:rPr>
          <w:noProof/>
        </w:rPr>
        <w:t>f</w:t>
      </w:r>
      <w:r w:rsidR="00AC23A2">
        <w:rPr>
          <w:noProof/>
        </w:rPr>
        <w:t xml:space="preserve">inancial </w:t>
      </w:r>
      <w:r w:rsidR="00CC5F96">
        <w:rPr>
          <w:noProof/>
        </w:rPr>
        <w:t>i</w:t>
      </w:r>
      <w:r w:rsidR="00AC23A2">
        <w:rPr>
          <w:noProof/>
        </w:rPr>
        <w:t xml:space="preserve">ntermediary requesting </w:t>
      </w:r>
      <w:r w:rsidR="00EB23E0">
        <w:rPr>
          <w:noProof/>
        </w:rPr>
        <w:t>quick</w:t>
      </w:r>
      <w:r w:rsidR="00B36ECF">
        <w:rPr>
          <w:noProof/>
        </w:rPr>
        <w:t xml:space="preserve"> </w:t>
      </w:r>
      <w:r w:rsidR="00AC23A2">
        <w:rPr>
          <w:noProof/>
        </w:rPr>
        <w:t xml:space="preserve">refund shall provide the following </w:t>
      </w:r>
      <w:r w:rsidR="001F36D2" w:rsidRPr="001F36D2">
        <w:rPr>
          <w:noProof/>
          <w:lang w:val="en-IE"/>
        </w:rPr>
        <w:t>information</w:t>
      </w:r>
      <w:r w:rsidR="00E350FB">
        <w:rPr>
          <w:noProof/>
          <w:lang w:val="en-IE"/>
        </w:rPr>
        <w:t xml:space="preserve"> to </w:t>
      </w:r>
      <w:r w:rsidR="000C73EB">
        <w:rPr>
          <w:noProof/>
          <w:lang w:val="en-IE"/>
        </w:rPr>
        <w:t xml:space="preserve">the </w:t>
      </w:r>
      <w:r w:rsidR="005E5BD8">
        <w:rPr>
          <w:noProof/>
          <w:lang w:val="en-IE"/>
        </w:rPr>
        <w:t xml:space="preserve">relevant </w:t>
      </w:r>
      <w:r w:rsidR="000C73EB">
        <w:rPr>
          <w:noProof/>
          <w:lang w:val="en-IE"/>
        </w:rPr>
        <w:t>Member State</w:t>
      </w:r>
      <w:r w:rsidR="001F36D2" w:rsidRPr="001F36D2">
        <w:rPr>
          <w:noProof/>
          <w:lang w:val="en-IE"/>
        </w:rPr>
        <w:t>:</w:t>
      </w:r>
    </w:p>
    <w:p w14:paraId="3E022121" w14:textId="77777777" w:rsidR="001F36D2" w:rsidRPr="001F36D2" w:rsidRDefault="00280192" w:rsidP="00412FF6">
      <w:pPr>
        <w:pStyle w:val="Point1"/>
        <w:rPr>
          <w:noProof/>
          <w:lang w:val="en-IE"/>
        </w:rPr>
      </w:pPr>
      <w:r w:rsidRPr="00412FF6">
        <w:t xml:space="preserve"> </w:t>
      </w:r>
      <w:r w:rsidR="00412FF6" w:rsidRPr="00412FF6">
        <w:t>(a)</w:t>
      </w:r>
      <w:r w:rsidR="00412FF6" w:rsidRPr="00412FF6">
        <w:tab/>
      </w:r>
      <w:r w:rsidR="003E7F0F">
        <w:rPr>
          <w:noProof/>
          <w:lang w:val="en-IE"/>
        </w:rPr>
        <w:t>i</w:t>
      </w:r>
      <w:r w:rsidR="001F36D2" w:rsidRPr="001F36D2">
        <w:rPr>
          <w:noProof/>
          <w:lang w:val="en-IE"/>
        </w:rPr>
        <w:t xml:space="preserve">dentification of the dividend </w:t>
      </w:r>
      <w:r w:rsidR="00FC79A4">
        <w:rPr>
          <w:noProof/>
          <w:lang w:val="en-IE"/>
        </w:rPr>
        <w:t xml:space="preserve">or interest </w:t>
      </w:r>
      <w:r w:rsidR="001F36D2" w:rsidRPr="001F36D2">
        <w:rPr>
          <w:noProof/>
          <w:lang w:val="en-IE"/>
        </w:rPr>
        <w:t xml:space="preserve">payment as referred </w:t>
      </w:r>
      <w:r w:rsidR="00CC5F96">
        <w:rPr>
          <w:noProof/>
          <w:lang w:val="en-IE"/>
        </w:rPr>
        <w:t>to in</w:t>
      </w:r>
      <w:r w:rsidR="001F36D2" w:rsidRPr="001F36D2">
        <w:rPr>
          <w:noProof/>
          <w:lang w:val="en-IE"/>
        </w:rPr>
        <w:t xml:space="preserve"> Annex II</w:t>
      </w:r>
      <w:r w:rsidR="00CC5F96">
        <w:rPr>
          <w:noProof/>
          <w:lang w:val="en-IE"/>
        </w:rPr>
        <w:t>,</w:t>
      </w:r>
      <w:r w:rsidR="00CC5F96" w:rsidRPr="00CC5F96">
        <w:rPr>
          <w:noProof/>
          <w:lang w:val="en-IE"/>
        </w:rPr>
        <w:t xml:space="preserve"> </w:t>
      </w:r>
      <w:r w:rsidR="00CC5F96" w:rsidRPr="001F36D2">
        <w:rPr>
          <w:noProof/>
          <w:lang w:val="en-IE"/>
        </w:rPr>
        <w:t>heading B</w:t>
      </w:r>
      <w:r w:rsidR="00CC5F96">
        <w:rPr>
          <w:noProof/>
          <w:lang w:val="en-IE"/>
        </w:rPr>
        <w:t>;</w:t>
      </w:r>
    </w:p>
    <w:p w14:paraId="72BDBBDD" w14:textId="77777777" w:rsidR="001F36D2" w:rsidRDefault="00412FF6" w:rsidP="00412FF6">
      <w:pPr>
        <w:pStyle w:val="Point1"/>
        <w:rPr>
          <w:noProof/>
          <w:lang w:val="en-IE"/>
        </w:rPr>
      </w:pPr>
      <w:r w:rsidRPr="00412FF6">
        <w:t>(b)</w:t>
      </w:r>
      <w:r w:rsidRPr="00412FF6">
        <w:tab/>
      </w:r>
      <w:r w:rsidR="003E7F0F">
        <w:rPr>
          <w:noProof/>
          <w:lang w:val="en-IE"/>
        </w:rPr>
        <w:t>t</w:t>
      </w:r>
      <w:r w:rsidR="00B36ECF">
        <w:rPr>
          <w:noProof/>
          <w:lang w:val="en-IE"/>
        </w:rPr>
        <w:t>he l</w:t>
      </w:r>
      <w:r w:rsidR="001F36D2" w:rsidRPr="001F36D2">
        <w:rPr>
          <w:noProof/>
          <w:lang w:val="en-IE"/>
        </w:rPr>
        <w:t>egal basis</w:t>
      </w:r>
      <w:r w:rsidR="00AC23A2">
        <w:rPr>
          <w:noProof/>
          <w:lang w:val="en-IE"/>
        </w:rPr>
        <w:t xml:space="preserve"> of the applicable withholding tax rate</w:t>
      </w:r>
      <w:r w:rsidR="001F36D2" w:rsidRPr="001F36D2" w:rsidDel="00AC23A2">
        <w:rPr>
          <w:noProof/>
          <w:lang w:val="en-IE"/>
        </w:rPr>
        <w:t xml:space="preserve"> </w:t>
      </w:r>
      <w:r w:rsidR="00AC23A2">
        <w:rPr>
          <w:noProof/>
          <w:lang w:val="en-IE"/>
        </w:rPr>
        <w:t xml:space="preserve">and total amount of </w:t>
      </w:r>
      <w:r w:rsidR="003B7A50">
        <w:rPr>
          <w:noProof/>
          <w:lang w:val="en-IE"/>
        </w:rPr>
        <w:t>e</w:t>
      </w:r>
      <w:r w:rsidR="00AC23A2">
        <w:rPr>
          <w:noProof/>
          <w:lang w:val="en-IE"/>
        </w:rPr>
        <w:t xml:space="preserve">xcess </w:t>
      </w:r>
      <w:r w:rsidR="003B7A50">
        <w:rPr>
          <w:noProof/>
          <w:lang w:val="en-IE"/>
        </w:rPr>
        <w:t>t</w:t>
      </w:r>
      <w:r w:rsidR="001F36D2" w:rsidRPr="001F36D2">
        <w:rPr>
          <w:noProof/>
          <w:lang w:val="en-IE"/>
        </w:rPr>
        <w:t xml:space="preserve">ax </w:t>
      </w:r>
      <w:r w:rsidR="00AC23A2">
        <w:rPr>
          <w:noProof/>
          <w:lang w:val="en-IE"/>
        </w:rPr>
        <w:t>to be</w:t>
      </w:r>
      <w:r w:rsidR="001F36D2" w:rsidRPr="001F36D2">
        <w:rPr>
          <w:noProof/>
          <w:lang w:val="en-IE"/>
        </w:rPr>
        <w:t xml:space="preserve"> refund</w:t>
      </w:r>
      <w:r w:rsidR="00AC23A2">
        <w:rPr>
          <w:noProof/>
          <w:lang w:val="en-IE"/>
        </w:rPr>
        <w:t>ed</w:t>
      </w:r>
      <w:r w:rsidR="00CC5F96">
        <w:rPr>
          <w:noProof/>
          <w:lang w:val="en-IE"/>
        </w:rPr>
        <w:t>;</w:t>
      </w:r>
    </w:p>
    <w:p w14:paraId="73DCF50F" w14:textId="77777777" w:rsidR="00AC23A2" w:rsidRPr="001F36D2" w:rsidRDefault="00412FF6" w:rsidP="00412FF6">
      <w:pPr>
        <w:pStyle w:val="Point1"/>
        <w:rPr>
          <w:noProof/>
          <w:lang w:val="en-IE"/>
        </w:rPr>
      </w:pPr>
      <w:r w:rsidRPr="00412FF6">
        <w:t>(c)</w:t>
      </w:r>
      <w:r w:rsidRPr="00412FF6">
        <w:tab/>
      </w:r>
      <w:r w:rsidR="00B36ECF">
        <w:rPr>
          <w:noProof/>
          <w:lang w:val="en-IE"/>
        </w:rPr>
        <w:t xml:space="preserve">the </w:t>
      </w:r>
      <w:r w:rsidR="00AC23A2">
        <w:rPr>
          <w:noProof/>
          <w:lang w:val="en-IE"/>
        </w:rPr>
        <w:t xml:space="preserve">tax residence of the </w:t>
      </w:r>
      <w:r w:rsidR="000C0442">
        <w:rPr>
          <w:noProof/>
          <w:lang w:val="en-IE"/>
        </w:rPr>
        <w:t>registered owner</w:t>
      </w:r>
      <w:r w:rsidR="00CC5F96">
        <w:rPr>
          <w:noProof/>
          <w:lang w:val="en-IE"/>
        </w:rPr>
        <w:t>;</w:t>
      </w:r>
    </w:p>
    <w:p w14:paraId="7EB23050" w14:textId="77777777" w:rsidR="001F36D2" w:rsidRDefault="00412FF6" w:rsidP="00412FF6">
      <w:pPr>
        <w:pStyle w:val="Point1"/>
        <w:rPr>
          <w:noProof/>
          <w:lang w:val="en-IE"/>
        </w:rPr>
      </w:pPr>
      <w:r w:rsidRPr="00412FF6">
        <w:t>(d)</w:t>
      </w:r>
      <w:r w:rsidRPr="00412FF6">
        <w:tab/>
      </w:r>
      <w:r w:rsidR="003E7F0F">
        <w:rPr>
          <w:noProof/>
          <w:lang w:val="en-IE"/>
        </w:rPr>
        <w:t>t</w:t>
      </w:r>
      <w:r w:rsidR="00AC23A2">
        <w:rPr>
          <w:noProof/>
          <w:lang w:val="en-IE"/>
        </w:rPr>
        <w:t>he</w:t>
      </w:r>
      <w:r w:rsidR="001F36D2" w:rsidRPr="001F36D2">
        <w:rPr>
          <w:noProof/>
          <w:lang w:val="en-IE"/>
        </w:rPr>
        <w:t xml:space="preserve"> </w:t>
      </w:r>
      <w:r w:rsidR="000C0442">
        <w:rPr>
          <w:noProof/>
          <w:lang w:val="en-IE"/>
        </w:rPr>
        <w:t>registered owner</w:t>
      </w:r>
      <w:r w:rsidR="00AC23A2">
        <w:rPr>
          <w:noProof/>
          <w:lang w:val="en-IE"/>
        </w:rPr>
        <w:t>’s declaration</w:t>
      </w:r>
      <w:r w:rsidR="001F36D2" w:rsidRPr="001F36D2">
        <w:rPr>
          <w:noProof/>
          <w:lang w:val="en-IE"/>
        </w:rPr>
        <w:t xml:space="preserve"> </w:t>
      </w:r>
      <w:r w:rsidR="00EB23E0">
        <w:rPr>
          <w:noProof/>
          <w:lang w:val="en-IE"/>
        </w:rPr>
        <w:t>in accordance with</w:t>
      </w:r>
      <w:r w:rsidR="001F36D2" w:rsidRPr="001F36D2">
        <w:rPr>
          <w:noProof/>
          <w:lang w:val="en-IE"/>
        </w:rPr>
        <w:t xml:space="preserve"> Article 1</w:t>
      </w:r>
      <w:r w:rsidR="006574CB">
        <w:rPr>
          <w:noProof/>
          <w:lang w:val="en-IE"/>
        </w:rPr>
        <w:t>1</w:t>
      </w:r>
      <w:r w:rsidR="001F36D2" w:rsidRPr="001F36D2">
        <w:rPr>
          <w:noProof/>
          <w:lang w:val="en-IE"/>
        </w:rPr>
        <w:t>.</w:t>
      </w:r>
    </w:p>
    <w:p w14:paraId="14F4749C" w14:textId="77777777" w:rsidR="00280192" w:rsidRDefault="00280192" w:rsidP="00280192">
      <w:pPr>
        <w:pStyle w:val="ManualNumPar1"/>
        <w:rPr>
          <w:noProof/>
          <w:lang w:val="en-IE"/>
        </w:rPr>
      </w:pPr>
      <w:r>
        <w:rPr>
          <w:b/>
          <w:i/>
        </w:rPr>
        <w:t>3 a.</w:t>
      </w:r>
      <w:r>
        <w:tab/>
      </w:r>
      <w:r>
        <w:rPr>
          <w:b/>
          <w:i/>
        </w:rPr>
        <w:t xml:space="preserve">Member States may reject a refund request if any verification procedure or tax audit, </w:t>
      </w:r>
      <w:r w:rsidRPr="00D70754">
        <w:rPr>
          <w:b/>
          <w:i/>
        </w:rPr>
        <w:t>based on risk assessment criteria and according to the national legislation, is initiated. (Renew 118</w:t>
      </w:r>
      <w:r>
        <w:rPr>
          <w:b/>
          <w:i/>
        </w:rPr>
        <w:t>)</w:t>
      </w:r>
    </w:p>
    <w:p w14:paraId="012A4EC8" w14:textId="77777777" w:rsidR="003B7A50" w:rsidRDefault="00412FF6" w:rsidP="00412FF6">
      <w:pPr>
        <w:pStyle w:val="ManualNumPar1"/>
        <w:rPr>
          <w:noProof/>
        </w:rPr>
      </w:pPr>
      <w:r w:rsidRPr="00412FF6">
        <w:t>4.</w:t>
      </w:r>
      <w:r w:rsidRPr="00412FF6">
        <w:tab/>
      </w:r>
      <w:r w:rsidR="003B7A50" w:rsidRPr="001F36D2">
        <w:rPr>
          <w:noProof/>
        </w:rPr>
        <w:t xml:space="preserve">The Commission shall adopt implementing acts laying down standard computerised forms, including the linguistic arrangements, </w:t>
      </w:r>
      <w:r w:rsidR="003B7A50" w:rsidRPr="0098755D">
        <w:rPr>
          <w:noProof/>
          <w:lang w:val="en-IE"/>
        </w:rPr>
        <w:t>and requirements for the communication channels</w:t>
      </w:r>
      <w:r w:rsidR="003B7A50" w:rsidRPr="001F36D2">
        <w:rPr>
          <w:noProof/>
        </w:rPr>
        <w:t xml:space="preserve"> for the submission of requests under this Article</w:t>
      </w:r>
      <w:r w:rsidR="0079028E">
        <w:rPr>
          <w:noProof/>
        </w:rPr>
        <w:t>. Those implementing acts shall be adopted</w:t>
      </w:r>
      <w:r w:rsidR="003B7A50" w:rsidRPr="001F36D2">
        <w:rPr>
          <w:noProof/>
        </w:rPr>
        <w:t xml:space="preserve">, in accordance with the </w:t>
      </w:r>
      <w:r w:rsidR="0079028E">
        <w:rPr>
          <w:noProof/>
        </w:rPr>
        <w:t xml:space="preserve">examination </w:t>
      </w:r>
      <w:r w:rsidR="003B7A50" w:rsidRPr="001F36D2">
        <w:rPr>
          <w:noProof/>
        </w:rPr>
        <w:t>procedure referred to in Article 1</w:t>
      </w:r>
      <w:r w:rsidR="003B7A50">
        <w:rPr>
          <w:noProof/>
        </w:rPr>
        <w:t>8</w:t>
      </w:r>
      <w:r w:rsidR="003B7A50" w:rsidRPr="001F36D2">
        <w:rPr>
          <w:noProof/>
        </w:rPr>
        <w:t>.</w:t>
      </w:r>
    </w:p>
    <w:p w14:paraId="4F1CF46B" w14:textId="77777777" w:rsidR="00261C29" w:rsidRDefault="00261C29" w:rsidP="00261C29">
      <w:pPr>
        <w:pStyle w:val="Text1"/>
        <w:ind w:left="0"/>
      </w:pPr>
    </w:p>
    <w:p w14:paraId="0B994D60" w14:textId="77777777" w:rsidR="00906809" w:rsidRDefault="00906809" w:rsidP="00906809">
      <w:pPr>
        <w:pStyle w:val="Text1"/>
      </w:pPr>
    </w:p>
    <w:p w14:paraId="133A0F34" w14:textId="77777777" w:rsidR="00906809" w:rsidRDefault="00906809" w:rsidP="00261C29">
      <w:pPr>
        <w:rPr>
          <w:b/>
          <w:noProof/>
          <w:highlight w:val="green"/>
        </w:rPr>
      </w:pPr>
    </w:p>
    <w:p w14:paraId="356601A0" w14:textId="77777777" w:rsidR="00261C29" w:rsidRPr="00657833" w:rsidRDefault="00261C29" w:rsidP="00261C29">
      <w:pPr>
        <w:rPr>
          <w:noProof/>
          <w:lang w:val="en-US"/>
        </w:rPr>
      </w:pPr>
      <w:r w:rsidRPr="000E01EB">
        <w:rPr>
          <w:b/>
          <w:noProof/>
          <w:highlight w:val="green"/>
        </w:rPr>
        <w:t xml:space="preserve">COMP </w:t>
      </w:r>
      <w:r>
        <w:rPr>
          <w:b/>
          <w:noProof/>
          <w:highlight w:val="green"/>
        </w:rPr>
        <w:t>E</w:t>
      </w:r>
    </w:p>
    <w:p w14:paraId="4CECF1CD" w14:textId="77777777" w:rsidR="00375C92" w:rsidRDefault="00375C92" w:rsidP="00375C92">
      <w:pPr>
        <w:pStyle w:val="ManualConsidrant"/>
        <w:rPr>
          <w:b/>
          <w:noProof/>
        </w:rPr>
      </w:pPr>
    </w:p>
    <w:p w14:paraId="39051FC3" w14:textId="4606FDAA" w:rsidR="00375C92" w:rsidRPr="0043710D" w:rsidRDefault="00375C92" w:rsidP="00375C92">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 xml:space="preserve">AMs covered: 9, 10, 11, 12, 13, 14, 15, 121, 132 EPP, 129, 131, </w:t>
      </w:r>
      <w:r w:rsidR="009D3962">
        <w:rPr>
          <w:b w:val="0"/>
          <w:i/>
        </w:rPr>
        <w:t>134,</w:t>
      </w:r>
      <w:r>
        <w:rPr>
          <w:b w:val="0"/>
          <w:i/>
        </w:rPr>
        <w:t xml:space="preserve"> 138, 139, 140 S&amp;D, 133, 142, 144 Renew, 127 Greens and S&amp;D, 130, 143, 145, 146 Greens,</w:t>
      </w:r>
      <w:r>
        <w:rPr>
          <w:b w:val="0"/>
          <w:i/>
        </w:rPr>
        <w:br/>
      </w:r>
      <w:r w:rsidRPr="0043710D">
        <w:rPr>
          <w:b w:val="0"/>
          <w:i/>
        </w:rPr>
        <w:t>AM</w:t>
      </w:r>
      <w:r>
        <w:rPr>
          <w:b w:val="0"/>
          <w:i/>
        </w:rPr>
        <w:t xml:space="preserve">s that fall if COMP is adopted: </w:t>
      </w:r>
      <w:r w:rsidR="009D3962">
        <w:rPr>
          <w:b w:val="0"/>
          <w:i/>
        </w:rPr>
        <w:t xml:space="preserve">135, </w:t>
      </w:r>
      <w:r>
        <w:rPr>
          <w:b w:val="0"/>
          <w:i/>
        </w:rPr>
        <w:t>136, 137 S&amp;D, 119 Renew, 128 Greens, 120, 122, 123,124, 125, 126, 141 The Left</w:t>
      </w:r>
    </w:p>
    <w:p w14:paraId="14A050F6" w14:textId="77777777" w:rsidR="00375C92" w:rsidRDefault="00375C92" w:rsidP="00375C92">
      <w:pPr>
        <w:pStyle w:val="Text1"/>
      </w:pPr>
    </w:p>
    <w:p w14:paraId="255938C2" w14:textId="77777777" w:rsidR="00261C29" w:rsidRPr="00261C29" w:rsidRDefault="00261C29" w:rsidP="00261C29">
      <w:pPr>
        <w:pStyle w:val="Text1"/>
        <w:ind w:left="0"/>
      </w:pPr>
    </w:p>
    <w:p w14:paraId="6AE337F3" w14:textId="77777777" w:rsidR="001956AF" w:rsidRDefault="001956AF" w:rsidP="000E37A2">
      <w:pPr>
        <w:pStyle w:val="Titrearticle"/>
        <w:rPr>
          <w:b/>
          <w:bCs/>
          <w:i w:val="0"/>
          <w:iCs/>
          <w:noProof/>
          <w:lang w:val="en-IE"/>
        </w:rPr>
      </w:pPr>
      <w:r w:rsidRPr="009A3230">
        <w:rPr>
          <w:noProof/>
          <w:lang w:val="en-IE"/>
        </w:rPr>
        <w:t xml:space="preserve">Article </w:t>
      </w:r>
      <w:r>
        <w:rPr>
          <w:iCs/>
          <w:noProof/>
          <w:lang w:val="en-IE"/>
        </w:rPr>
        <w:t>1</w:t>
      </w:r>
      <w:r w:rsidR="005E3AA5">
        <w:rPr>
          <w:iCs/>
          <w:noProof/>
          <w:lang w:val="en-IE"/>
        </w:rPr>
        <w:t>4</w:t>
      </w:r>
      <w:r w:rsidR="000E37A2">
        <w:rPr>
          <w:iCs/>
          <w:noProof/>
          <w:lang w:val="en-IE"/>
        </w:rPr>
        <w:br/>
      </w:r>
      <w:r w:rsidRPr="000E37A2">
        <w:rPr>
          <w:b/>
          <w:bCs/>
          <w:i w:val="0"/>
          <w:iCs/>
          <w:noProof/>
          <w:lang w:val="en-IE"/>
        </w:rPr>
        <w:t>Late payment interest</w:t>
      </w:r>
    </w:p>
    <w:p w14:paraId="29E65E70" w14:textId="77777777" w:rsidR="001956AF" w:rsidRPr="000E37A2" w:rsidRDefault="004A0A00" w:rsidP="004D12F8">
      <w:pPr>
        <w:rPr>
          <w:noProof/>
          <w:lang w:val="en-IE"/>
        </w:rPr>
      </w:pPr>
      <w:r>
        <w:rPr>
          <w:noProof/>
        </w:rPr>
        <w:t xml:space="preserve">Member States shall apply interest in accordance with </w:t>
      </w:r>
      <w:r w:rsidR="0079028E">
        <w:rPr>
          <w:noProof/>
        </w:rPr>
        <w:t>A</w:t>
      </w:r>
      <w:r>
        <w:rPr>
          <w:noProof/>
        </w:rPr>
        <w:t>rticle 13</w:t>
      </w:r>
      <w:r w:rsidR="0079028E">
        <w:rPr>
          <w:noProof/>
        </w:rPr>
        <w:t>(2)</w:t>
      </w:r>
      <w:r>
        <w:rPr>
          <w:noProof/>
        </w:rPr>
        <w:t xml:space="preserve"> at </w:t>
      </w:r>
      <w:r w:rsidR="00DB0AB7">
        <w:rPr>
          <w:noProof/>
        </w:rPr>
        <w:t>a</w:t>
      </w:r>
      <w:r w:rsidR="001F36D2" w:rsidRPr="001F36D2">
        <w:rPr>
          <w:noProof/>
          <w:lang w:val="en-IE"/>
        </w:rPr>
        <w:t xml:space="preserve"> rate equal to the interest or equivalent charge applied by the Member State to late payments </w:t>
      </w:r>
      <w:r w:rsidR="001F36D2" w:rsidRPr="00D70754">
        <w:rPr>
          <w:noProof/>
          <w:lang w:val="en-IE"/>
        </w:rPr>
        <w:t xml:space="preserve">of income tax by </w:t>
      </w:r>
      <w:r w:rsidR="000C0442" w:rsidRPr="00D70754">
        <w:rPr>
          <w:noProof/>
          <w:lang w:val="en-IE"/>
        </w:rPr>
        <w:t>registered owners</w:t>
      </w:r>
      <w:r w:rsidR="001F36D2" w:rsidRPr="00D70754">
        <w:rPr>
          <w:noProof/>
          <w:lang w:val="en-IE"/>
        </w:rPr>
        <w:t xml:space="preserve">, </w:t>
      </w:r>
      <w:r w:rsidR="001F36D2" w:rsidRPr="00D964E7">
        <w:rPr>
          <w:noProof/>
          <w:lang w:val="en-IE"/>
        </w:rPr>
        <w:t>or</w:t>
      </w:r>
      <w:r w:rsidR="00994676" w:rsidRPr="00D964E7">
        <w:rPr>
          <w:noProof/>
          <w:lang w:val="en-IE"/>
        </w:rPr>
        <w:t>, if the national legislation of the Member States does not include such provision, at</w:t>
      </w:r>
      <w:r w:rsidR="000C5822" w:rsidRPr="00D964E7">
        <w:rPr>
          <w:noProof/>
          <w:lang w:val="en-IE"/>
        </w:rPr>
        <w:t xml:space="preserve"> the Euro short-term rate </w:t>
      </w:r>
      <w:r w:rsidR="001F36D2" w:rsidRPr="00D964E7">
        <w:rPr>
          <w:noProof/>
          <w:lang w:val="en-IE"/>
        </w:rPr>
        <w:t>plus 50 basis points</w:t>
      </w:r>
      <w:r w:rsidR="00994676" w:rsidRPr="00D964E7">
        <w:rPr>
          <w:noProof/>
          <w:lang w:val="en-IE"/>
        </w:rPr>
        <w:t xml:space="preserve"> or </w:t>
      </w:r>
      <w:r w:rsidR="001F36D2" w:rsidRPr="00D964E7">
        <w:rPr>
          <w:noProof/>
          <w:lang w:val="en-IE"/>
        </w:rPr>
        <w:t>the equivalent interest rate used by their Central Bank plus 50 basis point</w:t>
      </w:r>
      <w:r w:rsidR="00251560" w:rsidRPr="00D964E7">
        <w:rPr>
          <w:noProof/>
          <w:lang w:val="en-IE"/>
        </w:rPr>
        <w:t>s</w:t>
      </w:r>
      <w:r w:rsidR="00994676" w:rsidRPr="00D964E7">
        <w:rPr>
          <w:noProof/>
          <w:lang w:val="en-IE"/>
        </w:rPr>
        <w:t xml:space="preserve">, if they are not part of the </w:t>
      </w:r>
      <w:r w:rsidR="00D70754" w:rsidRPr="00D964E7">
        <w:rPr>
          <w:noProof/>
          <w:lang w:val="en-IE"/>
        </w:rPr>
        <w:t>European Exchange Rate Mechanism.</w:t>
      </w:r>
      <w:r w:rsidR="001956AF" w:rsidRPr="00D964E7">
        <w:rPr>
          <w:noProof/>
          <w:lang w:val="en-IE"/>
        </w:rPr>
        <w:t xml:space="preserve"> </w:t>
      </w:r>
    </w:p>
    <w:p w14:paraId="05C1BD97" w14:textId="77777777" w:rsidR="001956AF" w:rsidRDefault="001956AF" w:rsidP="000E37A2">
      <w:pPr>
        <w:pStyle w:val="Titrearticle"/>
        <w:rPr>
          <w:b/>
          <w:bCs/>
          <w:i w:val="0"/>
          <w:iCs/>
          <w:noProof/>
          <w:lang w:val="en-IE"/>
        </w:rPr>
      </w:pPr>
      <w:r>
        <w:rPr>
          <w:noProof/>
        </w:rPr>
        <w:t xml:space="preserve">Article </w:t>
      </w:r>
      <w:r>
        <w:rPr>
          <w:iCs/>
          <w:noProof/>
        </w:rPr>
        <w:t>1</w:t>
      </w:r>
      <w:r w:rsidR="005E3AA5">
        <w:rPr>
          <w:iCs/>
          <w:noProof/>
        </w:rPr>
        <w:t>5</w:t>
      </w:r>
      <w:r w:rsidR="000E37A2">
        <w:rPr>
          <w:iCs/>
          <w:noProof/>
        </w:rPr>
        <w:br/>
      </w:r>
      <w:r w:rsidRPr="000E37A2">
        <w:rPr>
          <w:b/>
          <w:bCs/>
          <w:i w:val="0"/>
          <w:iCs/>
          <w:noProof/>
          <w:lang w:val="en-IE"/>
        </w:rPr>
        <w:t xml:space="preserve">Standard </w:t>
      </w:r>
      <w:r w:rsidR="0079028E">
        <w:rPr>
          <w:b/>
          <w:bCs/>
          <w:i w:val="0"/>
          <w:iCs/>
          <w:noProof/>
          <w:lang w:val="en-IE"/>
        </w:rPr>
        <w:t>r</w:t>
      </w:r>
      <w:r w:rsidRPr="000E37A2">
        <w:rPr>
          <w:b/>
          <w:bCs/>
          <w:i w:val="0"/>
          <w:iCs/>
          <w:noProof/>
          <w:lang w:val="en-IE"/>
        </w:rPr>
        <w:t>efund system</w:t>
      </w:r>
    </w:p>
    <w:p w14:paraId="74930798" w14:textId="7EC59FE2" w:rsidR="001956AF" w:rsidRDefault="004A0A00" w:rsidP="000E37A2">
      <w:pPr>
        <w:rPr>
          <w:noProof/>
        </w:rPr>
      </w:pPr>
      <w:r>
        <w:rPr>
          <w:noProof/>
        </w:rPr>
        <w:t>Member States shall adopt appropriate measures to ensure that w</w:t>
      </w:r>
      <w:r w:rsidR="00A302AD">
        <w:rPr>
          <w:noProof/>
        </w:rPr>
        <w:t>here Article 1</w:t>
      </w:r>
      <w:r w:rsidR="00C05948">
        <w:rPr>
          <w:noProof/>
        </w:rPr>
        <w:t>2</w:t>
      </w:r>
      <w:r w:rsidR="00A302AD">
        <w:rPr>
          <w:noProof/>
        </w:rPr>
        <w:t xml:space="preserve"> and </w:t>
      </w:r>
      <w:r w:rsidR="0079028E">
        <w:rPr>
          <w:noProof/>
        </w:rPr>
        <w:t xml:space="preserve">Article </w:t>
      </w:r>
      <w:r w:rsidR="00A302AD">
        <w:rPr>
          <w:noProof/>
        </w:rPr>
        <w:t>1</w:t>
      </w:r>
      <w:r w:rsidR="00C05948">
        <w:rPr>
          <w:noProof/>
        </w:rPr>
        <w:t>3</w:t>
      </w:r>
      <w:r w:rsidR="00A302AD">
        <w:rPr>
          <w:noProof/>
        </w:rPr>
        <w:t xml:space="preserve"> do not apply to dividends, </w:t>
      </w:r>
      <w:r>
        <w:rPr>
          <w:noProof/>
        </w:rPr>
        <w:t xml:space="preserve">because the conditions of this Directive are not met, </w:t>
      </w:r>
      <w:r w:rsidR="005B0C80">
        <w:rPr>
          <w:noProof/>
        </w:rPr>
        <w:t>a registered owner</w:t>
      </w:r>
      <w:r w:rsidR="12130889">
        <w:rPr>
          <w:noProof/>
        </w:rPr>
        <w:t xml:space="preserve"> or its </w:t>
      </w:r>
      <w:r w:rsidR="005B0C80">
        <w:rPr>
          <w:noProof/>
        </w:rPr>
        <w:t xml:space="preserve">authorised </w:t>
      </w:r>
      <w:r w:rsidR="12130889">
        <w:rPr>
          <w:noProof/>
        </w:rPr>
        <w:t>representative</w:t>
      </w:r>
      <w:r w:rsidR="49754D83">
        <w:rPr>
          <w:noProof/>
        </w:rPr>
        <w:t xml:space="preserve"> </w:t>
      </w:r>
      <w:r w:rsidR="001F36D2" w:rsidRPr="001F36D2">
        <w:rPr>
          <w:noProof/>
        </w:rPr>
        <w:t>request</w:t>
      </w:r>
      <w:r w:rsidR="005B0C80">
        <w:rPr>
          <w:noProof/>
        </w:rPr>
        <w:t>ing</w:t>
      </w:r>
      <w:r w:rsidR="001F36D2" w:rsidRPr="001F36D2">
        <w:rPr>
          <w:noProof/>
        </w:rPr>
        <w:t xml:space="preserve"> for refund of </w:t>
      </w:r>
      <w:r w:rsidR="00524F55">
        <w:rPr>
          <w:noProof/>
        </w:rPr>
        <w:t xml:space="preserve">the </w:t>
      </w:r>
      <w:r w:rsidR="001F36D2" w:rsidRPr="001F36D2">
        <w:rPr>
          <w:noProof/>
        </w:rPr>
        <w:t xml:space="preserve">excess </w:t>
      </w:r>
      <w:r w:rsidR="00524F55">
        <w:rPr>
          <w:noProof/>
        </w:rPr>
        <w:t>withholding</w:t>
      </w:r>
      <w:r w:rsidR="001F36D2" w:rsidRPr="001F36D2">
        <w:rPr>
          <w:noProof/>
        </w:rPr>
        <w:t xml:space="preserve"> tax </w:t>
      </w:r>
      <w:r w:rsidR="001F36D2" w:rsidRPr="005E5BD8">
        <w:rPr>
          <w:noProof/>
        </w:rPr>
        <w:t xml:space="preserve">on </w:t>
      </w:r>
      <w:r w:rsidR="00A302AD" w:rsidRPr="005E5BD8">
        <w:rPr>
          <w:noProof/>
        </w:rPr>
        <w:t xml:space="preserve">such </w:t>
      </w:r>
      <w:r w:rsidR="001F36D2" w:rsidRPr="005E5BD8">
        <w:rPr>
          <w:noProof/>
        </w:rPr>
        <w:t xml:space="preserve">dividends </w:t>
      </w:r>
      <w:r w:rsidR="17505BF4" w:rsidRPr="005E5BD8">
        <w:rPr>
          <w:noProof/>
        </w:rPr>
        <w:t>provide</w:t>
      </w:r>
      <w:r w:rsidR="3E2544B1" w:rsidRPr="005E5BD8">
        <w:rPr>
          <w:noProof/>
        </w:rPr>
        <w:t>s</w:t>
      </w:r>
      <w:r w:rsidR="451529F8" w:rsidRPr="005E5BD8">
        <w:rPr>
          <w:noProof/>
        </w:rPr>
        <w:t xml:space="preserve"> </w:t>
      </w:r>
      <w:r w:rsidR="003B1F1E" w:rsidRPr="005E5BD8">
        <w:rPr>
          <w:noProof/>
        </w:rPr>
        <w:t xml:space="preserve">at </w:t>
      </w:r>
      <w:r w:rsidR="003B1F1E" w:rsidRPr="00553E34">
        <w:rPr>
          <w:noProof/>
        </w:rPr>
        <w:t xml:space="preserve">least </w:t>
      </w:r>
      <w:r w:rsidR="5CB20B25" w:rsidRPr="00553E34">
        <w:rPr>
          <w:noProof/>
        </w:rPr>
        <w:t xml:space="preserve">the </w:t>
      </w:r>
      <w:r w:rsidR="67D9D763" w:rsidRPr="00553E34">
        <w:rPr>
          <w:noProof/>
        </w:rPr>
        <w:t>information</w:t>
      </w:r>
      <w:r w:rsidR="170EF30E" w:rsidRPr="00553E34">
        <w:rPr>
          <w:noProof/>
          <w:lang w:val="en-IE"/>
        </w:rPr>
        <w:t xml:space="preserve"> </w:t>
      </w:r>
      <w:r w:rsidR="17802748" w:rsidRPr="00553E34">
        <w:rPr>
          <w:noProof/>
          <w:lang w:val="en-IE"/>
        </w:rPr>
        <w:t xml:space="preserve">required </w:t>
      </w:r>
      <w:r w:rsidR="17768F01" w:rsidRPr="00553E34">
        <w:rPr>
          <w:noProof/>
          <w:lang w:val="en-IE"/>
        </w:rPr>
        <w:t xml:space="preserve">under </w:t>
      </w:r>
      <w:r w:rsidR="762159EC" w:rsidRPr="00553E34">
        <w:rPr>
          <w:noProof/>
          <w:lang w:val="en-IE"/>
        </w:rPr>
        <w:t>Annex II</w:t>
      </w:r>
      <w:r w:rsidR="001F69BA" w:rsidRPr="00553E34">
        <w:rPr>
          <w:noProof/>
          <w:lang w:val="en-IE"/>
        </w:rPr>
        <w:t>,</w:t>
      </w:r>
      <w:r w:rsidR="003B1F1E" w:rsidRPr="00553E34">
        <w:rPr>
          <w:noProof/>
          <w:lang w:val="en-IE"/>
        </w:rPr>
        <w:t xml:space="preserve"> heading E</w:t>
      </w:r>
      <w:r w:rsidR="73524844" w:rsidRPr="00553E34">
        <w:rPr>
          <w:noProof/>
          <w:lang w:val="en-IE"/>
        </w:rPr>
        <w:t xml:space="preserve">, </w:t>
      </w:r>
      <w:r w:rsidR="00F42A4B" w:rsidRPr="00553E34">
        <w:rPr>
          <w:noProof/>
          <w:lang w:val="en-IE"/>
        </w:rPr>
        <w:t xml:space="preserve">unless the total dividend paid to the registered owner on the owner’s shareholding in a company does not exceed EUR </w:t>
      </w:r>
      <w:r w:rsidR="00280192" w:rsidRPr="00553E34">
        <w:rPr>
          <w:b/>
          <w:i/>
          <w:strike/>
          <w:noProof/>
          <w:lang w:val="en-IE"/>
        </w:rPr>
        <w:t>1000</w:t>
      </w:r>
      <w:r w:rsidR="00280192" w:rsidRPr="00553E34">
        <w:rPr>
          <w:noProof/>
          <w:lang w:val="en-IE"/>
        </w:rPr>
        <w:t xml:space="preserve"> </w:t>
      </w:r>
      <w:r w:rsidR="004B1880" w:rsidRPr="00D62231">
        <w:rPr>
          <w:b/>
          <w:i/>
          <w:u w:val="single"/>
        </w:rPr>
        <w:t>1500</w:t>
      </w:r>
      <w:r w:rsidR="004B1880" w:rsidRPr="00D62231">
        <w:rPr>
          <w:b/>
          <w:i/>
        </w:rPr>
        <w:t xml:space="preserve"> </w:t>
      </w:r>
      <w:r w:rsidR="00280192" w:rsidRPr="00553E34">
        <w:rPr>
          <w:b/>
          <w:i/>
        </w:rPr>
        <w:t>(EPP 121)</w:t>
      </w:r>
      <w:r w:rsidR="00F42A4B" w:rsidRPr="00553E34">
        <w:rPr>
          <w:noProof/>
          <w:lang w:val="en-IE"/>
        </w:rPr>
        <w:t xml:space="preserve">, and </w:t>
      </w:r>
      <w:r w:rsidR="73524844" w:rsidRPr="00553E34">
        <w:rPr>
          <w:noProof/>
          <w:lang w:val="en-IE"/>
        </w:rPr>
        <w:t>unless this information has already been provided</w:t>
      </w:r>
      <w:r w:rsidR="7DF805E9" w:rsidRPr="00553E34">
        <w:rPr>
          <w:noProof/>
          <w:lang w:val="en-IE"/>
        </w:rPr>
        <w:t xml:space="preserve"> in accordance with</w:t>
      </w:r>
      <w:r w:rsidR="1DE1832C" w:rsidRPr="00553E34">
        <w:rPr>
          <w:noProof/>
          <w:lang w:val="en-IE"/>
        </w:rPr>
        <w:t xml:space="preserve"> the </w:t>
      </w:r>
      <w:r w:rsidR="7FD52A0D" w:rsidRPr="00553E34">
        <w:rPr>
          <w:noProof/>
          <w:lang w:val="en-IE"/>
        </w:rPr>
        <w:t>obligations</w:t>
      </w:r>
      <w:r w:rsidR="1DE1832C" w:rsidRPr="00553E34">
        <w:rPr>
          <w:noProof/>
          <w:lang w:val="en-IE"/>
        </w:rPr>
        <w:t xml:space="preserve"> of Article</w:t>
      </w:r>
      <w:r w:rsidR="1DE1832C" w:rsidRPr="005E5BD8">
        <w:rPr>
          <w:noProof/>
          <w:lang w:val="en-IE"/>
        </w:rPr>
        <w:t xml:space="preserve"> 9.</w:t>
      </w:r>
      <w:r w:rsidR="001F36D2" w:rsidRPr="005E5BD8">
        <w:rPr>
          <w:noProof/>
          <w:lang w:val="en-IE"/>
        </w:rPr>
        <w:t xml:space="preserve"> </w:t>
      </w:r>
    </w:p>
    <w:p w14:paraId="479745D5" w14:textId="77777777" w:rsidR="000E37A2" w:rsidRDefault="001956AF" w:rsidP="000E37A2">
      <w:pPr>
        <w:pStyle w:val="Titrearticle"/>
        <w:rPr>
          <w:b/>
          <w:bCs/>
          <w:i w:val="0"/>
          <w:iCs/>
          <w:noProof/>
          <w:lang w:val="en-IE"/>
        </w:rPr>
      </w:pPr>
      <w:r w:rsidRPr="005A6060">
        <w:rPr>
          <w:noProof/>
          <w:lang w:val="en-IE"/>
        </w:rPr>
        <w:t>Article 1</w:t>
      </w:r>
      <w:r w:rsidR="00E32925">
        <w:rPr>
          <w:noProof/>
          <w:lang w:val="en-IE"/>
        </w:rPr>
        <w:t>6</w:t>
      </w:r>
      <w:r w:rsidR="000E37A2">
        <w:rPr>
          <w:noProof/>
          <w:lang w:val="en-IE"/>
        </w:rPr>
        <w:br/>
      </w:r>
      <w:r w:rsidR="00667524">
        <w:rPr>
          <w:b/>
          <w:bCs/>
          <w:i w:val="0"/>
          <w:iCs/>
          <w:noProof/>
          <w:lang w:val="en-IE"/>
        </w:rPr>
        <w:t xml:space="preserve">Civil </w:t>
      </w:r>
      <w:r w:rsidR="0079028E">
        <w:rPr>
          <w:b/>
          <w:bCs/>
          <w:i w:val="0"/>
          <w:iCs/>
          <w:noProof/>
          <w:lang w:val="en-IE"/>
        </w:rPr>
        <w:t>l</w:t>
      </w:r>
      <w:r w:rsidRPr="000E37A2">
        <w:rPr>
          <w:b/>
          <w:bCs/>
          <w:i w:val="0"/>
          <w:iCs/>
          <w:noProof/>
          <w:lang w:val="en-IE"/>
        </w:rPr>
        <w:t>iability</w:t>
      </w:r>
    </w:p>
    <w:p w14:paraId="115EE0B6" w14:textId="77777777" w:rsidR="00C86220" w:rsidRDefault="00C86220" w:rsidP="004D12F8">
      <w:pPr>
        <w:rPr>
          <w:noProof/>
        </w:rPr>
      </w:pPr>
      <w:r>
        <w:rPr>
          <w:noProof/>
        </w:rPr>
        <w:t xml:space="preserve">Member States shall take appropriate measures to ensure that if a </w:t>
      </w:r>
      <w:r w:rsidR="00C73BCE">
        <w:rPr>
          <w:noProof/>
        </w:rPr>
        <w:t>c</w:t>
      </w:r>
      <w:r>
        <w:rPr>
          <w:noProof/>
        </w:rPr>
        <w:t xml:space="preserve">ertified </w:t>
      </w:r>
      <w:r w:rsidR="00C73BCE">
        <w:rPr>
          <w:noProof/>
        </w:rPr>
        <w:t>f</w:t>
      </w:r>
      <w:r>
        <w:rPr>
          <w:noProof/>
        </w:rPr>
        <w:t xml:space="preserve">inancial </w:t>
      </w:r>
      <w:r w:rsidR="00C73BCE">
        <w:rPr>
          <w:noProof/>
        </w:rPr>
        <w:t>i</w:t>
      </w:r>
      <w:r>
        <w:rPr>
          <w:noProof/>
        </w:rPr>
        <w:t xml:space="preserve">ntermediary does not comply, </w:t>
      </w:r>
      <w:r w:rsidRPr="005E5BD8">
        <w:rPr>
          <w:noProof/>
          <w:lang w:val="en-IE"/>
        </w:rPr>
        <w:t>intentionally or negli</w:t>
      </w:r>
      <w:r>
        <w:rPr>
          <w:noProof/>
          <w:lang w:val="en-IE"/>
        </w:rPr>
        <w:t xml:space="preserve">gently, </w:t>
      </w:r>
      <w:r>
        <w:rPr>
          <w:noProof/>
        </w:rPr>
        <w:t>with its obligations under Articles 9</w:t>
      </w:r>
      <w:r w:rsidR="004A3C48">
        <w:rPr>
          <w:noProof/>
        </w:rPr>
        <w:t xml:space="preserve">, 10, </w:t>
      </w:r>
      <w:r>
        <w:rPr>
          <w:noProof/>
        </w:rPr>
        <w:t>11</w:t>
      </w:r>
      <w:r w:rsidR="004A3C48">
        <w:rPr>
          <w:noProof/>
        </w:rPr>
        <w:t>, 12 and 13</w:t>
      </w:r>
      <w:r w:rsidR="009E3CBB">
        <w:rPr>
          <w:noProof/>
        </w:rPr>
        <w:t>,</w:t>
      </w:r>
      <w:r w:rsidR="009E3CBB">
        <w:rPr>
          <w:noProof/>
          <w:lang w:val="en-IE"/>
        </w:rPr>
        <w:t xml:space="preserve"> the </w:t>
      </w:r>
      <w:r w:rsidR="00C73BCE">
        <w:rPr>
          <w:noProof/>
          <w:lang w:val="en-IE"/>
        </w:rPr>
        <w:t>c</w:t>
      </w:r>
      <w:r w:rsidR="009E3CBB">
        <w:rPr>
          <w:noProof/>
          <w:lang w:val="en-IE"/>
        </w:rPr>
        <w:t xml:space="preserve">ertified </w:t>
      </w:r>
      <w:r w:rsidR="00C73BCE">
        <w:rPr>
          <w:noProof/>
          <w:lang w:val="en-IE"/>
        </w:rPr>
        <w:t>f</w:t>
      </w:r>
      <w:r w:rsidR="009E3CBB">
        <w:rPr>
          <w:noProof/>
          <w:lang w:val="en-IE"/>
        </w:rPr>
        <w:t xml:space="preserve">inancial </w:t>
      </w:r>
      <w:r w:rsidR="00C73BCE">
        <w:rPr>
          <w:noProof/>
          <w:lang w:val="en-IE"/>
        </w:rPr>
        <w:t>i</w:t>
      </w:r>
      <w:r w:rsidR="009E3CBB">
        <w:rPr>
          <w:noProof/>
          <w:lang w:val="en-IE"/>
        </w:rPr>
        <w:t>ntermediary can be held liable for all or part of</w:t>
      </w:r>
      <w:r w:rsidR="00667524">
        <w:rPr>
          <w:noProof/>
          <w:lang w:val="en-IE"/>
        </w:rPr>
        <w:t xml:space="preserve"> the</w:t>
      </w:r>
      <w:r w:rsidR="009E3CBB">
        <w:rPr>
          <w:noProof/>
          <w:lang w:val="en-IE"/>
        </w:rPr>
        <w:t xml:space="preserve"> loss of withholding tax revenue incurred by the Member State in relation to a request under Article </w:t>
      </w:r>
      <w:r w:rsidR="00405244" w:rsidRPr="008420E5">
        <w:rPr>
          <w:noProof/>
          <w:lang w:val="en-IE"/>
        </w:rPr>
        <w:t>1</w:t>
      </w:r>
      <w:r w:rsidR="00405244">
        <w:rPr>
          <w:noProof/>
          <w:lang w:val="en-IE"/>
        </w:rPr>
        <w:t xml:space="preserve">2 or </w:t>
      </w:r>
      <w:r w:rsidR="009E3CBB">
        <w:rPr>
          <w:noProof/>
          <w:lang w:val="en-IE"/>
        </w:rPr>
        <w:t>13.</w:t>
      </w:r>
    </w:p>
    <w:p w14:paraId="7FDF61E8" w14:textId="77777777" w:rsidR="00091220" w:rsidRDefault="00091220" w:rsidP="00091220">
      <w:pPr>
        <w:pStyle w:val="Titrearticle"/>
        <w:rPr>
          <w:b/>
          <w:bCs/>
          <w:i w:val="0"/>
          <w:iCs/>
          <w:noProof/>
          <w:lang w:val="en-IE"/>
        </w:rPr>
      </w:pPr>
      <w:r w:rsidRPr="005A6060">
        <w:rPr>
          <w:noProof/>
          <w:lang w:val="en-IE"/>
        </w:rPr>
        <w:t>Article 1</w:t>
      </w:r>
      <w:r>
        <w:rPr>
          <w:noProof/>
          <w:lang w:val="en-IE"/>
        </w:rPr>
        <w:t>7</w:t>
      </w:r>
      <w:r>
        <w:rPr>
          <w:noProof/>
          <w:lang w:val="en-IE"/>
        </w:rPr>
        <w:br/>
      </w:r>
      <w:r w:rsidRPr="000E37A2">
        <w:rPr>
          <w:b/>
          <w:bCs/>
          <w:i w:val="0"/>
          <w:iCs/>
          <w:noProof/>
          <w:lang w:val="en-IE"/>
        </w:rPr>
        <w:t>Penalties</w:t>
      </w:r>
    </w:p>
    <w:p w14:paraId="37BBFF89" w14:textId="77777777" w:rsidR="001956AF" w:rsidRDefault="001956AF" w:rsidP="004D12F8">
      <w:pPr>
        <w:rPr>
          <w:noProof/>
          <w:lang w:val="en-IE"/>
        </w:rPr>
      </w:pPr>
      <w:r w:rsidRPr="000E37A2">
        <w:rPr>
          <w:noProof/>
          <w:lang w:val="en-IE"/>
        </w:rPr>
        <w:t>Member States shall lay down the rules on penalties applicable to infringements of national provisions adopted pursuant to this Directive, and shall take all measures necessary to ensure that they are implemented. The</w:t>
      </w:r>
      <w:r w:rsidR="009469FB">
        <w:rPr>
          <w:noProof/>
          <w:lang w:val="en-IE"/>
        </w:rPr>
        <w:t>se</w:t>
      </w:r>
      <w:r w:rsidRPr="000E37A2">
        <w:rPr>
          <w:noProof/>
          <w:lang w:val="en-IE"/>
        </w:rPr>
        <w:t xml:space="preserve"> penalties shall be effective, proportionate and dissuasive.</w:t>
      </w:r>
    </w:p>
    <w:p w14:paraId="42470728" w14:textId="77777777" w:rsidR="004D12F8" w:rsidRDefault="004D12F8" w:rsidP="004D12F8">
      <w:pPr>
        <w:rPr>
          <w:noProof/>
          <w:lang w:val="en-IE"/>
        </w:rPr>
      </w:pPr>
    </w:p>
    <w:p w14:paraId="39EA61F3" w14:textId="77777777" w:rsidR="001956AF" w:rsidRPr="00680737" w:rsidRDefault="001956AF" w:rsidP="00680737">
      <w:pPr>
        <w:jc w:val="center"/>
        <w:rPr>
          <w:b/>
          <w:bCs/>
          <w:i/>
          <w:noProof/>
          <w:lang w:val="en-US"/>
        </w:rPr>
      </w:pPr>
      <w:r w:rsidRPr="00680737">
        <w:rPr>
          <w:b/>
          <w:bCs/>
          <w:noProof/>
          <w:lang w:val="en-US"/>
        </w:rPr>
        <w:t>CHAPTER IV</w:t>
      </w:r>
    </w:p>
    <w:p w14:paraId="6FBC67A3" w14:textId="77777777" w:rsidR="001956AF" w:rsidRPr="00680737" w:rsidRDefault="001956AF" w:rsidP="001956AF">
      <w:pPr>
        <w:jc w:val="center"/>
        <w:rPr>
          <w:b/>
          <w:noProof/>
          <w:szCs w:val="24"/>
          <w:lang w:val="en-US"/>
        </w:rPr>
      </w:pPr>
      <w:r w:rsidRPr="00680737">
        <w:rPr>
          <w:b/>
          <w:noProof/>
          <w:szCs w:val="24"/>
          <w:lang w:val="en-US"/>
        </w:rPr>
        <w:lastRenderedPageBreak/>
        <w:t>FINAL PROVISIONS</w:t>
      </w:r>
    </w:p>
    <w:p w14:paraId="29E0D98B" w14:textId="77777777" w:rsidR="001956AF" w:rsidRDefault="001956AF" w:rsidP="00680737">
      <w:pPr>
        <w:pStyle w:val="Titrearticle"/>
        <w:rPr>
          <w:b/>
          <w:bCs/>
          <w:i w:val="0"/>
          <w:iCs/>
          <w:noProof/>
          <w:lang w:val="en-IE"/>
        </w:rPr>
      </w:pPr>
      <w:r w:rsidRPr="009550DB" w:rsidDel="002C0103">
        <w:rPr>
          <w:noProof/>
          <w:lang w:val="en-IE"/>
        </w:rPr>
        <w:t xml:space="preserve">Article </w:t>
      </w:r>
      <w:r>
        <w:rPr>
          <w:noProof/>
          <w:lang w:val="en-IE"/>
        </w:rPr>
        <w:t>1</w:t>
      </w:r>
      <w:r w:rsidR="001B59BA">
        <w:rPr>
          <w:noProof/>
          <w:lang w:val="en-IE"/>
        </w:rPr>
        <w:t>8</w:t>
      </w:r>
      <w:r w:rsidR="00680737">
        <w:rPr>
          <w:noProof/>
          <w:lang w:val="en-IE"/>
        </w:rPr>
        <w:br/>
      </w:r>
      <w:r w:rsidR="0079028E" w:rsidRPr="0079028E">
        <w:rPr>
          <w:b/>
          <w:bCs/>
          <w:i w:val="0"/>
          <w:iCs/>
          <w:noProof/>
          <w:lang w:val="en-IE"/>
        </w:rPr>
        <w:t>Committee procedure</w:t>
      </w:r>
    </w:p>
    <w:p w14:paraId="320670C1" w14:textId="77777777" w:rsidR="001956AF" w:rsidRPr="00E75766" w:rsidDel="002C0103" w:rsidRDefault="00412FF6" w:rsidP="00412FF6">
      <w:pPr>
        <w:pStyle w:val="ManualNumPar1"/>
        <w:rPr>
          <w:noProof/>
          <w:lang w:val="en-IE"/>
        </w:rPr>
      </w:pPr>
      <w:r w:rsidRPr="00412FF6">
        <w:t>1.</w:t>
      </w:r>
      <w:r w:rsidRPr="00412FF6">
        <w:tab/>
      </w:r>
      <w:r w:rsidR="00115ED7" w:rsidRPr="00E75766">
        <w:rPr>
          <w:noProof/>
          <w:lang w:val="en-IE"/>
        </w:rPr>
        <w:t>The Commission shall be assisted by a Committee. Th</w:t>
      </w:r>
      <w:r w:rsidR="0079028E" w:rsidRPr="00E75766">
        <w:rPr>
          <w:noProof/>
          <w:lang w:val="en-IE"/>
        </w:rPr>
        <w:t>at</w:t>
      </w:r>
      <w:r w:rsidR="00115ED7" w:rsidRPr="00E75766">
        <w:rPr>
          <w:noProof/>
          <w:lang w:val="en-IE"/>
        </w:rPr>
        <w:t xml:space="preserve"> committee shall be a committee within the meaning of Regulation (EU) No 182/2011</w:t>
      </w:r>
      <w:r w:rsidR="00B63DF9">
        <w:rPr>
          <w:rStyle w:val="FootnoteReference"/>
          <w:noProof/>
          <w:lang w:val="en-IE"/>
        </w:rPr>
        <w:footnoteReference w:id="13"/>
      </w:r>
      <w:r w:rsidR="001F36D2" w:rsidRPr="00E75766">
        <w:rPr>
          <w:noProof/>
          <w:lang w:val="en-IE"/>
        </w:rPr>
        <w:t>.</w:t>
      </w:r>
    </w:p>
    <w:p w14:paraId="3C206BFD" w14:textId="77777777" w:rsidR="00553E34" w:rsidRDefault="00412FF6" w:rsidP="00553E34">
      <w:pPr>
        <w:pStyle w:val="ManualNumPar1"/>
        <w:rPr>
          <w:noProof/>
          <w:lang w:val="en-IE"/>
        </w:rPr>
      </w:pPr>
      <w:r w:rsidRPr="00412FF6">
        <w:t>2.</w:t>
      </w:r>
      <w:r w:rsidRPr="00412FF6">
        <w:tab/>
      </w:r>
      <w:r w:rsidR="001F36D2" w:rsidRPr="001F36D2">
        <w:rPr>
          <w:noProof/>
          <w:lang w:val="en-IE"/>
        </w:rPr>
        <w:t>Where reference is made to this paragraph, Article 5 of Regulation (EU) No 182/2011 shall apply.</w:t>
      </w:r>
    </w:p>
    <w:p w14:paraId="42DB9483" w14:textId="77777777" w:rsidR="00553E34" w:rsidRDefault="00553E34" w:rsidP="00553E34">
      <w:pPr>
        <w:pStyle w:val="Text1"/>
        <w:rPr>
          <w:lang w:val="en-IE"/>
        </w:rPr>
      </w:pPr>
    </w:p>
    <w:p w14:paraId="7CDD49FE" w14:textId="20A5F1BB" w:rsidR="00553E34" w:rsidRPr="00790CC0" w:rsidRDefault="00553E34" w:rsidP="00553E34">
      <w:pPr>
        <w:pStyle w:val="Titrearticle"/>
        <w:rPr>
          <w:b/>
          <w:bCs/>
          <w:iCs/>
          <w:noProof/>
          <w:color w:val="FF0000"/>
          <w:lang w:val="en-IE"/>
        </w:rPr>
      </w:pPr>
      <w:r w:rsidRPr="00553E34" w:rsidDel="002C0103">
        <w:rPr>
          <w:b/>
          <w:noProof/>
          <w:lang w:val="en-IE"/>
        </w:rPr>
        <w:t xml:space="preserve">Article </w:t>
      </w:r>
      <w:r w:rsidRPr="00553E34">
        <w:rPr>
          <w:b/>
          <w:noProof/>
          <w:lang w:val="en-IE"/>
        </w:rPr>
        <w:t>18a</w:t>
      </w:r>
      <w:r w:rsidRPr="00553E34">
        <w:rPr>
          <w:b/>
          <w:noProof/>
          <w:lang w:val="en-IE"/>
        </w:rPr>
        <w:br/>
      </w:r>
      <w:r w:rsidR="00790CC0" w:rsidRPr="00D62231">
        <w:rPr>
          <w:b/>
        </w:rPr>
        <w:t>Monitoring and exchange in information</w:t>
      </w:r>
    </w:p>
    <w:p w14:paraId="506C7E66" w14:textId="6298401A" w:rsidR="00553E34" w:rsidRDefault="00553E34" w:rsidP="00553E34">
      <w:pPr>
        <w:pStyle w:val="ManualNumPar1"/>
        <w:rPr>
          <w:b/>
          <w:i/>
        </w:rPr>
      </w:pPr>
      <w:r>
        <w:rPr>
          <w:b/>
          <w:i/>
        </w:rPr>
        <w:t xml:space="preserve">1. </w:t>
      </w:r>
      <w:r>
        <w:rPr>
          <w:b/>
          <w:i/>
        </w:rPr>
        <w:tab/>
        <w:t xml:space="preserve">To </w:t>
      </w:r>
      <w:r w:rsidR="001A5A2C">
        <w:rPr>
          <w:b/>
          <w:i/>
        </w:rPr>
        <w:t>ensure the integri</w:t>
      </w:r>
      <w:r>
        <w:rPr>
          <w:b/>
          <w:i/>
        </w:rPr>
        <w:t>ty of the internal market the European Securities and Markets Authority (ESMA) and the European Banking Authority (EBA) shall regularly mon</w:t>
      </w:r>
      <w:r w:rsidR="007730A1">
        <w:rPr>
          <w:b/>
          <w:i/>
        </w:rPr>
        <w:t>i</w:t>
      </w:r>
      <w:r w:rsidR="000F537A">
        <w:rPr>
          <w:b/>
          <w:i/>
        </w:rPr>
        <w:t xml:space="preserve">tor the risk for cum-cum </w:t>
      </w:r>
      <w:r w:rsidR="000F537A" w:rsidRPr="00D62231">
        <w:rPr>
          <w:b/>
          <w:i/>
          <w:u w:val="single"/>
        </w:rPr>
        <w:t>and</w:t>
      </w:r>
      <w:r w:rsidRPr="00D62231">
        <w:rPr>
          <w:b/>
          <w:i/>
        </w:rPr>
        <w:t xml:space="preserve"> </w:t>
      </w:r>
      <w:r>
        <w:rPr>
          <w:b/>
          <w:i/>
        </w:rPr>
        <w:t>cum-ex in the EU. (Greens and S&amp;D 127)</w:t>
      </w:r>
    </w:p>
    <w:p w14:paraId="42844986" w14:textId="3895AF5B" w:rsidR="00790CC0" w:rsidRPr="00D62231" w:rsidRDefault="00790CC0" w:rsidP="00790CC0">
      <w:pPr>
        <w:pStyle w:val="ManualNumPar1"/>
        <w:rPr>
          <w:b/>
          <w:i/>
        </w:rPr>
      </w:pPr>
      <w:r w:rsidRPr="00D62231">
        <w:rPr>
          <w:b/>
          <w:i/>
        </w:rPr>
        <w:t xml:space="preserve">2. </w:t>
      </w:r>
      <w:r w:rsidRPr="00D62231">
        <w:rPr>
          <w:b/>
          <w:i/>
        </w:rPr>
        <w:tab/>
        <w:t xml:space="preserve">Member States shall introduce </w:t>
      </w:r>
      <w:r w:rsidRPr="00D62231">
        <w:rPr>
          <w:b/>
          <w:i/>
          <w:u w:val="single"/>
        </w:rPr>
        <w:t>coordinated</w:t>
      </w:r>
      <w:r w:rsidRPr="00D62231">
        <w:rPr>
          <w:b/>
          <w:i/>
        </w:rPr>
        <w:t xml:space="preserve"> cooperation and mutual assistance between national competent authorities, tax authorities and other law enforcement bodies, such as the European Public Prosecutor’s Office (EPPO) to detect and prosecute </w:t>
      </w:r>
      <w:r w:rsidR="00A86103" w:rsidRPr="00D62231">
        <w:rPr>
          <w:b/>
          <w:i/>
          <w:u w:val="single"/>
        </w:rPr>
        <w:t>illegal</w:t>
      </w:r>
      <w:r w:rsidR="00A86103" w:rsidRPr="00D62231">
        <w:rPr>
          <w:b/>
          <w:i/>
        </w:rPr>
        <w:t xml:space="preserve"> </w:t>
      </w:r>
      <w:r w:rsidRPr="00D62231">
        <w:rPr>
          <w:b/>
          <w:i/>
        </w:rPr>
        <w:t>withholding tax reclaim schemes. (Greens and S&amp;D 127)</w:t>
      </w:r>
    </w:p>
    <w:p w14:paraId="6D39E2E6" w14:textId="77777777" w:rsidR="00553E34" w:rsidRPr="00553E34" w:rsidDel="002C0103" w:rsidRDefault="00553E34" w:rsidP="00553E34">
      <w:pPr>
        <w:pStyle w:val="Text1"/>
        <w:rPr>
          <w:lang w:val="en-IE"/>
        </w:rPr>
      </w:pPr>
    </w:p>
    <w:p w14:paraId="60C27535" w14:textId="77777777" w:rsidR="00BB1F33" w:rsidRDefault="001956AF" w:rsidP="00BB1F33">
      <w:pPr>
        <w:pStyle w:val="Titrearticle"/>
        <w:rPr>
          <w:b/>
          <w:bCs/>
          <w:i w:val="0"/>
          <w:iCs/>
          <w:noProof/>
          <w:lang w:val="en-IE"/>
        </w:rPr>
      </w:pPr>
      <w:r>
        <w:rPr>
          <w:noProof/>
          <w:lang w:val="en-IE"/>
        </w:rPr>
        <w:t>Article 1</w:t>
      </w:r>
      <w:r w:rsidR="00882136">
        <w:rPr>
          <w:noProof/>
          <w:lang w:val="en-IE"/>
        </w:rPr>
        <w:t>9</w:t>
      </w:r>
      <w:r w:rsidR="00BB1F33">
        <w:rPr>
          <w:noProof/>
          <w:lang w:val="en-IE"/>
        </w:rPr>
        <w:br/>
      </w:r>
      <w:r w:rsidR="001A5A2C" w:rsidRPr="001A5A2C">
        <w:rPr>
          <w:b/>
          <w:bCs/>
          <w:iCs/>
          <w:noProof/>
          <w:lang w:val="en-IE"/>
        </w:rPr>
        <w:t>General</w:t>
      </w:r>
      <w:r w:rsidR="001A5A2C">
        <w:rPr>
          <w:b/>
          <w:bCs/>
          <w:i w:val="0"/>
          <w:iCs/>
          <w:noProof/>
          <w:lang w:val="en-IE"/>
        </w:rPr>
        <w:t xml:space="preserve"> Evaluation </w:t>
      </w:r>
      <w:r w:rsidR="001A5A2C">
        <w:rPr>
          <w:b/>
          <w:bCs/>
          <w:i w:val="0"/>
          <w:iCs/>
          <w:noProof/>
          <w:u w:val="single"/>
          <w:lang w:val="en-IE"/>
        </w:rPr>
        <w:t xml:space="preserve">and </w:t>
      </w:r>
      <w:r w:rsidR="00771183" w:rsidRPr="00463717">
        <w:rPr>
          <w:b/>
        </w:rPr>
        <w:t>Review Clause</w:t>
      </w:r>
      <w:r w:rsidR="009A73D2">
        <w:rPr>
          <w:b/>
        </w:rPr>
        <w:t xml:space="preserve"> and Revision</w:t>
      </w:r>
      <w:r w:rsidR="00771183">
        <w:rPr>
          <w:b/>
        </w:rPr>
        <w:t xml:space="preserve"> (EPP 9</w:t>
      </w:r>
      <w:r w:rsidR="001A5A2C">
        <w:rPr>
          <w:b/>
        </w:rPr>
        <w:t>, S&amp;D 129, Greens 130</w:t>
      </w:r>
      <w:r w:rsidR="00771183">
        <w:rPr>
          <w:b/>
        </w:rPr>
        <w:t>)</w:t>
      </w:r>
    </w:p>
    <w:p w14:paraId="1F176293" w14:textId="3A63E9A1" w:rsidR="001956AF" w:rsidRDefault="00412FF6" w:rsidP="00412FF6">
      <w:pPr>
        <w:pStyle w:val="ManualNumPar1"/>
        <w:rPr>
          <w:b/>
          <w:i/>
        </w:rPr>
      </w:pPr>
      <w:r w:rsidRPr="00412FF6">
        <w:t>1.</w:t>
      </w:r>
      <w:r w:rsidRPr="00412FF6">
        <w:tab/>
      </w:r>
      <w:r w:rsidR="001956AF">
        <w:rPr>
          <w:noProof/>
        </w:rPr>
        <w:t xml:space="preserve">The </w:t>
      </w:r>
      <w:r w:rsidR="001956AF" w:rsidRPr="009550DB">
        <w:rPr>
          <w:noProof/>
        </w:rPr>
        <w:t>Commission shall examine and evaluate the functioning of this Directive</w:t>
      </w:r>
      <w:r w:rsidR="008B431F">
        <w:rPr>
          <w:noProof/>
        </w:rPr>
        <w:t>,</w:t>
      </w:r>
      <w:r w:rsidR="001956AF" w:rsidRPr="009550DB">
        <w:rPr>
          <w:noProof/>
        </w:rPr>
        <w:t xml:space="preserve"> </w:t>
      </w:r>
      <w:r w:rsidR="00EB3C21" w:rsidRPr="00EB3C21">
        <w:rPr>
          <w:noProof/>
        </w:rPr>
        <w:t>after national rules transposing the Directive come into effect</w:t>
      </w:r>
      <w:r w:rsidR="008B431F">
        <w:rPr>
          <w:noProof/>
        </w:rPr>
        <w:t>,</w:t>
      </w:r>
      <w:r w:rsidR="001956AF" w:rsidRPr="009550DB">
        <w:rPr>
          <w:noProof/>
        </w:rPr>
        <w:t xml:space="preserve"> every 5 years. A report on the evaluation of the Directive</w:t>
      </w:r>
      <w:r w:rsidR="001A5A2C" w:rsidRPr="001A5A2C">
        <w:rPr>
          <w:b/>
          <w:i/>
        </w:rPr>
        <w:t xml:space="preserve"> </w:t>
      </w:r>
      <w:r w:rsidR="001A5A2C">
        <w:rPr>
          <w:b/>
          <w:i/>
        </w:rPr>
        <w:t>and on the applicable rules to withholding taxes in the (131 S&amp;D</w:t>
      </w:r>
      <w:r w:rsidR="000F7CA3">
        <w:rPr>
          <w:b/>
          <w:i/>
        </w:rPr>
        <w:t xml:space="preserve">) </w:t>
      </w:r>
      <w:r w:rsidR="000F7CA3" w:rsidRPr="00D62231">
        <w:rPr>
          <w:b/>
          <w:i/>
          <w:u w:val="single"/>
        </w:rPr>
        <w:t>Member States</w:t>
      </w:r>
      <w:r w:rsidR="00B01928">
        <w:rPr>
          <w:noProof/>
        </w:rPr>
        <w:t xml:space="preserve">, including on a potential need to amend specific provisions </w:t>
      </w:r>
      <w:r w:rsidR="00B01928" w:rsidRPr="001A5A2C">
        <w:rPr>
          <w:b/>
          <w:i/>
          <w:strike/>
          <w:noProof/>
        </w:rPr>
        <w:t>thereof</w:t>
      </w:r>
      <w:r w:rsidR="001A5A2C">
        <w:rPr>
          <w:noProof/>
        </w:rPr>
        <w:t xml:space="preserve"> </w:t>
      </w:r>
      <w:r w:rsidR="001A5A2C">
        <w:rPr>
          <w:b/>
          <w:i/>
        </w:rPr>
        <w:t>of this Directive (131 S&amp;D)</w:t>
      </w:r>
      <w:r w:rsidR="00B01928">
        <w:rPr>
          <w:noProof/>
        </w:rPr>
        <w:t>,</w:t>
      </w:r>
      <w:r w:rsidR="001956AF" w:rsidRPr="009550DB">
        <w:rPr>
          <w:noProof/>
        </w:rPr>
        <w:t xml:space="preserve"> will be submitted to the </w:t>
      </w:r>
      <w:r w:rsidR="001956AF" w:rsidRPr="006B3438">
        <w:rPr>
          <w:noProof/>
        </w:rPr>
        <w:t>European Parliament</w:t>
      </w:r>
      <w:r w:rsidR="001956AF">
        <w:rPr>
          <w:noProof/>
        </w:rPr>
        <w:t xml:space="preserve"> and </w:t>
      </w:r>
      <w:r w:rsidR="001956AF" w:rsidRPr="009550DB">
        <w:rPr>
          <w:noProof/>
        </w:rPr>
        <w:t>the Council</w:t>
      </w:r>
      <w:r w:rsidR="00FF6255">
        <w:rPr>
          <w:noProof/>
        </w:rPr>
        <w:t xml:space="preserve"> by December 2031 and every </w:t>
      </w:r>
      <w:r w:rsidR="004575D0">
        <w:rPr>
          <w:noProof/>
        </w:rPr>
        <w:t xml:space="preserve">5 </w:t>
      </w:r>
      <w:r w:rsidR="00FF6255">
        <w:rPr>
          <w:noProof/>
        </w:rPr>
        <w:t>years</w:t>
      </w:r>
      <w:r w:rsidR="001956AF" w:rsidRPr="009550DB">
        <w:rPr>
          <w:noProof/>
        </w:rPr>
        <w:t>.</w:t>
      </w:r>
      <w:r w:rsidR="000A12CC" w:rsidRPr="000A12CC">
        <w:rPr>
          <w:b/>
          <w:i/>
        </w:rPr>
        <w:t xml:space="preserve"> </w:t>
      </w:r>
      <w:r w:rsidR="000A12CC" w:rsidRPr="00463717">
        <w:rPr>
          <w:b/>
          <w:i/>
        </w:rPr>
        <w:t>In the evaluation report, the Commission shall:</w:t>
      </w:r>
      <w:r w:rsidR="000A12CC">
        <w:rPr>
          <w:b/>
          <w:i/>
        </w:rPr>
        <w:t xml:space="preserve"> (EPP 10)</w:t>
      </w:r>
    </w:p>
    <w:p w14:paraId="5F2D5F97" w14:textId="77777777" w:rsidR="000A12CC" w:rsidRDefault="000A12CC" w:rsidP="000A12CC">
      <w:pPr>
        <w:pStyle w:val="Text1"/>
        <w:rPr>
          <w:b/>
          <w:i/>
        </w:rPr>
      </w:pPr>
      <w:r w:rsidRPr="00463717">
        <w:rPr>
          <w:b/>
          <w:i/>
        </w:rPr>
        <w:t>(a)</w:t>
      </w:r>
      <w:r w:rsidRPr="00463717">
        <w:rPr>
          <w:b/>
          <w:i/>
        </w:rPr>
        <w:tab/>
        <w:t>examine further possible measures to facilitate self-processed withholding tax claims for small investors who engage directly with tax authorities without the intermediation of certified financial intermediaries;</w:t>
      </w:r>
      <w:r>
        <w:rPr>
          <w:b/>
          <w:i/>
        </w:rPr>
        <w:t xml:space="preserve"> (EPP 11)</w:t>
      </w:r>
    </w:p>
    <w:p w14:paraId="6AB91AEA" w14:textId="77777777" w:rsidR="00C373F2" w:rsidRPr="00C373F2" w:rsidRDefault="00C373F2" w:rsidP="000A12CC">
      <w:pPr>
        <w:pStyle w:val="Text1"/>
        <w:rPr>
          <w:b/>
          <w:i/>
        </w:rPr>
      </w:pPr>
      <w:r w:rsidRPr="00C373F2">
        <w:rPr>
          <w:b/>
          <w:i/>
          <w:u w:val="single"/>
        </w:rPr>
        <w:t>(aa)</w:t>
      </w:r>
      <w:r>
        <w:rPr>
          <w:b/>
          <w:i/>
        </w:rPr>
        <w:t xml:space="preserve"> assess how </w:t>
      </w:r>
      <w:r w:rsidRPr="001A5A2C">
        <w:rPr>
          <w:b/>
          <w:i/>
        </w:rPr>
        <w:t>the procedures for withholding tax relief can be further simplified for retail investors; (EPP 132</w:t>
      </w:r>
      <w:r>
        <w:rPr>
          <w:b/>
          <w:i/>
        </w:rPr>
        <w:t>)</w:t>
      </w:r>
    </w:p>
    <w:p w14:paraId="5A4A74E6" w14:textId="77777777" w:rsidR="000A12CC" w:rsidRDefault="000A12CC" w:rsidP="000A12CC">
      <w:pPr>
        <w:pStyle w:val="Text1"/>
        <w:rPr>
          <w:b/>
          <w:i/>
        </w:rPr>
      </w:pPr>
      <w:r w:rsidRPr="00463717">
        <w:rPr>
          <w:b/>
          <w:i/>
        </w:rPr>
        <w:t>(b)</w:t>
      </w:r>
      <w:r w:rsidRPr="00463717">
        <w:rPr>
          <w:b/>
          <w:i/>
        </w:rPr>
        <w:tab/>
        <w:t>conduct a comprehensive analysis of the development of the service fees financial intermediaries charge registered owners for the implementation of the quick refund procedure and the relief at source procedure;</w:t>
      </w:r>
      <w:r>
        <w:rPr>
          <w:b/>
          <w:i/>
        </w:rPr>
        <w:t xml:space="preserve"> (EPP 12)</w:t>
      </w:r>
    </w:p>
    <w:p w14:paraId="757378FD" w14:textId="77777777" w:rsidR="000A12CC" w:rsidRDefault="000A12CC" w:rsidP="000A12CC">
      <w:pPr>
        <w:pStyle w:val="Text1"/>
        <w:rPr>
          <w:b/>
          <w:i/>
        </w:rPr>
      </w:pPr>
      <w:r w:rsidRPr="00463717">
        <w:rPr>
          <w:b/>
          <w:i/>
        </w:rPr>
        <w:t>(c)</w:t>
      </w:r>
      <w:r w:rsidRPr="00463717">
        <w:rPr>
          <w:b/>
          <w:i/>
        </w:rPr>
        <w:tab/>
        <w:t>examine whether a relief at source system could be envisaged as a proc</w:t>
      </w:r>
      <w:r w:rsidR="00C373F2">
        <w:rPr>
          <w:b/>
          <w:i/>
        </w:rPr>
        <w:t>edure for all Member States;</w:t>
      </w:r>
      <w:r>
        <w:rPr>
          <w:b/>
          <w:i/>
        </w:rPr>
        <w:t xml:space="preserve"> (EPP 13</w:t>
      </w:r>
      <w:r w:rsidR="00C373F2">
        <w:rPr>
          <w:b/>
          <w:i/>
        </w:rPr>
        <w:t>, S&amp;D 139</w:t>
      </w:r>
      <w:r>
        <w:rPr>
          <w:b/>
          <w:i/>
        </w:rPr>
        <w:t>)</w:t>
      </w:r>
      <w:r w:rsidR="001A5A2C">
        <w:rPr>
          <w:b/>
          <w:i/>
        </w:rPr>
        <w:t>, and introduce further measures to facilitate such a system for SMEs (Renew 133);</w:t>
      </w:r>
    </w:p>
    <w:p w14:paraId="37F52B6C" w14:textId="74504320" w:rsidR="009C59A0" w:rsidRDefault="00C373F2" w:rsidP="009C59A0">
      <w:pPr>
        <w:pStyle w:val="Text1"/>
        <w:rPr>
          <w:b/>
          <w:i/>
        </w:rPr>
      </w:pPr>
      <w:r>
        <w:rPr>
          <w:b/>
          <w:i/>
          <w:u w:val="single"/>
        </w:rPr>
        <w:lastRenderedPageBreak/>
        <w:t>(</w:t>
      </w:r>
      <w:r w:rsidR="009C59A0">
        <w:rPr>
          <w:b/>
          <w:i/>
          <w:u w:val="single"/>
        </w:rPr>
        <w:t>d</w:t>
      </w:r>
      <w:r>
        <w:rPr>
          <w:b/>
          <w:i/>
          <w:u w:val="single"/>
        </w:rPr>
        <w:t>)</w:t>
      </w:r>
      <w:r>
        <w:rPr>
          <w:b/>
          <w:i/>
          <w:u w:val="single"/>
        </w:rPr>
        <w:tab/>
        <w:t xml:space="preserve">examine </w:t>
      </w:r>
      <w:r w:rsidR="002B64E0">
        <w:rPr>
          <w:b/>
          <w:i/>
        </w:rPr>
        <w:t xml:space="preserve">whether </w:t>
      </w:r>
      <w:r w:rsidR="002B64E0" w:rsidRPr="00D62231">
        <w:rPr>
          <w:b/>
          <w:i/>
        </w:rPr>
        <w:t xml:space="preserve">Member States are still impacted by or prone to dividend arbitrage and dividend stripping schemes such as the Cum/Ex and Cum/Cum schemes (Greens 128) </w:t>
      </w:r>
      <w:r w:rsidR="002B64E0" w:rsidRPr="00D62231">
        <w:rPr>
          <w:b/>
          <w:i/>
          <w:u w:val="single"/>
        </w:rPr>
        <w:t xml:space="preserve">and </w:t>
      </w:r>
      <w:r w:rsidR="000F7CA3" w:rsidRPr="00D62231">
        <w:rPr>
          <w:b/>
          <w:i/>
          <w:u w:val="single"/>
        </w:rPr>
        <w:t>whether existing</w:t>
      </w:r>
      <w:r w:rsidR="000F7CA3" w:rsidRPr="00D62231">
        <w:rPr>
          <w:b/>
          <w:i/>
        </w:rPr>
        <w:t xml:space="preserve"> </w:t>
      </w:r>
      <w:r>
        <w:rPr>
          <w:b/>
          <w:i/>
        </w:rPr>
        <w:t>measures within the field of withholding taxes</w:t>
      </w:r>
      <w:r w:rsidR="000F7CA3">
        <w:rPr>
          <w:b/>
          <w:i/>
        </w:rPr>
        <w:t xml:space="preserve"> </w:t>
      </w:r>
      <w:r w:rsidR="000F7CA3" w:rsidRPr="00D62231">
        <w:rPr>
          <w:b/>
          <w:i/>
          <w:u w:val="single"/>
        </w:rPr>
        <w:t>are sufficient</w:t>
      </w:r>
      <w:r w:rsidRPr="00D62231">
        <w:rPr>
          <w:b/>
          <w:i/>
        </w:rPr>
        <w:t xml:space="preserve"> </w:t>
      </w:r>
      <w:r>
        <w:rPr>
          <w:b/>
          <w:i/>
        </w:rPr>
        <w:t xml:space="preserve">to combat tax fraud, tax evasion </w:t>
      </w:r>
      <w:r w:rsidR="00146D2D">
        <w:rPr>
          <w:b/>
          <w:i/>
        </w:rPr>
        <w:t>and tax avoidance</w:t>
      </w:r>
      <w:r w:rsidR="009C59A0">
        <w:rPr>
          <w:b/>
          <w:i/>
        </w:rPr>
        <w:t xml:space="preserve"> </w:t>
      </w:r>
      <w:r w:rsidR="009C59A0" w:rsidRPr="00D62231">
        <w:rPr>
          <w:b/>
          <w:i/>
          <w:u w:val="single"/>
        </w:rPr>
        <w:t>or whether additional ones would be necessary, such as</w:t>
      </w:r>
      <w:r w:rsidR="009C59A0" w:rsidRPr="00D62231">
        <w:rPr>
          <w:b/>
          <w:i/>
        </w:rPr>
        <w:t xml:space="preserve"> subjecting capital gains upon disposal of shares and security lending fees to taxation equivalent to dividends, as a way to deter and mitigate dividend arbitrage;</w:t>
      </w:r>
      <w:r>
        <w:rPr>
          <w:b/>
          <w:i/>
        </w:rPr>
        <w:t xml:space="preserve"> (</w:t>
      </w:r>
      <w:r w:rsidRPr="00146D2D">
        <w:rPr>
          <w:b/>
          <w:i/>
        </w:rPr>
        <w:t>S&amp;D 138</w:t>
      </w:r>
      <w:r>
        <w:rPr>
          <w:b/>
          <w:i/>
        </w:rPr>
        <w:t>)</w:t>
      </w:r>
      <w:r w:rsidR="00C40060">
        <w:rPr>
          <w:b/>
          <w:i/>
        </w:rPr>
        <w:t xml:space="preserve"> </w:t>
      </w:r>
      <w:r w:rsidR="009C59A0" w:rsidRPr="00D62231">
        <w:rPr>
          <w:b/>
          <w:i/>
          <w:u w:val="single"/>
        </w:rPr>
        <w:t>the Commission shall in this regard collect evidence from</w:t>
      </w:r>
      <w:r w:rsidR="009C59A0" w:rsidRPr="00D62231">
        <w:t xml:space="preserve"> </w:t>
      </w:r>
      <w:r w:rsidR="009C59A0" w:rsidRPr="00D62231">
        <w:rPr>
          <w:b/>
          <w:i/>
          <w:u w:val="single"/>
        </w:rPr>
        <w:t xml:space="preserve">Member States receiving support from </w:t>
      </w:r>
      <w:r w:rsidR="009C59A0" w:rsidRPr="00D62231">
        <w:rPr>
          <w:b/>
          <w:i/>
        </w:rPr>
        <w:t>EBA, ESMA, EPPO, and relevant national competent authorities (Greens 128);</w:t>
      </w:r>
    </w:p>
    <w:p w14:paraId="07B62514" w14:textId="5289E64F" w:rsidR="00C373F2" w:rsidRPr="004E2BFC" w:rsidRDefault="009C59A0" w:rsidP="000A12CC">
      <w:pPr>
        <w:pStyle w:val="Text1"/>
        <w:rPr>
          <w:b/>
          <w:i/>
          <w:color w:val="FF0000"/>
        </w:rPr>
      </w:pPr>
      <w:r>
        <w:rPr>
          <w:b/>
          <w:i/>
        </w:rPr>
        <w:t xml:space="preserve">e) </w:t>
      </w:r>
      <w:r w:rsidRPr="00D62231">
        <w:rPr>
          <w:b/>
          <w:i/>
          <w:u w:val="single"/>
        </w:rPr>
        <w:t>consider further measures, if necessary</w:t>
      </w:r>
      <w:r w:rsidRPr="00D62231">
        <w:rPr>
          <w:b/>
          <w:i/>
        </w:rPr>
        <w:t xml:space="preserve">, </w:t>
      </w:r>
      <w:r w:rsidR="004E2BFC" w:rsidRPr="00D62231">
        <w:rPr>
          <w:b/>
          <w:i/>
          <w:u w:val="single"/>
        </w:rPr>
        <w:t xml:space="preserve">to </w:t>
      </w:r>
      <w:r w:rsidR="00C40060" w:rsidRPr="00D62231">
        <w:rPr>
          <w:b/>
          <w:i/>
          <w:u w:val="single"/>
        </w:rPr>
        <w:t>ensur</w:t>
      </w:r>
      <w:r w:rsidRPr="00D62231">
        <w:rPr>
          <w:b/>
          <w:i/>
          <w:u w:val="single"/>
        </w:rPr>
        <w:t>e</w:t>
      </w:r>
      <w:r w:rsidR="00792303" w:rsidRPr="00D62231">
        <w:rPr>
          <w:b/>
          <w:i/>
        </w:rPr>
        <w:t xml:space="preserve"> that all dividends, interest, capital gains, royalty payments, professional service payments and relevant contract payments generated in the EU are taxed </w:t>
      </w:r>
      <w:r w:rsidR="00792303" w:rsidRPr="00D62231">
        <w:rPr>
          <w:b/>
          <w:i/>
          <w:u w:val="single"/>
        </w:rPr>
        <w:t xml:space="preserve">at </w:t>
      </w:r>
      <w:r w:rsidRPr="00D62231">
        <w:rPr>
          <w:b/>
          <w:i/>
          <w:u w:val="single"/>
        </w:rPr>
        <w:t>least once</w:t>
      </w:r>
      <w:r w:rsidRPr="00D62231">
        <w:rPr>
          <w:b/>
          <w:i/>
        </w:rPr>
        <w:t xml:space="preserve"> (S&amp;D 136 based on para 6 WHT Marques report) at </w:t>
      </w:r>
      <w:r w:rsidR="00792303" w:rsidRPr="00D62231">
        <w:rPr>
          <w:b/>
          <w:i/>
        </w:rPr>
        <w:t>an effective rate (</w:t>
      </w:r>
      <w:r w:rsidR="001221D7" w:rsidRPr="00D62231">
        <w:rPr>
          <w:b/>
          <w:i/>
        </w:rPr>
        <w:t xml:space="preserve">S&amp;D 135 based on </w:t>
      </w:r>
      <w:r w:rsidR="00792303" w:rsidRPr="00D62231">
        <w:rPr>
          <w:b/>
          <w:i/>
        </w:rPr>
        <w:t>para 11 from WHT Marques report as requested by S&amp;D)</w:t>
      </w:r>
      <w:r w:rsidR="00A1043C">
        <w:t xml:space="preserve">; </w:t>
      </w:r>
    </w:p>
    <w:p w14:paraId="71B9380B" w14:textId="77777777" w:rsidR="00146D2D" w:rsidRDefault="00146D2D" w:rsidP="000A12CC">
      <w:pPr>
        <w:pStyle w:val="Text1"/>
        <w:rPr>
          <w:b/>
          <w:i/>
        </w:rPr>
      </w:pPr>
      <w:r>
        <w:rPr>
          <w:b/>
          <w:i/>
          <w:u w:val="single"/>
        </w:rPr>
        <w:t xml:space="preserve">(f) examine the potential of </w:t>
      </w:r>
      <w:r>
        <w:rPr>
          <w:b/>
          <w:i/>
        </w:rPr>
        <w:t>distrubution ledger systems or other technological tools to render the system more efficient and fraud proof through better identification of the beneficial owner; (Greens 146)</w:t>
      </w:r>
    </w:p>
    <w:p w14:paraId="69A7FEA5" w14:textId="77777777" w:rsidR="00146D2D" w:rsidRDefault="00146D2D" w:rsidP="000A12CC">
      <w:pPr>
        <w:pStyle w:val="Text1"/>
        <w:rPr>
          <w:b/>
          <w:i/>
        </w:rPr>
      </w:pPr>
      <w:r>
        <w:rPr>
          <w:b/>
          <w:i/>
          <w:u w:val="single"/>
        </w:rPr>
        <w:t xml:space="preserve">(g) examine </w:t>
      </w:r>
      <w:r w:rsidR="00967800">
        <w:rPr>
          <w:b/>
          <w:i/>
          <w:u w:val="single"/>
        </w:rPr>
        <w:t>possible measures to digitalize</w:t>
      </w:r>
      <w:r>
        <w:rPr>
          <w:b/>
          <w:i/>
        </w:rPr>
        <w:t xml:space="preserve"> relief and refund processes, and claims;</w:t>
      </w:r>
      <w:r w:rsidRPr="00146D2D">
        <w:rPr>
          <w:b/>
          <w:i/>
        </w:rPr>
        <w:t xml:space="preserve"> </w:t>
      </w:r>
      <w:r>
        <w:rPr>
          <w:b/>
          <w:i/>
        </w:rPr>
        <w:t>(Greens 146)</w:t>
      </w:r>
    </w:p>
    <w:p w14:paraId="6CE0FB7F" w14:textId="77777777" w:rsidR="00146D2D" w:rsidRPr="00146D2D" w:rsidRDefault="00146D2D" w:rsidP="000A12CC">
      <w:pPr>
        <w:pStyle w:val="Text1"/>
        <w:rPr>
          <w:b/>
          <w:i/>
          <w:u w:val="single"/>
        </w:rPr>
      </w:pPr>
      <w:r>
        <w:rPr>
          <w:b/>
          <w:i/>
          <w:u w:val="single"/>
        </w:rPr>
        <w:t xml:space="preserve">(h) </w:t>
      </w:r>
      <w:r w:rsidR="00967800">
        <w:rPr>
          <w:b/>
          <w:i/>
          <w:u w:val="single"/>
        </w:rPr>
        <w:t>assess</w:t>
      </w:r>
      <w:r>
        <w:rPr>
          <w:b/>
          <w:i/>
          <w:u w:val="single"/>
        </w:rPr>
        <w:t xml:space="preserve"> the </w:t>
      </w:r>
      <w:r>
        <w:rPr>
          <w:b/>
          <w:i/>
        </w:rPr>
        <w:t>acceptance of electronic or digital signatures and use of e-ID to facilitate the verification process for individual investors.</w:t>
      </w:r>
      <w:r w:rsidRPr="00146D2D">
        <w:rPr>
          <w:b/>
          <w:i/>
        </w:rPr>
        <w:t xml:space="preserve"> </w:t>
      </w:r>
      <w:r>
        <w:rPr>
          <w:b/>
          <w:i/>
        </w:rPr>
        <w:t>(Greens 146)</w:t>
      </w:r>
    </w:p>
    <w:p w14:paraId="0E1D2523" w14:textId="28B55A82" w:rsidR="000A12CC" w:rsidRPr="000A12CC" w:rsidRDefault="000263EA" w:rsidP="000A12CC">
      <w:pPr>
        <w:pStyle w:val="Text1"/>
      </w:pPr>
      <w:r>
        <w:rPr>
          <w:b/>
          <w:i/>
        </w:rPr>
        <w:t>Where appropriate the evaluation report shall be accompanied by a legislative proposal.</w:t>
      </w:r>
      <w:r w:rsidRPr="00463717" w:rsidDel="000263EA">
        <w:rPr>
          <w:b/>
          <w:i/>
        </w:rPr>
        <w:t xml:space="preserve"> </w:t>
      </w:r>
      <w:r w:rsidR="000A12CC">
        <w:rPr>
          <w:b/>
          <w:i/>
        </w:rPr>
        <w:t>(</w:t>
      </w:r>
      <w:r w:rsidR="009D3962">
        <w:rPr>
          <w:b/>
          <w:i/>
        </w:rPr>
        <w:t>EPP 132,</w:t>
      </w:r>
      <w:r w:rsidR="000A12CC">
        <w:rPr>
          <w:b/>
          <w:i/>
        </w:rPr>
        <w:t xml:space="preserve"> 14</w:t>
      </w:r>
      <w:r w:rsidR="00C373F2">
        <w:rPr>
          <w:b/>
          <w:i/>
        </w:rPr>
        <w:t>, S&amp;D 134</w:t>
      </w:r>
      <w:r w:rsidR="000A12CC">
        <w:rPr>
          <w:b/>
          <w:i/>
        </w:rPr>
        <w:t>)</w:t>
      </w:r>
    </w:p>
    <w:p w14:paraId="0F2655B5" w14:textId="7D88E446" w:rsidR="00C373F2" w:rsidRDefault="00412FF6" w:rsidP="00C373F2">
      <w:pPr>
        <w:pStyle w:val="ManualNumPar1"/>
        <w:rPr>
          <w:noProof/>
        </w:rPr>
      </w:pPr>
      <w:r w:rsidRPr="00412FF6">
        <w:t>2.</w:t>
      </w:r>
      <w:r w:rsidRPr="00412FF6">
        <w:tab/>
      </w:r>
      <w:r w:rsidR="001956AF" w:rsidRPr="009550DB">
        <w:rPr>
          <w:noProof/>
        </w:rPr>
        <w:t>Member States shall communicate to the Commission</w:t>
      </w:r>
      <w:r w:rsidR="000A12CC" w:rsidRPr="000A12CC">
        <w:rPr>
          <w:b/>
          <w:i/>
        </w:rPr>
        <w:t xml:space="preserve"> </w:t>
      </w:r>
      <w:r w:rsidR="000A12CC" w:rsidRPr="00463717">
        <w:rPr>
          <w:b/>
          <w:i/>
        </w:rPr>
        <w:t>and the European Parliament</w:t>
      </w:r>
      <w:r w:rsidR="000A12CC">
        <w:rPr>
          <w:b/>
          <w:i/>
        </w:rPr>
        <w:t xml:space="preserve"> (EPP 15)</w:t>
      </w:r>
      <w:r w:rsidR="001956AF" w:rsidRPr="009550DB">
        <w:rPr>
          <w:noProof/>
        </w:rPr>
        <w:t xml:space="preserve"> </w:t>
      </w:r>
      <w:r w:rsidR="007F51E3">
        <w:rPr>
          <w:noProof/>
        </w:rPr>
        <w:t>relevant</w:t>
      </w:r>
      <w:r w:rsidR="00C373F2">
        <w:rPr>
          <w:noProof/>
        </w:rPr>
        <w:t xml:space="preserve"> </w:t>
      </w:r>
      <w:r w:rsidR="00C373F2">
        <w:rPr>
          <w:b/>
          <w:i/>
        </w:rPr>
        <w:t xml:space="preserve">statistical </w:t>
      </w:r>
      <w:r w:rsidR="00C373F2" w:rsidRPr="00146D2D">
        <w:rPr>
          <w:b/>
          <w:i/>
        </w:rPr>
        <w:t>(Renew 142)</w:t>
      </w:r>
      <w:r w:rsidR="007F51E3">
        <w:rPr>
          <w:noProof/>
        </w:rPr>
        <w:t xml:space="preserve"> information</w:t>
      </w:r>
      <w:r w:rsidR="001956AF" w:rsidRPr="009550DB">
        <w:rPr>
          <w:noProof/>
        </w:rPr>
        <w:t xml:space="preserve"> for the evaluation </w:t>
      </w:r>
      <w:r w:rsidR="001956AF" w:rsidRPr="00146D2D">
        <w:rPr>
          <w:b/>
          <w:i/>
          <w:strike/>
          <w:noProof/>
        </w:rPr>
        <w:t>of the Directive in improving withholding tax r</w:t>
      </w:r>
      <w:r w:rsidR="002C2440" w:rsidRPr="00146D2D">
        <w:rPr>
          <w:b/>
          <w:i/>
          <w:strike/>
          <w:noProof/>
        </w:rPr>
        <w:t>elief</w:t>
      </w:r>
      <w:r w:rsidR="001956AF" w:rsidRPr="00146D2D">
        <w:rPr>
          <w:b/>
          <w:i/>
          <w:strike/>
          <w:noProof/>
        </w:rPr>
        <w:t xml:space="preserve"> procedures to reduce double taxation as well as combat tax abuse</w:t>
      </w:r>
      <w:r w:rsidR="00146D2D">
        <w:rPr>
          <w:b/>
          <w:i/>
          <w:strike/>
          <w:noProof/>
        </w:rPr>
        <w:t xml:space="preserve">  </w:t>
      </w:r>
      <w:r w:rsidR="00146D2D">
        <w:rPr>
          <w:b/>
          <w:i/>
        </w:rPr>
        <w:t>referred to in paragraph 1 (S&amp;D 140)</w:t>
      </w:r>
      <w:r w:rsidR="007F51E3">
        <w:rPr>
          <w:noProof/>
        </w:rPr>
        <w:t>, in accordance with paragraph 3</w:t>
      </w:r>
      <w:r w:rsidR="001956AF" w:rsidRPr="009550DB">
        <w:rPr>
          <w:noProof/>
        </w:rPr>
        <w:t xml:space="preserve">. </w:t>
      </w:r>
    </w:p>
    <w:p w14:paraId="4CB2B7C0" w14:textId="300F7955" w:rsidR="00C373F2" w:rsidRPr="00C373F2" w:rsidRDefault="00C373F2" w:rsidP="00C373F2">
      <w:pPr>
        <w:pStyle w:val="ManualNumPar1"/>
        <w:rPr>
          <w:noProof/>
        </w:rPr>
      </w:pPr>
      <w:r>
        <w:rPr>
          <w:b/>
          <w:i/>
        </w:rPr>
        <w:t>2 a.</w:t>
      </w:r>
      <w:r>
        <w:tab/>
      </w:r>
      <w:r w:rsidR="00510FE1" w:rsidRPr="00D62231">
        <w:rPr>
          <w:b/>
          <w:i/>
          <w:u w:val="single"/>
        </w:rPr>
        <w:t>The European Commission shall in cooperation with the</w:t>
      </w:r>
      <w:r w:rsidR="00510FE1">
        <w:t xml:space="preserve"> </w:t>
      </w:r>
      <w:r>
        <w:rPr>
          <w:b/>
          <w:i/>
        </w:rPr>
        <w:t>Member States actively assess whether the Directive has an impact on risks for tax fraud and abuse, and the impact on tax revenues</w:t>
      </w:r>
      <w:r w:rsidRPr="00146D2D">
        <w:rPr>
          <w:b/>
          <w:i/>
        </w:rPr>
        <w:t>. (Greens 143)</w:t>
      </w:r>
    </w:p>
    <w:p w14:paraId="7F402706" w14:textId="77777777" w:rsidR="001956AF" w:rsidRPr="0050415A" w:rsidRDefault="00412FF6" w:rsidP="00412FF6">
      <w:pPr>
        <w:pStyle w:val="ManualNumPar1"/>
        <w:rPr>
          <w:noProof/>
        </w:rPr>
      </w:pPr>
      <w:r w:rsidRPr="00412FF6">
        <w:t>3.</w:t>
      </w:r>
      <w:r w:rsidRPr="00412FF6">
        <w:tab/>
      </w:r>
      <w:r w:rsidR="001956AF">
        <w:rPr>
          <w:noProof/>
        </w:rPr>
        <w:t>The Commission shall, by means of implementing acts,</w:t>
      </w:r>
      <w:r w:rsidR="001956AF" w:rsidRPr="00BB1F33">
        <w:rPr>
          <w:noProof/>
          <w:lang w:val="en-IE"/>
        </w:rPr>
        <w:t xml:space="preserve"> </w:t>
      </w:r>
      <w:r w:rsidR="007F51E3">
        <w:rPr>
          <w:noProof/>
          <w:lang w:val="en-IE"/>
        </w:rPr>
        <w:t>specify</w:t>
      </w:r>
      <w:r w:rsidR="001956AF" w:rsidRPr="00BB1F33">
        <w:rPr>
          <w:noProof/>
          <w:lang w:val="en-IE"/>
        </w:rPr>
        <w:t xml:space="preserve"> the </w:t>
      </w:r>
      <w:r w:rsidR="00C373F2">
        <w:rPr>
          <w:b/>
          <w:i/>
        </w:rPr>
        <w:t>statistical (</w:t>
      </w:r>
      <w:r w:rsidR="00C373F2" w:rsidRPr="00146D2D">
        <w:rPr>
          <w:b/>
          <w:i/>
        </w:rPr>
        <w:t>Renew 144</w:t>
      </w:r>
      <w:r w:rsidR="00C373F2">
        <w:rPr>
          <w:b/>
          <w:i/>
        </w:rPr>
        <w:t>)</w:t>
      </w:r>
      <w:r w:rsidR="00C373F2">
        <w:rPr>
          <w:noProof/>
        </w:rPr>
        <w:t xml:space="preserve"> </w:t>
      </w:r>
      <w:r w:rsidR="007F51E3">
        <w:rPr>
          <w:noProof/>
          <w:lang w:val="en-IE"/>
        </w:rPr>
        <w:t xml:space="preserve">information to be provided by Member States </w:t>
      </w:r>
      <w:r w:rsidR="001956AF" w:rsidRPr="00BB1F33">
        <w:rPr>
          <w:noProof/>
          <w:lang w:val="en-IE"/>
        </w:rPr>
        <w:t>for the purposes of evaluation and the format and the conditions of communication of that information</w:t>
      </w:r>
      <w:r w:rsidR="001956AF">
        <w:rPr>
          <w:noProof/>
        </w:rPr>
        <w:t xml:space="preserve">. </w:t>
      </w:r>
    </w:p>
    <w:p w14:paraId="5B260F0F" w14:textId="77777777" w:rsidR="001956AF" w:rsidRDefault="00412FF6" w:rsidP="00412FF6">
      <w:pPr>
        <w:pStyle w:val="ManualNumPar1"/>
        <w:rPr>
          <w:noProof/>
        </w:rPr>
      </w:pPr>
      <w:r w:rsidRPr="00412FF6">
        <w:t>4.</w:t>
      </w:r>
      <w:r w:rsidRPr="00412FF6">
        <w:tab/>
      </w:r>
      <w:r w:rsidR="001956AF">
        <w:rPr>
          <w:noProof/>
        </w:rPr>
        <w:t xml:space="preserve">Information communicated to the Commission under paragraph 2 shall be kept confidential by the Commission in accordance with the provisions applicable to </w:t>
      </w:r>
      <w:r w:rsidR="007F51E3">
        <w:rPr>
          <w:noProof/>
        </w:rPr>
        <w:t>U</w:t>
      </w:r>
      <w:r w:rsidR="0079028E">
        <w:rPr>
          <w:noProof/>
        </w:rPr>
        <w:t>nion</w:t>
      </w:r>
      <w:r w:rsidR="007F51E3">
        <w:rPr>
          <w:noProof/>
        </w:rPr>
        <w:t xml:space="preserve"> </w:t>
      </w:r>
      <w:r w:rsidR="0079028E">
        <w:rPr>
          <w:noProof/>
        </w:rPr>
        <w:t>in</w:t>
      </w:r>
      <w:r w:rsidR="007F51E3">
        <w:rPr>
          <w:noProof/>
        </w:rPr>
        <w:t>stitutions</w:t>
      </w:r>
      <w:r w:rsidR="001956AF">
        <w:rPr>
          <w:noProof/>
        </w:rPr>
        <w:t xml:space="preserve">. </w:t>
      </w:r>
    </w:p>
    <w:p w14:paraId="5E1C9248" w14:textId="77777777" w:rsidR="001956AF" w:rsidRDefault="00412FF6" w:rsidP="00412FF6">
      <w:pPr>
        <w:pStyle w:val="ManualNumPar1"/>
        <w:rPr>
          <w:noProof/>
        </w:rPr>
      </w:pPr>
      <w:r w:rsidRPr="00412FF6">
        <w:t>5.</w:t>
      </w:r>
      <w:r w:rsidRPr="00412FF6">
        <w:tab/>
      </w:r>
      <w:r w:rsidR="001956AF">
        <w:rPr>
          <w:noProof/>
        </w:rPr>
        <w:t>Information communicated to the Commission by a Member State under paragraph</w:t>
      </w:r>
      <w:r w:rsidR="00E75766">
        <w:rPr>
          <w:noProof/>
        </w:rPr>
        <w:t> </w:t>
      </w:r>
      <w:r w:rsidR="001956AF">
        <w:rPr>
          <w:noProof/>
        </w:rPr>
        <w:t xml:space="preserve">2, as well as any report or document produced by the Commission using such </w:t>
      </w:r>
      <w:r w:rsidR="001956AF" w:rsidRPr="00146D2D">
        <w:rPr>
          <w:noProof/>
        </w:rPr>
        <w:t>information, may be transmitted to other Member States</w:t>
      </w:r>
      <w:r w:rsidR="00C373F2" w:rsidRPr="00146D2D">
        <w:rPr>
          <w:noProof/>
        </w:rPr>
        <w:t xml:space="preserve"> </w:t>
      </w:r>
      <w:r w:rsidR="00C373F2" w:rsidRPr="00146D2D">
        <w:rPr>
          <w:b/>
          <w:i/>
        </w:rPr>
        <w:t>and the European Parliament (Greens 145</w:t>
      </w:r>
      <w:r w:rsidR="00C373F2">
        <w:rPr>
          <w:b/>
          <w:i/>
        </w:rPr>
        <w:t>)</w:t>
      </w:r>
      <w:r w:rsidR="001956AF">
        <w:rPr>
          <w:noProof/>
        </w:rPr>
        <w:t xml:space="preserve">. </w:t>
      </w:r>
      <w:r w:rsidR="0079028E">
        <w:rPr>
          <w:noProof/>
        </w:rPr>
        <w:t>The</w:t>
      </w:r>
      <w:r w:rsidR="001956AF">
        <w:rPr>
          <w:noProof/>
        </w:rPr>
        <w:t xml:space="preserve"> transmitted information shall be covered by the obligation of official secrecy and enjoy the protection extended to similar information under the national law of the Member State which received it. </w:t>
      </w:r>
    </w:p>
    <w:p w14:paraId="0924BA36" w14:textId="77777777" w:rsidR="00261C29" w:rsidRDefault="00261C29" w:rsidP="00906809">
      <w:pPr>
        <w:pStyle w:val="Text1"/>
        <w:ind w:left="0"/>
      </w:pPr>
    </w:p>
    <w:p w14:paraId="39111607" w14:textId="77777777" w:rsidR="00906809" w:rsidRDefault="00906809" w:rsidP="00906809">
      <w:pPr>
        <w:pStyle w:val="Text1"/>
        <w:ind w:left="0"/>
      </w:pPr>
    </w:p>
    <w:p w14:paraId="5F86E7D4" w14:textId="77777777" w:rsidR="00261C29" w:rsidRPr="00657833" w:rsidRDefault="00261C29" w:rsidP="00261C29">
      <w:pPr>
        <w:rPr>
          <w:noProof/>
          <w:lang w:val="en-US"/>
        </w:rPr>
      </w:pPr>
      <w:r w:rsidRPr="000E01EB">
        <w:rPr>
          <w:b/>
          <w:noProof/>
          <w:highlight w:val="green"/>
        </w:rPr>
        <w:lastRenderedPageBreak/>
        <w:t xml:space="preserve">COMP </w:t>
      </w:r>
      <w:r>
        <w:rPr>
          <w:b/>
          <w:noProof/>
          <w:highlight w:val="green"/>
        </w:rPr>
        <w:t>F</w:t>
      </w:r>
      <w:r w:rsidRPr="000E01EB">
        <w:rPr>
          <w:b/>
          <w:noProof/>
          <w:highlight w:val="green"/>
        </w:rPr>
        <w:t xml:space="preserve"> </w:t>
      </w:r>
    </w:p>
    <w:p w14:paraId="3F4D1341" w14:textId="77777777" w:rsidR="00375C92" w:rsidRDefault="00375C92" w:rsidP="00375C92">
      <w:pPr>
        <w:pStyle w:val="ManualConsidrant"/>
        <w:rPr>
          <w:b/>
          <w:noProof/>
        </w:rPr>
      </w:pPr>
    </w:p>
    <w:p w14:paraId="0AE86B0D" w14:textId="77777777" w:rsidR="00375C92" w:rsidRPr="0043710D" w:rsidRDefault="00375C92" w:rsidP="00375C92">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 xml:space="preserve">AMs covered: 16, 17, 149 EPP, 147 S&amp;D, </w:t>
      </w:r>
      <w:r>
        <w:rPr>
          <w:b w:val="0"/>
          <w:i/>
        </w:rPr>
        <w:br/>
      </w:r>
      <w:r w:rsidRPr="0043710D">
        <w:rPr>
          <w:b w:val="0"/>
          <w:i/>
        </w:rPr>
        <w:t>AM</w:t>
      </w:r>
      <w:r>
        <w:rPr>
          <w:b w:val="0"/>
          <w:i/>
        </w:rPr>
        <w:t>s that fall if COMP is adopted: 149, 151 EPP, 148, 150, 152, 154, 155, 156, 157, 158, 159 Renew</w:t>
      </w:r>
    </w:p>
    <w:p w14:paraId="55788F53" w14:textId="77777777" w:rsidR="00261C29" w:rsidRPr="00261C29" w:rsidRDefault="00261C29" w:rsidP="00261C29">
      <w:pPr>
        <w:pStyle w:val="Text1"/>
      </w:pPr>
    </w:p>
    <w:p w14:paraId="0D1F3ECB" w14:textId="77777777" w:rsidR="00A30556" w:rsidRDefault="00A30556" w:rsidP="00A30556">
      <w:pPr>
        <w:pStyle w:val="Titrearticle"/>
        <w:rPr>
          <w:b/>
          <w:bCs/>
          <w:i w:val="0"/>
          <w:iCs/>
          <w:noProof/>
          <w:lang w:val="en-IE"/>
        </w:rPr>
      </w:pPr>
      <w:r>
        <w:rPr>
          <w:noProof/>
          <w:lang w:val="en-IE"/>
        </w:rPr>
        <w:t>Article 20</w:t>
      </w:r>
      <w:r>
        <w:rPr>
          <w:noProof/>
          <w:lang w:val="en-IE"/>
        </w:rPr>
        <w:br/>
      </w:r>
      <w:r>
        <w:rPr>
          <w:b/>
          <w:bCs/>
          <w:i w:val="0"/>
          <w:iCs/>
          <w:noProof/>
          <w:lang w:val="en-IE"/>
        </w:rPr>
        <w:t xml:space="preserve">Personal </w:t>
      </w:r>
      <w:r w:rsidR="0079028E">
        <w:rPr>
          <w:b/>
          <w:bCs/>
          <w:i w:val="0"/>
          <w:iCs/>
          <w:noProof/>
          <w:lang w:val="en-IE"/>
        </w:rPr>
        <w:t>d</w:t>
      </w:r>
      <w:r w:rsidRPr="00BB1F33">
        <w:rPr>
          <w:b/>
          <w:bCs/>
          <w:i w:val="0"/>
          <w:iCs/>
          <w:noProof/>
          <w:lang w:val="en-IE"/>
        </w:rPr>
        <w:t xml:space="preserve">ata </w:t>
      </w:r>
      <w:r w:rsidR="0079028E">
        <w:rPr>
          <w:b/>
          <w:bCs/>
          <w:i w:val="0"/>
          <w:iCs/>
          <w:noProof/>
          <w:lang w:val="en-IE"/>
        </w:rPr>
        <w:t>p</w:t>
      </w:r>
      <w:r w:rsidRPr="00BB1F33">
        <w:rPr>
          <w:b/>
          <w:bCs/>
          <w:i w:val="0"/>
          <w:iCs/>
          <w:noProof/>
          <w:lang w:val="en-IE"/>
        </w:rPr>
        <w:t>rotection</w:t>
      </w:r>
    </w:p>
    <w:p w14:paraId="02B8AAD8" w14:textId="77777777" w:rsidR="00E85A28" w:rsidRDefault="00412FF6" w:rsidP="00412FF6">
      <w:pPr>
        <w:pStyle w:val="ManualNumPar1"/>
        <w:rPr>
          <w:noProof/>
        </w:rPr>
      </w:pPr>
      <w:bookmarkStart w:id="7" w:name="_Hlk135840988"/>
      <w:r w:rsidRPr="00412FF6">
        <w:t>1.</w:t>
      </w:r>
      <w:r w:rsidRPr="00412FF6">
        <w:tab/>
      </w:r>
      <w:r w:rsidR="00E85A28">
        <w:rPr>
          <w:noProof/>
        </w:rPr>
        <w:t xml:space="preserve">Member States shall restrict data subject’s rights under Articles 15 to 19 of Regulation (EU) 2016/679 </w:t>
      </w:r>
      <w:r w:rsidR="0079028E" w:rsidRPr="00E75766">
        <w:rPr>
          <w:noProof/>
          <w:szCs w:val="24"/>
        </w:rPr>
        <w:t>of the European Parliament and of the Council</w:t>
      </w:r>
      <w:r w:rsidR="0079028E">
        <w:rPr>
          <w:rStyle w:val="FootnoteReference"/>
          <w:noProof/>
          <w:szCs w:val="24"/>
        </w:rPr>
        <w:footnoteReference w:id="14"/>
      </w:r>
      <w:r w:rsidR="000A12CC" w:rsidRPr="00463717">
        <w:rPr>
          <w:b/>
          <w:i/>
        </w:rPr>
        <w:t>, insofar as the exercise of such rights may jeopardise investigations and</w:t>
      </w:r>
      <w:r w:rsidR="000A12CC">
        <w:rPr>
          <w:b/>
          <w:i/>
        </w:rPr>
        <w:t xml:space="preserve"> (EPP 16)</w:t>
      </w:r>
      <w:r w:rsidR="00AE0FCF" w:rsidRPr="00E75766">
        <w:rPr>
          <w:noProof/>
          <w:szCs w:val="24"/>
        </w:rPr>
        <w:t xml:space="preserve"> </w:t>
      </w:r>
      <w:r w:rsidR="00E85A28">
        <w:rPr>
          <w:noProof/>
        </w:rPr>
        <w:t xml:space="preserve">only to the extent and only as long </w:t>
      </w:r>
      <w:r w:rsidR="00AE0FCF">
        <w:rPr>
          <w:noProof/>
        </w:rPr>
        <w:t xml:space="preserve">as </w:t>
      </w:r>
      <w:r w:rsidR="00E85A28">
        <w:rPr>
          <w:noProof/>
        </w:rPr>
        <w:t xml:space="preserve">it is strictly necessary for their competent authorities to mitigate the risk of tax fraud, evasion or avoidance in Member States, in particular by verifying that the correct withholding tax rate is applied for the </w:t>
      </w:r>
      <w:r w:rsidR="000C0442">
        <w:rPr>
          <w:noProof/>
        </w:rPr>
        <w:t>registered owner</w:t>
      </w:r>
      <w:r w:rsidR="00E85A28">
        <w:rPr>
          <w:noProof/>
        </w:rPr>
        <w:t xml:space="preserve">, or by verifying that the </w:t>
      </w:r>
      <w:r w:rsidR="000C0442">
        <w:rPr>
          <w:noProof/>
        </w:rPr>
        <w:t>registered owne</w:t>
      </w:r>
      <w:r w:rsidR="00E85A28">
        <w:rPr>
          <w:noProof/>
        </w:rPr>
        <w:t>r obtains the relief if so entitled in a timely manner.</w:t>
      </w:r>
      <w:bookmarkEnd w:id="7"/>
      <w:r w:rsidR="00C373F2" w:rsidRPr="00C373F2">
        <w:rPr>
          <w:b/>
          <w:i/>
        </w:rPr>
        <w:t xml:space="preserve"> </w:t>
      </w:r>
      <w:r w:rsidR="00C373F2">
        <w:rPr>
          <w:b/>
          <w:i/>
        </w:rPr>
        <w:t xml:space="preserve">The rights of the data subjects </w:t>
      </w:r>
      <w:r w:rsidR="00C373F2" w:rsidRPr="00B176EB">
        <w:rPr>
          <w:b/>
          <w:i/>
        </w:rPr>
        <w:t>shall be restored as soon as the conditions that supported the restriction cease to exist. (S&amp;D 147</w:t>
      </w:r>
      <w:r w:rsidR="00C373F2">
        <w:rPr>
          <w:b/>
          <w:i/>
        </w:rPr>
        <w:t>)</w:t>
      </w:r>
    </w:p>
    <w:p w14:paraId="017EE3AF" w14:textId="77777777" w:rsidR="00E85A28" w:rsidRDefault="00412FF6" w:rsidP="00412FF6">
      <w:pPr>
        <w:pStyle w:val="ManualNumPar1"/>
        <w:rPr>
          <w:noProof/>
        </w:rPr>
      </w:pPr>
      <w:r w:rsidRPr="00412FF6">
        <w:t>2.</w:t>
      </w:r>
      <w:r w:rsidRPr="00412FF6">
        <w:tab/>
      </w:r>
      <w:r w:rsidR="00E85A28">
        <w:rPr>
          <w:noProof/>
        </w:rPr>
        <w:t>When processing personal data</w:t>
      </w:r>
      <w:r w:rsidR="00AE0FCF">
        <w:rPr>
          <w:noProof/>
        </w:rPr>
        <w:t>,</w:t>
      </w:r>
      <w:r w:rsidR="00E85A28">
        <w:rPr>
          <w:noProof/>
        </w:rPr>
        <w:t xml:space="preserve"> </w:t>
      </w:r>
      <w:r w:rsidR="001F69BA">
        <w:rPr>
          <w:noProof/>
        </w:rPr>
        <w:t>c</w:t>
      </w:r>
      <w:r w:rsidR="00E85A28">
        <w:rPr>
          <w:noProof/>
        </w:rPr>
        <w:t xml:space="preserve">ertified </w:t>
      </w:r>
      <w:r w:rsidR="001F69BA">
        <w:rPr>
          <w:noProof/>
        </w:rPr>
        <w:t>f</w:t>
      </w:r>
      <w:r w:rsidR="00E85A28">
        <w:rPr>
          <w:noProof/>
        </w:rPr>
        <w:t xml:space="preserve">inancial </w:t>
      </w:r>
      <w:r w:rsidR="001F69BA">
        <w:rPr>
          <w:noProof/>
        </w:rPr>
        <w:t>i</w:t>
      </w:r>
      <w:r w:rsidR="00E85A28">
        <w:rPr>
          <w:noProof/>
        </w:rPr>
        <w:t xml:space="preserve">ntermediaries and the competent authorities of Member States shall be considered as controllers, in the meaning of Article 4, paragraph 7 of Regulation (EU) 2016/679, within the scope of their respective activities under this Directive. </w:t>
      </w:r>
    </w:p>
    <w:p w14:paraId="7BF1616D" w14:textId="77777777" w:rsidR="00E85A28" w:rsidRDefault="00412FF6" w:rsidP="00412FF6">
      <w:pPr>
        <w:pStyle w:val="ManualNumPar1"/>
        <w:rPr>
          <w:noProof/>
        </w:rPr>
      </w:pPr>
      <w:r w:rsidRPr="00412FF6">
        <w:t>3.</w:t>
      </w:r>
      <w:r w:rsidRPr="00412FF6">
        <w:tab/>
      </w:r>
      <w:r w:rsidR="00E85A28">
        <w:rPr>
          <w:noProof/>
        </w:rPr>
        <w:t xml:space="preserve">Information, including personal data, processed in accordance with this Directive shall be retained </w:t>
      </w:r>
      <w:r w:rsidR="00E85A28" w:rsidRPr="00B176EB">
        <w:rPr>
          <w:noProof/>
        </w:rPr>
        <w:t>only as long as</w:t>
      </w:r>
      <w:r w:rsidR="00E85A28">
        <w:rPr>
          <w:noProof/>
        </w:rPr>
        <w:t xml:space="preserve"> necessary to achieve the purposes of this Directive, in accordance with each data controller’s domestic rules on statute of limitations, but in any case no longer than </w:t>
      </w:r>
      <w:r w:rsidR="0079028E" w:rsidRPr="000A12CC">
        <w:rPr>
          <w:b/>
          <w:i/>
          <w:strike/>
          <w:noProof/>
        </w:rPr>
        <w:t>10</w:t>
      </w:r>
      <w:r w:rsidR="000A12CC">
        <w:rPr>
          <w:b/>
          <w:i/>
          <w:noProof/>
        </w:rPr>
        <w:t xml:space="preserve"> </w:t>
      </w:r>
      <w:r w:rsidR="000E01EB">
        <w:rPr>
          <w:b/>
          <w:i/>
          <w:noProof/>
        </w:rPr>
        <w:t xml:space="preserve">5 </w:t>
      </w:r>
      <w:r w:rsidR="000A12CC">
        <w:rPr>
          <w:b/>
          <w:i/>
          <w:noProof/>
        </w:rPr>
        <w:t>(EPP 17</w:t>
      </w:r>
      <w:r w:rsidR="000E01EB">
        <w:rPr>
          <w:b/>
          <w:i/>
          <w:noProof/>
        </w:rPr>
        <w:t>, 149</w:t>
      </w:r>
      <w:r w:rsidR="000A12CC">
        <w:rPr>
          <w:b/>
          <w:i/>
          <w:noProof/>
        </w:rPr>
        <w:t>)</w:t>
      </w:r>
      <w:r w:rsidR="00E85A28">
        <w:rPr>
          <w:noProof/>
        </w:rPr>
        <w:t xml:space="preserve"> years.</w:t>
      </w:r>
    </w:p>
    <w:p w14:paraId="763393EA" w14:textId="77777777" w:rsidR="000659D6" w:rsidRPr="00A97BAF" w:rsidRDefault="000659D6" w:rsidP="000659D6">
      <w:pPr>
        <w:pStyle w:val="Titrearticle"/>
        <w:rPr>
          <w:b/>
          <w:bCs/>
          <w:i w:val="0"/>
          <w:iCs/>
          <w:noProof/>
          <w:lang w:val="en-IE"/>
        </w:rPr>
      </w:pPr>
      <w:r w:rsidRPr="002902C7">
        <w:rPr>
          <w:noProof/>
          <w:lang w:val="en-IE"/>
        </w:rPr>
        <w:t xml:space="preserve">Article </w:t>
      </w:r>
      <w:r>
        <w:rPr>
          <w:noProof/>
          <w:lang w:val="en-IE"/>
        </w:rPr>
        <w:t>21</w:t>
      </w:r>
      <w:r>
        <w:rPr>
          <w:noProof/>
          <w:lang w:val="en-IE"/>
        </w:rPr>
        <w:br/>
      </w:r>
      <w:r>
        <w:rPr>
          <w:b/>
          <w:bCs/>
          <w:i w:val="0"/>
          <w:iCs/>
          <w:noProof/>
          <w:lang w:val="en-IE"/>
        </w:rPr>
        <w:t xml:space="preserve">Notification </w:t>
      </w:r>
    </w:p>
    <w:p w14:paraId="33BE78D0" w14:textId="77777777" w:rsidR="000659D6" w:rsidRPr="0044553D" w:rsidRDefault="000659D6" w:rsidP="006126D6">
      <w:pPr>
        <w:rPr>
          <w:noProof/>
        </w:rPr>
      </w:pPr>
      <w:r>
        <w:rPr>
          <w:noProof/>
        </w:rPr>
        <w:t>A Member State that establish</w:t>
      </w:r>
      <w:r w:rsidR="001062C0">
        <w:rPr>
          <w:noProof/>
        </w:rPr>
        <w:t>es</w:t>
      </w:r>
      <w:r>
        <w:rPr>
          <w:noProof/>
        </w:rPr>
        <w:t xml:space="preserve"> and maintain</w:t>
      </w:r>
      <w:r w:rsidR="00FC667D">
        <w:rPr>
          <w:noProof/>
        </w:rPr>
        <w:t>s</w:t>
      </w:r>
      <w:r>
        <w:rPr>
          <w:noProof/>
        </w:rPr>
        <w:t xml:space="preserve"> a </w:t>
      </w:r>
      <w:r w:rsidR="0079028E">
        <w:rPr>
          <w:noProof/>
        </w:rPr>
        <w:t>n</w:t>
      </w:r>
      <w:r>
        <w:rPr>
          <w:noProof/>
        </w:rPr>
        <w:t xml:space="preserve">ational </w:t>
      </w:r>
      <w:r w:rsidR="0079028E">
        <w:rPr>
          <w:noProof/>
        </w:rPr>
        <w:t>r</w:t>
      </w:r>
      <w:r>
        <w:rPr>
          <w:noProof/>
        </w:rPr>
        <w:t xml:space="preserve">egister </w:t>
      </w:r>
      <w:r w:rsidR="0079028E">
        <w:rPr>
          <w:noProof/>
        </w:rPr>
        <w:t>pursuant to</w:t>
      </w:r>
      <w:r>
        <w:rPr>
          <w:noProof/>
        </w:rPr>
        <w:t xml:space="preserve"> Article </w:t>
      </w:r>
      <w:r w:rsidR="00FC667D">
        <w:rPr>
          <w:noProof/>
        </w:rPr>
        <w:t>5</w:t>
      </w:r>
      <w:r>
        <w:rPr>
          <w:noProof/>
        </w:rPr>
        <w:t xml:space="preserve">, shall inform the Commission </w:t>
      </w:r>
      <w:r w:rsidR="000143CC">
        <w:rPr>
          <w:noProof/>
        </w:rPr>
        <w:t xml:space="preserve">and other Member States </w:t>
      </w:r>
      <w:r>
        <w:rPr>
          <w:noProof/>
        </w:rPr>
        <w:t>thereof and of any subsequent changes</w:t>
      </w:r>
      <w:r w:rsidR="00BA30D1">
        <w:rPr>
          <w:noProof/>
        </w:rPr>
        <w:t xml:space="preserve"> to the rules governing such </w:t>
      </w:r>
      <w:r w:rsidR="0079028E">
        <w:rPr>
          <w:noProof/>
        </w:rPr>
        <w:t>r</w:t>
      </w:r>
      <w:r w:rsidR="00BA30D1">
        <w:rPr>
          <w:noProof/>
        </w:rPr>
        <w:t>egister</w:t>
      </w:r>
      <w:r>
        <w:rPr>
          <w:noProof/>
        </w:rPr>
        <w:t>. The Commission shall publish in the </w:t>
      </w:r>
      <w:r>
        <w:rPr>
          <w:i/>
          <w:iCs/>
          <w:noProof/>
        </w:rPr>
        <w:t>Official Journal of the European Union</w:t>
      </w:r>
      <w:r>
        <w:rPr>
          <w:noProof/>
        </w:rPr>
        <w:t> </w:t>
      </w:r>
      <w:r w:rsidR="002D6D8F">
        <w:rPr>
          <w:noProof/>
        </w:rPr>
        <w:t xml:space="preserve">this information and </w:t>
      </w:r>
      <w:r>
        <w:rPr>
          <w:noProof/>
        </w:rPr>
        <w:t xml:space="preserve">shall update the </w:t>
      </w:r>
      <w:r w:rsidR="00E656FE">
        <w:rPr>
          <w:noProof/>
        </w:rPr>
        <w:t>information</w:t>
      </w:r>
      <w:r>
        <w:rPr>
          <w:noProof/>
        </w:rPr>
        <w:t xml:space="preserve"> as necessary.</w:t>
      </w:r>
    </w:p>
    <w:p w14:paraId="2D2D8055" w14:textId="77777777" w:rsidR="001956AF" w:rsidRPr="00A97BAF" w:rsidRDefault="001956AF" w:rsidP="00A97BAF">
      <w:pPr>
        <w:pStyle w:val="Titrearticle"/>
        <w:rPr>
          <w:b/>
          <w:bCs/>
          <w:i w:val="0"/>
          <w:iCs/>
          <w:noProof/>
          <w:lang w:val="en-IE"/>
        </w:rPr>
      </w:pPr>
      <w:r w:rsidRPr="002902C7">
        <w:rPr>
          <w:noProof/>
          <w:lang w:val="en-IE"/>
        </w:rPr>
        <w:t xml:space="preserve">Article </w:t>
      </w:r>
      <w:r w:rsidR="00C244B4">
        <w:rPr>
          <w:noProof/>
          <w:lang w:val="en-IE"/>
        </w:rPr>
        <w:t>2</w:t>
      </w:r>
      <w:r w:rsidR="000659D6">
        <w:rPr>
          <w:noProof/>
          <w:lang w:val="en-IE"/>
        </w:rPr>
        <w:t>2</w:t>
      </w:r>
      <w:r w:rsidR="00A97BAF">
        <w:rPr>
          <w:noProof/>
          <w:lang w:val="en-IE"/>
        </w:rPr>
        <w:br/>
      </w:r>
      <w:r w:rsidRPr="00A97BAF">
        <w:rPr>
          <w:b/>
          <w:bCs/>
          <w:i w:val="0"/>
          <w:iCs/>
          <w:noProof/>
          <w:lang w:val="en-IE"/>
        </w:rPr>
        <w:t>Transposition</w:t>
      </w:r>
    </w:p>
    <w:p w14:paraId="45A0FC45" w14:textId="77777777" w:rsidR="001956AF" w:rsidRDefault="00412FF6" w:rsidP="00412FF6">
      <w:pPr>
        <w:pStyle w:val="ManualNumPar1"/>
        <w:rPr>
          <w:noProof/>
        </w:rPr>
      </w:pPr>
      <w:r w:rsidRPr="00412FF6">
        <w:t>1.</w:t>
      </w:r>
      <w:r w:rsidRPr="00412FF6">
        <w:tab/>
      </w:r>
      <w:r w:rsidR="001956AF" w:rsidRPr="000D649F">
        <w:rPr>
          <w:noProof/>
        </w:rPr>
        <w:t>Member States shall adopt and publish, by</w:t>
      </w:r>
      <w:r w:rsidR="001956AF" w:rsidRPr="002D6769">
        <w:rPr>
          <w:noProof/>
        </w:rPr>
        <w:t xml:space="preserve"> </w:t>
      </w:r>
      <w:r w:rsidR="001956AF" w:rsidRPr="00271DF7">
        <w:rPr>
          <w:noProof/>
        </w:rPr>
        <w:t>31 December 202</w:t>
      </w:r>
      <w:r w:rsidR="00A30C81" w:rsidRPr="00271DF7">
        <w:rPr>
          <w:noProof/>
        </w:rPr>
        <w:t>6</w:t>
      </w:r>
      <w:r w:rsidR="00546D05">
        <w:rPr>
          <w:noProof/>
        </w:rPr>
        <w:t xml:space="preserve"> </w:t>
      </w:r>
      <w:r w:rsidR="001956AF" w:rsidRPr="002D6769">
        <w:rPr>
          <w:noProof/>
        </w:rPr>
        <w:t>at the latest, the laws, regulations and administrative provisions necessary to comply with this Directive. They shall forthwith communicate to the Commission the text of those provisions.</w:t>
      </w:r>
    </w:p>
    <w:p w14:paraId="4BFAB02B" w14:textId="77777777" w:rsidR="00AE0FCF" w:rsidRDefault="00AE0FCF" w:rsidP="00E75766">
      <w:pPr>
        <w:pStyle w:val="Text1"/>
        <w:rPr>
          <w:noProof/>
        </w:rPr>
      </w:pPr>
      <w:r w:rsidRPr="00AE0FCF">
        <w:rPr>
          <w:noProof/>
        </w:rPr>
        <w:t>They shall apply those provisions from 1 January 202</w:t>
      </w:r>
      <w:r>
        <w:rPr>
          <w:noProof/>
        </w:rPr>
        <w:t>7</w:t>
      </w:r>
      <w:r w:rsidRPr="00AE0FCF">
        <w:rPr>
          <w:noProof/>
        </w:rPr>
        <w:t>.</w:t>
      </w:r>
    </w:p>
    <w:p w14:paraId="6B4537F0" w14:textId="77777777" w:rsidR="001956AF" w:rsidRDefault="001956AF" w:rsidP="00E75766">
      <w:pPr>
        <w:pStyle w:val="Text1"/>
        <w:rPr>
          <w:noProof/>
        </w:rPr>
      </w:pPr>
      <w:r w:rsidRPr="002D6769">
        <w:rPr>
          <w:noProof/>
        </w:rPr>
        <w:lastRenderedPageBreak/>
        <w:t>When Member States adopt those provisions, they shall contain a reference to this Directive or be accompanied by such a reference on the occasion of their official publication. Member States shall determine how such reference is to be made.</w:t>
      </w:r>
    </w:p>
    <w:p w14:paraId="597FD59E" w14:textId="77777777" w:rsidR="001956AF" w:rsidRDefault="00412FF6" w:rsidP="00412FF6">
      <w:pPr>
        <w:pStyle w:val="ManualNumPar1"/>
        <w:rPr>
          <w:noProof/>
        </w:rPr>
      </w:pPr>
      <w:r w:rsidRPr="00412FF6">
        <w:t>2.</w:t>
      </w:r>
      <w:r w:rsidRPr="00412FF6">
        <w:tab/>
      </w:r>
      <w:r w:rsidR="001956AF" w:rsidRPr="002D6769">
        <w:rPr>
          <w:noProof/>
        </w:rPr>
        <w:t>Member States shall communicate to the Commission the text of the main provisions of national law which they adopt in the field covered by this Directive.</w:t>
      </w:r>
    </w:p>
    <w:p w14:paraId="1832E9BD" w14:textId="77777777" w:rsidR="001956AF" w:rsidRDefault="001956AF" w:rsidP="00A97BAF">
      <w:pPr>
        <w:pStyle w:val="Titrearticle"/>
        <w:rPr>
          <w:b/>
          <w:bCs/>
          <w:i w:val="0"/>
          <w:iCs/>
          <w:noProof/>
        </w:rPr>
      </w:pPr>
      <w:r w:rsidRPr="002D6769">
        <w:rPr>
          <w:noProof/>
        </w:rPr>
        <w:t xml:space="preserve">Article </w:t>
      </w:r>
      <w:r>
        <w:rPr>
          <w:noProof/>
        </w:rPr>
        <w:t>2</w:t>
      </w:r>
      <w:r w:rsidR="000659D6">
        <w:rPr>
          <w:noProof/>
        </w:rPr>
        <w:t>3</w:t>
      </w:r>
      <w:r w:rsidR="009D4C4D">
        <w:rPr>
          <w:noProof/>
        </w:rPr>
        <w:br/>
      </w:r>
      <w:r w:rsidRPr="00A97BAF">
        <w:rPr>
          <w:b/>
          <w:bCs/>
          <w:i w:val="0"/>
          <w:iCs/>
          <w:noProof/>
        </w:rPr>
        <w:t>Entry into force</w:t>
      </w:r>
    </w:p>
    <w:p w14:paraId="743DBB3E" w14:textId="77777777" w:rsidR="001956AF" w:rsidRDefault="001956AF" w:rsidP="00A97BAF">
      <w:pPr>
        <w:rPr>
          <w:noProof/>
        </w:rPr>
      </w:pPr>
      <w:r w:rsidRPr="002D6769">
        <w:rPr>
          <w:noProof/>
        </w:rPr>
        <w:t xml:space="preserve">This Directive shall enter into force on the </w:t>
      </w:r>
      <w:r w:rsidRPr="00CF3EFD">
        <w:rPr>
          <w:noProof/>
        </w:rPr>
        <w:t>twentieth</w:t>
      </w:r>
      <w:r w:rsidRPr="00145772">
        <w:rPr>
          <w:noProof/>
        </w:rPr>
        <w:t xml:space="preserve"> </w:t>
      </w:r>
      <w:r w:rsidRPr="002D6769">
        <w:rPr>
          <w:noProof/>
        </w:rPr>
        <w:t xml:space="preserve">day following that of its publication in the </w:t>
      </w:r>
      <w:r w:rsidRPr="002D6769">
        <w:rPr>
          <w:i/>
          <w:noProof/>
        </w:rPr>
        <w:t>Official Journal of the European Union</w:t>
      </w:r>
      <w:r w:rsidRPr="002D6769">
        <w:rPr>
          <w:noProof/>
        </w:rPr>
        <w:t>.</w:t>
      </w:r>
    </w:p>
    <w:p w14:paraId="7F453394" w14:textId="77777777" w:rsidR="001956AF" w:rsidRPr="00CF3EFD" w:rsidRDefault="001956AF" w:rsidP="00A97BAF">
      <w:pPr>
        <w:pStyle w:val="Titrearticle"/>
        <w:rPr>
          <w:noProof/>
        </w:rPr>
      </w:pPr>
      <w:r w:rsidRPr="002D6769">
        <w:rPr>
          <w:noProof/>
        </w:rPr>
        <w:t xml:space="preserve">Article </w:t>
      </w:r>
      <w:r>
        <w:rPr>
          <w:noProof/>
        </w:rPr>
        <w:t>2</w:t>
      </w:r>
      <w:r w:rsidR="000659D6">
        <w:rPr>
          <w:noProof/>
        </w:rPr>
        <w:t>4</w:t>
      </w:r>
      <w:r w:rsidR="009D4C4D">
        <w:rPr>
          <w:noProof/>
        </w:rPr>
        <w:br/>
      </w:r>
      <w:r w:rsidRPr="00C87DC9">
        <w:rPr>
          <w:b/>
          <w:bCs/>
          <w:noProof/>
        </w:rPr>
        <w:t>Addressees</w:t>
      </w:r>
    </w:p>
    <w:p w14:paraId="1CD8B0ED" w14:textId="77777777" w:rsidR="001956AF" w:rsidRDefault="001956AF" w:rsidP="001956AF">
      <w:pPr>
        <w:rPr>
          <w:noProof/>
        </w:rPr>
      </w:pPr>
      <w:r w:rsidRPr="002D6769">
        <w:rPr>
          <w:noProof/>
        </w:rPr>
        <w:t>This Directive is addressed to the Member States.</w:t>
      </w:r>
    </w:p>
    <w:p w14:paraId="400826D3" w14:textId="77777777" w:rsidR="001714E3" w:rsidRDefault="001714E3" w:rsidP="00791C8B">
      <w:pPr>
        <w:spacing w:before="0" w:after="200" w:line="276" w:lineRule="auto"/>
        <w:jc w:val="left"/>
        <w:rPr>
          <w:noProof/>
        </w:rPr>
      </w:pPr>
    </w:p>
    <w:p w14:paraId="13C6455F" w14:textId="77777777" w:rsidR="00B176EB" w:rsidRDefault="00B176EB" w:rsidP="00B176EB">
      <w:pPr>
        <w:pStyle w:val="Annexetitre"/>
        <w:rPr>
          <w:b w:val="0"/>
          <w:bCs/>
          <w:i/>
          <w:noProof/>
          <w:lang w:val="en-IE"/>
        </w:rPr>
      </w:pPr>
      <w:r>
        <w:rPr>
          <w:noProof/>
        </w:rPr>
        <w:t>ANNEX II</w:t>
      </w:r>
      <w:r>
        <w:rPr>
          <w:noProof/>
        </w:rPr>
        <w:br/>
      </w:r>
      <w:r>
        <w:rPr>
          <w:noProof/>
        </w:rPr>
        <w:br/>
      </w:r>
      <w:r w:rsidRPr="2AFD91C6">
        <w:rPr>
          <w:bCs/>
          <w:noProof/>
          <w:lang w:val="en-IE"/>
        </w:rPr>
        <w:t>REPORTING</w:t>
      </w:r>
      <w:r>
        <w:rPr>
          <w:bCs/>
          <w:noProof/>
          <w:lang w:val="en-IE"/>
        </w:rPr>
        <w:t xml:space="preserve"> AS REFERRED TO IN ARTICLE 9 and 15</w:t>
      </w:r>
    </w:p>
    <w:p w14:paraId="38600363" w14:textId="77777777" w:rsidR="00B176EB" w:rsidRPr="00C91F9F" w:rsidRDefault="00B176EB" w:rsidP="00B176EB">
      <w:pPr>
        <w:rPr>
          <w:noProof/>
          <w:lang w:val="en-IE"/>
        </w:rPr>
      </w:pPr>
    </w:p>
    <w:p w14:paraId="566EB771" w14:textId="77777777" w:rsidR="00B176EB" w:rsidRDefault="00B176EB" w:rsidP="00B176EB">
      <w:pPr>
        <w:rPr>
          <w:noProof/>
        </w:rPr>
      </w:pPr>
      <w:r>
        <w:rPr>
          <w:noProof/>
        </w:rPr>
        <w:t>Certified financial intermediaries shall provide the following information in the corresponding xml format:</w:t>
      </w:r>
    </w:p>
    <w:tbl>
      <w:tblPr>
        <w:tblStyle w:val="TableGrid"/>
        <w:tblW w:w="10031" w:type="dxa"/>
        <w:tblLook w:val="04A0" w:firstRow="1" w:lastRow="0" w:firstColumn="1" w:lastColumn="0" w:noHBand="0" w:noVBand="1"/>
      </w:tblPr>
      <w:tblGrid>
        <w:gridCol w:w="4644"/>
        <w:gridCol w:w="5387"/>
      </w:tblGrid>
      <w:tr w:rsidR="00B176EB" w14:paraId="7155D40E" w14:textId="77777777" w:rsidTr="000263EA">
        <w:trPr>
          <w:trHeight w:val="479"/>
        </w:trPr>
        <w:tc>
          <w:tcPr>
            <w:tcW w:w="4644" w:type="dxa"/>
            <w:shd w:val="clear" w:color="auto" w:fill="D9D9D9" w:themeFill="background1" w:themeFillShade="D9"/>
            <w:vAlign w:val="center"/>
          </w:tcPr>
          <w:p w14:paraId="70805904" w14:textId="77777777" w:rsidR="00B176EB" w:rsidRDefault="00B176EB" w:rsidP="000263EA">
            <w:pPr>
              <w:spacing w:before="0" w:after="200" w:line="276" w:lineRule="auto"/>
              <w:jc w:val="center"/>
              <w:rPr>
                <w:noProof/>
              </w:rPr>
            </w:pPr>
            <w:r>
              <w:rPr>
                <w:noProof/>
              </w:rPr>
              <w:t>Type of information</w:t>
            </w:r>
          </w:p>
        </w:tc>
        <w:tc>
          <w:tcPr>
            <w:tcW w:w="5387" w:type="dxa"/>
            <w:shd w:val="clear" w:color="auto" w:fill="D9D9D9" w:themeFill="background1" w:themeFillShade="D9"/>
            <w:vAlign w:val="center"/>
          </w:tcPr>
          <w:p w14:paraId="06E3EF09" w14:textId="77777777" w:rsidR="00B176EB" w:rsidRDefault="00B176EB" w:rsidP="000263EA">
            <w:pPr>
              <w:spacing w:before="0" w:after="200" w:line="276" w:lineRule="auto"/>
              <w:jc w:val="center"/>
              <w:rPr>
                <w:noProof/>
              </w:rPr>
            </w:pPr>
            <w:r>
              <w:rPr>
                <w:noProof/>
              </w:rPr>
              <w:t xml:space="preserve">Specification </w:t>
            </w:r>
          </w:p>
        </w:tc>
      </w:tr>
      <w:tr w:rsidR="00B176EB" w14:paraId="3009B60C" w14:textId="77777777" w:rsidTr="000263EA">
        <w:trPr>
          <w:trHeight w:val="479"/>
        </w:trPr>
        <w:tc>
          <w:tcPr>
            <w:tcW w:w="10031" w:type="dxa"/>
            <w:gridSpan w:val="2"/>
            <w:vAlign w:val="center"/>
          </w:tcPr>
          <w:p w14:paraId="04B5083D" w14:textId="77777777" w:rsidR="00B176EB" w:rsidRPr="00F46330" w:rsidRDefault="00B176EB" w:rsidP="000263EA">
            <w:pPr>
              <w:spacing w:before="0" w:after="200" w:line="276" w:lineRule="auto"/>
              <w:jc w:val="center"/>
              <w:rPr>
                <w:b/>
                <w:bCs/>
                <w:noProof/>
              </w:rPr>
            </w:pPr>
            <w:r w:rsidRPr="2AFD91C6">
              <w:rPr>
                <w:b/>
                <w:bCs/>
                <w:noProof/>
              </w:rPr>
              <w:t>A. Information regarding the person that is providing the information</w:t>
            </w:r>
          </w:p>
        </w:tc>
      </w:tr>
      <w:tr w:rsidR="00B176EB" w14:paraId="554637E7" w14:textId="77777777" w:rsidTr="000263EA">
        <w:tc>
          <w:tcPr>
            <w:tcW w:w="4644" w:type="dxa"/>
          </w:tcPr>
          <w:p w14:paraId="7F99B270" w14:textId="77777777" w:rsidR="00B176EB" w:rsidRDefault="00B176EB" w:rsidP="000263EA">
            <w:pPr>
              <w:spacing w:before="0" w:after="200" w:line="276" w:lineRule="auto"/>
              <w:jc w:val="left"/>
              <w:rPr>
                <w:noProof/>
              </w:rPr>
            </w:pPr>
            <w:r>
              <w:rPr>
                <w:noProof/>
              </w:rPr>
              <w:t>Name of the financial intermediary</w:t>
            </w:r>
          </w:p>
        </w:tc>
        <w:tc>
          <w:tcPr>
            <w:tcW w:w="5387" w:type="dxa"/>
          </w:tcPr>
          <w:p w14:paraId="465F68D9" w14:textId="77777777" w:rsidR="00B176EB" w:rsidRDefault="00B176EB" w:rsidP="000263EA">
            <w:pPr>
              <w:spacing w:before="0" w:after="200" w:line="276" w:lineRule="auto"/>
              <w:jc w:val="left"/>
              <w:rPr>
                <w:noProof/>
              </w:rPr>
            </w:pPr>
          </w:p>
        </w:tc>
      </w:tr>
      <w:tr w:rsidR="00B176EB" w14:paraId="35166B99" w14:textId="77777777" w:rsidTr="000263EA">
        <w:tc>
          <w:tcPr>
            <w:tcW w:w="4644" w:type="dxa"/>
          </w:tcPr>
          <w:p w14:paraId="01DB886A" w14:textId="77777777" w:rsidR="00B176EB" w:rsidRDefault="00B176EB" w:rsidP="000263EA">
            <w:pPr>
              <w:spacing w:before="0" w:after="200" w:line="276" w:lineRule="auto"/>
              <w:jc w:val="left"/>
              <w:rPr>
                <w:noProof/>
              </w:rPr>
            </w:pPr>
            <w:r>
              <w:rPr>
                <w:noProof/>
              </w:rPr>
              <w:t>EUID, Legal Entity Identifier (LEI) or alternative</w:t>
            </w:r>
          </w:p>
        </w:tc>
        <w:tc>
          <w:tcPr>
            <w:tcW w:w="5387" w:type="dxa"/>
          </w:tcPr>
          <w:p w14:paraId="5E0D08C6" w14:textId="77777777" w:rsidR="00B176EB" w:rsidRDefault="00B176EB" w:rsidP="000263EA">
            <w:pPr>
              <w:spacing w:before="0" w:after="200" w:line="276" w:lineRule="auto"/>
              <w:jc w:val="left"/>
              <w:rPr>
                <w:noProof/>
              </w:rPr>
            </w:pPr>
          </w:p>
        </w:tc>
      </w:tr>
      <w:tr w:rsidR="00B176EB" w14:paraId="798A2EFF" w14:textId="77777777" w:rsidTr="000263EA">
        <w:tc>
          <w:tcPr>
            <w:tcW w:w="4644" w:type="dxa"/>
          </w:tcPr>
          <w:p w14:paraId="382AAAFE" w14:textId="77777777" w:rsidR="00B176EB" w:rsidRDefault="00B176EB" w:rsidP="000263EA">
            <w:pPr>
              <w:spacing w:before="0" w:after="200" w:line="276" w:lineRule="auto"/>
              <w:jc w:val="left"/>
              <w:rPr>
                <w:noProof/>
              </w:rPr>
            </w:pPr>
            <w:r>
              <w:rPr>
                <w:noProof/>
              </w:rPr>
              <w:t>Official address</w:t>
            </w:r>
          </w:p>
        </w:tc>
        <w:tc>
          <w:tcPr>
            <w:tcW w:w="5387" w:type="dxa"/>
          </w:tcPr>
          <w:p w14:paraId="57EEA704" w14:textId="77777777" w:rsidR="00B176EB" w:rsidRDefault="00B176EB" w:rsidP="000263EA">
            <w:pPr>
              <w:spacing w:before="0" w:after="200" w:line="276" w:lineRule="auto"/>
              <w:jc w:val="left"/>
              <w:rPr>
                <w:noProof/>
              </w:rPr>
            </w:pPr>
          </w:p>
        </w:tc>
      </w:tr>
      <w:tr w:rsidR="00B176EB" w14:paraId="78D82826" w14:textId="77777777" w:rsidTr="000263EA">
        <w:tc>
          <w:tcPr>
            <w:tcW w:w="4644" w:type="dxa"/>
          </w:tcPr>
          <w:p w14:paraId="4539F814" w14:textId="77777777" w:rsidR="00B176EB" w:rsidRDefault="00B176EB" w:rsidP="000263EA">
            <w:pPr>
              <w:spacing w:before="0" w:after="200" w:line="276" w:lineRule="auto"/>
              <w:jc w:val="left"/>
              <w:rPr>
                <w:noProof/>
              </w:rPr>
            </w:pPr>
            <w:r>
              <w:rPr>
                <w:noProof/>
              </w:rPr>
              <w:t>Other relevant data</w:t>
            </w:r>
          </w:p>
        </w:tc>
        <w:tc>
          <w:tcPr>
            <w:tcW w:w="5387" w:type="dxa"/>
          </w:tcPr>
          <w:p w14:paraId="5BEEF274" w14:textId="77777777" w:rsidR="00B176EB" w:rsidRDefault="00B176EB" w:rsidP="000263EA">
            <w:pPr>
              <w:spacing w:before="0" w:after="200" w:line="276" w:lineRule="auto"/>
              <w:jc w:val="left"/>
              <w:rPr>
                <w:noProof/>
              </w:rPr>
            </w:pPr>
            <w:r>
              <w:rPr>
                <w:noProof/>
              </w:rPr>
              <w:t>Tax identification number and email address</w:t>
            </w:r>
          </w:p>
        </w:tc>
      </w:tr>
      <w:tr w:rsidR="00B176EB" w14:paraId="06D3ACDB" w14:textId="77777777" w:rsidTr="000263EA">
        <w:tc>
          <w:tcPr>
            <w:tcW w:w="10031" w:type="dxa"/>
            <w:gridSpan w:val="2"/>
            <w:vAlign w:val="center"/>
          </w:tcPr>
          <w:p w14:paraId="17893C1C" w14:textId="77777777" w:rsidR="00B176EB" w:rsidRPr="00F46330" w:rsidRDefault="00B176EB" w:rsidP="000263EA">
            <w:pPr>
              <w:spacing w:before="0" w:after="200" w:line="276" w:lineRule="auto"/>
              <w:jc w:val="center"/>
              <w:rPr>
                <w:b/>
                <w:bCs/>
                <w:noProof/>
              </w:rPr>
            </w:pPr>
            <w:r w:rsidRPr="2AFD91C6">
              <w:rPr>
                <w:b/>
                <w:bCs/>
                <w:noProof/>
              </w:rPr>
              <w:t xml:space="preserve">B. Information regarding the recipient of the dividend or interest payment </w:t>
            </w:r>
          </w:p>
        </w:tc>
      </w:tr>
      <w:tr w:rsidR="00B176EB" w14:paraId="3BD756DE" w14:textId="77777777" w:rsidTr="000263EA">
        <w:tc>
          <w:tcPr>
            <w:tcW w:w="4644" w:type="dxa"/>
          </w:tcPr>
          <w:p w14:paraId="019B0742" w14:textId="77777777" w:rsidR="00B176EB" w:rsidRDefault="00B176EB" w:rsidP="000263EA">
            <w:pPr>
              <w:spacing w:before="0" w:after="200" w:line="276" w:lineRule="auto"/>
              <w:jc w:val="left"/>
              <w:rPr>
                <w:noProof/>
              </w:rPr>
            </w:pPr>
            <w:bookmarkStart w:id="8" w:name="_Hlk131178023"/>
            <w:r>
              <w:rPr>
                <w:noProof/>
              </w:rPr>
              <w:t>Identification of the financial intermediary or final taxpayer receiving the dividend or interest payment</w:t>
            </w:r>
          </w:p>
        </w:tc>
        <w:tc>
          <w:tcPr>
            <w:tcW w:w="5387" w:type="dxa"/>
          </w:tcPr>
          <w:p w14:paraId="33721D35" w14:textId="77777777" w:rsidR="00B176EB" w:rsidRDefault="00B176EB" w:rsidP="000263EA">
            <w:pPr>
              <w:spacing w:before="0" w:after="200" w:line="276" w:lineRule="auto"/>
              <w:jc w:val="left"/>
              <w:rPr>
                <w:noProof/>
              </w:rPr>
            </w:pPr>
          </w:p>
        </w:tc>
      </w:tr>
      <w:tr w:rsidR="00B176EB" w14:paraId="441E25B9" w14:textId="77777777" w:rsidTr="000263EA">
        <w:tc>
          <w:tcPr>
            <w:tcW w:w="4644" w:type="dxa"/>
          </w:tcPr>
          <w:p w14:paraId="4F2C551B" w14:textId="77777777" w:rsidR="00B176EB" w:rsidRPr="00405F4E" w:rsidRDefault="00B176EB" w:rsidP="00B176EB">
            <w:pPr>
              <w:pStyle w:val="ListParagraph"/>
              <w:numPr>
                <w:ilvl w:val="0"/>
                <w:numId w:val="53"/>
              </w:numPr>
              <w:spacing w:before="0" w:after="200" w:line="276" w:lineRule="auto"/>
              <w:jc w:val="left"/>
              <w:rPr>
                <w:noProof/>
              </w:rPr>
            </w:pPr>
            <w:bookmarkStart w:id="9" w:name="_Hlk131178004"/>
            <w:r>
              <w:rPr>
                <w:noProof/>
              </w:rPr>
              <w:t>Individual</w:t>
            </w:r>
          </w:p>
        </w:tc>
        <w:tc>
          <w:tcPr>
            <w:tcW w:w="5387" w:type="dxa"/>
          </w:tcPr>
          <w:p w14:paraId="72C9D5DB" w14:textId="77777777" w:rsidR="00B176EB" w:rsidRDefault="00B176EB" w:rsidP="000263EA">
            <w:pPr>
              <w:spacing w:before="0" w:after="200" w:line="276" w:lineRule="auto"/>
              <w:jc w:val="left"/>
              <w:rPr>
                <w:noProof/>
              </w:rPr>
            </w:pPr>
            <w:r>
              <w:rPr>
                <w:noProof/>
              </w:rPr>
              <w:t>Name, TIN, date of birth, address</w:t>
            </w:r>
          </w:p>
        </w:tc>
      </w:tr>
      <w:tr w:rsidR="00B176EB" w14:paraId="6D8D7804" w14:textId="77777777" w:rsidTr="000263EA">
        <w:tc>
          <w:tcPr>
            <w:tcW w:w="4644" w:type="dxa"/>
          </w:tcPr>
          <w:p w14:paraId="539A0B17" w14:textId="77777777" w:rsidR="00B176EB" w:rsidRPr="00405F4E" w:rsidRDefault="00B176EB" w:rsidP="00B176EB">
            <w:pPr>
              <w:pStyle w:val="ListParagraph"/>
              <w:numPr>
                <w:ilvl w:val="0"/>
                <w:numId w:val="53"/>
              </w:numPr>
              <w:spacing w:before="0" w:after="200" w:line="276" w:lineRule="auto"/>
              <w:jc w:val="left"/>
              <w:rPr>
                <w:noProof/>
              </w:rPr>
            </w:pPr>
            <w:r>
              <w:rPr>
                <w:noProof/>
              </w:rPr>
              <w:t>Legal person</w:t>
            </w:r>
          </w:p>
        </w:tc>
        <w:tc>
          <w:tcPr>
            <w:tcW w:w="5387" w:type="dxa"/>
          </w:tcPr>
          <w:p w14:paraId="57A845E0" w14:textId="77777777" w:rsidR="00B176EB" w:rsidRDefault="00B176EB" w:rsidP="000263EA">
            <w:pPr>
              <w:spacing w:before="0" w:after="200" w:line="276" w:lineRule="auto"/>
              <w:jc w:val="left"/>
              <w:rPr>
                <w:noProof/>
              </w:rPr>
            </w:pPr>
            <w:r>
              <w:rPr>
                <w:noProof/>
              </w:rPr>
              <w:t>Name, LEI, TIN, address, EUID</w:t>
            </w:r>
          </w:p>
        </w:tc>
      </w:tr>
      <w:tr w:rsidR="00B176EB" w14:paraId="3FA4D510" w14:textId="77777777" w:rsidTr="000263EA">
        <w:tc>
          <w:tcPr>
            <w:tcW w:w="4644" w:type="dxa"/>
          </w:tcPr>
          <w:p w14:paraId="674222E4" w14:textId="77777777" w:rsidR="00B176EB" w:rsidRDefault="00B176EB" w:rsidP="000263EA">
            <w:pPr>
              <w:spacing w:before="0" w:after="200" w:line="276" w:lineRule="auto"/>
              <w:jc w:val="left"/>
              <w:rPr>
                <w:noProof/>
              </w:rPr>
            </w:pPr>
            <w:r>
              <w:rPr>
                <w:noProof/>
              </w:rPr>
              <w:lastRenderedPageBreak/>
              <w:t>Investment account number</w:t>
            </w:r>
          </w:p>
        </w:tc>
        <w:tc>
          <w:tcPr>
            <w:tcW w:w="5387" w:type="dxa"/>
          </w:tcPr>
          <w:p w14:paraId="6F418554" w14:textId="77777777" w:rsidR="00B176EB" w:rsidRDefault="00B176EB" w:rsidP="000263EA">
            <w:pPr>
              <w:spacing w:before="0" w:after="200" w:line="276" w:lineRule="auto"/>
              <w:jc w:val="left"/>
              <w:rPr>
                <w:noProof/>
              </w:rPr>
            </w:pPr>
            <w:r>
              <w:rPr>
                <w:noProof/>
              </w:rPr>
              <w:t>Number of the safekeeping account where the securities are hold by the financial intermediary/taxpayer receiving the payment</w:t>
            </w:r>
          </w:p>
        </w:tc>
      </w:tr>
      <w:bookmarkEnd w:id="8"/>
      <w:bookmarkEnd w:id="9"/>
      <w:tr w:rsidR="00B176EB" w14:paraId="4532154F" w14:textId="77777777" w:rsidTr="000263EA">
        <w:tc>
          <w:tcPr>
            <w:tcW w:w="10031" w:type="dxa"/>
            <w:gridSpan w:val="2"/>
          </w:tcPr>
          <w:p w14:paraId="318E8FDE" w14:textId="77777777" w:rsidR="00B176EB" w:rsidRPr="00F46330" w:rsidRDefault="00B176EB" w:rsidP="000263EA">
            <w:pPr>
              <w:spacing w:before="0" w:after="200" w:line="276" w:lineRule="auto"/>
              <w:jc w:val="center"/>
              <w:rPr>
                <w:b/>
                <w:bCs/>
                <w:noProof/>
              </w:rPr>
            </w:pPr>
            <w:r w:rsidRPr="2AFD91C6">
              <w:rPr>
                <w:b/>
                <w:bCs/>
                <w:noProof/>
              </w:rPr>
              <w:t xml:space="preserve">C. Information regarding the payor of the dividend or interest payment </w:t>
            </w:r>
          </w:p>
        </w:tc>
      </w:tr>
      <w:tr w:rsidR="00B176EB" w14:paraId="3C0C3562" w14:textId="77777777" w:rsidTr="000263EA">
        <w:tc>
          <w:tcPr>
            <w:tcW w:w="4644" w:type="dxa"/>
          </w:tcPr>
          <w:p w14:paraId="2D68537D" w14:textId="77777777" w:rsidR="00B176EB" w:rsidRDefault="00B176EB" w:rsidP="000263EA">
            <w:pPr>
              <w:spacing w:before="0" w:after="200" w:line="276" w:lineRule="auto"/>
              <w:jc w:val="left"/>
              <w:rPr>
                <w:noProof/>
              </w:rPr>
            </w:pPr>
            <w:r>
              <w:rPr>
                <w:noProof/>
              </w:rPr>
              <w:t>Identification of the financial intermediary from whom the reporter receives the dividend or interest payment</w:t>
            </w:r>
          </w:p>
        </w:tc>
        <w:tc>
          <w:tcPr>
            <w:tcW w:w="5387" w:type="dxa"/>
          </w:tcPr>
          <w:p w14:paraId="1657A972" w14:textId="77777777" w:rsidR="00B176EB" w:rsidRDefault="00B176EB" w:rsidP="000263EA">
            <w:pPr>
              <w:spacing w:before="0" w:after="200" w:line="276" w:lineRule="auto"/>
              <w:jc w:val="left"/>
              <w:rPr>
                <w:noProof/>
              </w:rPr>
            </w:pPr>
          </w:p>
        </w:tc>
      </w:tr>
      <w:tr w:rsidR="00B176EB" w14:paraId="52FF9554" w14:textId="77777777" w:rsidTr="000263EA">
        <w:tc>
          <w:tcPr>
            <w:tcW w:w="4644" w:type="dxa"/>
          </w:tcPr>
          <w:p w14:paraId="3B68C891" w14:textId="77777777" w:rsidR="00B176EB" w:rsidRPr="00F46330" w:rsidRDefault="00B176EB" w:rsidP="00B176EB">
            <w:pPr>
              <w:pStyle w:val="ListParagraph"/>
              <w:numPr>
                <w:ilvl w:val="0"/>
                <w:numId w:val="54"/>
              </w:numPr>
              <w:spacing w:before="0" w:after="200" w:line="276" w:lineRule="auto"/>
              <w:jc w:val="left"/>
              <w:rPr>
                <w:noProof/>
              </w:rPr>
            </w:pPr>
            <w:r>
              <w:rPr>
                <w:noProof/>
              </w:rPr>
              <w:t>Individual</w:t>
            </w:r>
          </w:p>
        </w:tc>
        <w:tc>
          <w:tcPr>
            <w:tcW w:w="5387" w:type="dxa"/>
          </w:tcPr>
          <w:p w14:paraId="3DE345F5" w14:textId="77777777" w:rsidR="00B176EB" w:rsidRDefault="00B176EB" w:rsidP="000263EA">
            <w:pPr>
              <w:spacing w:before="0" w:after="200" w:line="276" w:lineRule="auto"/>
              <w:jc w:val="left"/>
              <w:rPr>
                <w:noProof/>
              </w:rPr>
            </w:pPr>
            <w:r>
              <w:rPr>
                <w:noProof/>
              </w:rPr>
              <w:t>Name, TIN, date of birth, address</w:t>
            </w:r>
          </w:p>
        </w:tc>
      </w:tr>
      <w:tr w:rsidR="00B176EB" w14:paraId="09DBD2F6" w14:textId="77777777" w:rsidTr="000263EA">
        <w:tc>
          <w:tcPr>
            <w:tcW w:w="4644" w:type="dxa"/>
          </w:tcPr>
          <w:p w14:paraId="3210A2BD" w14:textId="77777777" w:rsidR="00B176EB" w:rsidRPr="00F46330" w:rsidRDefault="00B176EB" w:rsidP="00B176EB">
            <w:pPr>
              <w:pStyle w:val="ListParagraph"/>
              <w:numPr>
                <w:ilvl w:val="0"/>
                <w:numId w:val="54"/>
              </w:numPr>
              <w:spacing w:before="0" w:after="200" w:line="276" w:lineRule="auto"/>
              <w:jc w:val="left"/>
              <w:rPr>
                <w:noProof/>
              </w:rPr>
            </w:pPr>
            <w:r>
              <w:rPr>
                <w:noProof/>
              </w:rPr>
              <w:t>Legal person</w:t>
            </w:r>
          </w:p>
        </w:tc>
        <w:tc>
          <w:tcPr>
            <w:tcW w:w="5387" w:type="dxa"/>
          </w:tcPr>
          <w:p w14:paraId="434003BA" w14:textId="77777777" w:rsidR="00B176EB" w:rsidRDefault="00B176EB" w:rsidP="000263EA">
            <w:pPr>
              <w:spacing w:before="0" w:after="200" w:line="276" w:lineRule="auto"/>
              <w:jc w:val="left"/>
              <w:rPr>
                <w:noProof/>
              </w:rPr>
            </w:pPr>
            <w:r>
              <w:rPr>
                <w:noProof/>
              </w:rPr>
              <w:t>Name, LEI, TIN, address, EUID</w:t>
            </w:r>
          </w:p>
        </w:tc>
      </w:tr>
      <w:tr w:rsidR="00B176EB" w14:paraId="64F7FC8B" w14:textId="77777777" w:rsidTr="000263EA">
        <w:tc>
          <w:tcPr>
            <w:tcW w:w="4644" w:type="dxa"/>
          </w:tcPr>
          <w:p w14:paraId="5138D96B" w14:textId="77777777" w:rsidR="00B176EB" w:rsidRDefault="00B176EB" w:rsidP="000263EA">
            <w:pPr>
              <w:spacing w:before="0" w:after="200" w:line="276" w:lineRule="auto"/>
              <w:jc w:val="left"/>
              <w:rPr>
                <w:noProof/>
              </w:rPr>
            </w:pPr>
            <w:r>
              <w:rPr>
                <w:noProof/>
              </w:rPr>
              <w:t>Investment account number</w:t>
            </w:r>
          </w:p>
        </w:tc>
        <w:tc>
          <w:tcPr>
            <w:tcW w:w="5387" w:type="dxa"/>
          </w:tcPr>
          <w:p w14:paraId="0CF9C49A" w14:textId="77777777" w:rsidR="00B176EB" w:rsidRDefault="00B176EB" w:rsidP="000263EA">
            <w:pPr>
              <w:spacing w:before="0" w:after="200" w:line="276" w:lineRule="auto"/>
              <w:jc w:val="left"/>
              <w:rPr>
                <w:noProof/>
              </w:rPr>
            </w:pPr>
            <w:r>
              <w:rPr>
                <w:noProof/>
              </w:rPr>
              <w:t>Number of the safekeeping account where the securities were hold by the financial intermediary sending the payment</w:t>
            </w:r>
          </w:p>
        </w:tc>
      </w:tr>
      <w:tr w:rsidR="00B176EB" w14:paraId="58DBE508" w14:textId="77777777" w:rsidTr="000263EA">
        <w:tc>
          <w:tcPr>
            <w:tcW w:w="10031" w:type="dxa"/>
            <w:gridSpan w:val="2"/>
            <w:vAlign w:val="center"/>
          </w:tcPr>
          <w:p w14:paraId="18A04DF8" w14:textId="77777777" w:rsidR="00B176EB" w:rsidRPr="00F46330" w:rsidRDefault="00B176EB" w:rsidP="000263EA">
            <w:pPr>
              <w:spacing w:before="0" w:after="200" w:line="276" w:lineRule="auto"/>
              <w:jc w:val="center"/>
              <w:rPr>
                <w:b/>
                <w:bCs/>
                <w:noProof/>
              </w:rPr>
            </w:pPr>
            <w:r w:rsidRPr="2AFD91C6">
              <w:rPr>
                <w:b/>
                <w:bCs/>
                <w:noProof/>
              </w:rPr>
              <w:t>D. Information regarding the dividend or interest payment</w:t>
            </w:r>
          </w:p>
        </w:tc>
      </w:tr>
      <w:tr w:rsidR="00B176EB" w14:paraId="00F8F397" w14:textId="77777777" w:rsidTr="000263EA">
        <w:tc>
          <w:tcPr>
            <w:tcW w:w="4644" w:type="dxa"/>
          </w:tcPr>
          <w:p w14:paraId="06EE37C1" w14:textId="77777777" w:rsidR="00B176EB" w:rsidRDefault="00B176EB" w:rsidP="000263EA">
            <w:pPr>
              <w:spacing w:before="0" w:after="200" w:line="276" w:lineRule="auto"/>
              <w:jc w:val="left"/>
              <w:rPr>
                <w:noProof/>
              </w:rPr>
            </w:pPr>
            <w:r>
              <w:rPr>
                <w:noProof/>
              </w:rPr>
              <w:t xml:space="preserve">Issuer </w:t>
            </w:r>
          </w:p>
        </w:tc>
        <w:tc>
          <w:tcPr>
            <w:tcW w:w="5387" w:type="dxa"/>
          </w:tcPr>
          <w:p w14:paraId="7BDDA467" w14:textId="77777777" w:rsidR="00B176EB" w:rsidRDefault="00B176EB" w:rsidP="000263EA">
            <w:pPr>
              <w:spacing w:before="0" w:after="200" w:line="276" w:lineRule="auto"/>
              <w:jc w:val="left"/>
              <w:rPr>
                <w:noProof/>
              </w:rPr>
            </w:pPr>
            <w:r>
              <w:rPr>
                <w:noProof/>
              </w:rPr>
              <w:t>Name, LEI or TIN or EUID, official address</w:t>
            </w:r>
          </w:p>
        </w:tc>
      </w:tr>
      <w:tr w:rsidR="00B176EB" w14:paraId="0266EFAC" w14:textId="77777777" w:rsidTr="000263EA">
        <w:tc>
          <w:tcPr>
            <w:tcW w:w="4644" w:type="dxa"/>
          </w:tcPr>
          <w:p w14:paraId="69A5982F" w14:textId="77777777" w:rsidR="00B176EB" w:rsidRDefault="00B176EB" w:rsidP="000263EA">
            <w:pPr>
              <w:spacing w:before="0" w:after="200" w:line="276" w:lineRule="auto"/>
              <w:jc w:val="left"/>
              <w:rPr>
                <w:noProof/>
              </w:rPr>
            </w:pPr>
            <w:r>
              <w:rPr>
                <w:noProof/>
              </w:rPr>
              <w:t>ISIN number</w:t>
            </w:r>
          </w:p>
        </w:tc>
        <w:tc>
          <w:tcPr>
            <w:tcW w:w="5387" w:type="dxa"/>
          </w:tcPr>
          <w:p w14:paraId="10CC22FD" w14:textId="77777777" w:rsidR="00B176EB" w:rsidRDefault="00B176EB" w:rsidP="000263EA">
            <w:pPr>
              <w:spacing w:before="0" w:after="200" w:line="276" w:lineRule="auto"/>
              <w:jc w:val="left"/>
              <w:rPr>
                <w:noProof/>
              </w:rPr>
            </w:pPr>
            <w:r>
              <w:rPr>
                <w:noProof/>
              </w:rPr>
              <w:t>Identification of the issuer and the security</w:t>
            </w:r>
          </w:p>
        </w:tc>
      </w:tr>
      <w:tr w:rsidR="00B176EB" w14:paraId="0A5A3AA8" w14:textId="77777777" w:rsidTr="000263EA">
        <w:tc>
          <w:tcPr>
            <w:tcW w:w="4644" w:type="dxa"/>
          </w:tcPr>
          <w:p w14:paraId="42054FF5" w14:textId="77777777" w:rsidR="00B176EB" w:rsidRDefault="00B176EB" w:rsidP="000263EA">
            <w:pPr>
              <w:spacing w:before="0" w:after="200" w:line="276" w:lineRule="auto"/>
              <w:jc w:val="left"/>
              <w:rPr>
                <w:noProof/>
              </w:rPr>
            </w:pPr>
            <w:r>
              <w:rPr>
                <w:noProof/>
              </w:rPr>
              <w:t>Security type</w:t>
            </w:r>
          </w:p>
        </w:tc>
        <w:tc>
          <w:tcPr>
            <w:tcW w:w="5387" w:type="dxa"/>
          </w:tcPr>
          <w:p w14:paraId="60D945DE" w14:textId="77777777" w:rsidR="00B176EB" w:rsidRDefault="00B176EB" w:rsidP="000263EA">
            <w:pPr>
              <w:spacing w:before="0" w:after="200" w:line="276" w:lineRule="auto"/>
              <w:jc w:val="left"/>
              <w:rPr>
                <w:noProof/>
              </w:rPr>
            </w:pPr>
            <w:r>
              <w:rPr>
                <w:noProof/>
              </w:rPr>
              <w:t>Cash dividends, dividends-in-kind, mixed in-kind and cash dividends and interest</w:t>
            </w:r>
          </w:p>
        </w:tc>
      </w:tr>
      <w:tr w:rsidR="00B176EB" w14:paraId="6A7B7F40" w14:textId="77777777" w:rsidTr="000263EA">
        <w:tc>
          <w:tcPr>
            <w:tcW w:w="4644" w:type="dxa"/>
          </w:tcPr>
          <w:p w14:paraId="4288ECD0" w14:textId="77777777" w:rsidR="00B176EB" w:rsidRDefault="00B176EB" w:rsidP="000263EA">
            <w:pPr>
              <w:spacing w:before="0" w:after="200" w:line="276" w:lineRule="auto"/>
              <w:jc w:val="left"/>
              <w:rPr>
                <w:noProof/>
              </w:rPr>
            </w:pPr>
            <w:r>
              <w:rPr>
                <w:noProof/>
              </w:rPr>
              <w:t>COAF (Official Corporate Action Event Identifier)</w:t>
            </w:r>
          </w:p>
        </w:tc>
        <w:tc>
          <w:tcPr>
            <w:tcW w:w="5387" w:type="dxa"/>
          </w:tcPr>
          <w:p w14:paraId="19F1C0BB" w14:textId="77777777" w:rsidR="00B176EB" w:rsidRDefault="00B176EB" w:rsidP="000263EA">
            <w:pPr>
              <w:spacing w:before="0" w:after="200" w:line="276" w:lineRule="auto"/>
              <w:jc w:val="left"/>
              <w:rPr>
                <w:noProof/>
              </w:rPr>
            </w:pPr>
            <w:r>
              <w:rPr>
                <w:noProof/>
              </w:rPr>
              <w:t>Identification of the event (dividend/interest distribution)</w:t>
            </w:r>
          </w:p>
        </w:tc>
      </w:tr>
      <w:tr w:rsidR="00B176EB" w14:paraId="603C1277" w14:textId="77777777" w:rsidTr="000263EA">
        <w:tc>
          <w:tcPr>
            <w:tcW w:w="4644" w:type="dxa"/>
          </w:tcPr>
          <w:p w14:paraId="1ECDB8BB" w14:textId="77777777" w:rsidR="00B176EB" w:rsidRDefault="00B176EB" w:rsidP="000263EA">
            <w:pPr>
              <w:spacing w:before="0" w:after="200" w:line="276" w:lineRule="auto"/>
              <w:jc w:val="left"/>
              <w:rPr>
                <w:noProof/>
              </w:rPr>
            </w:pPr>
            <w:r>
              <w:rPr>
                <w:noProof/>
              </w:rPr>
              <w:t>Relevant dates</w:t>
            </w:r>
          </w:p>
        </w:tc>
        <w:tc>
          <w:tcPr>
            <w:tcW w:w="5387" w:type="dxa"/>
          </w:tcPr>
          <w:p w14:paraId="5534A8C9" w14:textId="77777777" w:rsidR="00B176EB" w:rsidRDefault="00B176EB" w:rsidP="000263EA">
            <w:pPr>
              <w:spacing w:before="0" w:after="200" w:line="276" w:lineRule="auto"/>
              <w:jc w:val="left"/>
              <w:rPr>
                <w:noProof/>
              </w:rPr>
            </w:pPr>
            <w:r>
              <w:rPr>
                <w:noProof/>
              </w:rPr>
              <w:t xml:space="preserve">Ex-dividend date, record date, settlement date (if done or a mark in case not yet produced), payment date, coupon date </w:t>
            </w:r>
          </w:p>
        </w:tc>
      </w:tr>
      <w:tr w:rsidR="00B176EB" w14:paraId="2466BF8D" w14:textId="77777777" w:rsidTr="000263EA">
        <w:tc>
          <w:tcPr>
            <w:tcW w:w="4644" w:type="dxa"/>
          </w:tcPr>
          <w:p w14:paraId="7B9D4B33" w14:textId="77777777" w:rsidR="00B176EB" w:rsidRDefault="00B176EB" w:rsidP="000263EA">
            <w:pPr>
              <w:spacing w:before="0" w:after="200" w:line="276" w:lineRule="auto"/>
              <w:jc w:val="left"/>
              <w:rPr>
                <w:noProof/>
              </w:rPr>
            </w:pPr>
            <w:r>
              <w:rPr>
                <w:noProof/>
              </w:rPr>
              <w:t>Amount of dividend or interest received/to be received and currency</w:t>
            </w:r>
          </w:p>
        </w:tc>
        <w:tc>
          <w:tcPr>
            <w:tcW w:w="5387" w:type="dxa"/>
          </w:tcPr>
          <w:p w14:paraId="5C5AD9EA" w14:textId="77777777" w:rsidR="00B176EB" w:rsidRDefault="00B176EB" w:rsidP="000263EA">
            <w:pPr>
              <w:spacing w:before="0" w:after="200" w:line="276" w:lineRule="auto"/>
              <w:jc w:val="left"/>
              <w:rPr>
                <w:noProof/>
              </w:rPr>
            </w:pPr>
            <w:r>
              <w:rPr>
                <w:noProof/>
              </w:rPr>
              <w:t>Gross amount, net amount, Withholding Tax rate applied or to be applied, amount withheld</w:t>
            </w:r>
          </w:p>
        </w:tc>
      </w:tr>
      <w:tr w:rsidR="00B176EB" w14:paraId="10BA4208" w14:textId="77777777" w:rsidTr="000263EA">
        <w:tc>
          <w:tcPr>
            <w:tcW w:w="4644" w:type="dxa"/>
          </w:tcPr>
          <w:p w14:paraId="14CF3A06" w14:textId="77777777" w:rsidR="00B176EB" w:rsidRDefault="00B176EB" w:rsidP="000263EA">
            <w:pPr>
              <w:spacing w:before="0" w:after="200" w:line="276" w:lineRule="auto"/>
              <w:jc w:val="left"/>
              <w:rPr>
                <w:noProof/>
              </w:rPr>
            </w:pPr>
            <w:r>
              <w:rPr>
                <w:noProof/>
              </w:rPr>
              <w:t>Cash account number</w:t>
            </w:r>
          </w:p>
        </w:tc>
        <w:tc>
          <w:tcPr>
            <w:tcW w:w="5387" w:type="dxa"/>
          </w:tcPr>
          <w:p w14:paraId="6CF1BBB0" w14:textId="77777777" w:rsidR="00B176EB" w:rsidRDefault="00B176EB" w:rsidP="000263EA">
            <w:pPr>
              <w:spacing w:before="0" w:after="200" w:line="276" w:lineRule="auto"/>
              <w:jc w:val="left"/>
              <w:rPr>
                <w:noProof/>
              </w:rPr>
            </w:pPr>
            <w:r>
              <w:rPr>
                <w:noProof/>
              </w:rPr>
              <w:t>Account number to which the payment has been transferred</w:t>
            </w:r>
          </w:p>
        </w:tc>
      </w:tr>
      <w:tr w:rsidR="00B176EB" w14:paraId="6243E146" w14:textId="77777777" w:rsidTr="000263EA">
        <w:tc>
          <w:tcPr>
            <w:tcW w:w="10031" w:type="dxa"/>
            <w:gridSpan w:val="2"/>
            <w:vAlign w:val="center"/>
          </w:tcPr>
          <w:p w14:paraId="5483E062" w14:textId="77777777" w:rsidR="00B176EB" w:rsidRPr="000F0BED" w:rsidRDefault="00B176EB" w:rsidP="000263EA">
            <w:pPr>
              <w:spacing w:before="0" w:after="200" w:line="276" w:lineRule="auto"/>
              <w:jc w:val="center"/>
              <w:rPr>
                <w:b/>
                <w:bCs/>
                <w:noProof/>
              </w:rPr>
            </w:pPr>
            <w:r w:rsidRPr="2AFD91C6">
              <w:rPr>
                <w:b/>
                <w:bCs/>
                <w:noProof/>
              </w:rPr>
              <w:t>E. Information regarding application of anti-abuse measures</w:t>
            </w:r>
          </w:p>
        </w:tc>
      </w:tr>
      <w:tr w:rsidR="00B176EB" w14:paraId="58D6A7BB" w14:textId="77777777" w:rsidTr="000263EA">
        <w:tc>
          <w:tcPr>
            <w:tcW w:w="4644" w:type="dxa"/>
          </w:tcPr>
          <w:p w14:paraId="612613D1" w14:textId="77777777" w:rsidR="00B176EB" w:rsidRDefault="00B176EB" w:rsidP="000263EA">
            <w:pPr>
              <w:spacing w:before="0" w:after="200" w:line="276" w:lineRule="auto"/>
              <w:jc w:val="left"/>
              <w:rPr>
                <w:noProof/>
              </w:rPr>
            </w:pPr>
            <w:r>
              <w:rPr>
                <w:noProof/>
              </w:rPr>
              <w:t>Information about holding period of underlying publicly traded shares</w:t>
            </w:r>
          </w:p>
        </w:tc>
        <w:tc>
          <w:tcPr>
            <w:tcW w:w="5387" w:type="dxa"/>
          </w:tcPr>
          <w:p w14:paraId="0CD32D85" w14:textId="77777777" w:rsidR="00B176EB" w:rsidRDefault="00B176EB" w:rsidP="000263EA">
            <w:pPr>
              <w:spacing w:before="0" w:after="200" w:line="276" w:lineRule="auto"/>
              <w:jc w:val="left"/>
              <w:rPr>
                <w:noProof/>
              </w:rPr>
            </w:pPr>
            <w:r>
              <w:rPr>
                <w:noProof/>
              </w:rPr>
              <w:t>Two boxes: 1) for underlying shares acquired 2 days or more before the ex-dividend date – number of shares</w:t>
            </w:r>
            <w:r>
              <w:rPr>
                <w:noProof/>
              </w:rPr>
              <w:br/>
              <w:t>2) for underlying shares acquired within a period of 2 days before the ex-dividend date – number of shares</w:t>
            </w:r>
          </w:p>
          <w:p w14:paraId="1C85ECB5" w14:textId="77777777" w:rsidR="00B176EB" w:rsidRDefault="00B176EB" w:rsidP="000263EA">
            <w:pPr>
              <w:spacing w:before="0" w:after="200" w:line="276" w:lineRule="auto"/>
              <w:jc w:val="left"/>
              <w:rPr>
                <w:noProof/>
              </w:rPr>
            </w:pPr>
            <w:r>
              <w:rPr>
                <w:noProof/>
              </w:rPr>
              <w:lastRenderedPageBreak/>
              <w:t xml:space="preserve">(First In First Out ‘FIFO’ to be used in case of regular trading positions) </w:t>
            </w:r>
          </w:p>
        </w:tc>
      </w:tr>
      <w:tr w:rsidR="00B176EB" w14:paraId="7F731486" w14:textId="77777777" w:rsidTr="000263EA">
        <w:tc>
          <w:tcPr>
            <w:tcW w:w="4644" w:type="dxa"/>
          </w:tcPr>
          <w:p w14:paraId="3DED91D1" w14:textId="77777777" w:rsidR="00B176EB" w:rsidRDefault="00B176EB" w:rsidP="000263EA">
            <w:pPr>
              <w:spacing w:before="0" w:after="200" w:line="276" w:lineRule="auto"/>
              <w:jc w:val="left"/>
              <w:rPr>
                <w:noProof/>
              </w:rPr>
            </w:pPr>
            <w:r>
              <w:rPr>
                <w:noProof/>
              </w:rPr>
              <w:lastRenderedPageBreak/>
              <w:t>Information about financial arrangement</w:t>
            </w:r>
          </w:p>
        </w:tc>
        <w:tc>
          <w:tcPr>
            <w:tcW w:w="5387" w:type="dxa"/>
          </w:tcPr>
          <w:p w14:paraId="5DFFD372" w14:textId="77777777" w:rsidR="00B176EB" w:rsidRDefault="00B176EB" w:rsidP="000263EA">
            <w:pPr>
              <w:pStyle w:val="NormalWeb"/>
              <w:rPr>
                <w:noProof/>
              </w:rPr>
            </w:pPr>
            <w:r>
              <w:rPr>
                <w:noProof/>
              </w:rPr>
              <w:t>Indicate evidence of any financial arrangement involving underlying publicly traded shares that has not been settled, expired or otherwise terminated at the ex-dividend date</w:t>
            </w:r>
          </w:p>
          <w:p w14:paraId="3A5F920F" w14:textId="77777777" w:rsidR="00B176EB" w:rsidRPr="004339E5" w:rsidRDefault="00B176EB" w:rsidP="000263EA">
            <w:pPr>
              <w:pStyle w:val="NormalWeb"/>
              <w:rPr>
                <w:noProof/>
              </w:rPr>
            </w:pPr>
          </w:p>
        </w:tc>
      </w:tr>
    </w:tbl>
    <w:p w14:paraId="236C3303" w14:textId="77777777" w:rsidR="00375C92" w:rsidRDefault="00375C92" w:rsidP="00791C8B">
      <w:pPr>
        <w:spacing w:before="0" w:after="200" w:line="276" w:lineRule="auto"/>
        <w:jc w:val="left"/>
        <w:rPr>
          <w:noProof/>
          <w:highlight w:val="green"/>
        </w:rPr>
      </w:pPr>
    </w:p>
    <w:p w14:paraId="2810A4A1" w14:textId="77777777" w:rsidR="00625A83" w:rsidRDefault="00625A83" w:rsidP="00791C8B">
      <w:pPr>
        <w:spacing w:before="0" w:after="200" w:line="276" w:lineRule="auto"/>
        <w:jc w:val="left"/>
        <w:rPr>
          <w:noProof/>
          <w:highlight w:val="green"/>
        </w:rPr>
      </w:pPr>
    </w:p>
    <w:p w14:paraId="4B24E39E" w14:textId="5568945D" w:rsidR="00791C8B" w:rsidRDefault="00261C29" w:rsidP="00791C8B">
      <w:pPr>
        <w:spacing w:before="0" w:after="200" w:line="276" w:lineRule="auto"/>
        <w:jc w:val="left"/>
        <w:rPr>
          <w:noProof/>
        </w:rPr>
      </w:pPr>
      <w:r>
        <w:rPr>
          <w:noProof/>
          <w:highlight w:val="green"/>
        </w:rPr>
        <w:t>COMP G</w:t>
      </w:r>
      <w:r w:rsidR="00791C8B" w:rsidRPr="00791C8B">
        <w:rPr>
          <w:noProof/>
          <w:highlight w:val="green"/>
        </w:rPr>
        <w:t xml:space="preserve"> - Recitals</w:t>
      </w:r>
    </w:p>
    <w:p w14:paraId="1CF4B487" w14:textId="10EC42AE" w:rsidR="00625A83" w:rsidRDefault="003A6769" w:rsidP="00625A83">
      <w:pPr>
        <w:pStyle w:val="NormalBold"/>
        <w:pBdr>
          <w:top w:val="single" w:sz="4" w:space="1" w:color="auto"/>
          <w:left w:val="single" w:sz="4" w:space="4" w:color="auto"/>
          <w:bottom w:val="single" w:sz="4" w:space="0" w:color="auto"/>
          <w:right w:val="single" w:sz="4" w:space="4" w:color="auto"/>
          <w:between w:val="single" w:sz="4" w:space="1" w:color="auto"/>
          <w:bar w:val="single" w:sz="4" w:color="auto"/>
        </w:pBdr>
        <w:rPr>
          <w:b w:val="0"/>
          <w:i/>
        </w:rPr>
      </w:pPr>
      <w:r>
        <w:rPr>
          <w:b w:val="0"/>
          <w:i/>
        </w:rPr>
        <w:t>AMs covered: 1, 2, 3, 4, 19,</w:t>
      </w:r>
      <w:r w:rsidR="00375C92">
        <w:rPr>
          <w:b w:val="0"/>
          <w:i/>
        </w:rPr>
        <w:t xml:space="preserve"> 39, 45 EPP, 20, 44 S&amp;D, 25 Greens, 29, 32, 37, 40, 42 Renew,</w:t>
      </w:r>
      <w:r w:rsidR="00375C92">
        <w:rPr>
          <w:b w:val="0"/>
          <w:i/>
        </w:rPr>
        <w:br/>
      </w:r>
      <w:r w:rsidR="00375C92" w:rsidRPr="0043710D">
        <w:rPr>
          <w:b w:val="0"/>
          <w:i/>
        </w:rPr>
        <w:t>AM</w:t>
      </w:r>
      <w:r w:rsidR="00375C92">
        <w:rPr>
          <w:b w:val="0"/>
          <w:i/>
        </w:rPr>
        <w:t xml:space="preserve">s that fall if COMP is adopted: </w:t>
      </w:r>
      <w:r>
        <w:rPr>
          <w:b w:val="0"/>
          <w:i/>
        </w:rPr>
        <w:t xml:space="preserve">36 EPP, </w:t>
      </w:r>
      <w:r w:rsidR="00375C92">
        <w:rPr>
          <w:b w:val="0"/>
          <w:i/>
        </w:rPr>
        <w:t>21 S&amp;D, 35 Renew, 23, 26, 27 Greens, 18, 22, 24, 28, 30, 31, 33, 34, 38, 41, 43 The Left</w:t>
      </w:r>
    </w:p>
    <w:p w14:paraId="52872994" w14:textId="77777777" w:rsidR="00625A83" w:rsidRDefault="00625A83" w:rsidP="00791C8B">
      <w:pPr>
        <w:pStyle w:val="ManualConsidrant"/>
      </w:pPr>
    </w:p>
    <w:p w14:paraId="6F4D91B9" w14:textId="22C74AA4" w:rsidR="00625A83" w:rsidRPr="00625A83" w:rsidRDefault="00625A83" w:rsidP="00791C8B">
      <w:pPr>
        <w:pStyle w:val="ManualConsidrant"/>
      </w:pPr>
      <w:bookmarkStart w:id="10" w:name="_GoBack"/>
      <w:bookmarkEnd w:id="10"/>
      <w:r w:rsidRPr="00625A83">
        <w:t>(1)</w:t>
      </w:r>
      <w:r w:rsidRPr="00625A83">
        <w:tab/>
        <w:t xml:space="preserve">Ensuring fair taxation in the internal market and the good functioning of the Capital Markets Union (CMU) are political priorities for the European Union (EU). In this context, removing obstacles to cross-border investment, while combating tax fraud and abuse is critical. Such obstacles exist, for example, through inefficient and disproportionately burdensome procedures to relieve excess taxes withheld at source on dividend or interest income paid on shares or bonds traded publicly to non-resident investors. </w:t>
      </w:r>
      <w:r w:rsidRPr="00625A83">
        <w:rPr>
          <w:b/>
          <w:i/>
        </w:rPr>
        <w:t>Such obstacles pose a particular challenge for retail investors (EPP 19).</w:t>
      </w:r>
      <w:r w:rsidRPr="00625A83">
        <w:t xml:space="preserve"> In addition, the status quo has proven inadequate in preventing recurring risks of tax fraud, evasion and avoidance, as shown by the recent Cum/Ex and Cum/Cum scandals. This proposal seeks to make EU withholding tax procedures more efficient, while strengthening them against the risk of tax fraud and abuse. It draws on relevant previous actions at EU and international level, such as the 2009 Commission Recommendation on the simplification of withholding tax procedures and the OECD’s Treaty Relief and Compliance Enhancement (TRACE) initiative .</w:t>
      </w:r>
    </w:p>
    <w:p w14:paraId="79F292D9" w14:textId="0848E388" w:rsidR="002A7234" w:rsidRPr="00D62231" w:rsidRDefault="00625A83" w:rsidP="00791C8B">
      <w:pPr>
        <w:pStyle w:val="ManualConsidrant"/>
        <w:rPr>
          <w:noProof/>
        </w:rPr>
      </w:pPr>
      <w:r>
        <w:rPr>
          <w:b/>
          <w:i/>
        </w:rPr>
        <w:t xml:space="preserve"> </w:t>
      </w:r>
      <w:r w:rsidR="002A7234">
        <w:rPr>
          <w:b/>
          <w:i/>
        </w:rPr>
        <w:t>(1 a)</w:t>
      </w:r>
      <w:r w:rsidR="002A7234">
        <w:tab/>
      </w:r>
      <w:r w:rsidR="002A7234">
        <w:rPr>
          <w:b/>
          <w:i/>
        </w:rPr>
        <w:t xml:space="preserve">The cum-ex and cum-cum schemes both involve reclaims of dividend withholding tax to which the beneficiaries </w:t>
      </w:r>
      <w:r w:rsidR="002A7234" w:rsidRPr="00D62231">
        <w:rPr>
          <w:b/>
          <w:i/>
        </w:rPr>
        <w:t>were not entitled and are estimated to have imposed a total cost to taxpayers of about EUR 55 billion</w:t>
      </w:r>
      <w:r w:rsidR="00931E51" w:rsidRPr="00D62231">
        <w:rPr>
          <w:rStyle w:val="FootnoteReference"/>
          <w:b/>
          <w:i/>
        </w:rPr>
        <w:footnoteReference w:id="15"/>
      </w:r>
      <w:r w:rsidR="002A7234" w:rsidRPr="00D62231">
        <w:rPr>
          <w:b/>
          <w:i/>
        </w:rPr>
        <w:t xml:space="preserve"> between 2001 and 2012 in the 11 Member States concerned; revelations in 2021 concerning these practices estimate that they have cost 10 governments</w:t>
      </w:r>
      <w:r w:rsidR="002A7234" w:rsidRPr="00D62231">
        <w:rPr>
          <w:b/>
          <w:i/>
          <w:u w:val="single"/>
        </w:rPr>
        <w:t xml:space="preserve">, including those of </w:t>
      </w:r>
      <w:r w:rsidR="00967800" w:rsidRPr="00D62231">
        <w:rPr>
          <w:b/>
          <w:i/>
          <w:u w:val="single"/>
        </w:rPr>
        <w:t xml:space="preserve">some </w:t>
      </w:r>
      <w:r w:rsidR="002A7234" w:rsidRPr="00D62231">
        <w:rPr>
          <w:b/>
          <w:i/>
          <w:u w:val="single"/>
        </w:rPr>
        <w:t>EU Member States,</w:t>
      </w:r>
      <w:r w:rsidR="002A7234" w:rsidRPr="00D62231">
        <w:rPr>
          <w:b/>
          <w:i/>
        </w:rPr>
        <w:t xml:space="preserve"> a total of €141bn</w:t>
      </w:r>
      <w:r w:rsidR="00931E51" w:rsidRPr="00D62231">
        <w:rPr>
          <w:rStyle w:val="FootnoteReference"/>
          <w:b/>
          <w:i/>
        </w:rPr>
        <w:footnoteReference w:id="16"/>
      </w:r>
      <w:r w:rsidR="002A7234" w:rsidRPr="00D62231">
        <w:rPr>
          <w:b/>
          <w:i/>
        </w:rPr>
        <w:t>;</w:t>
      </w:r>
      <w:r w:rsidR="00961313" w:rsidRPr="00D62231">
        <w:rPr>
          <w:b/>
          <w:i/>
        </w:rPr>
        <w:t xml:space="preserve"> (S&amp;D 20)</w:t>
      </w:r>
      <w:r w:rsidR="00931E51" w:rsidRPr="00D62231">
        <w:rPr>
          <w:b/>
          <w:i/>
        </w:rPr>
        <w:t xml:space="preserve"> </w:t>
      </w:r>
      <w:r w:rsidR="006674BF" w:rsidRPr="00D62231">
        <w:rPr>
          <w:b/>
          <w:i/>
        </w:rPr>
        <w:t>t</w:t>
      </w:r>
      <w:r w:rsidR="00931E51" w:rsidRPr="00D62231">
        <w:rPr>
          <w:b/>
          <w:i/>
        </w:rPr>
        <w:t xml:space="preserve">he cum-ex and cum-cum schemes have been ruled illegal and should </w:t>
      </w:r>
      <w:r w:rsidR="00931E51" w:rsidRPr="00D62231">
        <w:rPr>
          <w:b/>
          <w:i/>
          <w:u w:val="single"/>
        </w:rPr>
        <w:t xml:space="preserve">be prosecuted according to national laws. </w:t>
      </w:r>
      <w:r w:rsidR="00931E51" w:rsidRPr="00D62231">
        <w:rPr>
          <w:b/>
          <w:i/>
        </w:rPr>
        <w:t>(Green 25)</w:t>
      </w:r>
    </w:p>
    <w:p w14:paraId="69F8933A" w14:textId="77777777" w:rsidR="00791C8B" w:rsidRDefault="00791C8B" w:rsidP="00791C8B">
      <w:pPr>
        <w:pStyle w:val="ManualConsidrant"/>
        <w:rPr>
          <w:b/>
          <w:i/>
        </w:rPr>
      </w:pPr>
      <w:r w:rsidRPr="00282923">
        <w:rPr>
          <w:noProof/>
        </w:rPr>
        <w:t>(</w:t>
      </w:r>
      <w:r>
        <w:rPr>
          <w:noProof/>
        </w:rPr>
        <w:t>2</w:t>
      </w:r>
      <w:r w:rsidRPr="00282923">
        <w:rPr>
          <w:noProof/>
        </w:rPr>
        <w:t>)</w:t>
      </w:r>
      <w:r w:rsidRPr="00282923">
        <w:rPr>
          <w:noProof/>
        </w:rPr>
        <w:tab/>
      </w:r>
      <w:r>
        <w:rPr>
          <w:noProof/>
        </w:rPr>
        <w:t>In order to strengthen</w:t>
      </w:r>
      <w:r w:rsidRPr="009D2901">
        <w:rPr>
          <w:noProof/>
        </w:rPr>
        <w:t xml:space="preserve"> Member States’ </w:t>
      </w:r>
      <w:r>
        <w:rPr>
          <w:noProof/>
        </w:rPr>
        <w:t xml:space="preserve">ability to prevent and fight </w:t>
      </w:r>
      <w:r w:rsidRPr="009D2901">
        <w:rPr>
          <w:noProof/>
        </w:rPr>
        <w:t xml:space="preserve">against </w:t>
      </w:r>
      <w:r>
        <w:rPr>
          <w:noProof/>
        </w:rPr>
        <w:t>potential</w:t>
      </w:r>
      <w:r w:rsidRPr="009D2901">
        <w:rPr>
          <w:noProof/>
        </w:rPr>
        <w:t xml:space="preserve"> </w:t>
      </w:r>
      <w:r>
        <w:rPr>
          <w:noProof/>
        </w:rPr>
        <w:t>fraud or</w:t>
      </w:r>
      <w:r w:rsidRPr="009D2901">
        <w:rPr>
          <w:noProof/>
        </w:rPr>
        <w:t xml:space="preserve"> </w:t>
      </w:r>
      <w:r>
        <w:rPr>
          <w:noProof/>
        </w:rPr>
        <w:t>abuse, which is currently hampered by fragmentation and a general lack of reliable and timely information on investors, i</w:t>
      </w:r>
      <w:r w:rsidRPr="009D2901">
        <w:rPr>
          <w:noProof/>
        </w:rPr>
        <w:t xml:space="preserve">t is </w:t>
      </w:r>
      <w:r>
        <w:rPr>
          <w:noProof/>
        </w:rPr>
        <w:t xml:space="preserve">therefore </w:t>
      </w:r>
      <w:r w:rsidRPr="009D2901">
        <w:rPr>
          <w:noProof/>
        </w:rPr>
        <w:t xml:space="preserve">necessary to </w:t>
      </w:r>
      <w:r>
        <w:rPr>
          <w:noProof/>
        </w:rPr>
        <w:t>put in place</w:t>
      </w:r>
      <w:r w:rsidRPr="009D2901">
        <w:rPr>
          <w:noProof/>
        </w:rPr>
        <w:t xml:space="preserve"> a common framework</w:t>
      </w:r>
      <w:r>
        <w:rPr>
          <w:noProof/>
        </w:rPr>
        <w:t xml:space="preserve"> for the relief of excess withholding taxes on cross-border investments i</w:t>
      </w:r>
      <w:r w:rsidRPr="00C301CD">
        <w:rPr>
          <w:noProof/>
        </w:rPr>
        <w:t>n securities</w:t>
      </w:r>
      <w:r>
        <w:rPr>
          <w:noProof/>
        </w:rPr>
        <w:t xml:space="preserve"> that is resilient to a risk of tax fraud or abuse. This framework should lead to convergence among the various relief procedures applied in the EU while ensuring </w:t>
      </w:r>
      <w:r>
        <w:rPr>
          <w:noProof/>
        </w:rPr>
        <w:lastRenderedPageBreak/>
        <w:t xml:space="preserve">transparency and certainty on investors’ identity for securities’ issuers, withholding tax agents, financial intermediaries and Member States, as the case may be. To this effect, the framework should rely on automated </w:t>
      </w:r>
      <w:r w:rsidRPr="0054391B">
        <w:rPr>
          <w:noProof/>
        </w:rPr>
        <w:t>procedures, such as the digitalisation of the certificate of tax residence (in terms of procedure and form), which is a pre-requisite for investors to have access to any relief or refund procedures. Such</w:t>
      </w:r>
      <w:r>
        <w:rPr>
          <w:noProof/>
        </w:rPr>
        <w:t xml:space="preserve"> a framework should also be flexible enough to duly take into account the various systems applicable in different Member States while ensuring greater convergence and providing appropriate anti-abuse tools to mitigate risks of tax fraud, evasion and avoidance. </w:t>
      </w:r>
      <w:r w:rsidRPr="00463717">
        <w:rPr>
          <w:b/>
          <w:i/>
        </w:rPr>
        <w:t>For the success of FASTER, it is necessary that Member States equip the tax administrations with tools to deal with refund/relief at source procedures in a secure and timely manner and increase their efforts in providing digitalized, automated and better-coordinated key features. For this purpose, it is also necessary to train the relevant staff supervising the digital tools.</w:t>
      </w:r>
      <w:r>
        <w:rPr>
          <w:b/>
          <w:i/>
        </w:rPr>
        <w:t xml:space="preserve"> (EPP 1)</w:t>
      </w:r>
    </w:p>
    <w:p w14:paraId="0FB789B1" w14:textId="20007505" w:rsidR="00791C8B" w:rsidRDefault="00D62231" w:rsidP="00791C8B">
      <w:pPr>
        <w:pStyle w:val="ManualConsidrant"/>
        <w:rPr>
          <w:noProof/>
        </w:rPr>
      </w:pPr>
      <w:r w:rsidRPr="00282923">
        <w:rPr>
          <w:noProof/>
        </w:rPr>
        <w:t xml:space="preserve"> </w:t>
      </w:r>
      <w:r w:rsidR="00791C8B" w:rsidRPr="00282923">
        <w:rPr>
          <w:noProof/>
        </w:rPr>
        <w:t>(</w:t>
      </w:r>
      <w:r w:rsidR="00791C8B">
        <w:rPr>
          <w:noProof/>
        </w:rPr>
        <w:t>3</w:t>
      </w:r>
      <w:r w:rsidR="00791C8B" w:rsidRPr="00282923">
        <w:rPr>
          <w:noProof/>
        </w:rPr>
        <w:t>)</w:t>
      </w:r>
      <w:r w:rsidR="00791C8B" w:rsidRPr="00282923">
        <w:rPr>
          <w:noProof/>
        </w:rPr>
        <w:tab/>
      </w:r>
      <w:r w:rsidR="00791C8B">
        <w:rPr>
          <w:noProof/>
        </w:rPr>
        <w:t>To ensure a proportionate approach, rules regarding the procedures to relieve excess withholding taxes should be binding only on those Member States that apply withholding tax on dividends at different rates depending on the specific investor’s tax residence. In this case, Member States need to provide relief where a higher rate has been applied in a situation for which a lower rate is applicable. In addition, Member States should have the opportunity to implement similar procedures in relation to interest payments to non-residents</w:t>
      </w:r>
      <w:r w:rsidR="00791C8B" w:rsidRPr="00774EB2">
        <w:rPr>
          <w:noProof/>
        </w:rPr>
        <w:t xml:space="preserve"> </w:t>
      </w:r>
      <w:r w:rsidR="00791C8B">
        <w:rPr>
          <w:noProof/>
        </w:rPr>
        <w:t xml:space="preserve">on publicly traded bonds, to improve the efficiency of the relevant relief procedure and ensure a higher level of taxpayers’ compliance. Member States that do not </w:t>
      </w:r>
      <w:r w:rsidR="00791C8B" w:rsidRPr="00750B08">
        <w:rPr>
          <w:noProof/>
        </w:rPr>
        <w:t>need</w:t>
      </w:r>
      <w:r w:rsidR="00791C8B">
        <w:rPr>
          <w:noProof/>
        </w:rPr>
        <w:t xml:space="preserve"> relief procedures in relation to excess withholding taxes on dividends, and interest, as the case may be, are not concerned by the procedures set out in this Directive and therefore not bound by these rules. Given that investors may be located in any Member State, rules for a common and digital tax residence certificate should apply in all Member States and the same is the case for general and final provisions. </w:t>
      </w:r>
    </w:p>
    <w:p w14:paraId="0F2A0407" w14:textId="77777777" w:rsidR="00791C8B" w:rsidRDefault="00791C8B" w:rsidP="00791C8B">
      <w:pPr>
        <w:pStyle w:val="ManualConsidrant"/>
        <w:rPr>
          <w:noProof/>
        </w:rPr>
      </w:pPr>
      <w:r w:rsidRPr="00282923">
        <w:rPr>
          <w:noProof/>
        </w:rPr>
        <w:t>(</w:t>
      </w:r>
      <w:r>
        <w:rPr>
          <w:noProof/>
        </w:rPr>
        <w:t>4</w:t>
      </w:r>
      <w:r w:rsidRPr="00282923">
        <w:rPr>
          <w:noProof/>
        </w:rPr>
        <w:t>)</w:t>
      </w:r>
      <w:r w:rsidRPr="00282923">
        <w:rPr>
          <w:noProof/>
        </w:rPr>
        <w:tab/>
      </w:r>
      <w:r>
        <w:rPr>
          <w:noProof/>
        </w:rPr>
        <w:t xml:space="preserve">To ensure that all EU taxpayers have access to a common, appropriate and effective proof of their residence for tax purposes, Member States should use automated procedures for the issuance of tax residence certificates in the same recognisable and acceptable digital form and with the same content. To allow for greater efficiency, the certificate </w:t>
      </w:r>
      <w:r w:rsidRPr="00AE424B">
        <w:rPr>
          <w:noProof/>
        </w:rPr>
        <w:t>should</w:t>
      </w:r>
      <w:r>
        <w:rPr>
          <w:noProof/>
        </w:rPr>
        <w:t xml:space="preserve"> be valid at least for the whole year during which it has been issued and recognised by other Member States for that period. </w:t>
      </w:r>
      <w:r w:rsidR="002A7234">
        <w:rPr>
          <w:b/>
          <w:i/>
        </w:rPr>
        <w:t>The eTRC should also contain a reference to applicable double taxation agreements. (Renew 29)</w:t>
      </w:r>
      <w:r w:rsidR="002A7234">
        <w:t xml:space="preserve"> </w:t>
      </w:r>
      <w:r>
        <w:rPr>
          <w:noProof/>
        </w:rPr>
        <w:t xml:space="preserve">Member States can rescind an eTRC issued where the tax administration has proof to the contrary of the tax residence for that year. In order to allow for an efficient identification of EU companies, the certificate should include information on the European </w:t>
      </w:r>
      <w:r w:rsidRPr="007E6835">
        <w:rPr>
          <w:noProof/>
        </w:rPr>
        <w:t xml:space="preserve">Unique Identifier </w:t>
      </w:r>
      <w:r>
        <w:rPr>
          <w:noProof/>
        </w:rPr>
        <w:t xml:space="preserve">(EUID). </w:t>
      </w:r>
    </w:p>
    <w:p w14:paraId="59E92F47" w14:textId="77777777" w:rsidR="00791C8B" w:rsidRDefault="00791C8B" w:rsidP="00791C8B">
      <w:pPr>
        <w:pStyle w:val="ManualConsidrant"/>
        <w:rPr>
          <w:noProof/>
        </w:rPr>
      </w:pPr>
      <w:r w:rsidRPr="00463717">
        <w:rPr>
          <w:b/>
          <w:i/>
        </w:rPr>
        <w:t>(4 a)</w:t>
      </w:r>
      <w:r w:rsidRPr="00463717">
        <w:rPr>
          <w:b/>
          <w:i/>
        </w:rPr>
        <w:tab/>
        <w:t>To ensure the effectiveness of the tax consequences of entities being determined as being shell entities, as foreseen by the Commission’s proposal for a Council directive laying down rules to prevent the misuse of shell entities for tax purposes and amending Directive 2011/16/EU (UNSHELL), it is necessary that the procedures for imposing tax consequences in the UNSHELL directive and the procedures for issuing an electronic tax residency certificate in the present directive are aligned. The Council should therefore clarify the interaction between the tax consequences defined in the UNSHELL directive and the issuing of an electronic tax residency certificate defined in the present FASTER directive.</w:t>
      </w:r>
      <w:r>
        <w:rPr>
          <w:b/>
          <w:i/>
        </w:rPr>
        <w:t xml:space="preserve"> (EPP 2)</w:t>
      </w:r>
    </w:p>
    <w:p w14:paraId="61C7A5AB" w14:textId="77777777" w:rsidR="00791C8B" w:rsidRPr="00D62231" w:rsidRDefault="00791C8B" w:rsidP="00791C8B">
      <w:pPr>
        <w:pStyle w:val="ManualConsidrant"/>
        <w:rPr>
          <w:noProof/>
        </w:rPr>
      </w:pPr>
      <w:r w:rsidRPr="00282923">
        <w:rPr>
          <w:noProof/>
        </w:rPr>
        <w:t>(</w:t>
      </w:r>
      <w:r>
        <w:rPr>
          <w:noProof/>
        </w:rPr>
        <w:t>5</w:t>
      </w:r>
      <w:r w:rsidRPr="00282923">
        <w:rPr>
          <w:noProof/>
        </w:rPr>
        <w:t>)</w:t>
      </w:r>
      <w:r w:rsidRPr="00282923">
        <w:rPr>
          <w:noProof/>
        </w:rPr>
        <w:tab/>
      </w:r>
      <w:r>
        <w:rPr>
          <w:noProof/>
        </w:rPr>
        <w:t xml:space="preserve">To fulfil the objective of more efficient relief of excess withholding tax, common procedures should be implemented that allow to quickly obtain clear and secure information on the identity of the investor especially in the case of large investor bases, </w:t>
      </w:r>
      <w:r>
        <w:rPr>
          <w:noProof/>
        </w:rPr>
        <w:lastRenderedPageBreak/>
        <w:t xml:space="preserve">i.e., in relation to investment to publicly traded securities, where identifying the identity of the individual investors is challenging. Such procedures </w:t>
      </w:r>
      <w:r w:rsidRPr="00AE424B">
        <w:rPr>
          <w:noProof/>
        </w:rPr>
        <w:t>should</w:t>
      </w:r>
      <w:r>
        <w:rPr>
          <w:noProof/>
        </w:rPr>
        <w:t xml:space="preserve"> also, as a second step, allow for the application of the appropriate tax rate at the time of payment (relief at source) or for the quick reimbursement of any excess amount of tax paid. Given that cross-border investments usually involve a payment chain of financial intermediaries, relevant procedures should equally allow for the tracing and identification of the chain of intermediaries and hence of the income flow from the issuer of the security until the final recipient, i.e., the sole investor or registered owner. Relevant Member States, i.e., those applying withholding tax on income from securities and providing relief for excess tax, should therefore establish and maintain a </w:t>
      </w:r>
      <w:r w:rsidRPr="00AF29AA">
        <w:rPr>
          <w:noProof/>
        </w:rPr>
        <w:t>national register</w:t>
      </w:r>
      <w:r>
        <w:rPr>
          <w:noProof/>
        </w:rPr>
        <w:t xml:space="preserve"> of those financial intermediaries that have a significant role in the payment chain, and once registered require them to report information available to them about the dividend or interest payments, if applicable, they handle. The information required should be limited to information that is crucial to reconstruct the payment chain and therefore useful to prevent risk of fraud or abuse, to the extent that such information is available to the reporting intermediary. </w:t>
      </w:r>
      <w:r w:rsidRPr="009C6C29">
        <w:rPr>
          <w:noProof/>
        </w:rPr>
        <w:t xml:space="preserve">Member States that apply withholding tax on interest at varying </w:t>
      </w:r>
      <w:r w:rsidRPr="00D62231">
        <w:rPr>
          <w:noProof/>
        </w:rPr>
        <w:t>rates and need to engage in similar relief procedures may also consider using the established national register, as the case may be.</w:t>
      </w:r>
    </w:p>
    <w:p w14:paraId="432B6C3C" w14:textId="08FCA437" w:rsidR="00791C8B" w:rsidRDefault="00791C8B" w:rsidP="00791C8B">
      <w:pPr>
        <w:pStyle w:val="ManualConsidrant"/>
        <w:rPr>
          <w:noProof/>
        </w:rPr>
      </w:pPr>
      <w:r w:rsidRPr="00D62231">
        <w:rPr>
          <w:noProof/>
        </w:rPr>
        <w:t>(6)</w:t>
      </w:r>
      <w:r w:rsidRPr="00D62231">
        <w:rPr>
          <w:noProof/>
        </w:rPr>
        <w:tab/>
      </w:r>
      <w:r w:rsidR="001A25FB" w:rsidRPr="00D62231">
        <w:rPr>
          <w:b/>
          <w:i/>
          <w:u w:val="single"/>
        </w:rPr>
        <w:t>The ‘cum-ex’ and ‘cum-cum’ - or dividend arbitrage trading schemes - refer to the practice of trading shares in such a way as to conceal the identity of the actual owner and to enable both or multiple parties involved to claim withholding tax refunds on capital gains tax that had only been paid once and whereas these criminal practices involved financial intermediaries</w:t>
      </w:r>
      <w:r w:rsidR="001A25FB" w:rsidRPr="00D62231">
        <w:rPr>
          <w:b/>
          <w:i/>
        </w:rPr>
        <w:t xml:space="preserve"> (S&amp;D 21 based on TAXE3 2018 reports recitals A and H).   </w:t>
      </w:r>
      <w:r w:rsidRPr="00D62231">
        <w:rPr>
          <w:noProof/>
        </w:rPr>
        <w:t>As the financial intermediaries most often engaged in the securities’ payment chains are large institutions as defined in the Capital Requirements Regulation (CRR)</w:t>
      </w:r>
      <w:r w:rsidRPr="00D62231">
        <w:rPr>
          <w:rStyle w:val="FootnoteReference"/>
          <w:noProof/>
        </w:rPr>
        <w:footnoteReference w:id="17"/>
      </w:r>
      <w:r w:rsidRPr="00D62231">
        <w:rPr>
          <w:noProof/>
        </w:rPr>
        <w:t xml:space="preserve"> as well as central securities depositories providing withholding tax agent services, these entities should be obliged to request registration on the national registers of Member States established as above. Other financial intermediaries </w:t>
      </w:r>
      <w:r>
        <w:rPr>
          <w:noProof/>
        </w:rPr>
        <w:t xml:space="preserve">should be allowed to request registration at their discretion. Registration </w:t>
      </w:r>
      <w:r w:rsidRPr="00AE424B">
        <w:rPr>
          <w:noProof/>
        </w:rPr>
        <w:t>should</w:t>
      </w:r>
      <w:r>
        <w:rPr>
          <w:noProof/>
        </w:rPr>
        <w:t xml:space="preserve"> be requested by the financial intermediary itself by submitting an application to the competent authority designated by the Member State, including evidence that the financial intermediary meets certain requirements. The p</w:t>
      </w:r>
      <w:r w:rsidRPr="008864CE">
        <w:rPr>
          <w:noProof/>
        </w:rPr>
        <w:t xml:space="preserve">urpose of the requirements is to verify that the requesting intermediary </w:t>
      </w:r>
      <w:r w:rsidRPr="003160AD">
        <w:rPr>
          <w:rStyle w:val="normaltextrun"/>
          <w:noProof/>
          <w:szCs w:val="24"/>
          <w:shd w:val="clear" w:color="auto" w:fill="FFFFFF"/>
        </w:rPr>
        <w:t>meets the requirements of relevant</w:t>
      </w:r>
      <w:r>
        <w:rPr>
          <w:rStyle w:val="normaltextrun"/>
          <w:noProof/>
          <w:color w:val="D13438"/>
          <w:szCs w:val="24"/>
          <w:shd w:val="clear" w:color="auto" w:fill="FFFFFF"/>
        </w:rPr>
        <w:t xml:space="preserve"> </w:t>
      </w:r>
      <w:r w:rsidRPr="008864CE">
        <w:rPr>
          <w:noProof/>
        </w:rPr>
        <w:t xml:space="preserve">EU regulation and supervised for compliance therewith. </w:t>
      </w:r>
      <w:r w:rsidRPr="003160AD">
        <w:rPr>
          <w:noProof/>
        </w:rPr>
        <w:t xml:space="preserve">Where the financial intermediary is established outside the EU, it is required to be subject to legislation in the third country of its residence that is comparable for the purposes of this Directive and </w:t>
      </w:r>
      <w:r>
        <w:rPr>
          <w:noProof/>
        </w:rPr>
        <w:t xml:space="preserve">the </w:t>
      </w:r>
      <w:r w:rsidRPr="003160AD">
        <w:rPr>
          <w:noProof/>
        </w:rPr>
        <w:t xml:space="preserve">third country </w:t>
      </w:r>
      <w:r>
        <w:rPr>
          <w:noProof/>
        </w:rPr>
        <w:t xml:space="preserve">of residence </w:t>
      </w:r>
      <w:r w:rsidRPr="003160AD">
        <w:rPr>
          <w:noProof/>
        </w:rPr>
        <w:t>is neither on Annex I of the EU list of non-cooperative jurisdictions nor on the EU list of high-risk third countries (anti-money laundering list).</w:t>
      </w:r>
      <w:r>
        <w:rPr>
          <w:noProof/>
        </w:rPr>
        <w:t xml:space="preserve"> </w:t>
      </w:r>
      <w:r w:rsidRPr="00463717">
        <w:t>)</w:t>
      </w:r>
      <w:r w:rsidRPr="00463717">
        <w:rPr>
          <w:b/>
          <w:i/>
        </w:rPr>
        <w:t>. Registration of a third country financial intermediary should be implemented with a minimum of administrative efforts. The Commission should assist Member States to ensure that there is a coordinated understanding regarding comparable legislation in third countries</w:t>
      </w:r>
      <w:r w:rsidRPr="00463717">
        <w:t>.</w:t>
      </w:r>
      <w:r>
        <w:t xml:space="preserve"> </w:t>
      </w:r>
      <w:r>
        <w:rPr>
          <w:b/>
          <w:i/>
        </w:rPr>
        <w:t>(EPP 3)</w:t>
      </w:r>
      <w:r w:rsidRPr="003160AD">
        <w:rPr>
          <w:noProof/>
        </w:rPr>
        <w:t xml:space="preserve"> Compliance of a third count</w:t>
      </w:r>
      <w:r>
        <w:rPr>
          <w:noProof/>
        </w:rPr>
        <w:t>r</w:t>
      </w:r>
      <w:r w:rsidRPr="003160AD">
        <w:rPr>
          <w:noProof/>
        </w:rPr>
        <w:t>y financial intermediary with the relevant EU requirements relates solely for the purposes set out in this Directive and has no impact on the exercising or application of any other rights and obligations under other EU legislation</w:t>
      </w:r>
      <w:r>
        <w:rPr>
          <w:noProof/>
        </w:rPr>
        <w:t xml:space="preserve">. </w:t>
      </w:r>
      <w:r w:rsidRPr="008864CE">
        <w:rPr>
          <w:noProof/>
        </w:rPr>
        <w:t>Once registered, financial intermediaries should be considered “</w:t>
      </w:r>
      <w:r>
        <w:rPr>
          <w:noProof/>
        </w:rPr>
        <w:t>c</w:t>
      </w:r>
      <w:r w:rsidRPr="008864CE">
        <w:rPr>
          <w:noProof/>
        </w:rPr>
        <w:t xml:space="preserve">ertified </w:t>
      </w:r>
      <w:r>
        <w:rPr>
          <w:noProof/>
        </w:rPr>
        <w:t>f</w:t>
      </w:r>
      <w:r w:rsidRPr="008864CE">
        <w:rPr>
          <w:noProof/>
        </w:rPr>
        <w:t xml:space="preserve">inancial </w:t>
      </w:r>
      <w:r>
        <w:rPr>
          <w:noProof/>
        </w:rPr>
        <w:t>i</w:t>
      </w:r>
      <w:r w:rsidRPr="008864CE">
        <w:rPr>
          <w:noProof/>
        </w:rPr>
        <w:t>ntermediaries</w:t>
      </w:r>
      <w:r>
        <w:rPr>
          <w:noProof/>
        </w:rPr>
        <w:t xml:space="preserve">” in the respective Member State and be subject to the relevant reporting and notification obligations under this Directive while granted the right to </w:t>
      </w:r>
      <w:r>
        <w:rPr>
          <w:noProof/>
        </w:rPr>
        <w:lastRenderedPageBreak/>
        <w:t xml:space="preserve">request application of the relief procedures set out in this Directive. The Member States that maintain a national register should also take action to remove therefrom any certified financial intermediary that so requests or no longer meets the respective requirements. Furthermore, these Member States can decide to provide for the removal from their national register of certified financial intermediaries </w:t>
      </w:r>
      <w:r w:rsidR="002A7234">
        <w:rPr>
          <w:b/>
          <w:i/>
        </w:rPr>
        <w:t>or to deny them access to relief system if they are (Renew 32)</w:t>
      </w:r>
      <w:r w:rsidR="002A7234">
        <w:t xml:space="preserve"> </w:t>
      </w:r>
      <w:r>
        <w:rPr>
          <w:noProof/>
        </w:rPr>
        <w:t xml:space="preserve">found to have violated their obligations a number of times. Where a </w:t>
      </w:r>
      <w:r w:rsidRPr="00C373DB">
        <w:rPr>
          <w:noProof/>
        </w:rPr>
        <w:t>Member Stat</w:t>
      </w:r>
      <w:r>
        <w:rPr>
          <w:noProof/>
        </w:rPr>
        <w:t>e takes such action of removal</w:t>
      </w:r>
      <w:r w:rsidR="002A7234">
        <w:rPr>
          <w:noProof/>
        </w:rPr>
        <w:t xml:space="preserve"> </w:t>
      </w:r>
      <w:r w:rsidR="002A7234">
        <w:rPr>
          <w:b/>
          <w:i/>
          <w:noProof/>
        </w:rPr>
        <w:t xml:space="preserve">or denial </w:t>
      </w:r>
      <w:r w:rsidR="002A7234">
        <w:rPr>
          <w:b/>
          <w:i/>
        </w:rPr>
        <w:t>(Renew 32)</w:t>
      </w:r>
      <w:r>
        <w:rPr>
          <w:noProof/>
        </w:rPr>
        <w:t xml:space="preserve">, it </w:t>
      </w:r>
      <w:r w:rsidRPr="002C62A8">
        <w:rPr>
          <w:noProof/>
        </w:rPr>
        <w:t>should</w:t>
      </w:r>
      <w:r>
        <w:rPr>
          <w:noProof/>
        </w:rPr>
        <w:t xml:space="preserve"> inform other Member States that maintain a national register accordingly in order to allow them </w:t>
      </w:r>
      <w:r w:rsidRPr="00C373DB">
        <w:rPr>
          <w:noProof/>
        </w:rPr>
        <w:t xml:space="preserve">to assess </w:t>
      </w:r>
      <w:r>
        <w:rPr>
          <w:noProof/>
        </w:rPr>
        <w:t>the removal of the same certified financial intermediary from their own national register</w:t>
      </w:r>
      <w:r w:rsidRPr="00C373DB">
        <w:rPr>
          <w:noProof/>
        </w:rPr>
        <w:t>.</w:t>
      </w:r>
      <w:r>
        <w:rPr>
          <w:noProof/>
        </w:rPr>
        <w:t xml:space="preserve"> National legislation of the Member States concerned applies to the rights and obligations of parties concerned, including for appeal, in relation to any decision taken by a Member State in connection with registration and removal from their national register.</w:t>
      </w:r>
    </w:p>
    <w:p w14:paraId="73E40ED6" w14:textId="77777777" w:rsidR="00791C8B" w:rsidRDefault="00791C8B" w:rsidP="00791C8B">
      <w:pPr>
        <w:pStyle w:val="ManualConsidrant"/>
        <w:rPr>
          <w:noProof/>
        </w:rPr>
      </w:pPr>
      <w:r w:rsidRPr="00282923">
        <w:rPr>
          <w:noProof/>
        </w:rPr>
        <w:t>(</w:t>
      </w:r>
      <w:r>
        <w:rPr>
          <w:noProof/>
        </w:rPr>
        <w:t>7</w:t>
      </w:r>
      <w:r w:rsidRPr="00282923">
        <w:rPr>
          <w:noProof/>
        </w:rPr>
        <w:t>)</w:t>
      </w:r>
      <w:r w:rsidRPr="00282923">
        <w:rPr>
          <w:noProof/>
        </w:rPr>
        <w:tab/>
      </w:r>
      <w:r>
        <w:rPr>
          <w:noProof/>
        </w:rPr>
        <w:t xml:space="preserve">To ensure greater transparency on the identity and the circumstances of the investor receiving a dividend or interest payment as well as on the flow of the payment from the issuer, certified financial intermediaries should report to the authority designated to maintain the national register, within specific timelines, a relevant set of information. This information should also be reported to the withholding tax agent, where relief at source is possible. This data </w:t>
      </w:r>
      <w:r w:rsidRPr="002C62A8">
        <w:rPr>
          <w:noProof/>
        </w:rPr>
        <w:t>should</w:t>
      </w:r>
      <w:r>
        <w:rPr>
          <w:noProof/>
        </w:rPr>
        <w:t xml:space="preserve"> include information on the eligibility of the investor concerned, but should be limited to the information that is available to the reporting certified financial intermediary. Financial intermediaries that are not under an obligation to register as certified financial intermediaries and have also opted not to register as such, do not have reporting obligations under this Directive. Nevertheless, information on the payments handled by such intermediaries that are not certified financial intermediaries remains relevant and may be considered necessary by a Member State, at its discretion, to ensure transparency and to allow for the proper reconstruction of the payment chain before applying the relief procedures set out in this Directive (relief at source or quick refund). Therefore, Member States may request that certified financial intermediaries obtain this information from such intermediaries and report accordingly in order for the relief procedures laid out in this Directive to be applicable</w:t>
      </w:r>
      <w:r w:rsidDel="60B61A60">
        <w:rPr>
          <w:noProof/>
        </w:rPr>
        <w:t>.</w:t>
      </w:r>
    </w:p>
    <w:p w14:paraId="0F1A2E2B" w14:textId="4DE6179B" w:rsidR="00791C8B" w:rsidRDefault="00791C8B" w:rsidP="00791C8B">
      <w:pPr>
        <w:pStyle w:val="ManualConsidrant"/>
        <w:rPr>
          <w:noProof/>
        </w:rPr>
      </w:pPr>
      <w:r w:rsidRPr="00282923">
        <w:rPr>
          <w:noProof/>
        </w:rPr>
        <w:t>(</w:t>
      </w:r>
      <w:r>
        <w:rPr>
          <w:noProof/>
        </w:rPr>
        <w:t>8</w:t>
      </w:r>
      <w:r w:rsidRPr="00282923">
        <w:rPr>
          <w:noProof/>
        </w:rPr>
        <w:t>)</w:t>
      </w:r>
      <w:r w:rsidRPr="00282923">
        <w:rPr>
          <w:noProof/>
        </w:rPr>
        <w:tab/>
      </w:r>
      <w:r>
        <w:rPr>
          <w:noProof/>
        </w:rPr>
        <w:t xml:space="preserve">In order to render the Capital Markets Union more effective and competitive, procedures for relief of excess withholding taxes on securities’ income should be facilitated and accelerated, where adequate information has been provided by relevant certified financial intermediaries, including on the identity of the investor. The relevant certified financial intermediaries consist of all the certified financial intermediaries in the payment chain between the investor and the issuer of the securities, which might be required to also provide information on payments effected by non-certified financial intermediaries in the chain, as per the policy choice of each Member State. Taking into account the different approaches in Member States, two types of procedures are envisaged: (i) relief at source by direct application of the appropriate tax rate at the time of withholding and (ii) quick refund within a </w:t>
      </w:r>
      <w:r w:rsidRPr="002A7234">
        <w:rPr>
          <w:noProof/>
        </w:rPr>
        <w:t>maximum of</w:t>
      </w:r>
      <w:r w:rsidR="00961436">
        <w:rPr>
          <w:noProof/>
        </w:rPr>
        <w:t xml:space="preserve"> 50</w:t>
      </w:r>
      <w:r w:rsidRPr="002A7234">
        <w:rPr>
          <w:noProof/>
        </w:rPr>
        <w:t xml:space="preserve"> days of the date of payment of the dividend or, as the case may be, of the date when the bond issuer must pay interest to the bond holder (coupon date)</w:t>
      </w:r>
      <w:r>
        <w:rPr>
          <w:noProof/>
        </w:rPr>
        <w:t xml:space="preserve">. Member States should be free to introduce any of the two or a combination of both procedures, as they deem appropriate while ensuring that at least one is available for all investors, where the requirements of this Directive have been met. To ensure the proper and timely implementation of these procedures by the Member States concerned, it is appropriate to apply interest on late refunds of excess withholding taxes that are covered by this Directive and meet the conditions to benefit from these procedures. Where relevant requirements are not met, or the investor concerned so desires, Member States should apply their existing standard </w:t>
      </w:r>
      <w:r>
        <w:rPr>
          <w:noProof/>
        </w:rPr>
        <w:lastRenderedPageBreak/>
        <w:t>refund procedures to relieve excess withholding taxes. In any case, registered owners, in particular retail investors, and their authorized representatives, should preserve the right to reclaim excess withholding tax paid in a Member State where they provide proof of meeting the conditions set out in national law.</w:t>
      </w:r>
      <w:r w:rsidR="002A7234" w:rsidRPr="002A7234">
        <w:rPr>
          <w:b/>
          <w:i/>
        </w:rPr>
        <w:t xml:space="preserve"> </w:t>
      </w:r>
      <w:r w:rsidR="002A7234">
        <w:rPr>
          <w:b/>
          <w:i/>
        </w:rPr>
        <w:t>Member States may reject a refund request when any verification procedure or tax audit</w:t>
      </w:r>
      <w:r w:rsidR="009D3962" w:rsidRPr="003A07C4">
        <w:rPr>
          <w:b/>
          <w:i/>
          <w:u w:val="single"/>
        </w:rPr>
        <w:t>, based on risk assessment criteria and according to the national legislation,</w:t>
      </w:r>
      <w:r w:rsidR="002A7234">
        <w:rPr>
          <w:b/>
          <w:i/>
        </w:rPr>
        <w:t xml:space="preserve"> is initiated. (Renew 37)</w:t>
      </w:r>
    </w:p>
    <w:p w14:paraId="7A69D600" w14:textId="6C0DE33C" w:rsidR="00791C8B" w:rsidRDefault="00791C8B" w:rsidP="00791C8B">
      <w:pPr>
        <w:pStyle w:val="ManualConsidrant"/>
        <w:rPr>
          <w:noProof/>
        </w:rPr>
      </w:pPr>
      <w:r w:rsidRPr="00282923">
        <w:rPr>
          <w:noProof/>
        </w:rPr>
        <w:t>(</w:t>
      </w:r>
      <w:r>
        <w:rPr>
          <w:noProof/>
        </w:rPr>
        <w:t>9</w:t>
      </w:r>
      <w:r w:rsidRPr="00282923">
        <w:rPr>
          <w:noProof/>
        </w:rPr>
        <w:t>)</w:t>
      </w:r>
      <w:r w:rsidRPr="00282923">
        <w:rPr>
          <w:noProof/>
        </w:rPr>
        <w:tab/>
      </w:r>
      <w:r>
        <w:rPr>
          <w:noProof/>
        </w:rPr>
        <w:t>In order to safeguard the systems for relief of excess withholding taxes, Member States maintaining a national register should also require certified financial intermediaries to verify the eligibility of investors that wish to claim a relief. In particular, certified financial intermediaries should collect the tax residence certificate of the relevant investor, and a declaration that such investor is the beneficial owner of the payment according to the legislation of the source Member State. They should also verify the applicable withholding tax rate based on the investor’s specific circumstances and indicate if they are aware of any financial arrangement</w:t>
      </w:r>
      <w:r w:rsidRPr="562C66DC">
        <w:rPr>
          <w:rFonts w:eastAsia="Times New Roman"/>
          <w:noProof/>
          <w:color w:val="000000" w:themeColor="text1"/>
        </w:rPr>
        <w:t xml:space="preserve"> involving </w:t>
      </w:r>
      <w:r w:rsidRPr="00D0792E">
        <w:rPr>
          <w:noProof/>
        </w:rPr>
        <w:t xml:space="preserve">the underlying securities that has not been settled, expired or otherwise terminated at the ex-dividend date. </w:t>
      </w:r>
      <w:r w:rsidR="00961313">
        <w:rPr>
          <w:b/>
          <w:i/>
        </w:rPr>
        <w:t>The due diligence requirements could be applied on an annual basis (Renew 40)</w:t>
      </w:r>
      <w:r w:rsidR="00961313">
        <w:t>.</w:t>
      </w:r>
      <w:r>
        <w:rPr>
          <w:noProof/>
        </w:rPr>
        <w:t xml:space="preserve">Certified financial intermediaries should be held liable for tax revenue losses that have been incurred due to the inadequate fulfilment of these obligations, to the extent that national law of the Member State where the loss incurred so provides. In order to ensure proportionality of the burden and liability imposed on certified financial intermediaries, reduced verification obligations should apply to all relief procedures, where the risk of abuse is low and in particular where the total amount of the dividend paid to the investor for a shareholding in a company is lower than EUR </w:t>
      </w:r>
      <w:r w:rsidRPr="002A7234">
        <w:rPr>
          <w:b/>
          <w:i/>
          <w:strike/>
          <w:noProof/>
        </w:rPr>
        <w:t>1000</w:t>
      </w:r>
      <w:r w:rsidR="002A7234">
        <w:rPr>
          <w:b/>
          <w:i/>
          <w:noProof/>
        </w:rPr>
        <w:t xml:space="preserve"> </w:t>
      </w:r>
      <w:r w:rsidR="004B1880" w:rsidRPr="00D62231">
        <w:rPr>
          <w:b/>
          <w:i/>
          <w:noProof/>
          <w:u w:val="single"/>
        </w:rPr>
        <w:t>1500</w:t>
      </w:r>
      <w:r w:rsidR="002A7234" w:rsidRPr="00D62231">
        <w:rPr>
          <w:b/>
          <w:i/>
          <w:noProof/>
        </w:rPr>
        <w:t xml:space="preserve"> </w:t>
      </w:r>
      <w:r w:rsidR="002A7234">
        <w:rPr>
          <w:b/>
          <w:i/>
          <w:noProof/>
        </w:rPr>
        <w:t>(EPP 39)</w:t>
      </w:r>
      <w:r>
        <w:rPr>
          <w:noProof/>
        </w:rPr>
        <w:t>. Should such abuse be proven otherwise, Member States can however apply consequences under national law, including denying the systems of relief provided in this Directive, but they cannot hold certified financial intermediaries liable for absence of verification.</w:t>
      </w:r>
    </w:p>
    <w:p w14:paraId="4943A88C" w14:textId="77777777" w:rsidR="00791C8B" w:rsidRDefault="00791C8B" w:rsidP="00791C8B">
      <w:pPr>
        <w:pStyle w:val="ManualConsidrant"/>
        <w:rPr>
          <w:noProof/>
        </w:rPr>
      </w:pPr>
      <w:r w:rsidRPr="00282923">
        <w:rPr>
          <w:noProof/>
        </w:rPr>
        <w:t>(1</w:t>
      </w:r>
      <w:r>
        <w:rPr>
          <w:noProof/>
        </w:rPr>
        <w:t>0</w:t>
      </w:r>
      <w:r w:rsidRPr="00282923">
        <w:rPr>
          <w:noProof/>
        </w:rPr>
        <w:t>)</w:t>
      </w:r>
      <w:r w:rsidRPr="00282923">
        <w:rPr>
          <w:noProof/>
        </w:rPr>
        <w:tab/>
      </w:r>
      <w:r>
        <w:rPr>
          <w:noProof/>
        </w:rPr>
        <w:t>It is acknowledged that financial arrangements can be used to shift the economic ownership, in whole or in part, of a security and/or relevant investment risks. It has also been evidenced that such arrangements have been used in dividend arbitrage and dividend stripping schemes such as the Cum/Ex and Cum/Cum schemes, with the sole purpose to obtain refunds when there was no entitlement thereto or to increase the amount of refund to which an investor was actually entitled. Information on such financial arrangements, which encompass ordinarily legitimate securities transactions such as repurchase agreements or securities lending, and also derivative products such as single stock futures, is therefore necessary for tax administrations to fight tax abuse. To ensure a proportionate approach, reporting on this information should only be required by those certified financial intermediaries that, due to their position within the chain, may have been directly involved in the relevant financial arrangement. Such reporting is not required in the case of bonds and interest payments.</w:t>
      </w:r>
    </w:p>
    <w:p w14:paraId="43A5E816" w14:textId="77777777" w:rsidR="00791C8B" w:rsidRDefault="00791C8B" w:rsidP="00791C8B">
      <w:pPr>
        <w:pStyle w:val="ManualConsidrant"/>
        <w:rPr>
          <w:noProof/>
        </w:rPr>
      </w:pPr>
      <w:r w:rsidRPr="00282923">
        <w:rPr>
          <w:noProof/>
        </w:rPr>
        <w:t>(1</w:t>
      </w:r>
      <w:r>
        <w:rPr>
          <w:noProof/>
        </w:rPr>
        <w:t>1</w:t>
      </w:r>
      <w:r w:rsidRPr="00282923">
        <w:rPr>
          <w:noProof/>
        </w:rPr>
        <w:t>)</w:t>
      </w:r>
      <w:r w:rsidRPr="00282923">
        <w:rPr>
          <w:noProof/>
        </w:rPr>
        <w:tab/>
      </w:r>
      <w:r>
        <w:rPr>
          <w:noProof/>
        </w:rPr>
        <w:t xml:space="preserve">In order to ensure effectiveness, Member States should establish penalties regime for violations of the national rules transposing this Directive. Such penalties should be effective, proportionate and dissuasive. </w:t>
      </w:r>
    </w:p>
    <w:p w14:paraId="4EC57D0B" w14:textId="77777777" w:rsidR="00791C8B" w:rsidRDefault="00791C8B" w:rsidP="00791C8B">
      <w:pPr>
        <w:pStyle w:val="ManualConsidrant"/>
        <w:rPr>
          <w:noProof/>
        </w:rPr>
      </w:pPr>
      <w:r w:rsidRPr="00282923">
        <w:rPr>
          <w:noProof/>
        </w:rPr>
        <w:t>(1</w:t>
      </w:r>
      <w:r>
        <w:rPr>
          <w:noProof/>
        </w:rPr>
        <w:t>2</w:t>
      </w:r>
      <w:r w:rsidRPr="00282923">
        <w:rPr>
          <w:noProof/>
        </w:rPr>
        <w:t>)</w:t>
      </w:r>
      <w:r w:rsidRPr="00282923">
        <w:rPr>
          <w:noProof/>
        </w:rPr>
        <w:tab/>
      </w:r>
      <w:r>
        <w:rPr>
          <w:noProof/>
        </w:rPr>
        <w:t xml:space="preserve">The proper implementation and enforcement of the proposed rules in each Member State concerned is critical for the promotion of the CMU as a whole as well as for the protection of the tax base of Member States and should therefore be monitored by the Commission. Member States should therefore communicate to the Commission on a regular basis, </w:t>
      </w:r>
      <w:r w:rsidR="002864FB">
        <w:rPr>
          <w:b/>
          <w:i/>
        </w:rPr>
        <w:t>statistical (Renew 42)</w:t>
      </w:r>
      <w:r w:rsidR="002864FB">
        <w:t xml:space="preserve"> </w:t>
      </w:r>
      <w:r>
        <w:rPr>
          <w:noProof/>
        </w:rPr>
        <w:t>information</w:t>
      </w:r>
      <w:r w:rsidRPr="002759D2">
        <w:rPr>
          <w:noProof/>
        </w:rPr>
        <w:t xml:space="preserve"> </w:t>
      </w:r>
      <w:r>
        <w:rPr>
          <w:noProof/>
        </w:rPr>
        <w:t xml:space="preserve">as specified by means of implementing act, on the implementation and enforcement in their territory of national measures </w:t>
      </w:r>
      <w:r>
        <w:rPr>
          <w:noProof/>
        </w:rPr>
        <w:lastRenderedPageBreak/>
        <w:t>adopted pursuant to this Directive. The Commission should prepare an evaluation on the basis of the information provided by Member States and other available data</w:t>
      </w:r>
      <w:r w:rsidRPr="00CC1348">
        <w:rPr>
          <w:noProof/>
        </w:rPr>
        <w:t xml:space="preserve"> </w:t>
      </w:r>
      <w:r>
        <w:rPr>
          <w:noProof/>
        </w:rPr>
        <w:t xml:space="preserve">to evaluate the effectiveness of the proposed new rules. In this context the Commission should consider the need to update the rules introduced by virtue of this Directive.  </w:t>
      </w:r>
    </w:p>
    <w:p w14:paraId="095ADBCD" w14:textId="77777777" w:rsidR="00791C8B" w:rsidRDefault="00791C8B" w:rsidP="00791C8B">
      <w:pPr>
        <w:pStyle w:val="ManualConsidrant"/>
        <w:rPr>
          <w:noProof/>
        </w:rPr>
      </w:pPr>
      <w:r w:rsidRPr="00282923">
        <w:rPr>
          <w:noProof/>
        </w:rPr>
        <w:t>(1</w:t>
      </w:r>
      <w:r>
        <w:rPr>
          <w:noProof/>
        </w:rPr>
        <w:t>3</w:t>
      </w:r>
      <w:r w:rsidRPr="00282923">
        <w:rPr>
          <w:noProof/>
        </w:rPr>
        <w:t>)</w:t>
      </w:r>
      <w:r w:rsidRPr="00282923">
        <w:rPr>
          <w:noProof/>
        </w:rPr>
        <w:tab/>
      </w:r>
      <w:r>
        <w:rPr>
          <w:noProof/>
        </w:rPr>
        <w:t>In order to ensure uniform conditions for the implementation of this Directive, in particular for (i) the digital tax residence certificate, (ii) the reporting of financial intermediaries and (iii) the request for relief under this Directive, implementing powers should be conferred on the Commission to adopt standard forms with a limited number of components, including the linguistic arrangements. Those powers should be exercised in accordance with Regulation (EU) No 182/2011 of the European Parliament and of the Council</w:t>
      </w:r>
      <w:r w:rsidRPr="00F26004">
        <w:rPr>
          <w:rStyle w:val="FootnoteReference"/>
          <w:noProof/>
        </w:rPr>
        <w:footnoteReference w:id="18"/>
      </w:r>
      <w:r>
        <w:rPr>
          <w:noProof/>
        </w:rPr>
        <w:t xml:space="preserve">.  </w:t>
      </w:r>
    </w:p>
    <w:p w14:paraId="7DAF01EA" w14:textId="76451CB4" w:rsidR="00791C8B" w:rsidRDefault="00791C8B" w:rsidP="00791C8B">
      <w:pPr>
        <w:pStyle w:val="ManualConsidrant"/>
        <w:rPr>
          <w:noProof/>
        </w:rPr>
      </w:pPr>
      <w:r w:rsidRPr="00282923">
        <w:rPr>
          <w:noProof/>
        </w:rPr>
        <w:t>(1</w:t>
      </w:r>
      <w:r>
        <w:rPr>
          <w:noProof/>
        </w:rPr>
        <w:t>4</w:t>
      </w:r>
      <w:r w:rsidRPr="00282923">
        <w:rPr>
          <w:noProof/>
        </w:rPr>
        <w:t>)</w:t>
      </w:r>
      <w:r w:rsidRPr="00282923">
        <w:rPr>
          <w:noProof/>
        </w:rPr>
        <w:tab/>
      </w:r>
      <w:r>
        <w:rPr>
          <w:noProof/>
        </w:rPr>
        <w:t>Any processing of personal data carried out within the framework of this Directive should comply with Regulation (EU) 2016/679 of the European Parliament and of the Council</w:t>
      </w:r>
      <w:r w:rsidRPr="00F26004">
        <w:rPr>
          <w:rStyle w:val="FootnoteReference"/>
          <w:noProof/>
        </w:rPr>
        <w:footnoteReference w:id="19"/>
      </w:r>
      <w:r>
        <w:rPr>
          <w:noProof/>
        </w:rPr>
        <w:t xml:space="preserve">. Financial intermediaries and Member States may process personal data under this Directive solely with the objective of serving a general public interest, namely for the purposes of combating tax fraud, tax evasion and tax avoidance, safeguarding tax revenues and promoting fair taxation, which strengthen opportunities for social, political and economic inclusion in Member States. </w:t>
      </w:r>
      <w:r w:rsidR="002864FB">
        <w:rPr>
          <w:b/>
          <w:i/>
        </w:rPr>
        <w:t>Only entities participating in the WHT relief procedures under this Directive will have access to this data. Only the minimal amount of personal information required to identify underreporting, non-reporting, tax fraud, or abuse would be sent. Lastly, personal information will only be retained for as long as required for this purpose. (S&amp;D 44)</w:t>
      </w:r>
      <w:r w:rsidR="002864FB">
        <w:t xml:space="preserve"> </w:t>
      </w:r>
      <w:r>
        <w:rPr>
          <w:noProof/>
        </w:rPr>
        <w:t xml:space="preserve">To allow the effective pursuit of this objective, it is necessary to restrict certain rights of individuals provided by the aforementioned </w:t>
      </w:r>
      <w:r w:rsidRPr="00463717">
        <w:t xml:space="preserve">Regulation, </w:t>
      </w:r>
      <w:r w:rsidRPr="00463717">
        <w:rPr>
          <w:b/>
          <w:i/>
        </w:rPr>
        <w:t>insofar as the exercise of such rights may jeopardize investigations</w:t>
      </w:r>
      <w:r>
        <w:rPr>
          <w:b/>
          <w:i/>
        </w:rPr>
        <w:t xml:space="preserve"> (EPP 4)</w:t>
      </w:r>
      <w:r w:rsidRPr="00463717">
        <w:rPr>
          <w:b/>
          <w:i/>
        </w:rPr>
        <w:t>,</w:t>
      </w:r>
      <w:r w:rsidRPr="00463717">
        <w:t xml:space="preserve"> especially the right to be notified on the processing of their data and the scope thereof as well as the right to consent on certain types of data processing. </w:t>
      </w:r>
      <w:r w:rsidRPr="00463717">
        <w:rPr>
          <w:b/>
          <w:i/>
        </w:rPr>
        <w:t xml:space="preserve">As soon as the circumstances that justified the restriction no longer apply, the rights of the data subjects </w:t>
      </w:r>
      <w:r w:rsidR="00DA039B" w:rsidRPr="00D62231">
        <w:rPr>
          <w:b/>
          <w:i/>
          <w:u w:val="single"/>
        </w:rPr>
        <w:t>should</w:t>
      </w:r>
      <w:r w:rsidRPr="00D62231">
        <w:rPr>
          <w:b/>
          <w:i/>
        </w:rPr>
        <w:t xml:space="preserve"> </w:t>
      </w:r>
      <w:r w:rsidRPr="00463717">
        <w:rPr>
          <w:b/>
          <w:i/>
        </w:rPr>
        <w:t>be reinstated.</w:t>
      </w:r>
      <w:r>
        <w:rPr>
          <w:b/>
          <w:i/>
        </w:rPr>
        <w:t xml:space="preserve"> (EPP 4</w:t>
      </w:r>
      <w:r w:rsidR="002864FB">
        <w:rPr>
          <w:b/>
          <w:i/>
        </w:rPr>
        <w:t>, S&amp;D 44</w:t>
      </w:r>
      <w:r>
        <w:rPr>
          <w:b/>
          <w:i/>
        </w:rPr>
        <w:t>)</w:t>
      </w:r>
      <w:r>
        <w:rPr>
          <w:noProof/>
        </w:rPr>
        <w:t xml:space="preserve">  </w:t>
      </w:r>
    </w:p>
    <w:p w14:paraId="3DE961EC" w14:textId="77777777" w:rsidR="002864FB" w:rsidRDefault="00791C8B" w:rsidP="002864FB">
      <w:pPr>
        <w:pStyle w:val="ManualConsidrant"/>
        <w:rPr>
          <w:noProof/>
        </w:rPr>
      </w:pPr>
      <w:r w:rsidRPr="00282923">
        <w:rPr>
          <w:noProof/>
        </w:rPr>
        <w:t>(1</w:t>
      </w:r>
      <w:r>
        <w:rPr>
          <w:noProof/>
        </w:rPr>
        <w:t>5</w:t>
      </w:r>
      <w:r w:rsidRPr="00282923">
        <w:rPr>
          <w:noProof/>
        </w:rPr>
        <w:t>)</w:t>
      </w:r>
      <w:r w:rsidRPr="00282923">
        <w:rPr>
          <w:noProof/>
        </w:rPr>
        <w:tab/>
      </w:r>
      <w:r>
        <w:rPr>
          <w:noProof/>
        </w:rPr>
        <w:t>Since the objective of this Directive cannot sufficiently be achieved by the Member States but can rather, by reason of the cross-border nature of the transactions concerned and the need to reduce compliance costs in the internal market as a whole,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w:t>
      </w:r>
      <w:r w:rsidR="002864FB">
        <w:rPr>
          <w:noProof/>
        </w:rPr>
        <w:t xml:space="preserve">der to achieve that objective. </w:t>
      </w:r>
    </w:p>
    <w:p w14:paraId="3D5E7493" w14:textId="77777777" w:rsidR="00791C8B" w:rsidRDefault="00791C8B" w:rsidP="002864FB">
      <w:pPr>
        <w:pStyle w:val="ManualConsidrant"/>
        <w:rPr>
          <w:noProof/>
        </w:rPr>
      </w:pPr>
      <w:r>
        <w:rPr>
          <w:noProof/>
        </w:rPr>
        <w:t xml:space="preserve">(16) </w:t>
      </w:r>
      <w:r>
        <w:rPr>
          <w:noProof/>
        </w:rPr>
        <w:tab/>
        <w:t>The European Data Protection Supervisor was consulted in accordance with Article 42 of Regulation (EU) 2018/1725 of the European Parliament and of the Council</w:t>
      </w:r>
      <w:r w:rsidRPr="00F26004">
        <w:rPr>
          <w:rStyle w:val="FootnoteReference"/>
          <w:noProof/>
        </w:rPr>
        <w:footnoteReference w:id="20"/>
      </w:r>
      <w:r>
        <w:rPr>
          <w:noProof/>
        </w:rPr>
        <w:t xml:space="preserve">. </w:t>
      </w:r>
    </w:p>
    <w:p w14:paraId="6BAAFD12" w14:textId="77777777" w:rsidR="002864FB" w:rsidRDefault="002864FB" w:rsidP="002864FB">
      <w:pPr>
        <w:pStyle w:val="ManualConsidrant"/>
        <w:rPr>
          <w:noProof/>
        </w:rPr>
      </w:pPr>
      <w:r>
        <w:rPr>
          <w:b/>
          <w:i/>
        </w:rPr>
        <w:lastRenderedPageBreak/>
        <w:t>(16 a)</w:t>
      </w:r>
      <w:r>
        <w:tab/>
      </w:r>
      <w:r>
        <w:rPr>
          <w:b/>
          <w:i/>
        </w:rPr>
        <w:t>This Directive should be reviewed regularly with the aim of further facilitating witholding tax relief for retail investors. (EPP 45)</w:t>
      </w:r>
    </w:p>
    <w:p w14:paraId="19BB9B4B" w14:textId="77777777" w:rsidR="00791C8B" w:rsidRDefault="00791C8B" w:rsidP="00791C8B">
      <w:pPr>
        <w:spacing w:before="0" w:after="200" w:line="276" w:lineRule="auto"/>
        <w:jc w:val="left"/>
        <w:rPr>
          <w:noProof/>
        </w:rPr>
      </w:pPr>
    </w:p>
    <w:p w14:paraId="5F3B7F94" w14:textId="77777777" w:rsidR="001956AF" w:rsidRPr="001956AF" w:rsidRDefault="001956AF" w:rsidP="006E6DDA">
      <w:pPr>
        <w:rPr>
          <w:noProof/>
        </w:rPr>
      </w:pPr>
    </w:p>
    <w:sectPr w:rsidR="001956AF" w:rsidRPr="001956AF" w:rsidSect="00B018F6">
      <w:headerReference w:type="default" r:id="rId13"/>
      <w:footerReference w:type="default" r:id="rId14"/>
      <w:headerReference w:type="first" r:id="rId15"/>
      <w:footerReference w:type="first" r:id="rId16"/>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9438" w14:textId="77777777" w:rsidR="004E2BFC" w:rsidRDefault="004E2BFC" w:rsidP="00977CF6">
      <w:pPr>
        <w:spacing w:before="0" w:after="0"/>
      </w:pPr>
      <w:r>
        <w:separator/>
      </w:r>
    </w:p>
  </w:endnote>
  <w:endnote w:type="continuationSeparator" w:id="0">
    <w:p w14:paraId="741CF63A" w14:textId="77777777" w:rsidR="004E2BFC" w:rsidRDefault="004E2BFC" w:rsidP="00977CF6">
      <w:pPr>
        <w:spacing w:before="0" w:after="0"/>
      </w:pPr>
      <w:r>
        <w:continuationSeparator/>
      </w:r>
    </w:p>
  </w:endnote>
  <w:endnote w:type="continuationNotice" w:id="1">
    <w:p w14:paraId="412F3B74" w14:textId="77777777" w:rsidR="004E2BFC" w:rsidRDefault="004E2B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2474" w14:textId="740481A0" w:rsidR="004E2BFC" w:rsidRPr="00B018F6" w:rsidRDefault="004E2BFC" w:rsidP="00B018F6">
    <w:pPr>
      <w:pStyle w:val="Footer"/>
      <w:rPr>
        <w:rFonts w:ascii="Arial" w:hAnsi="Arial" w:cs="Arial"/>
        <w:b/>
        <w:sz w:val="48"/>
      </w:rPr>
    </w:pPr>
    <w:r w:rsidRPr="00B018F6">
      <w:rPr>
        <w:rFonts w:ascii="Arial" w:hAnsi="Arial" w:cs="Arial"/>
        <w:b/>
        <w:sz w:val="48"/>
      </w:rPr>
      <w:t>EN</w:t>
    </w:r>
    <w:r w:rsidRPr="00B018F6">
      <w:rPr>
        <w:rFonts w:ascii="Arial" w:hAnsi="Arial" w:cs="Arial"/>
        <w:b/>
        <w:sz w:val="48"/>
      </w:rPr>
      <w:tab/>
    </w:r>
    <w:r>
      <w:fldChar w:fldCharType="begin"/>
    </w:r>
    <w:r>
      <w:instrText xml:space="preserve"> PAGE  \* MERGEFORMAT </w:instrText>
    </w:r>
    <w:r>
      <w:fldChar w:fldCharType="separate"/>
    </w:r>
    <w:r w:rsidR="00625A83">
      <w:rPr>
        <w:noProof/>
      </w:rPr>
      <w:t>24</w:t>
    </w:r>
    <w:r>
      <w:fldChar w:fldCharType="end"/>
    </w:r>
    <w:r>
      <w:tab/>
    </w:r>
    <w:r w:rsidRPr="00B018F6">
      <w:tab/>
    </w:r>
    <w:r w:rsidRPr="00B018F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A12A" w14:textId="77777777" w:rsidR="004E2BFC" w:rsidRPr="00B018F6" w:rsidRDefault="004E2BFC" w:rsidP="00B0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20C1" w14:textId="77777777" w:rsidR="004E2BFC" w:rsidRDefault="004E2BFC" w:rsidP="00977CF6">
      <w:pPr>
        <w:spacing w:before="0" w:after="0"/>
      </w:pPr>
      <w:r>
        <w:separator/>
      </w:r>
    </w:p>
  </w:footnote>
  <w:footnote w:type="continuationSeparator" w:id="0">
    <w:p w14:paraId="171CB4F1" w14:textId="77777777" w:rsidR="004E2BFC" w:rsidRDefault="004E2BFC" w:rsidP="00977CF6">
      <w:pPr>
        <w:spacing w:before="0" w:after="0"/>
      </w:pPr>
      <w:r>
        <w:continuationSeparator/>
      </w:r>
    </w:p>
  </w:footnote>
  <w:footnote w:type="continuationNotice" w:id="1">
    <w:p w14:paraId="5CC464A5" w14:textId="77777777" w:rsidR="004E2BFC" w:rsidRDefault="004E2BFC">
      <w:pPr>
        <w:spacing w:before="0" w:after="0"/>
      </w:pPr>
    </w:p>
  </w:footnote>
  <w:footnote w:id="2">
    <w:p w14:paraId="0AB87603" w14:textId="77777777" w:rsidR="004E2BFC" w:rsidRPr="00600937" w:rsidRDefault="004E2BFC" w:rsidP="002B5330">
      <w:pPr>
        <w:pStyle w:val="FootnoteText"/>
        <w:ind w:left="0" w:firstLine="0"/>
      </w:pPr>
      <w:r w:rsidRPr="00CF3EFD">
        <w:rPr>
          <w:rStyle w:val="FootnoteReference"/>
        </w:rPr>
        <w:footnoteRef/>
      </w:r>
      <w:r>
        <w:tab/>
      </w:r>
      <w:r w:rsidRPr="00600937">
        <w:t>Directive 2014/65/EU of the European Parliament and of the Council of 15 May 2014 on markets in financial instruments and amending Directive 2002/92/EC and Directive 2011/61/EU (recast) (OJ L 173, 2.6.2014, p. 349)</w:t>
      </w:r>
    </w:p>
  </w:footnote>
  <w:footnote w:id="3">
    <w:p w14:paraId="61940E9B" w14:textId="77777777" w:rsidR="004E2BFC" w:rsidRPr="00A70F42" w:rsidRDefault="004E2BFC">
      <w:pPr>
        <w:pStyle w:val="FootnoteText"/>
        <w:rPr>
          <w:lang w:val="en-IE"/>
        </w:rPr>
      </w:pPr>
      <w:r w:rsidRPr="00E35A44">
        <w:rPr>
          <w:rStyle w:val="FootnoteReference"/>
        </w:rPr>
        <w:footnoteRef/>
      </w:r>
      <w:r>
        <w:tab/>
        <w:t>Regulation (EU) No 909/2014 of the European Parliament and of the Council of 23 July 2014 on improving securities settlement in the European Union and on central securities depositories and amending Directives 98/26/EC and 2014/65/EU and Regulation (EU) No 236/2012 (OJ L 257, 28.8.2014, p. 1–72)</w:t>
      </w:r>
    </w:p>
  </w:footnote>
  <w:footnote w:id="4">
    <w:p w14:paraId="08012F06" w14:textId="77777777" w:rsidR="004E2BFC" w:rsidRPr="00B9581D" w:rsidRDefault="004E2BFC" w:rsidP="002C02BA">
      <w:pPr>
        <w:pStyle w:val="FootnoteText"/>
        <w:rPr>
          <w:lang w:val="en-IE"/>
        </w:rPr>
      </w:pPr>
      <w:r w:rsidRPr="005C6A5D">
        <w:rPr>
          <w:rStyle w:val="FootnoteReference"/>
        </w:rPr>
        <w:footnoteRef/>
      </w:r>
      <w:r>
        <w:tab/>
        <w:t>Regulation (EU) No 575/2013 of the European Parliament and of the Council of 26 June 2013 on prudential requirements for credit institutions and investment firms and amending Regulation (EU) No 648/2012 Text with EEA relevance (OJ L 176, 27.6.2013, p. 1–337)</w:t>
      </w:r>
    </w:p>
  </w:footnote>
  <w:footnote w:id="5">
    <w:p w14:paraId="30759D12" w14:textId="77777777" w:rsidR="004E2BFC" w:rsidRDefault="004E2BFC" w:rsidP="00B9581D">
      <w:pPr>
        <w:pStyle w:val="FootnoteText"/>
      </w:pPr>
      <w:r w:rsidRPr="00F26004">
        <w:rPr>
          <w:rStyle w:val="FootnoteReference"/>
        </w:rPr>
        <w:footnoteRef/>
      </w:r>
      <w:r>
        <w:tab/>
        <w:t>Directive (EU) 2017/1132 of the European Parliament and of the Council of 14 June 2017 relating to certain aspects of company law (codification) (OJ L 169, 30.6.2017, p. 46–127)</w:t>
      </w:r>
    </w:p>
  </w:footnote>
  <w:footnote w:id="6">
    <w:p w14:paraId="2B17959B" w14:textId="77777777" w:rsidR="004E2BFC" w:rsidRPr="00B1654A" w:rsidRDefault="004E2BFC" w:rsidP="00930848">
      <w:pPr>
        <w:pStyle w:val="FootnoteText"/>
        <w:ind w:left="0" w:firstLine="0"/>
        <w:rPr>
          <w:lang w:val="en-IE"/>
        </w:rPr>
      </w:pPr>
      <w:r w:rsidRPr="00CF3EFD">
        <w:rPr>
          <w:rStyle w:val="FootnoteReference"/>
        </w:rPr>
        <w:footnoteRef/>
      </w:r>
      <w:r>
        <w:tab/>
        <w:t>Commission Implementing Regulation (EU) 2018/1212 of 3 September 2018 laying down minimum requirements implementing the provisions of Directive 2007/36/EC of the European Parliament and the Council as regards shareholder identification, the transmission of information and the facilitation of the exercise of shareholder rights (OJ L 223, 4.9.2018, p. 1).</w:t>
      </w:r>
    </w:p>
  </w:footnote>
  <w:footnote w:id="7">
    <w:p w14:paraId="42D31B86" w14:textId="77777777" w:rsidR="004E2BFC" w:rsidRPr="00B9581D" w:rsidRDefault="004E2BFC" w:rsidP="009B5531">
      <w:pPr>
        <w:pStyle w:val="FootnoteText"/>
        <w:rPr>
          <w:lang w:val="en-IE"/>
        </w:rPr>
      </w:pPr>
      <w:r w:rsidRPr="005C6A5D">
        <w:rPr>
          <w:rStyle w:val="FootnoteReference"/>
        </w:rPr>
        <w:footnoteRef/>
      </w:r>
      <w:r>
        <w:tab/>
        <w:t>Guideline (EU) 2019/1265 of the European Central Bank of 10 July 2019 on the euro short-term rate (€STR) (ECB/2019/19) (OJ L 199, 26.7.2019, p. 8–17)</w:t>
      </w:r>
    </w:p>
  </w:footnote>
  <w:footnote w:id="8">
    <w:p w14:paraId="37D3B0B5" w14:textId="77777777" w:rsidR="004E2BFC" w:rsidRPr="00D25AFF" w:rsidRDefault="004E2BFC">
      <w:pPr>
        <w:pStyle w:val="FootnoteText"/>
      </w:pPr>
      <w:r w:rsidRPr="005C6A5D">
        <w:rPr>
          <w:rStyle w:val="FootnoteReference"/>
        </w:rPr>
        <w:footnoteRef/>
      </w:r>
      <w:r>
        <w:tab/>
        <w:t>Council of the European Union, Economic and Financial Affairs Council, 14094/16, Brussels 8 November 2016</w:t>
      </w:r>
    </w:p>
  </w:footnote>
  <w:footnote w:id="9">
    <w:p w14:paraId="4F2EDF1A" w14:textId="77777777" w:rsidR="004E2BFC" w:rsidRPr="00B9581D" w:rsidRDefault="004E2BFC" w:rsidP="005B777E">
      <w:pPr>
        <w:pStyle w:val="FootnoteText"/>
        <w:rPr>
          <w:lang w:val="en-IE"/>
        </w:rPr>
      </w:pPr>
      <w:r w:rsidRPr="005C6A5D">
        <w:rPr>
          <w:rStyle w:val="FootnoteReference"/>
        </w:rPr>
        <w:footnoteRef/>
      </w:r>
      <w:r>
        <w:tab/>
        <w:t>Commission Delegated Regulation (EU) 2016/1675 of 14 July 2016 supplementing Directive (EU) 2015/849 of the European Parliament and of the Council by identifying high-risk third countries with strategic deficiencies (OJ L 254, 20.9.2016, p. 1–4)</w:t>
      </w:r>
    </w:p>
  </w:footnote>
  <w:footnote w:id="10">
    <w:p w14:paraId="5431CFFF" w14:textId="77777777" w:rsidR="004E2BFC" w:rsidRPr="00B9581D" w:rsidRDefault="004E2BFC" w:rsidP="006B3A6D">
      <w:pPr>
        <w:pStyle w:val="FootnoteText"/>
        <w:rPr>
          <w:lang w:val="en-IE"/>
        </w:rPr>
      </w:pPr>
      <w:r w:rsidRPr="005C6A5D">
        <w:rPr>
          <w:rStyle w:val="FootnoteReference"/>
        </w:rPr>
        <w:footnoteRef/>
      </w:r>
      <w:r>
        <w:tab/>
        <w:t>Council Directive 2014/107/EU of 9 December 2014 amending Directive 2011/16/EU as regards mandatory automatic exchange of information in the field of taxation (OJ L 359, 16.12.2014, p. 1–29)</w:t>
      </w:r>
    </w:p>
  </w:footnote>
  <w:footnote w:id="11">
    <w:p w14:paraId="16054487" w14:textId="77777777" w:rsidR="004E2BFC" w:rsidRPr="00B9581D" w:rsidRDefault="004E2BFC" w:rsidP="006B3A6D">
      <w:pPr>
        <w:pStyle w:val="FootnoteText"/>
        <w:rPr>
          <w:lang w:val="en-IE"/>
        </w:rPr>
      </w:pPr>
      <w:r w:rsidRPr="005C6A5D">
        <w:rPr>
          <w:rStyle w:val="FootnoteReference"/>
        </w:rPr>
        <w:footnoteRef/>
      </w:r>
      <w:r>
        <w:tab/>
        <w:t>Directive (EU) 2018/843 of the European Parliament and of the Council of 30 May 2018 amending Directive (EU) 2015/849 on the prevention of the use of the financial system for the purposes of money laundering or terrorist financing, and amending Directives 2009/138/EC and 2013/36/EU (OJ L 156, 19.6.2018, p. 43–74)</w:t>
      </w:r>
    </w:p>
  </w:footnote>
  <w:footnote w:id="12">
    <w:p w14:paraId="6322AF2E" w14:textId="77777777" w:rsidR="004E2BFC" w:rsidRPr="00B9581D" w:rsidRDefault="004E2BFC" w:rsidP="003874C1">
      <w:pPr>
        <w:pStyle w:val="FootnoteText"/>
        <w:rPr>
          <w:lang w:val="en-IE"/>
        </w:rPr>
      </w:pPr>
      <w:r w:rsidRPr="005C6A5D">
        <w:rPr>
          <w:rStyle w:val="FootnoteReference"/>
        </w:rPr>
        <w:footnoteRef/>
      </w:r>
      <w: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73–117)</w:t>
      </w:r>
    </w:p>
  </w:footnote>
  <w:footnote w:id="13">
    <w:p w14:paraId="44A76422" w14:textId="77777777" w:rsidR="004E2BFC" w:rsidRPr="00354AA4" w:rsidRDefault="004E2BFC" w:rsidP="00B63DF9">
      <w:pPr>
        <w:pStyle w:val="FootnoteText"/>
        <w:rPr>
          <w:lang w:val="en-IE"/>
        </w:rPr>
      </w:pPr>
      <w:r w:rsidRPr="00F26004">
        <w:rPr>
          <w:rStyle w:val="FootnoteReference"/>
        </w:rPr>
        <w:footnoteRef/>
      </w:r>
      <w:r>
        <w:tab/>
      </w:r>
      <w:bookmarkStart w:id="6" w:name="_Hlk136436426"/>
      <w:r>
        <w:t>Regulation (EU) No 182/2011 of the European Parliament and of the Council of 16 February 2011 laying down the rules and general principles concerning mechanisms for control by Member States of the Commission’s exercise of implementing powers (OJ L 55, 28.2.2011, p. 13–18)</w:t>
      </w:r>
      <w:bookmarkEnd w:id="6"/>
    </w:p>
  </w:footnote>
  <w:footnote w:id="14">
    <w:p w14:paraId="64B93FD2" w14:textId="77777777" w:rsidR="004E2BFC" w:rsidRPr="00525833" w:rsidRDefault="004E2BFC" w:rsidP="0079028E">
      <w:pPr>
        <w:pStyle w:val="FootnoteText"/>
        <w:rPr>
          <w:lang w:val="en-IE"/>
        </w:rPr>
      </w:pPr>
      <w:r w:rsidRPr="005C6A5D">
        <w:rPr>
          <w:rStyle w:val="FootnoteReference"/>
        </w:rPr>
        <w:footnoteRef/>
      </w:r>
      <w:r>
        <w:tab/>
      </w:r>
      <w:r w:rsidRPr="00FD06B3">
        <w:rPr>
          <w:lang w:val="en-IE"/>
        </w:rPr>
        <w:t xml:space="preserve">Regulation (EU) 2016/679 of the European Parliament and of the Council </w:t>
      </w:r>
      <w:r>
        <w:rPr>
          <w:lang w:val="en-IE"/>
        </w:rPr>
        <w:t xml:space="preserve">of 27 April 2016 </w:t>
      </w:r>
      <w:r w:rsidRPr="00525833">
        <w:rPr>
          <w:lang w:val="en-IE"/>
        </w:rPr>
        <w:t>on the protection of natural persons with regard to the processing of personal data and on the free movement of such data, and repealing Directive 95/46/EC</w:t>
      </w:r>
      <w:r>
        <w:rPr>
          <w:lang w:val="en-IE"/>
        </w:rPr>
        <w:t xml:space="preserve"> (OJ L 119, 4.5.2016, p. 1).</w:t>
      </w:r>
    </w:p>
  </w:footnote>
  <w:footnote w:id="15">
    <w:p w14:paraId="7BCBF5FD" w14:textId="77777777" w:rsidR="00931E51" w:rsidRPr="00931E51" w:rsidRDefault="00931E51" w:rsidP="00931E51">
      <w:pPr>
        <w:pStyle w:val="FootnoteText"/>
        <w:rPr>
          <w:lang w:val="en-IE"/>
        </w:rPr>
      </w:pPr>
      <w:r>
        <w:rPr>
          <w:rStyle w:val="FootnoteReference"/>
        </w:rPr>
        <w:footnoteRef/>
      </w:r>
      <w:r>
        <w:t xml:space="preserve"> </w:t>
      </w:r>
      <w:hyperlink r:id="rId1" w:history="1">
        <w:r w:rsidRPr="001101F6">
          <w:rPr>
            <w:rStyle w:val="Hyperlink"/>
          </w:rPr>
          <w:t>https://www.dw.com/en/cum-ex-tax-scandal-cost-european-treasuries-55-billion/a-45935370</w:t>
        </w:r>
      </w:hyperlink>
      <w:r>
        <w:t xml:space="preserve"> </w:t>
      </w:r>
    </w:p>
  </w:footnote>
  <w:footnote w:id="16">
    <w:p w14:paraId="3D2B42A7" w14:textId="31954D67" w:rsidR="00931E51" w:rsidRPr="00931E51" w:rsidRDefault="00931E51">
      <w:pPr>
        <w:pStyle w:val="FootnoteText"/>
        <w:rPr>
          <w:lang w:val="en-IE"/>
        </w:rPr>
      </w:pPr>
      <w:r>
        <w:rPr>
          <w:rStyle w:val="FootnoteReference"/>
        </w:rPr>
        <w:footnoteRef/>
      </w:r>
      <w:hyperlink r:id="rId2" w:history="1">
        <w:r w:rsidRPr="00B875F3">
          <w:rPr>
            <w:rStyle w:val="Hyperlink"/>
          </w:rPr>
          <w:t>https://taxation-customs.ec.europa.eu/system/files/2023-06/SWD_2023_216_1_EN_impact_assessment_part1_v2.pdf</w:t>
        </w:r>
      </w:hyperlink>
    </w:p>
  </w:footnote>
  <w:footnote w:id="17">
    <w:p w14:paraId="6A4CADA3" w14:textId="77777777" w:rsidR="004E2BFC" w:rsidRPr="0091758E" w:rsidRDefault="004E2BFC" w:rsidP="00791C8B">
      <w:pPr>
        <w:pStyle w:val="FootnoteText"/>
        <w:rPr>
          <w:lang w:val="en-IE"/>
        </w:rPr>
      </w:pPr>
      <w:r w:rsidRPr="005C6A5D">
        <w:rPr>
          <w:rStyle w:val="FootnoteReference"/>
        </w:rPr>
        <w:footnoteRef/>
      </w:r>
      <w:r>
        <w:tab/>
        <w:t>Regulation (EU) No 575/2013 of the European Parliament and of the Council of 26 June 2013 on prudential requirements for credit institutions and investment firms and amending Regulation (EU) No 648/2012 Text with EEA relevance (OJ L 176, 27.6.2013, p. 1–337)</w:t>
      </w:r>
    </w:p>
  </w:footnote>
  <w:footnote w:id="18">
    <w:p w14:paraId="1AAE4153" w14:textId="77777777" w:rsidR="004E2BFC" w:rsidRDefault="004E2BFC" w:rsidP="00791C8B">
      <w:pPr>
        <w:pStyle w:val="footnotedescription"/>
        <w:spacing w:line="272" w:lineRule="auto"/>
        <w:ind w:right="13"/>
      </w:pPr>
      <w:r w:rsidRPr="00F26004">
        <w:rPr>
          <w:rStyle w:val="FootnoteReference"/>
        </w:rPr>
        <w:footnoteRef/>
      </w:r>
      <w:r>
        <w:tab/>
        <w:t xml:space="preserve">Regulation (EU) No 182/2011 of the European Parliament and of the Council of 16 February 2011 laying down the rules and general principles concerning mechanisms for control by Member States of the Commission’s exercise of implementing powers (OJ L 55, 28.2.2011, p. 13) </w:t>
      </w:r>
    </w:p>
  </w:footnote>
  <w:footnote w:id="19">
    <w:p w14:paraId="2A0CD157" w14:textId="77777777" w:rsidR="004E2BFC" w:rsidRDefault="004E2BFC" w:rsidP="00791C8B">
      <w:pPr>
        <w:pStyle w:val="footnotedescription"/>
        <w:spacing w:line="247" w:lineRule="auto"/>
        <w:ind w:right="12"/>
      </w:pPr>
      <w:r w:rsidRPr="00F26004">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20">
    <w:p w14:paraId="48C7B552" w14:textId="77777777" w:rsidR="004E2BFC" w:rsidRDefault="004E2BFC" w:rsidP="00791C8B">
      <w:pPr>
        <w:pStyle w:val="footnotedescription"/>
        <w:spacing w:line="247" w:lineRule="auto"/>
        <w:ind w:right="16"/>
      </w:pPr>
      <w:r w:rsidRPr="00F26004">
        <w:rPr>
          <w:rStyle w:val="FootnoteReference"/>
        </w:rPr>
        <w:footnoteRef/>
      </w:r>
      <w: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EF51" w14:textId="77777777" w:rsidR="004E2BFC" w:rsidRPr="001B5BEC" w:rsidRDefault="004E2BFC" w:rsidP="00B0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0DF76" w14:textId="77777777" w:rsidR="004E2BFC" w:rsidRPr="00B018F6" w:rsidRDefault="004E2BFC" w:rsidP="00B0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EBA17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F16796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ED6A26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D8181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2" w15:restartNumberingAfterBreak="0">
    <w:nsid w:val="7CED5358"/>
    <w:multiLevelType w:val="hybridMultilevel"/>
    <w:tmpl w:val="6AA234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AD7435"/>
    <w:multiLevelType w:val="hybridMultilevel"/>
    <w:tmpl w:val="1BBC6D2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lvlOverride w:ilvl="0">
      <w:startOverride w:val="1"/>
    </w:lvlOverride>
  </w:num>
  <w:num w:numId="7">
    <w:abstractNumId w:val="13"/>
  </w:num>
  <w:num w:numId="8">
    <w:abstractNumId w:val="14"/>
  </w:num>
  <w:num w:numId="9">
    <w:abstractNumId w:val="18"/>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num>
  <w:num w:numId="22">
    <w:abstractNumId w:val="18"/>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9"/>
  </w:num>
  <w:num w:numId="40">
    <w:abstractNumId w:val="20"/>
  </w:num>
  <w:num w:numId="41">
    <w:abstractNumId w:val="7"/>
  </w:num>
  <w:num w:numId="42">
    <w:abstractNumId w:val="10"/>
  </w:num>
  <w:num w:numId="43">
    <w:abstractNumId w:val="11"/>
  </w:num>
  <w:num w:numId="44">
    <w:abstractNumId w:val="5"/>
  </w:num>
  <w:num w:numId="45">
    <w:abstractNumId w:val="19"/>
  </w:num>
  <w:num w:numId="46">
    <w:abstractNumId w:val="4"/>
  </w:num>
  <w:num w:numId="47">
    <w:abstractNumId w:val="12"/>
  </w:num>
  <w:num w:numId="48">
    <w:abstractNumId w:val="16"/>
  </w:num>
  <w:num w:numId="49">
    <w:abstractNumId w:val="17"/>
  </w:num>
  <w:num w:numId="50">
    <w:abstractNumId w:val="6"/>
  </w:num>
  <w:num w:numId="51">
    <w:abstractNumId w:val="15"/>
  </w:num>
  <w:num w:numId="52">
    <w:abstractNumId w:val="21"/>
  </w:num>
  <w:num w:numId="53">
    <w:abstractNumId w:val="23"/>
  </w:num>
  <w:num w:numId="5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6-16 11:44: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C1E72B3-78A2-4BAD-8371-F7F6C9C9D325"/>
    <w:docVar w:name="LW_COVERPAGE_TYPE" w:val="1"/>
    <w:docVar w:name="LW_CROSSREFERENCE" w:val="{SEC(2023) 243 final} - {SWD(2023) 215 final} - {SWD(2023) 216 final} - {SWD(2023) 217 final}"/>
    <w:docVar w:name="LW_DocType" w:val="COM"/>
    <w:docVar w:name="LW_EMISSION" w:val="19.6.2023"/>
    <w:docVar w:name="LW_EMISSION_ISODATE" w:val="2023-06-19"/>
    <w:docVar w:name="LW_EMISSION_LOCATION" w:val="BRX"/>
    <w:docVar w:name="LW_EMISSION_PREFIX" w:val="Brussels,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187"/>
    <w:docVar w:name="LW_REF.II.NEW.CP_YEAR" w:val="2023"/>
    <w:docVar w:name="LW_REF.INST.NEW" w:val="COM"/>
    <w:docVar w:name="LW_REF.INST.NEW_ADOPTED" w:val="final"/>
    <w:docVar w:name="LW_REF.INST.NEW_TEXT" w:val="(2023) 32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Faster and Safer Relief of Excess Withholding Taxes"/>
    <w:docVar w:name="LW_TYPE.DOC.CP" w:val="COUNCIL DIRECTIVE"/>
    <w:docVar w:name="LwApiVersions" w:val="LW4CoDe 1.23.2.0; LW 8.0, Build 20211117"/>
  </w:docVars>
  <w:rsids>
    <w:rsidRoot w:val="00977CF6"/>
    <w:rsid w:val="00000172"/>
    <w:rsid w:val="0000174F"/>
    <w:rsid w:val="000017D1"/>
    <w:rsid w:val="0000233B"/>
    <w:rsid w:val="0000236E"/>
    <w:rsid w:val="000023B2"/>
    <w:rsid w:val="000023D5"/>
    <w:rsid w:val="00002688"/>
    <w:rsid w:val="000027CD"/>
    <w:rsid w:val="000027CE"/>
    <w:rsid w:val="00003FD1"/>
    <w:rsid w:val="0000575D"/>
    <w:rsid w:val="00005779"/>
    <w:rsid w:val="00005BAE"/>
    <w:rsid w:val="00006B66"/>
    <w:rsid w:val="000072B7"/>
    <w:rsid w:val="00007C40"/>
    <w:rsid w:val="00007F35"/>
    <w:rsid w:val="000103A8"/>
    <w:rsid w:val="000103C5"/>
    <w:rsid w:val="00010692"/>
    <w:rsid w:val="0001171C"/>
    <w:rsid w:val="0001223C"/>
    <w:rsid w:val="0001286A"/>
    <w:rsid w:val="000128F3"/>
    <w:rsid w:val="000129DF"/>
    <w:rsid w:val="00012E11"/>
    <w:rsid w:val="000131CD"/>
    <w:rsid w:val="0001412F"/>
    <w:rsid w:val="00014317"/>
    <w:rsid w:val="000143CC"/>
    <w:rsid w:val="00014525"/>
    <w:rsid w:val="0001576F"/>
    <w:rsid w:val="00015911"/>
    <w:rsid w:val="00015B25"/>
    <w:rsid w:val="00016001"/>
    <w:rsid w:val="000173F6"/>
    <w:rsid w:val="0002054C"/>
    <w:rsid w:val="00020C6F"/>
    <w:rsid w:val="000210C4"/>
    <w:rsid w:val="0002114E"/>
    <w:rsid w:val="000218D4"/>
    <w:rsid w:val="0002193B"/>
    <w:rsid w:val="00021F38"/>
    <w:rsid w:val="00022846"/>
    <w:rsid w:val="00023BB4"/>
    <w:rsid w:val="00024093"/>
    <w:rsid w:val="00024742"/>
    <w:rsid w:val="00024B0A"/>
    <w:rsid w:val="00024DAF"/>
    <w:rsid w:val="0002534E"/>
    <w:rsid w:val="000263EA"/>
    <w:rsid w:val="00026AAA"/>
    <w:rsid w:val="00026BB8"/>
    <w:rsid w:val="00027133"/>
    <w:rsid w:val="0002734E"/>
    <w:rsid w:val="0002743E"/>
    <w:rsid w:val="000310D7"/>
    <w:rsid w:val="000314B8"/>
    <w:rsid w:val="000318D9"/>
    <w:rsid w:val="00031C74"/>
    <w:rsid w:val="00032A44"/>
    <w:rsid w:val="00033488"/>
    <w:rsid w:val="00034243"/>
    <w:rsid w:val="000361B5"/>
    <w:rsid w:val="00036764"/>
    <w:rsid w:val="0003745E"/>
    <w:rsid w:val="000379AC"/>
    <w:rsid w:val="0003DFE0"/>
    <w:rsid w:val="000411F5"/>
    <w:rsid w:val="000415CB"/>
    <w:rsid w:val="00041772"/>
    <w:rsid w:val="00041FF1"/>
    <w:rsid w:val="0004240A"/>
    <w:rsid w:val="000430BD"/>
    <w:rsid w:val="0004365E"/>
    <w:rsid w:val="0004376F"/>
    <w:rsid w:val="0004389E"/>
    <w:rsid w:val="000447CC"/>
    <w:rsid w:val="00047014"/>
    <w:rsid w:val="000470E7"/>
    <w:rsid w:val="00047467"/>
    <w:rsid w:val="00047A1C"/>
    <w:rsid w:val="00047EEF"/>
    <w:rsid w:val="000513BD"/>
    <w:rsid w:val="00051ADF"/>
    <w:rsid w:val="00051BC3"/>
    <w:rsid w:val="00052297"/>
    <w:rsid w:val="000523FA"/>
    <w:rsid w:val="000534DB"/>
    <w:rsid w:val="00053D3C"/>
    <w:rsid w:val="00053ECC"/>
    <w:rsid w:val="00053FC2"/>
    <w:rsid w:val="000544F9"/>
    <w:rsid w:val="00054535"/>
    <w:rsid w:val="00054BEB"/>
    <w:rsid w:val="00055480"/>
    <w:rsid w:val="000556D6"/>
    <w:rsid w:val="0005578E"/>
    <w:rsid w:val="00056C0A"/>
    <w:rsid w:val="0005768A"/>
    <w:rsid w:val="00057710"/>
    <w:rsid w:val="00060248"/>
    <w:rsid w:val="00060712"/>
    <w:rsid w:val="00060B87"/>
    <w:rsid w:val="00060D57"/>
    <w:rsid w:val="00061B4D"/>
    <w:rsid w:val="00062E6A"/>
    <w:rsid w:val="00064CB0"/>
    <w:rsid w:val="000652D6"/>
    <w:rsid w:val="000658A9"/>
    <w:rsid w:val="000659D6"/>
    <w:rsid w:val="00066B7D"/>
    <w:rsid w:val="0006757E"/>
    <w:rsid w:val="00067DF6"/>
    <w:rsid w:val="00070103"/>
    <w:rsid w:val="0007068B"/>
    <w:rsid w:val="00070DEA"/>
    <w:rsid w:val="00070E9A"/>
    <w:rsid w:val="000713DB"/>
    <w:rsid w:val="00071474"/>
    <w:rsid w:val="00072982"/>
    <w:rsid w:val="0007390D"/>
    <w:rsid w:val="000744D4"/>
    <w:rsid w:val="00074786"/>
    <w:rsid w:val="00074854"/>
    <w:rsid w:val="000754F6"/>
    <w:rsid w:val="00075882"/>
    <w:rsid w:val="00076F2B"/>
    <w:rsid w:val="00077614"/>
    <w:rsid w:val="00077C19"/>
    <w:rsid w:val="0008017F"/>
    <w:rsid w:val="0008192C"/>
    <w:rsid w:val="00081F59"/>
    <w:rsid w:val="00083453"/>
    <w:rsid w:val="00083AC7"/>
    <w:rsid w:val="000840BC"/>
    <w:rsid w:val="000841A8"/>
    <w:rsid w:val="00084A25"/>
    <w:rsid w:val="00084E92"/>
    <w:rsid w:val="00085533"/>
    <w:rsid w:val="00086448"/>
    <w:rsid w:val="00086A70"/>
    <w:rsid w:val="00087424"/>
    <w:rsid w:val="00087A84"/>
    <w:rsid w:val="00090384"/>
    <w:rsid w:val="000905C0"/>
    <w:rsid w:val="00091220"/>
    <w:rsid w:val="0009126A"/>
    <w:rsid w:val="0009149E"/>
    <w:rsid w:val="0009193B"/>
    <w:rsid w:val="00092550"/>
    <w:rsid w:val="000930A8"/>
    <w:rsid w:val="000933CA"/>
    <w:rsid w:val="00093425"/>
    <w:rsid w:val="00093CA2"/>
    <w:rsid w:val="00093EFC"/>
    <w:rsid w:val="00094223"/>
    <w:rsid w:val="00095B62"/>
    <w:rsid w:val="000962B2"/>
    <w:rsid w:val="00096508"/>
    <w:rsid w:val="00097113"/>
    <w:rsid w:val="0009796F"/>
    <w:rsid w:val="00097ADD"/>
    <w:rsid w:val="00097B4C"/>
    <w:rsid w:val="000A0493"/>
    <w:rsid w:val="000A065B"/>
    <w:rsid w:val="000A07B7"/>
    <w:rsid w:val="000A07EE"/>
    <w:rsid w:val="000A12CC"/>
    <w:rsid w:val="000A195E"/>
    <w:rsid w:val="000A24B4"/>
    <w:rsid w:val="000A293C"/>
    <w:rsid w:val="000A2FE9"/>
    <w:rsid w:val="000A492C"/>
    <w:rsid w:val="000A5012"/>
    <w:rsid w:val="000A5224"/>
    <w:rsid w:val="000A54A9"/>
    <w:rsid w:val="000A591C"/>
    <w:rsid w:val="000A6660"/>
    <w:rsid w:val="000A6813"/>
    <w:rsid w:val="000A701D"/>
    <w:rsid w:val="000A71FC"/>
    <w:rsid w:val="000A7394"/>
    <w:rsid w:val="000A7CB6"/>
    <w:rsid w:val="000A7E2C"/>
    <w:rsid w:val="000B120C"/>
    <w:rsid w:val="000B214D"/>
    <w:rsid w:val="000B2427"/>
    <w:rsid w:val="000B25F2"/>
    <w:rsid w:val="000B2883"/>
    <w:rsid w:val="000B34A4"/>
    <w:rsid w:val="000B41D5"/>
    <w:rsid w:val="000B44EC"/>
    <w:rsid w:val="000B4905"/>
    <w:rsid w:val="000B4C83"/>
    <w:rsid w:val="000B4D27"/>
    <w:rsid w:val="000B68F0"/>
    <w:rsid w:val="000B6C04"/>
    <w:rsid w:val="000B6C9B"/>
    <w:rsid w:val="000B6DA5"/>
    <w:rsid w:val="000B6FA6"/>
    <w:rsid w:val="000C0442"/>
    <w:rsid w:val="000C048B"/>
    <w:rsid w:val="000C056D"/>
    <w:rsid w:val="000C19EF"/>
    <w:rsid w:val="000C1ACD"/>
    <w:rsid w:val="000C1E2B"/>
    <w:rsid w:val="000C2067"/>
    <w:rsid w:val="000C2150"/>
    <w:rsid w:val="000C240F"/>
    <w:rsid w:val="000C25C8"/>
    <w:rsid w:val="000C38F1"/>
    <w:rsid w:val="000C3916"/>
    <w:rsid w:val="000C3D0E"/>
    <w:rsid w:val="000C3F42"/>
    <w:rsid w:val="000C4033"/>
    <w:rsid w:val="000C5292"/>
    <w:rsid w:val="000C5822"/>
    <w:rsid w:val="000C5A98"/>
    <w:rsid w:val="000C5F3F"/>
    <w:rsid w:val="000C60C6"/>
    <w:rsid w:val="000C62EF"/>
    <w:rsid w:val="000C6323"/>
    <w:rsid w:val="000C69ED"/>
    <w:rsid w:val="000C73EB"/>
    <w:rsid w:val="000C742A"/>
    <w:rsid w:val="000C74BC"/>
    <w:rsid w:val="000C76E3"/>
    <w:rsid w:val="000C7A98"/>
    <w:rsid w:val="000D0478"/>
    <w:rsid w:val="000D0BC4"/>
    <w:rsid w:val="000D0E29"/>
    <w:rsid w:val="000D10A5"/>
    <w:rsid w:val="000D1985"/>
    <w:rsid w:val="000D1F37"/>
    <w:rsid w:val="000D2E9B"/>
    <w:rsid w:val="000D32C5"/>
    <w:rsid w:val="000D3853"/>
    <w:rsid w:val="000D3C01"/>
    <w:rsid w:val="000D401C"/>
    <w:rsid w:val="000D5C47"/>
    <w:rsid w:val="000D5F37"/>
    <w:rsid w:val="000D712C"/>
    <w:rsid w:val="000D755E"/>
    <w:rsid w:val="000E01EB"/>
    <w:rsid w:val="000E06ED"/>
    <w:rsid w:val="000E18E4"/>
    <w:rsid w:val="000E1BA4"/>
    <w:rsid w:val="000E1E17"/>
    <w:rsid w:val="000E2A2D"/>
    <w:rsid w:val="000E31E4"/>
    <w:rsid w:val="000E3464"/>
    <w:rsid w:val="000E3507"/>
    <w:rsid w:val="000E3581"/>
    <w:rsid w:val="000E36BC"/>
    <w:rsid w:val="000E3755"/>
    <w:rsid w:val="000E37A2"/>
    <w:rsid w:val="000E462D"/>
    <w:rsid w:val="000E5554"/>
    <w:rsid w:val="000E5D6F"/>
    <w:rsid w:val="000E64B0"/>
    <w:rsid w:val="000E6600"/>
    <w:rsid w:val="000E70BA"/>
    <w:rsid w:val="000E7687"/>
    <w:rsid w:val="000E768E"/>
    <w:rsid w:val="000E773A"/>
    <w:rsid w:val="000E7CF4"/>
    <w:rsid w:val="000E7E78"/>
    <w:rsid w:val="000F0EC7"/>
    <w:rsid w:val="000F16D6"/>
    <w:rsid w:val="000F2925"/>
    <w:rsid w:val="000F3FBC"/>
    <w:rsid w:val="000F413A"/>
    <w:rsid w:val="000F47C1"/>
    <w:rsid w:val="000F5098"/>
    <w:rsid w:val="000F537A"/>
    <w:rsid w:val="000F5661"/>
    <w:rsid w:val="000F5D50"/>
    <w:rsid w:val="000F5F23"/>
    <w:rsid w:val="000F68A3"/>
    <w:rsid w:val="000F6F12"/>
    <w:rsid w:val="000F739C"/>
    <w:rsid w:val="000F7CA3"/>
    <w:rsid w:val="00101092"/>
    <w:rsid w:val="001015F4"/>
    <w:rsid w:val="00101B07"/>
    <w:rsid w:val="00102925"/>
    <w:rsid w:val="00102DA2"/>
    <w:rsid w:val="0010322F"/>
    <w:rsid w:val="00104D2E"/>
    <w:rsid w:val="001053BC"/>
    <w:rsid w:val="0010544D"/>
    <w:rsid w:val="00105D11"/>
    <w:rsid w:val="00105E8D"/>
    <w:rsid w:val="001060BC"/>
    <w:rsid w:val="001061E5"/>
    <w:rsid w:val="001062C0"/>
    <w:rsid w:val="001064D6"/>
    <w:rsid w:val="001065F5"/>
    <w:rsid w:val="001066F3"/>
    <w:rsid w:val="0010685F"/>
    <w:rsid w:val="00106BE4"/>
    <w:rsid w:val="001074D9"/>
    <w:rsid w:val="00107760"/>
    <w:rsid w:val="00110746"/>
    <w:rsid w:val="00111983"/>
    <w:rsid w:val="001120FB"/>
    <w:rsid w:val="0011222C"/>
    <w:rsid w:val="00113097"/>
    <w:rsid w:val="001133DA"/>
    <w:rsid w:val="00114212"/>
    <w:rsid w:val="00114DAA"/>
    <w:rsid w:val="00115ED7"/>
    <w:rsid w:val="00116B4B"/>
    <w:rsid w:val="00116C13"/>
    <w:rsid w:val="00117324"/>
    <w:rsid w:val="00117443"/>
    <w:rsid w:val="001177E9"/>
    <w:rsid w:val="001206EA"/>
    <w:rsid w:val="00120EB0"/>
    <w:rsid w:val="00121933"/>
    <w:rsid w:val="001219E1"/>
    <w:rsid w:val="001220FF"/>
    <w:rsid w:val="001221D7"/>
    <w:rsid w:val="001224ED"/>
    <w:rsid w:val="0012262D"/>
    <w:rsid w:val="00122A37"/>
    <w:rsid w:val="00122AED"/>
    <w:rsid w:val="00122C48"/>
    <w:rsid w:val="00123486"/>
    <w:rsid w:val="001235C9"/>
    <w:rsid w:val="001236DC"/>
    <w:rsid w:val="00123719"/>
    <w:rsid w:val="0012386A"/>
    <w:rsid w:val="001238EF"/>
    <w:rsid w:val="00123E91"/>
    <w:rsid w:val="001240F3"/>
    <w:rsid w:val="001245CA"/>
    <w:rsid w:val="0012478B"/>
    <w:rsid w:val="00124EC8"/>
    <w:rsid w:val="00125AB2"/>
    <w:rsid w:val="00126675"/>
    <w:rsid w:val="001276B0"/>
    <w:rsid w:val="001278CF"/>
    <w:rsid w:val="00127AC0"/>
    <w:rsid w:val="00130EE2"/>
    <w:rsid w:val="00130F6F"/>
    <w:rsid w:val="00131665"/>
    <w:rsid w:val="0013170A"/>
    <w:rsid w:val="00131D58"/>
    <w:rsid w:val="0013201C"/>
    <w:rsid w:val="001328A1"/>
    <w:rsid w:val="001329CB"/>
    <w:rsid w:val="00132CDB"/>
    <w:rsid w:val="00133061"/>
    <w:rsid w:val="00133092"/>
    <w:rsid w:val="001331DE"/>
    <w:rsid w:val="00133FAB"/>
    <w:rsid w:val="0013469B"/>
    <w:rsid w:val="00134F09"/>
    <w:rsid w:val="0013507F"/>
    <w:rsid w:val="00135453"/>
    <w:rsid w:val="00135903"/>
    <w:rsid w:val="00135B02"/>
    <w:rsid w:val="00135B34"/>
    <w:rsid w:val="00136378"/>
    <w:rsid w:val="0013691E"/>
    <w:rsid w:val="00136CC4"/>
    <w:rsid w:val="00137FFB"/>
    <w:rsid w:val="0014078A"/>
    <w:rsid w:val="00140AA4"/>
    <w:rsid w:val="00141A2B"/>
    <w:rsid w:val="00141CFD"/>
    <w:rsid w:val="00142DAC"/>
    <w:rsid w:val="00143595"/>
    <w:rsid w:val="0014365F"/>
    <w:rsid w:val="001439D5"/>
    <w:rsid w:val="001439E8"/>
    <w:rsid w:val="00143E8A"/>
    <w:rsid w:val="001441A2"/>
    <w:rsid w:val="001458E9"/>
    <w:rsid w:val="00146471"/>
    <w:rsid w:val="00146A52"/>
    <w:rsid w:val="00146CC8"/>
    <w:rsid w:val="00146D2D"/>
    <w:rsid w:val="0015024A"/>
    <w:rsid w:val="0015039C"/>
    <w:rsid w:val="00150DD6"/>
    <w:rsid w:val="00151798"/>
    <w:rsid w:val="00151B55"/>
    <w:rsid w:val="00151FD1"/>
    <w:rsid w:val="00152C3F"/>
    <w:rsid w:val="00152DB4"/>
    <w:rsid w:val="0015314F"/>
    <w:rsid w:val="00154BE4"/>
    <w:rsid w:val="00156680"/>
    <w:rsid w:val="001571C3"/>
    <w:rsid w:val="00160401"/>
    <w:rsid w:val="001621B7"/>
    <w:rsid w:val="001626E0"/>
    <w:rsid w:val="00162C47"/>
    <w:rsid w:val="00162D9C"/>
    <w:rsid w:val="0016343E"/>
    <w:rsid w:val="00163AC6"/>
    <w:rsid w:val="00163DAD"/>
    <w:rsid w:val="00164C69"/>
    <w:rsid w:val="00165C4E"/>
    <w:rsid w:val="00166F1C"/>
    <w:rsid w:val="001677F4"/>
    <w:rsid w:val="001700A8"/>
    <w:rsid w:val="0017107C"/>
    <w:rsid w:val="001712A4"/>
    <w:rsid w:val="001714E3"/>
    <w:rsid w:val="00171B79"/>
    <w:rsid w:val="00171EB9"/>
    <w:rsid w:val="00172709"/>
    <w:rsid w:val="00172914"/>
    <w:rsid w:val="00172D6C"/>
    <w:rsid w:val="00172FE6"/>
    <w:rsid w:val="0017358A"/>
    <w:rsid w:val="00173769"/>
    <w:rsid w:val="00173A86"/>
    <w:rsid w:val="00174158"/>
    <w:rsid w:val="00174B5D"/>
    <w:rsid w:val="00175868"/>
    <w:rsid w:val="00175ABB"/>
    <w:rsid w:val="00177E59"/>
    <w:rsid w:val="0018073D"/>
    <w:rsid w:val="00181128"/>
    <w:rsid w:val="00181459"/>
    <w:rsid w:val="00181D77"/>
    <w:rsid w:val="001823DA"/>
    <w:rsid w:val="00182A43"/>
    <w:rsid w:val="001831DD"/>
    <w:rsid w:val="001837F9"/>
    <w:rsid w:val="0018386B"/>
    <w:rsid w:val="001839BB"/>
    <w:rsid w:val="00183B50"/>
    <w:rsid w:val="00184609"/>
    <w:rsid w:val="0018547B"/>
    <w:rsid w:val="00185844"/>
    <w:rsid w:val="001858F3"/>
    <w:rsid w:val="00185AAF"/>
    <w:rsid w:val="00185CCB"/>
    <w:rsid w:val="00185F49"/>
    <w:rsid w:val="00186730"/>
    <w:rsid w:val="00190A68"/>
    <w:rsid w:val="0019224C"/>
    <w:rsid w:val="0019306C"/>
    <w:rsid w:val="00193398"/>
    <w:rsid w:val="001933EE"/>
    <w:rsid w:val="00193684"/>
    <w:rsid w:val="001947FB"/>
    <w:rsid w:val="00194ABD"/>
    <w:rsid w:val="00194AE4"/>
    <w:rsid w:val="001951F2"/>
    <w:rsid w:val="001956AF"/>
    <w:rsid w:val="00195ED6"/>
    <w:rsid w:val="001960CE"/>
    <w:rsid w:val="00196A4E"/>
    <w:rsid w:val="00197047"/>
    <w:rsid w:val="00197613"/>
    <w:rsid w:val="001976FE"/>
    <w:rsid w:val="00197706"/>
    <w:rsid w:val="00197B06"/>
    <w:rsid w:val="001A08DE"/>
    <w:rsid w:val="001A10C5"/>
    <w:rsid w:val="001A1A1B"/>
    <w:rsid w:val="001A25FB"/>
    <w:rsid w:val="001A2F54"/>
    <w:rsid w:val="001A3354"/>
    <w:rsid w:val="001A386F"/>
    <w:rsid w:val="001A5A2C"/>
    <w:rsid w:val="001A611A"/>
    <w:rsid w:val="001A638E"/>
    <w:rsid w:val="001A6C8C"/>
    <w:rsid w:val="001A7089"/>
    <w:rsid w:val="001B0588"/>
    <w:rsid w:val="001B081C"/>
    <w:rsid w:val="001B0E05"/>
    <w:rsid w:val="001B161F"/>
    <w:rsid w:val="001B19D7"/>
    <w:rsid w:val="001B1D1C"/>
    <w:rsid w:val="001B3F8F"/>
    <w:rsid w:val="001B471C"/>
    <w:rsid w:val="001B59BA"/>
    <w:rsid w:val="001B5A28"/>
    <w:rsid w:val="001B5BEC"/>
    <w:rsid w:val="001B5D04"/>
    <w:rsid w:val="001B6128"/>
    <w:rsid w:val="001B7906"/>
    <w:rsid w:val="001B8DBF"/>
    <w:rsid w:val="001C0835"/>
    <w:rsid w:val="001C1433"/>
    <w:rsid w:val="001C169F"/>
    <w:rsid w:val="001C37CD"/>
    <w:rsid w:val="001C3A92"/>
    <w:rsid w:val="001C3CB4"/>
    <w:rsid w:val="001C448F"/>
    <w:rsid w:val="001C475E"/>
    <w:rsid w:val="001C49DF"/>
    <w:rsid w:val="001C55BF"/>
    <w:rsid w:val="001C5DA1"/>
    <w:rsid w:val="001C60B9"/>
    <w:rsid w:val="001C656C"/>
    <w:rsid w:val="001C69FE"/>
    <w:rsid w:val="001C7FE6"/>
    <w:rsid w:val="001D1273"/>
    <w:rsid w:val="001D2087"/>
    <w:rsid w:val="001D2FB1"/>
    <w:rsid w:val="001D3463"/>
    <w:rsid w:val="001D37E7"/>
    <w:rsid w:val="001D384A"/>
    <w:rsid w:val="001D4651"/>
    <w:rsid w:val="001D5903"/>
    <w:rsid w:val="001D5D82"/>
    <w:rsid w:val="001D636C"/>
    <w:rsid w:val="001D6384"/>
    <w:rsid w:val="001D6C1B"/>
    <w:rsid w:val="001D729D"/>
    <w:rsid w:val="001D79A1"/>
    <w:rsid w:val="001E1443"/>
    <w:rsid w:val="001E16D3"/>
    <w:rsid w:val="001E1A33"/>
    <w:rsid w:val="001E1FD0"/>
    <w:rsid w:val="001E259C"/>
    <w:rsid w:val="001E275B"/>
    <w:rsid w:val="001E2BBB"/>
    <w:rsid w:val="001E2F50"/>
    <w:rsid w:val="001E39F7"/>
    <w:rsid w:val="001E517C"/>
    <w:rsid w:val="001E7180"/>
    <w:rsid w:val="001E7868"/>
    <w:rsid w:val="001E7B02"/>
    <w:rsid w:val="001F073F"/>
    <w:rsid w:val="001F0DF7"/>
    <w:rsid w:val="001F10AA"/>
    <w:rsid w:val="001F13C5"/>
    <w:rsid w:val="001F1635"/>
    <w:rsid w:val="001F17D2"/>
    <w:rsid w:val="001F2242"/>
    <w:rsid w:val="001F24D0"/>
    <w:rsid w:val="001F3337"/>
    <w:rsid w:val="001F3578"/>
    <w:rsid w:val="001F36D2"/>
    <w:rsid w:val="001F3C79"/>
    <w:rsid w:val="001F42DD"/>
    <w:rsid w:val="001F464E"/>
    <w:rsid w:val="001F5117"/>
    <w:rsid w:val="001F5D74"/>
    <w:rsid w:val="001F67C3"/>
    <w:rsid w:val="001F69BA"/>
    <w:rsid w:val="001F792F"/>
    <w:rsid w:val="001F7B59"/>
    <w:rsid w:val="00200854"/>
    <w:rsid w:val="00201974"/>
    <w:rsid w:val="00202066"/>
    <w:rsid w:val="00202D2D"/>
    <w:rsid w:val="002033BA"/>
    <w:rsid w:val="002033C6"/>
    <w:rsid w:val="00203409"/>
    <w:rsid w:val="002039A5"/>
    <w:rsid w:val="00203D22"/>
    <w:rsid w:val="0020489F"/>
    <w:rsid w:val="0020579F"/>
    <w:rsid w:val="00205EF2"/>
    <w:rsid w:val="0020661B"/>
    <w:rsid w:val="00206A73"/>
    <w:rsid w:val="00206ADF"/>
    <w:rsid w:val="00206B8B"/>
    <w:rsid w:val="00206CBE"/>
    <w:rsid w:val="00206CEA"/>
    <w:rsid w:val="002077D4"/>
    <w:rsid w:val="002111D2"/>
    <w:rsid w:val="002124E2"/>
    <w:rsid w:val="00213246"/>
    <w:rsid w:val="00213B3D"/>
    <w:rsid w:val="0021552A"/>
    <w:rsid w:val="00215873"/>
    <w:rsid w:val="00215A44"/>
    <w:rsid w:val="00216CAC"/>
    <w:rsid w:val="00216E3B"/>
    <w:rsid w:val="00217962"/>
    <w:rsid w:val="0021799D"/>
    <w:rsid w:val="0022027B"/>
    <w:rsid w:val="0022254A"/>
    <w:rsid w:val="00222D8E"/>
    <w:rsid w:val="00222E0D"/>
    <w:rsid w:val="00223739"/>
    <w:rsid w:val="00224C29"/>
    <w:rsid w:val="00225763"/>
    <w:rsid w:val="0022623E"/>
    <w:rsid w:val="00226277"/>
    <w:rsid w:val="00226C14"/>
    <w:rsid w:val="00227B9F"/>
    <w:rsid w:val="00230543"/>
    <w:rsid w:val="00230FAE"/>
    <w:rsid w:val="00232469"/>
    <w:rsid w:val="002333C8"/>
    <w:rsid w:val="0023364B"/>
    <w:rsid w:val="00233DC7"/>
    <w:rsid w:val="00234D7A"/>
    <w:rsid w:val="00234F2A"/>
    <w:rsid w:val="00235DB2"/>
    <w:rsid w:val="00235F41"/>
    <w:rsid w:val="00236224"/>
    <w:rsid w:val="002371D1"/>
    <w:rsid w:val="002373A4"/>
    <w:rsid w:val="0024042B"/>
    <w:rsid w:val="00241A01"/>
    <w:rsid w:val="00242001"/>
    <w:rsid w:val="00242895"/>
    <w:rsid w:val="00242DF7"/>
    <w:rsid w:val="002439EF"/>
    <w:rsid w:val="0024461F"/>
    <w:rsid w:val="0024467E"/>
    <w:rsid w:val="00247779"/>
    <w:rsid w:val="00247951"/>
    <w:rsid w:val="00247DD1"/>
    <w:rsid w:val="00250A66"/>
    <w:rsid w:val="002510A4"/>
    <w:rsid w:val="00251560"/>
    <w:rsid w:val="0025181C"/>
    <w:rsid w:val="00251873"/>
    <w:rsid w:val="00251B54"/>
    <w:rsid w:val="00251F1E"/>
    <w:rsid w:val="00252006"/>
    <w:rsid w:val="002523B7"/>
    <w:rsid w:val="00253310"/>
    <w:rsid w:val="0025443C"/>
    <w:rsid w:val="0025558B"/>
    <w:rsid w:val="00255E74"/>
    <w:rsid w:val="00256783"/>
    <w:rsid w:val="00256BD8"/>
    <w:rsid w:val="002606C0"/>
    <w:rsid w:val="00261519"/>
    <w:rsid w:val="00261C29"/>
    <w:rsid w:val="00263B08"/>
    <w:rsid w:val="00263B4A"/>
    <w:rsid w:val="00264FBD"/>
    <w:rsid w:val="002655E4"/>
    <w:rsid w:val="0026580F"/>
    <w:rsid w:val="00266695"/>
    <w:rsid w:val="00266C43"/>
    <w:rsid w:val="00266C6B"/>
    <w:rsid w:val="002671BE"/>
    <w:rsid w:val="0026752A"/>
    <w:rsid w:val="00267A33"/>
    <w:rsid w:val="00267E60"/>
    <w:rsid w:val="00270594"/>
    <w:rsid w:val="002712B9"/>
    <w:rsid w:val="00271600"/>
    <w:rsid w:val="00271C5B"/>
    <w:rsid w:val="00271DF7"/>
    <w:rsid w:val="00271E9E"/>
    <w:rsid w:val="0027227D"/>
    <w:rsid w:val="00272763"/>
    <w:rsid w:val="00272C23"/>
    <w:rsid w:val="0027365B"/>
    <w:rsid w:val="0027383B"/>
    <w:rsid w:val="002738EE"/>
    <w:rsid w:val="00274321"/>
    <w:rsid w:val="0027452D"/>
    <w:rsid w:val="002746D8"/>
    <w:rsid w:val="00275591"/>
    <w:rsid w:val="002759D2"/>
    <w:rsid w:val="00275FD0"/>
    <w:rsid w:val="00276640"/>
    <w:rsid w:val="00280026"/>
    <w:rsid w:val="00280192"/>
    <w:rsid w:val="00280C83"/>
    <w:rsid w:val="00280D62"/>
    <w:rsid w:val="00280FDE"/>
    <w:rsid w:val="002813FA"/>
    <w:rsid w:val="002817B1"/>
    <w:rsid w:val="002821CF"/>
    <w:rsid w:val="002822F2"/>
    <w:rsid w:val="00282365"/>
    <w:rsid w:val="00282923"/>
    <w:rsid w:val="00282C9D"/>
    <w:rsid w:val="0028315B"/>
    <w:rsid w:val="00283452"/>
    <w:rsid w:val="00283523"/>
    <w:rsid w:val="00284019"/>
    <w:rsid w:val="0028438F"/>
    <w:rsid w:val="002847BE"/>
    <w:rsid w:val="00285BEE"/>
    <w:rsid w:val="002863AE"/>
    <w:rsid w:val="002864FB"/>
    <w:rsid w:val="0028652B"/>
    <w:rsid w:val="00286A83"/>
    <w:rsid w:val="00286F1F"/>
    <w:rsid w:val="00287904"/>
    <w:rsid w:val="00287AEA"/>
    <w:rsid w:val="00287B3F"/>
    <w:rsid w:val="00288710"/>
    <w:rsid w:val="00290553"/>
    <w:rsid w:val="002909AB"/>
    <w:rsid w:val="00290D1C"/>
    <w:rsid w:val="00290E8F"/>
    <w:rsid w:val="00291F8D"/>
    <w:rsid w:val="00292683"/>
    <w:rsid w:val="00292952"/>
    <w:rsid w:val="002941C6"/>
    <w:rsid w:val="002946B5"/>
    <w:rsid w:val="0029533F"/>
    <w:rsid w:val="002955A0"/>
    <w:rsid w:val="00295657"/>
    <w:rsid w:val="00295797"/>
    <w:rsid w:val="00295F4E"/>
    <w:rsid w:val="0029661B"/>
    <w:rsid w:val="00296E7C"/>
    <w:rsid w:val="00296F77"/>
    <w:rsid w:val="00297E62"/>
    <w:rsid w:val="002A0CAE"/>
    <w:rsid w:val="002A15E3"/>
    <w:rsid w:val="002A1852"/>
    <w:rsid w:val="002A1BF4"/>
    <w:rsid w:val="002A216C"/>
    <w:rsid w:val="002A21E9"/>
    <w:rsid w:val="002A23C5"/>
    <w:rsid w:val="002A2DCA"/>
    <w:rsid w:val="002A381F"/>
    <w:rsid w:val="002A3CB5"/>
    <w:rsid w:val="002A3FB0"/>
    <w:rsid w:val="002A422D"/>
    <w:rsid w:val="002A4AF6"/>
    <w:rsid w:val="002A50CD"/>
    <w:rsid w:val="002A6A08"/>
    <w:rsid w:val="002A7234"/>
    <w:rsid w:val="002A758F"/>
    <w:rsid w:val="002B0A09"/>
    <w:rsid w:val="002B0A71"/>
    <w:rsid w:val="002B1027"/>
    <w:rsid w:val="002B1E99"/>
    <w:rsid w:val="002B29B1"/>
    <w:rsid w:val="002B30AF"/>
    <w:rsid w:val="002B4A43"/>
    <w:rsid w:val="002B4DE0"/>
    <w:rsid w:val="002B5196"/>
    <w:rsid w:val="002B5330"/>
    <w:rsid w:val="002B555D"/>
    <w:rsid w:val="002B64E0"/>
    <w:rsid w:val="002B69EE"/>
    <w:rsid w:val="002B75A3"/>
    <w:rsid w:val="002B7FFD"/>
    <w:rsid w:val="002C01E4"/>
    <w:rsid w:val="002C02BA"/>
    <w:rsid w:val="002C0520"/>
    <w:rsid w:val="002C180C"/>
    <w:rsid w:val="002C1FEB"/>
    <w:rsid w:val="002C20A2"/>
    <w:rsid w:val="002C2440"/>
    <w:rsid w:val="002C4E11"/>
    <w:rsid w:val="002C5710"/>
    <w:rsid w:val="002C5799"/>
    <w:rsid w:val="002C59D8"/>
    <w:rsid w:val="002C5F1D"/>
    <w:rsid w:val="002C6046"/>
    <w:rsid w:val="002C62A8"/>
    <w:rsid w:val="002C64F7"/>
    <w:rsid w:val="002C7C32"/>
    <w:rsid w:val="002D03B3"/>
    <w:rsid w:val="002D1456"/>
    <w:rsid w:val="002D2A5C"/>
    <w:rsid w:val="002D30C7"/>
    <w:rsid w:val="002D38EE"/>
    <w:rsid w:val="002D3B70"/>
    <w:rsid w:val="002D3F16"/>
    <w:rsid w:val="002D3FC0"/>
    <w:rsid w:val="002D4137"/>
    <w:rsid w:val="002D4750"/>
    <w:rsid w:val="002D48F2"/>
    <w:rsid w:val="002D5424"/>
    <w:rsid w:val="002D552C"/>
    <w:rsid w:val="002D5C16"/>
    <w:rsid w:val="002D65D2"/>
    <w:rsid w:val="002D6D8F"/>
    <w:rsid w:val="002D6DF4"/>
    <w:rsid w:val="002D785B"/>
    <w:rsid w:val="002D7C83"/>
    <w:rsid w:val="002E0FBD"/>
    <w:rsid w:val="002E1D0C"/>
    <w:rsid w:val="002E1F20"/>
    <w:rsid w:val="002E2C87"/>
    <w:rsid w:val="002E3132"/>
    <w:rsid w:val="002E3599"/>
    <w:rsid w:val="002E45F0"/>
    <w:rsid w:val="002E5771"/>
    <w:rsid w:val="002E59FA"/>
    <w:rsid w:val="002E65A3"/>
    <w:rsid w:val="002E66CF"/>
    <w:rsid w:val="002E6D2A"/>
    <w:rsid w:val="002E6DD3"/>
    <w:rsid w:val="002E6E9C"/>
    <w:rsid w:val="002E6EE2"/>
    <w:rsid w:val="002E72F5"/>
    <w:rsid w:val="002F051A"/>
    <w:rsid w:val="002F1167"/>
    <w:rsid w:val="002F354F"/>
    <w:rsid w:val="002F357A"/>
    <w:rsid w:val="002F4419"/>
    <w:rsid w:val="002F4512"/>
    <w:rsid w:val="002F4C67"/>
    <w:rsid w:val="002F4CFF"/>
    <w:rsid w:val="002F655D"/>
    <w:rsid w:val="002F6999"/>
    <w:rsid w:val="002F6E07"/>
    <w:rsid w:val="002F6F12"/>
    <w:rsid w:val="002F71FD"/>
    <w:rsid w:val="002F7B50"/>
    <w:rsid w:val="002F7D2C"/>
    <w:rsid w:val="00300772"/>
    <w:rsid w:val="0030141C"/>
    <w:rsid w:val="0030159C"/>
    <w:rsid w:val="00301E1E"/>
    <w:rsid w:val="00301E9B"/>
    <w:rsid w:val="00302108"/>
    <w:rsid w:val="0030269F"/>
    <w:rsid w:val="003027CC"/>
    <w:rsid w:val="00303C8F"/>
    <w:rsid w:val="00304EBA"/>
    <w:rsid w:val="0030528E"/>
    <w:rsid w:val="003067DB"/>
    <w:rsid w:val="0030687B"/>
    <w:rsid w:val="003100D8"/>
    <w:rsid w:val="00310129"/>
    <w:rsid w:val="003106BB"/>
    <w:rsid w:val="00310810"/>
    <w:rsid w:val="00310BB6"/>
    <w:rsid w:val="00310D30"/>
    <w:rsid w:val="003111B4"/>
    <w:rsid w:val="0031220E"/>
    <w:rsid w:val="00312601"/>
    <w:rsid w:val="00312E88"/>
    <w:rsid w:val="00313918"/>
    <w:rsid w:val="0031464B"/>
    <w:rsid w:val="0031503A"/>
    <w:rsid w:val="0031587C"/>
    <w:rsid w:val="0031599B"/>
    <w:rsid w:val="00315AF8"/>
    <w:rsid w:val="00315B63"/>
    <w:rsid w:val="003160AD"/>
    <w:rsid w:val="003168D5"/>
    <w:rsid w:val="00316A99"/>
    <w:rsid w:val="0031723A"/>
    <w:rsid w:val="003176D9"/>
    <w:rsid w:val="003179D2"/>
    <w:rsid w:val="00320255"/>
    <w:rsid w:val="00320346"/>
    <w:rsid w:val="003206F3"/>
    <w:rsid w:val="003208EC"/>
    <w:rsid w:val="003208F5"/>
    <w:rsid w:val="003226CD"/>
    <w:rsid w:val="003227C2"/>
    <w:rsid w:val="0032335F"/>
    <w:rsid w:val="00324347"/>
    <w:rsid w:val="00324455"/>
    <w:rsid w:val="00324C30"/>
    <w:rsid w:val="00324E89"/>
    <w:rsid w:val="00325C2B"/>
    <w:rsid w:val="00325EAF"/>
    <w:rsid w:val="00326308"/>
    <w:rsid w:val="00326812"/>
    <w:rsid w:val="00326954"/>
    <w:rsid w:val="00327053"/>
    <w:rsid w:val="00327A04"/>
    <w:rsid w:val="00330FFC"/>
    <w:rsid w:val="0033100D"/>
    <w:rsid w:val="00331287"/>
    <w:rsid w:val="00332137"/>
    <w:rsid w:val="003328A5"/>
    <w:rsid w:val="00332FE6"/>
    <w:rsid w:val="0033344A"/>
    <w:rsid w:val="0033452E"/>
    <w:rsid w:val="00334944"/>
    <w:rsid w:val="00334A00"/>
    <w:rsid w:val="00334A46"/>
    <w:rsid w:val="00334ABA"/>
    <w:rsid w:val="003351CB"/>
    <w:rsid w:val="00335544"/>
    <w:rsid w:val="003368E5"/>
    <w:rsid w:val="00340191"/>
    <w:rsid w:val="003402FE"/>
    <w:rsid w:val="00340BE3"/>
    <w:rsid w:val="003410DD"/>
    <w:rsid w:val="003418C8"/>
    <w:rsid w:val="0034196C"/>
    <w:rsid w:val="003423FD"/>
    <w:rsid w:val="0034347E"/>
    <w:rsid w:val="00345587"/>
    <w:rsid w:val="00345A13"/>
    <w:rsid w:val="003466B2"/>
    <w:rsid w:val="00346909"/>
    <w:rsid w:val="00347DCE"/>
    <w:rsid w:val="00347F71"/>
    <w:rsid w:val="00350D94"/>
    <w:rsid w:val="00350FA6"/>
    <w:rsid w:val="0035140B"/>
    <w:rsid w:val="003514DD"/>
    <w:rsid w:val="00352713"/>
    <w:rsid w:val="00353771"/>
    <w:rsid w:val="003539B3"/>
    <w:rsid w:val="003544DE"/>
    <w:rsid w:val="00354521"/>
    <w:rsid w:val="00354AA4"/>
    <w:rsid w:val="00354DA8"/>
    <w:rsid w:val="003553E2"/>
    <w:rsid w:val="003562D7"/>
    <w:rsid w:val="00356E64"/>
    <w:rsid w:val="00356ED6"/>
    <w:rsid w:val="003578B4"/>
    <w:rsid w:val="00357D7D"/>
    <w:rsid w:val="00360C50"/>
    <w:rsid w:val="003610C3"/>
    <w:rsid w:val="003615E0"/>
    <w:rsid w:val="003617A7"/>
    <w:rsid w:val="0036228E"/>
    <w:rsid w:val="0036268C"/>
    <w:rsid w:val="00363273"/>
    <w:rsid w:val="0036351A"/>
    <w:rsid w:val="0036366B"/>
    <w:rsid w:val="00363700"/>
    <w:rsid w:val="00363F28"/>
    <w:rsid w:val="00364DC7"/>
    <w:rsid w:val="00365791"/>
    <w:rsid w:val="00365D25"/>
    <w:rsid w:val="00366563"/>
    <w:rsid w:val="00366B47"/>
    <w:rsid w:val="00370613"/>
    <w:rsid w:val="00370876"/>
    <w:rsid w:val="00371AA6"/>
    <w:rsid w:val="00371CB4"/>
    <w:rsid w:val="0037415E"/>
    <w:rsid w:val="00374903"/>
    <w:rsid w:val="00374E81"/>
    <w:rsid w:val="003750D4"/>
    <w:rsid w:val="00375A8F"/>
    <w:rsid w:val="00375C92"/>
    <w:rsid w:val="00376470"/>
    <w:rsid w:val="00376EBF"/>
    <w:rsid w:val="0037712F"/>
    <w:rsid w:val="00377149"/>
    <w:rsid w:val="00377A7D"/>
    <w:rsid w:val="003803FC"/>
    <w:rsid w:val="00380580"/>
    <w:rsid w:val="00381885"/>
    <w:rsid w:val="00382AB3"/>
    <w:rsid w:val="00382CDC"/>
    <w:rsid w:val="00384675"/>
    <w:rsid w:val="00384767"/>
    <w:rsid w:val="00384E88"/>
    <w:rsid w:val="00385168"/>
    <w:rsid w:val="003855E0"/>
    <w:rsid w:val="00385701"/>
    <w:rsid w:val="003857B2"/>
    <w:rsid w:val="00386587"/>
    <w:rsid w:val="00386C14"/>
    <w:rsid w:val="0038705D"/>
    <w:rsid w:val="003874C1"/>
    <w:rsid w:val="00387E5F"/>
    <w:rsid w:val="003902D1"/>
    <w:rsid w:val="00390339"/>
    <w:rsid w:val="0039051A"/>
    <w:rsid w:val="0039309F"/>
    <w:rsid w:val="0039334C"/>
    <w:rsid w:val="003935BD"/>
    <w:rsid w:val="00393E46"/>
    <w:rsid w:val="00394436"/>
    <w:rsid w:val="00394850"/>
    <w:rsid w:val="00394C2B"/>
    <w:rsid w:val="003952FC"/>
    <w:rsid w:val="00395A7C"/>
    <w:rsid w:val="003962D4"/>
    <w:rsid w:val="00396535"/>
    <w:rsid w:val="003966D4"/>
    <w:rsid w:val="00396C3E"/>
    <w:rsid w:val="00396F88"/>
    <w:rsid w:val="00397676"/>
    <w:rsid w:val="003A07C4"/>
    <w:rsid w:val="003A31A6"/>
    <w:rsid w:val="003A32E5"/>
    <w:rsid w:val="003A36F8"/>
    <w:rsid w:val="003A3AB2"/>
    <w:rsid w:val="003A4595"/>
    <w:rsid w:val="003A4944"/>
    <w:rsid w:val="003A4DC3"/>
    <w:rsid w:val="003A54A5"/>
    <w:rsid w:val="003A5526"/>
    <w:rsid w:val="003A5B69"/>
    <w:rsid w:val="003A6769"/>
    <w:rsid w:val="003A6D3F"/>
    <w:rsid w:val="003B04E3"/>
    <w:rsid w:val="003B0E33"/>
    <w:rsid w:val="003B10F5"/>
    <w:rsid w:val="003B1351"/>
    <w:rsid w:val="003B1B22"/>
    <w:rsid w:val="003B1D6E"/>
    <w:rsid w:val="003B1F1E"/>
    <w:rsid w:val="003B27E4"/>
    <w:rsid w:val="003B2EB5"/>
    <w:rsid w:val="003B3D64"/>
    <w:rsid w:val="003B3EED"/>
    <w:rsid w:val="003B4475"/>
    <w:rsid w:val="003B4553"/>
    <w:rsid w:val="003B46C2"/>
    <w:rsid w:val="003B662D"/>
    <w:rsid w:val="003B6957"/>
    <w:rsid w:val="003B6D5B"/>
    <w:rsid w:val="003B7585"/>
    <w:rsid w:val="003B7A50"/>
    <w:rsid w:val="003B8374"/>
    <w:rsid w:val="003C02A1"/>
    <w:rsid w:val="003C0376"/>
    <w:rsid w:val="003C104E"/>
    <w:rsid w:val="003C2274"/>
    <w:rsid w:val="003C2813"/>
    <w:rsid w:val="003C3B08"/>
    <w:rsid w:val="003C452D"/>
    <w:rsid w:val="003C59E5"/>
    <w:rsid w:val="003C67E6"/>
    <w:rsid w:val="003D0052"/>
    <w:rsid w:val="003D071B"/>
    <w:rsid w:val="003D09FB"/>
    <w:rsid w:val="003D0A14"/>
    <w:rsid w:val="003D11DE"/>
    <w:rsid w:val="003D264D"/>
    <w:rsid w:val="003D2EF0"/>
    <w:rsid w:val="003D361B"/>
    <w:rsid w:val="003D3868"/>
    <w:rsid w:val="003D3FEF"/>
    <w:rsid w:val="003D4F20"/>
    <w:rsid w:val="003D5866"/>
    <w:rsid w:val="003D5C21"/>
    <w:rsid w:val="003D5C54"/>
    <w:rsid w:val="003D5FB2"/>
    <w:rsid w:val="003D6C21"/>
    <w:rsid w:val="003D6F47"/>
    <w:rsid w:val="003D7B97"/>
    <w:rsid w:val="003E05FD"/>
    <w:rsid w:val="003E204F"/>
    <w:rsid w:val="003E245D"/>
    <w:rsid w:val="003E286A"/>
    <w:rsid w:val="003E2A9A"/>
    <w:rsid w:val="003E34C2"/>
    <w:rsid w:val="003E3935"/>
    <w:rsid w:val="003E4194"/>
    <w:rsid w:val="003E4798"/>
    <w:rsid w:val="003E482A"/>
    <w:rsid w:val="003E5E60"/>
    <w:rsid w:val="003E6058"/>
    <w:rsid w:val="003E6F6D"/>
    <w:rsid w:val="003E7F0F"/>
    <w:rsid w:val="003F0FD8"/>
    <w:rsid w:val="003F15F0"/>
    <w:rsid w:val="003F167B"/>
    <w:rsid w:val="003F1E8E"/>
    <w:rsid w:val="003F23F9"/>
    <w:rsid w:val="003F27CF"/>
    <w:rsid w:val="003F2CA4"/>
    <w:rsid w:val="003F3DD5"/>
    <w:rsid w:val="003F4B12"/>
    <w:rsid w:val="003F5F62"/>
    <w:rsid w:val="003F6B92"/>
    <w:rsid w:val="00400AAF"/>
    <w:rsid w:val="00401755"/>
    <w:rsid w:val="00401AA7"/>
    <w:rsid w:val="00404190"/>
    <w:rsid w:val="00405244"/>
    <w:rsid w:val="00405676"/>
    <w:rsid w:val="004065CF"/>
    <w:rsid w:val="004068EE"/>
    <w:rsid w:val="00407AC1"/>
    <w:rsid w:val="00410136"/>
    <w:rsid w:val="004116F2"/>
    <w:rsid w:val="004118CE"/>
    <w:rsid w:val="0041198A"/>
    <w:rsid w:val="00411D74"/>
    <w:rsid w:val="00411EC1"/>
    <w:rsid w:val="00412BD0"/>
    <w:rsid w:val="00412FF6"/>
    <w:rsid w:val="0041306A"/>
    <w:rsid w:val="004131CF"/>
    <w:rsid w:val="0041332F"/>
    <w:rsid w:val="00413472"/>
    <w:rsid w:val="00414057"/>
    <w:rsid w:val="00414641"/>
    <w:rsid w:val="00415830"/>
    <w:rsid w:val="00415894"/>
    <w:rsid w:val="00415B09"/>
    <w:rsid w:val="00415B8B"/>
    <w:rsid w:val="004160D4"/>
    <w:rsid w:val="00416A7F"/>
    <w:rsid w:val="00416BF7"/>
    <w:rsid w:val="00416C90"/>
    <w:rsid w:val="00417CB2"/>
    <w:rsid w:val="004202B9"/>
    <w:rsid w:val="004202F1"/>
    <w:rsid w:val="004204BE"/>
    <w:rsid w:val="0042128A"/>
    <w:rsid w:val="004220A8"/>
    <w:rsid w:val="00422280"/>
    <w:rsid w:val="00422A43"/>
    <w:rsid w:val="00422B98"/>
    <w:rsid w:val="00422DD1"/>
    <w:rsid w:val="00422E2A"/>
    <w:rsid w:val="00423EE4"/>
    <w:rsid w:val="0042470B"/>
    <w:rsid w:val="004248C3"/>
    <w:rsid w:val="00425E31"/>
    <w:rsid w:val="0042648E"/>
    <w:rsid w:val="004270C4"/>
    <w:rsid w:val="00427B04"/>
    <w:rsid w:val="00430133"/>
    <w:rsid w:val="00430145"/>
    <w:rsid w:val="00430518"/>
    <w:rsid w:val="00430768"/>
    <w:rsid w:val="00431599"/>
    <w:rsid w:val="00431777"/>
    <w:rsid w:val="00433682"/>
    <w:rsid w:val="004345FB"/>
    <w:rsid w:val="00434BC9"/>
    <w:rsid w:val="00435CFF"/>
    <w:rsid w:val="00435F6A"/>
    <w:rsid w:val="004360A9"/>
    <w:rsid w:val="004362CF"/>
    <w:rsid w:val="00436FCC"/>
    <w:rsid w:val="00440AEA"/>
    <w:rsid w:val="0044117D"/>
    <w:rsid w:val="00441575"/>
    <w:rsid w:val="0044176C"/>
    <w:rsid w:val="00442954"/>
    <w:rsid w:val="00442A61"/>
    <w:rsid w:val="00443640"/>
    <w:rsid w:val="004437A9"/>
    <w:rsid w:val="004437DE"/>
    <w:rsid w:val="00445039"/>
    <w:rsid w:val="004458A0"/>
    <w:rsid w:val="00446618"/>
    <w:rsid w:val="00446C04"/>
    <w:rsid w:val="00446C36"/>
    <w:rsid w:val="00446EE4"/>
    <w:rsid w:val="0044774D"/>
    <w:rsid w:val="00447E8C"/>
    <w:rsid w:val="00447EED"/>
    <w:rsid w:val="00447FBE"/>
    <w:rsid w:val="0045005B"/>
    <w:rsid w:val="00451F86"/>
    <w:rsid w:val="00452301"/>
    <w:rsid w:val="004527B3"/>
    <w:rsid w:val="0045313D"/>
    <w:rsid w:val="00454359"/>
    <w:rsid w:val="0045490D"/>
    <w:rsid w:val="00454E8C"/>
    <w:rsid w:val="00454FF9"/>
    <w:rsid w:val="00455F52"/>
    <w:rsid w:val="00456FCB"/>
    <w:rsid w:val="004573F8"/>
    <w:rsid w:val="00457566"/>
    <w:rsid w:val="004575D0"/>
    <w:rsid w:val="004576B7"/>
    <w:rsid w:val="004578B2"/>
    <w:rsid w:val="004601C1"/>
    <w:rsid w:val="00460CA9"/>
    <w:rsid w:val="00461407"/>
    <w:rsid w:val="00461464"/>
    <w:rsid w:val="00461D40"/>
    <w:rsid w:val="004622B1"/>
    <w:rsid w:val="0046266D"/>
    <w:rsid w:val="00463346"/>
    <w:rsid w:val="00463799"/>
    <w:rsid w:val="00463B96"/>
    <w:rsid w:val="00464069"/>
    <w:rsid w:val="00464823"/>
    <w:rsid w:val="00464C8E"/>
    <w:rsid w:val="00466723"/>
    <w:rsid w:val="00466A5D"/>
    <w:rsid w:val="00466CEE"/>
    <w:rsid w:val="004678FD"/>
    <w:rsid w:val="004714DF"/>
    <w:rsid w:val="004716B3"/>
    <w:rsid w:val="00471986"/>
    <w:rsid w:val="00471D4E"/>
    <w:rsid w:val="0047231C"/>
    <w:rsid w:val="004725FB"/>
    <w:rsid w:val="00472617"/>
    <w:rsid w:val="004732E0"/>
    <w:rsid w:val="00474334"/>
    <w:rsid w:val="00474593"/>
    <w:rsid w:val="00474B6A"/>
    <w:rsid w:val="004756C2"/>
    <w:rsid w:val="004762B9"/>
    <w:rsid w:val="004770F2"/>
    <w:rsid w:val="00477265"/>
    <w:rsid w:val="00477269"/>
    <w:rsid w:val="004775E0"/>
    <w:rsid w:val="004777CE"/>
    <w:rsid w:val="00477DFB"/>
    <w:rsid w:val="0047F384"/>
    <w:rsid w:val="00480B3F"/>
    <w:rsid w:val="00480DEA"/>
    <w:rsid w:val="00481C1A"/>
    <w:rsid w:val="00481DAE"/>
    <w:rsid w:val="00482D5A"/>
    <w:rsid w:val="0048446A"/>
    <w:rsid w:val="00484901"/>
    <w:rsid w:val="00484ED8"/>
    <w:rsid w:val="00485387"/>
    <w:rsid w:val="00485509"/>
    <w:rsid w:val="00485BAF"/>
    <w:rsid w:val="00485C3E"/>
    <w:rsid w:val="00485EC0"/>
    <w:rsid w:val="00486526"/>
    <w:rsid w:val="00486E77"/>
    <w:rsid w:val="00487350"/>
    <w:rsid w:val="004878C2"/>
    <w:rsid w:val="00491647"/>
    <w:rsid w:val="004916C2"/>
    <w:rsid w:val="00491F84"/>
    <w:rsid w:val="00492904"/>
    <w:rsid w:val="004936D2"/>
    <w:rsid w:val="00493734"/>
    <w:rsid w:val="00493B32"/>
    <w:rsid w:val="00493EB9"/>
    <w:rsid w:val="00493FEE"/>
    <w:rsid w:val="00494042"/>
    <w:rsid w:val="00495220"/>
    <w:rsid w:val="00495896"/>
    <w:rsid w:val="00495EFD"/>
    <w:rsid w:val="0049602C"/>
    <w:rsid w:val="004966FD"/>
    <w:rsid w:val="004969CF"/>
    <w:rsid w:val="00496D4B"/>
    <w:rsid w:val="00497364"/>
    <w:rsid w:val="00497A63"/>
    <w:rsid w:val="00497BEA"/>
    <w:rsid w:val="004A02A2"/>
    <w:rsid w:val="004A03E5"/>
    <w:rsid w:val="004A0A00"/>
    <w:rsid w:val="004A0A78"/>
    <w:rsid w:val="004A1B60"/>
    <w:rsid w:val="004A219E"/>
    <w:rsid w:val="004A31F2"/>
    <w:rsid w:val="004A3C48"/>
    <w:rsid w:val="004A3F7D"/>
    <w:rsid w:val="004A49CD"/>
    <w:rsid w:val="004A4AF2"/>
    <w:rsid w:val="004A697D"/>
    <w:rsid w:val="004A7AAE"/>
    <w:rsid w:val="004A7D9F"/>
    <w:rsid w:val="004B1880"/>
    <w:rsid w:val="004B1DE3"/>
    <w:rsid w:val="004B1E5B"/>
    <w:rsid w:val="004B2A2A"/>
    <w:rsid w:val="004B5602"/>
    <w:rsid w:val="004B5980"/>
    <w:rsid w:val="004B5AD6"/>
    <w:rsid w:val="004B63F6"/>
    <w:rsid w:val="004B6594"/>
    <w:rsid w:val="004B7725"/>
    <w:rsid w:val="004B773E"/>
    <w:rsid w:val="004C05BA"/>
    <w:rsid w:val="004C0745"/>
    <w:rsid w:val="004C0884"/>
    <w:rsid w:val="004C0C35"/>
    <w:rsid w:val="004C1352"/>
    <w:rsid w:val="004C3697"/>
    <w:rsid w:val="004C3E71"/>
    <w:rsid w:val="004C4279"/>
    <w:rsid w:val="004C4B2A"/>
    <w:rsid w:val="004C5153"/>
    <w:rsid w:val="004C5763"/>
    <w:rsid w:val="004C5B58"/>
    <w:rsid w:val="004C5F31"/>
    <w:rsid w:val="004C66FA"/>
    <w:rsid w:val="004C6A58"/>
    <w:rsid w:val="004C7FDC"/>
    <w:rsid w:val="004D0229"/>
    <w:rsid w:val="004D0402"/>
    <w:rsid w:val="004D07BD"/>
    <w:rsid w:val="004D07F3"/>
    <w:rsid w:val="004D12F8"/>
    <w:rsid w:val="004D141F"/>
    <w:rsid w:val="004D1785"/>
    <w:rsid w:val="004D1EF4"/>
    <w:rsid w:val="004D33E4"/>
    <w:rsid w:val="004D3809"/>
    <w:rsid w:val="004D3F94"/>
    <w:rsid w:val="004D5050"/>
    <w:rsid w:val="004D510A"/>
    <w:rsid w:val="004D5178"/>
    <w:rsid w:val="004D55CA"/>
    <w:rsid w:val="004D593E"/>
    <w:rsid w:val="004D5CAA"/>
    <w:rsid w:val="004D634E"/>
    <w:rsid w:val="004D6511"/>
    <w:rsid w:val="004D6AB1"/>
    <w:rsid w:val="004D7764"/>
    <w:rsid w:val="004D77A6"/>
    <w:rsid w:val="004D77CC"/>
    <w:rsid w:val="004D7A2D"/>
    <w:rsid w:val="004D7B88"/>
    <w:rsid w:val="004E00D6"/>
    <w:rsid w:val="004E05DF"/>
    <w:rsid w:val="004E2BFC"/>
    <w:rsid w:val="004E2F2F"/>
    <w:rsid w:val="004E2FBD"/>
    <w:rsid w:val="004E3E2A"/>
    <w:rsid w:val="004E4934"/>
    <w:rsid w:val="004E4B32"/>
    <w:rsid w:val="004E4DE9"/>
    <w:rsid w:val="004E51A3"/>
    <w:rsid w:val="004E5214"/>
    <w:rsid w:val="004E64AD"/>
    <w:rsid w:val="004E659C"/>
    <w:rsid w:val="004E6F2C"/>
    <w:rsid w:val="004E7835"/>
    <w:rsid w:val="004E7CEC"/>
    <w:rsid w:val="004F125A"/>
    <w:rsid w:val="004F139E"/>
    <w:rsid w:val="004F182B"/>
    <w:rsid w:val="004F1905"/>
    <w:rsid w:val="004F216F"/>
    <w:rsid w:val="004F39DD"/>
    <w:rsid w:val="004F462F"/>
    <w:rsid w:val="004F48F8"/>
    <w:rsid w:val="004F4944"/>
    <w:rsid w:val="004F68A0"/>
    <w:rsid w:val="004F7309"/>
    <w:rsid w:val="004F7DED"/>
    <w:rsid w:val="005000AE"/>
    <w:rsid w:val="00500887"/>
    <w:rsid w:val="00501329"/>
    <w:rsid w:val="00501BA7"/>
    <w:rsid w:val="00501F00"/>
    <w:rsid w:val="005028DC"/>
    <w:rsid w:val="005029F3"/>
    <w:rsid w:val="00502B71"/>
    <w:rsid w:val="00502F33"/>
    <w:rsid w:val="00505496"/>
    <w:rsid w:val="005068A2"/>
    <w:rsid w:val="0050B9D2"/>
    <w:rsid w:val="00510042"/>
    <w:rsid w:val="005102A5"/>
    <w:rsid w:val="005107A4"/>
    <w:rsid w:val="00510B43"/>
    <w:rsid w:val="00510DEA"/>
    <w:rsid w:val="00510FE1"/>
    <w:rsid w:val="00512125"/>
    <w:rsid w:val="00515250"/>
    <w:rsid w:val="00515CB2"/>
    <w:rsid w:val="00515E53"/>
    <w:rsid w:val="005160CB"/>
    <w:rsid w:val="0051665D"/>
    <w:rsid w:val="0051740D"/>
    <w:rsid w:val="005178A1"/>
    <w:rsid w:val="005179C1"/>
    <w:rsid w:val="0052144D"/>
    <w:rsid w:val="005226AB"/>
    <w:rsid w:val="00522AF7"/>
    <w:rsid w:val="00522DB5"/>
    <w:rsid w:val="00523318"/>
    <w:rsid w:val="00523E6A"/>
    <w:rsid w:val="00524086"/>
    <w:rsid w:val="00524BF3"/>
    <w:rsid w:val="00524F55"/>
    <w:rsid w:val="00526624"/>
    <w:rsid w:val="005268B7"/>
    <w:rsid w:val="00526A3C"/>
    <w:rsid w:val="00526D0A"/>
    <w:rsid w:val="00526F1E"/>
    <w:rsid w:val="00527029"/>
    <w:rsid w:val="00527E8F"/>
    <w:rsid w:val="005304D6"/>
    <w:rsid w:val="005306F1"/>
    <w:rsid w:val="00530BAD"/>
    <w:rsid w:val="005319AB"/>
    <w:rsid w:val="0053205C"/>
    <w:rsid w:val="00532550"/>
    <w:rsid w:val="005328A7"/>
    <w:rsid w:val="00533507"/>
    <w:rsid w:val="00533938"/>
    <w:rsid w:val="00534154"/>
    <w:rsid w:val="00534E3E"/>
    <w:rsid w:val="00534FE9"/>
    <w:rsid w:val="005360DF"/>
    <w:rsid w:val="00536621"/>
    <w:rsid w:val="00536940"/>
    <w:rsid w:val="00537D3C"/>
    <w:rsid w:val="005403E1"/>
    <w:rsid w:val="00540634"/>
    <w:rsid w:val="005407C2"/>
    <w:rsid w:val="00540914"/>
    <w:rsid w:val="0054149A"/>
    <w:rsid w:val="005415F2"/>
    <w:rsid w:val="0054222A"/>
    <w:rsid w:val="005428D6"/>
    <w:rsid w:val="00542E9E"/>
    <w:rsid w:val="00542F8D"/>
    <w:rsid w:val="0054391B"/>
    <w:rsid w:val="00543DA3"/>
    <w:rsid w:val="0054418E"/>
    <w:rsid w:val="0054435B"/>
    <w:rsid w:val="005443A7"/>
    <w:rsid w:val="00544776"/>
    <w:rsid w:val="00544FF5"/>
    <w:rsid w:val="0054500E"/>
    <w:rsid w:val="00545243"/>
    <w:rsid w:val="00545660"/>
    <w:rsid w:val="005466CA"/>
    <w:rsid w:val="00546CB0"/>
    <w:rsid w:val="00546D05"/>
    <w:rsid w:val="00547263"/>
    <w:rsid w:val="0054729B"/>
    <w:rsid w:val="00547647"/>
    <w:rsid w:val="00549763"/>
    <w:rsid w:val="00550545"/>
    <w:rsid w:val="00550961"/>
    <w:rsid w:val="00550BB2"/>
    <w:rsid w:val="00552105"/>
    <w:rsid w:val="00552B92"/>
    <w:rsid w:val="00552C80"/>
    <w:rsid w:val="0055350D"/>
    <w:rsid w:val="00553E34"/>
    <w:rsid w:val="00554506"/>
    <w:rsid w:val="0055469A"/>
    <w:rsid w:val="00554778"/>
    <w:rsid w:val="00554887"/>
    <w:rsid w:val="0055500F"/>
    <w:rsid w:val="00555A10"/>
    <w:rsid w:val="00555B21"/>
    <w:rsid w:val="00555CA4"/>
    <w:rsid w:val="00561699"/>
    <w:rsid w:val="005617BA"/>
    <w:rsid w:val="00562399"/>
    <w:rsid w:val="00562913"/>
    <w:rsid w:val="00562B6F"/>
    <w:rsid w:val="005639F0"/>
    <w:rsid w:val="00563A9F"/>
    <w:rsid w:val="00564192"/>
    <w:rsid w:val="00564585"/>
    <w:rsid w:val="005649F1"/>
    <w:rsid w:val="0056528E"/>
    <w:rsid w:val="00567641"/>
    <w:rsid w:val="00567990"/>
    <w:rsid w:val="00567BE3"/>
    <w:rsid w:val="00567EA6"/>
    <w:rsid w:val="00570056"/>
    <w:rsid w:val="0057077D"/>
    <w:rsid w:val="005709B2"/>
    <w:rsid w:val="00570CB3"/>
    <w:rsid w:val="005720A9"/>
    <w:rsid w:val="005731A6"/>
    <w:rsid w:val="00573281"/>
    <w:rsid w:val="00573764"/>
    <w:rsid w:val="00573E98"/>
    <w:rsid w:val="0057457A"/>
    <w:rsid w:val="00574D4B"/>
    <w:rsid w:val="00574D81"/>
    <w:rsid w:val="00574F24"/>
    <w:rsid w:val="00575158"/>
    <w:rsid w:val="00575183"/>
    <w:rsid w:val="005757A8"/>
    <w:rsid w:val="00576F4D"/>
    <w:rsid w:val="00577409"/>
    <w:rsid w:val="00577C1D"/>
    <w:rsid w:val="00577D74"/>
    <w:rsid w:val="00577DD1"/>
    <w:rsid w:val="0057B4C9"/>
    <w:rsid w:val="0058142F"/>
    <w:rsid w:val="00583722"/>
    <w:rsid w:val="005837D8"/>
    <w:rsid w:val="00583BEE"/>
    <w:rsid w:val="00584006"/>
    <w:rsid w:val="005848A8"/>
    <w:rsid w:val="00586009"/>
    <w:rsid w:val="005860DE"/>
    <w:rsid w:val="00587159"/>
    <w:rsid w:val="00590CAD"/>
    <w:rsid w:val="0059141E"/>
    <w:rsid w:val="005919B4"/>
    <w:rsid w:val="00592BB3"/>
    <w:rsid w:val="005932BC"/>
    <w:rsid w:val="005935C7"/>
    <w:rsid w:val="00593E76"/>
    <w:rsid w:val="00594557"/>
    <w:rsid w:val="005945B7"/>
    <w:rsid w:val="005945C2"/>
    <w:rsid w:val="005946E1"/>
    <w:rsid w:val="005954C2"/>
    <w:rsid w:val="005964BE"/>
    <w:rsid w:val="005974B5"/>
    <w:rsid w:val="005A145C"/>
    <w:rsid w:val="005A1EBE"/>
    <w:rsid w:val="005A2BA7"/>
    <w:rsid w:val="005A3C24"/>
    <w:rsid w:val="005A4293"/>
    <w:rsid w:val="005A435A"/>
    <w:rsid w:val="005A5254"/>
    <w:rsid w:val="005A5BF6"/>
    <w:rsid w:val="005A5EC1"/>
    <w:rsid w:val="005A65FD"/>
    <w:rsid w:val="005A66ED"/>
    <w:rsid w:val="005A7C83"/>
    <w:rsid w:val="005A7F52"/>
    <w:rsid w:val="005B044E"/>
    <w:rsid w:val="005B0478"/>
    <w:rsid w:val="005B04C4"/>
    <w:rsid w:val="005B04E4"/>
    <w:rsid w:val="005B0C80"/>
    <w:rsid w:val="005B1CE5"/>
    <w:rsid w:val="005B1D1D"/>
    <w:rsid w:val="005B1EB6"/>
    <w:rsid w:val="005B22E0"/>
    <w:rsid w:val="005B254C"/>
    <w:rsid w:val="005B2A5A"/>
    <w:rsid w:val="005B2DC2"/>
    <w:rsid w:val="005B3EB2"/>
    <w:rsid w:val="005B4119"/>
    <w:rsid w:val="005B49F5"/>
    <w:rsid w:val="005B5F2B"/>
    <w:rsid w:val="005B69D4"/>
    <w:rsid w:val="005B6B50"/>
    <w:rsid w:val="005B74A2"/>
    <w:rsid w:val="005B7512"/>
    <w:rsid w:val="005B777E"/>
    <w:rsid w:val="005B799D"/>
    <w:rsid w:val="005B7B5C"/>
    <w:rsid w:val="005B7BF5"/>
    <w:rsid w:val="005B7D5F"/>
    <w:rsid w:val="005C0283"/>
    <w:rsid w:val="005C10EE"/>
    <w:rsid w:val="005C112D"/>
    <w:rsid w:val="005C1B8E"/>
    <w:rsid w:val="005C231E"/>
    <w:rsid w:val="005C39B6"/>
    <w:rsid w:val="005C3AAA"/>
    <w:rsid w:val="005C4E9A"/>
    <w:rsid w:val="005C56EA"/>
    <w:rsid w:val="005C5A12"/>
    <w:rsid w:val="005C6A5D"/>
    <w:rsid w:val="005C75AA"/>
    <w:rsid w:val="005C7A32"/>
    <w:rsid w:val="005C7BEE"/>
    <w:rsid w:val="005C7F94"/>
    <w:rsid w:val="005D10BC"/>
    <w:rsid w:val="005D16DD"/>
    <w:rsid w:val="005D1EF2"/>
    <w:rsid w:val="005D2803"/>
    <w:rsid w:val="005D3CFB"/>
    <w:rsid w:val="005D3FF1"/>
    <w:rsid w:val="005D4301"/>
    <w:rsid w:val="005D4D22"/>
    <w:rsid w:val="005D4E83"/>
    <w:rsid w:val="005D645B"/>
    <w:rsid w:val="005D7F96"/>
    <w:rsid w:val="005E0623"/>
    <w:rsid w:val="005E0A9E"/>
    <w:rsid w:val="005E0ADA"/>
    <w:rsid w:val="005E0BA3"/>
    <w:rsid w:val="005E1972"/>
    <w:rsid w:val="005E1FEF"/>
    <w:rsid w:val="005E26EB"/>
    <w:rsid w:val="005E2926"/>
    <w:rsid w:val="005E39B9"/>
    <w:rsid w:val="005E3AA5"/>
    <w:rsid w:val="005E417B"/>
    <w:rsid w:val="005E473E"/>
    <w:rsid w:val="005E47D1"/>
    <w:rsid w:val="005E4C10"/>
    <w:rsid w:val="005E569E"/>
    <w:rsid w:val="005E5889"/>
    <w:rsid w:val="005E5BD8"/>
    <w:rsid w:val="005E6C61"/>
    <w:rsid w:val="005E70AA"/>
    <w:rsid w:val="005E7640"/>
    <w:rsid w:val="005E7AA6"/>
    <w:rsid w:val="005E7C17"/>
    <w:rsid w:val="005E7EF6"/>
    <w:rsid w:val="005F0183"/>
    <w:rsid w:val="005F093B"/>
    <w:rsid w:val="005F09D0"/>
    <w:rsid w:val="005F0F5A"/>
    <w:rsid w:val="005F15A7"/>
    <w:rsid w:val="005F162F"/>
    <w:rsid w:val="005F1EE8"/>
    <w:rsid w:val="005F2708"/>
    <w:rsid w:val="005F2D44"/>
    <w:rsid w:val="005F3CC2"/>
    <w:rsid w:val="005F3DD3"/>
    <w:rsid w:val="005F4910"/>
    <w:rsid w:val="005F53F6"/>
    <w:rsid w:val="005F58B4"/>
    <w:rsid w:val="005F662B"/>
    <w:rsid w:val="005F66DE"/>
    <w:rsid w:val="005F670E"/>
    <w:rsid w:val="005F6748"/>
    <w:rsid w:val="005F7AA9"/>
    <w:rsid w:val="005F7F0E"/>
    <w:rsid w:val="006006E2"/>
    <w:rsid w:val="006010AF"/>
    <w:rsid w:val="00601461"/>
    <w:rsid w:val="006032E9"/>
    <w:rsid w:val="006034D6"/>
    <w:rsid w:val="0060395D"/>
    <w:rsid w:val="00603C4A"/>
    <w:rsid w:val="00604C91"/>
    <w:rsid w:val="00604E86"/>
    <w:rsid w:val="00605189"/>
    <w:rsid w:val="00605D5D"/>
    <w:rsid w:val="00605F06"/>
    <w:rsid w:val="006064A9"/>
    <w:rsid w:val="0060688B"/>
    <w:rsid w:val="006069DE"/>
    <w:rsid w:val="00606D65"/>
    <w:rsid w:val="00607739"/>
    <w:rsid w:val="00607DE0"/>
    <w:rsid w:val="00610063"/>
    <w:rsid w:val="0061178F"/>
    <w:rsid w:val="006120ED"/>
    <w:rsid w:val="006126D6"/>
    <w:rsid w:val="006132C2"/>
    <w:rsid w:val="0061355A"/>
    <w:rsid w:val="0061507A"/>
    <w:rsid w:val="00615380"/>
    <w:rsid w:val="006159CF"/>
    <w:rsid w:val="00616B92"/>
    <w:rsid w:val="00616D1E"/>
    <w:rsid w:val="00616F08"/>
    <w:rsid w:val="00616FDE"/>
    <w:rsid w:val="00617625"/>
    <w:rsid w:val="006177A2"/>
    <w:rsid w:val="0062087F"/>
    <w:rsid w:val="00620A9E"/>
    <w:rsid w:val="00622173"/>
    <w:rsid w:val="006225D6"/>
    <w:rsid w:val="006232EF"/>
    <w:rsid w:val="006236E7"/>
    <w:rsid w:val="0062399F"/>
    <w:rsid w:val="00623E17"/>
    <w:rsid w:val="00625110"/>
    <w:rsid w:val="00625324"/>
    <w:rsid w:val="006259CC"/>
    <w:rsid w:val="00625A83"/>
    <w:rsid w:val="00625C73"/>
    <w:rsid w:val="00626934"/>
    <w:rsid w:val="0062794C"/>
    <w:rsid w:val="00627D14"/>
    <w:rsid w:val="006308CB"/>
    <w:rsid w:val="00630966"/>
    <w:rsid w:val="006311C6"/>
    <w:rsid w:val="00631649"/>
    <w:rsid w:val="0063185F"/>
    <w:rsid w:val="006323C6"/>
    <w:rsid w:val="0063252B"/>
    <w:rsid w:val="00632A3C"/>
    <w:rsid w:val="00634633"/>
    <w:rsid w:val="00634955"/>
    <w:rsid w:val="00634A21"/>
    <w:rsid w:val="00635838"/>
    <w:rsid w:val="006358E4"/>
    <w:rsid w:val="00636DEC"/>
    <w:rsid w:val="00636F44"/>
    <w:rsid w:val="00637499"/>
    <w:rsid w:val="00637EDC"/>
    <w:rsid w:val="006412B4"/>
    <w:rsid w:val="006424A3"/>
    <w:rsid w:val="00642525"/>
    <w:rsid w:val="00643277"/>
    <w:rsid w:val="00643454"/>
    <w:rsid w:val="00643FAE"/>
    <w:rsid w:val="00644456"/>
    <w:rsid w:val="00644520"/>
    <w:rsid w:val="00644540"/>
    <w:rsid w:val="00644BD1"/>
    <w:rsid w:val="006459ED"/>
    <w:rsid w:val="00645E96"/>
    <w:rsid w:val="00646236"/>
    <w:rsid w:val="006462D9"/>
    <w:rsid w:val="00646577"/>
    <w:rsid w:val="006465AF"/>
    <w:rsid w:val="006479BA"/>
    <w:rsid w:val="00650809"/>
    <w:rsid w:val="0065080A"/>
    <w:rsid w:val="006518EE"/>
    <w:rsid w:val="00651A4D"/>
    <w:rsid w:val="006520CE"/>
    <w:rsid w:val="006522B9"/>
    <w:rsid w:val="006525BD"/>
    <w:rsid w:val="006528F0"/>
    <w:rsid w:val="00652BFE"/>
    <w:rsid w:val="00652FBA"/>
    <w:rsid w:val="00654085"/>
    <w:rsid w:val="006547BB"/>
    <w:rsid w:val="00654EF0"/>
    <w:rsid w:val="006554E7"/>
    <w:rsid w:val="00655C22"/>
    <w:rsid w:val="00655F74"/>
    <w:rsid w:val="006568AE"/>
    <w:rsid w:val="00657167"/>
    <w:rsid w:val="0065724F"/>
    <w:rsid w:val="006574CB"/>
    <w:rsid w:val="00660131"/>
    <w:rsid w:val="00660A0B"/>
    <w:rsid w:val="00660B25"/>
    <w:rsid w:val="0066181B"/>
    <w:rsid w:val="00662242"/>
    <w:rsid w:val="00662B9A"/>
    <w:rsid w:val="00663361"/>
    <w:rsid w:val="00663918"/>
    <w:rsid w:val="00665013"/>
    <w:rsid w:val="006652B8"/>
    <w:rsid w:val="00665DE2"/>
    <w:rsid w:val="00666CB2"/>
    <w:rsid w:val="00666ED5"/>
    <w:rsid w:val="0066737E"/>
    <w:rsid w:val="00667454"/>
    <w:rsid w:val="006674BF"/>
    <w:rsid w:val="00667524"/>
    <w:rsid w:val="00667653"/>
    <w:rsid w:val="00667CAB"/>
    <w:rsid w:val="00668687"/>
    <w:rsid w:val="006703BB"/>
    <w:rsid w:val="00670559"/>
    <w:rsid w:val="0067177E"/>
    <w:rsid w:val="00671ABB"/>
    <w:rsid w:val="00671AEF"/>
    <w:rsid w:val="006727E7"/>
    <w:rsid w:val="00672845"/>
    <w:rsid w:val="0067303C"/>
    <w:rsid w:val="00673608"/>
    <w:rsid w:val="00673878"/>
    <w:rsid w:val="00673DBF"/>
    <w:rsid w:val="0067622A"/>
    <w:rsid w:val="00676E4A"/>
    <w:rsid w:val="0067714D"/>
    <w:rsid w:val="006776F9"/>
    <w:rsid w:val="00680737"/>
    <w:rsid w:val="00681FBC"/>
    <w:rsid w:val="006828FA"/>
    <w:rsid w:val="00683BD5"/>
    <w:rsid w:val="00683DC6"/>
    <w:rsid w:val="006849EF"/>
    <w:rsid w:val="00684B68"/>
    <w:rsid w:val="00685CB1"/>
    <w:rsid w:val="00687276"/>
    <w:rsid w:val="00690244"/>
    <w:rsid w:val="006909EB"/>
    <w:rsid w:val="00690A30"/>
    <w:rsid w:val="00690A71"/>
    <w:rsid w:val="00690E20"/>
    <w:rsid w:val="00691298"/>
    <w:rsid w:val="006913C5"/>
    <w:rsid w:val="006918A0"/>
    <w:rsid w:val="00692206"/>
    <w:rsid w:val="00692563"/>
    <w:rsid w:val="00693F60"/>
    <w:rsid w:val="00693FA9"/>
    <w:rsid w:val="00694167"/>
    <w:rsid w:val="0069492B"/>
    <w:rsid w:val="00694B9C"/>
    <w:rsid w:val="00695080"/>
    <w:rsid w:val="006951A7"/>
    <w:rsid w:val="006977DE"/>
    <w:rsid w:val="00697BD1"/>
    <w:rsid w:val="00697CE1"/>
    <w:rsid w:val="006A0DC3"/>
    <w:rsid w:val="006A0F06"/>
    <w:rsid w:val="006A10B8"/>
    <w:rsid w:val="006A1A86"/>
    <w:rsid w:val="006A1E0A"/>
    <w:rsid w:val="006A232C"/>
    <w:rsid w:val="006A347F"/>
    <w:rsid w:val="006A3AF1"/>
    <w:rsid w:val="006A3D0B"/>
    <w:rsid w:val="006A3F8F"/>
    <w:rsid w:val="006A4318"/>
    <w:rsid w:val="006A4BF8"/>
    <w:rsid w:val="006A4CF5"/>
    <w:rsid w:val="006A55E3"/>
    <w:rsid w:val="006A5839"/>
    <w:rsid w:val="006A58CB"/>
    <w:rsid w:val="006A5E0D"/>
    <w:rsid w:val="006A66A8"/>
    <w:rsid w:val="006A66C6"/>
    <w:rsid w:val="006A6C2F"/>
    <w:rsid w:val="006A6CFF"/>
    <w:rsid w:val="006A7116"/>
    <w:rsid w:val="006A7852"/>
    <w:rsid w:val="006A796F"/>
    <w:rsid w:val="006A797F"/>
    <w:rsid w:val="006A7E36"/>
    <w:rsid w:val="006B042C"/>
    <w:rsid w:val="006B0CC7"/>
    <w:rsid w:val="006B182B"/>
    <w:rsid w:val="006B2588"/>
    <w:rsid w:val="006B2FD9"/>
    <w:rsid w:val="006B31EC"/>
    <w:rsid w:val="006B3776"/>
    <w:rsid w:val="006B3A6D"/>
    <w:rsid w:val="006B45FE"/>
    <w:rsid w:val="006B4AD4"/>
    <w:rsid w:val="006B54D3"/>
    <w:rsid w:val="006B5890"/>
    <w:rsid w:val="006B5A0A"/>
    <w:rsid w:val="006B67FA"/>
    <w:rsid w:val="006B68D2"/>
    <w:rsid w:val="006B7BBE"/>
    <w:rsid w:val="006C0536"/>
    <w:rsid w:val="006C154F"/>
    <w:rsid w:val="006C29B8"/>
    <w:rsid w:val="006C2F5F"/>
    <w:rsid w:val="006C30A1"/>
    <w:rsid w:val="006C408C"/>
    <w:rsid w:val="006C44AB"/>
    <w:rsid w:val="006C4E08"/>
    <w:rsid w:val="006C55BE"/>
    <w:rsid w:val="006C6408"/>
    <w:rsid w:val="006C6DC3"/>
    <w:rsid w:val="006C6FCE"/>
    <w:rsid w:val="006C732D"/>
    <w:rsid w:val="006D1052"/>
    <w:rsid w:val="006D106C"/>
    <w:rsid w:val="006D155A"/>
    <w:rsid w:val="006D1607"/>
    <w:rsid w:val="006D16B1"/>
    <w:rsid w:val="006D1C2A"/>
    <w:rsid w:val="006D29EF"/>
    <w:rsid w:val="006D315D"/>
    <w:rsid w:val="006D5DE8"/>
    <w:rsid w:val="006D73F9"/>
    <w:rsid w:val="006D750A"/>
    <w:rsid w:val="006D7E59"/>
    <w:rsid w:val="006E062B"/>
    <w:rsid w:val="006E0AAB"/>
    <w:rsid w:val="006E0D50"/>
    <w:rsid w:val="006E1E8E"/>
    <w:rsid w:val="006E3E2B"/>
    <w:rsid w:val="006E5243"/>
    <w:rsid w:val="006E553B"/>
    <w:rsid w:val="006E5937"/>
    <w:rsid w:val="006E62D6"/>
    <w:rsid w:val="006E6529"/>
    <w:rsid w:val="006E6DDA"/>
    <w:rsid w:val="006E7CBA"/>
    <w:rsid w:val="006F00A3"/>
    <w:rsid w:val="006F0B00"/>
    <w:rsid w:val="006F0C69"/>
    <w:rsid w:val="006F0D0D"/>
    <w:rsid w:val="006F157E"/>
    <w:rsid w:val="006F19DF"/>
    <w:rsid w:val="006F20F7"/>
    <w:rsid w:val="006F215C"/>
    <w:rsid w:val="006F2D46"/>
    <w:rsid w:val="006F2F03"/>
    <w:rsid w:val="006F35A1"/>
    <w:rsid w:val="006F42E6"/>
    <w:rsid w:val="006F4DAA"/>
    <w:rsid w:val="006F5450"/>
    <w:rsid w:val="006F58DC"/>
    <w:rsid w:val="006F5C2E"/>
    <w:rsid w:val="006F5C97"/>
    <w:rsid w:val="007004D1"/>
    <w:rsid w:val="00700BE7"/>
    <w:rsid w:val="00701231"/>
    <w:rsid w:val="00702145"/>
    <w:rsid w:val="0070244F"/>
    <w:rsid w:val="007028D5"/>
    <w:rsid w:val="00704436"/>
    <w:rsid w:val="007046D7"/>
    <w:rsid w:val="00704858"/>
    <w:rsid w:val="0070587E"/>
    <w:rsid w:val="00706A46"/>
    <w:rsid w:val="0070703D"/>
    <w:rsid w:val="00707631"/>
    <w:rsid w:val="00707640"/>
    <w:rsid w:val="00707DE4"/>
    <w:rsid w:val="007102BB"/>
    <w:rsid w:val="00710BAA"/>
    <w:rsid w:val="00710E9B"/>
    <w:rsid w:val="00712183"/>
    <w:rsid w:val="0071260E"/>
    <w:rsid w:val="00712635"/>
    <w:rsid w:val="0071285F"/>
    <w:rsid w:val="0071291A"/>
    <w:rsid w:val="00712A05"/>
    <w:rsid w:val="00712F67"/>
    <w:rsid w:val="00713974"/>
    <w:rsid w:val="00714CF8"/>
    <w:rsid w:val="00715B43"/>
    <w:rsid w:val="00715EEC"/>
    <w:rsid w:val="00716279"/>
    <w:rsid w:val="007162E9"/>
    <w:rsid w:val="00716F10"/>
    <w:rsid w:val="0071741D"/>
    <w:rsid w:val="007177C7"/>
    <w:rsid w:val="00720111"/>
    <w:rsid w:val="007209E4"/>
    <w:rsid w:val="00720A93"/>
    <w:rsid w:val="007211F2"/>
    <w:rsid w:val="00721DFD"/>
    <w:rsid w:val="00721E97"/>
    <w:rsid w:val="0072213C"/>
    <w:rsid w:val="00722440"/>
    <w:rsid w:val="00723390"/>
    <w:rsid w:val="0072404F"/>
    <w:rsid w:val="007244B8"/>
    <w:rsid w:val="00724C09"/>
    <w:rsid w:val="00724EC7"/>
    <w:rsid w:val="007250D6"/>
    <w:rsid w:val="007254C1"/>
    <w:rsid w:val="00727E85"/>
    <w:rsid w:val="00730A75"/>
    <w:rsid w:val="00731C7E"/>
    <w:rsid w:val="00731F69"/>
    <w:rsid w:val="00731FB2"/>
    <w:rsid w:val="007325AB"/>
    <w:rsid w:val="00733123"/>
    <w:rsid w:val="00733DC8"/>
    <w:rsid w:val="00734749"/>
    <w:rsid w:val="007347BB"/>
    <w:rsid w:val="00734B7E"/>
    <w:rsid w:val="00734E08"/>
    <w:rsid w:val="00734FED"/>
    <w:rsid w:val="00735566"/>
    <w:rsid w:val="00735A70"/>
    <w:rsid w:val="00735E31"/>
    <w:rsid w:val="00736035"/>
    <w:rsid w:val="00736976"/>
    <w:rsid w:val="00736BA7"/>
    <w:rsid w:val="00740BAE"/>
    <w:rsid w:val="00740C8A"/>
    <w:rsid w:val="00740D77"/>
    <w:rsid w:val="00740D82"/>
    <w:rsid w:val="00742064"/>
    <w:rsid w:val="0074207A"/>
    <w:rsid w:val="00742189"/>
    <w:rsid w:val="0074246F"/>
    <w:rsid w:val="0074480B"/>
    <w:rsid w:val="0074498F"/>
    <w:rsid w:val="00744EA4"/>
    <w:rsid w:val="0074531B"/>
    <w:rsid w:val="00745CAF"/>
    <w:rsid w:val="00745E00"/>
    <w:rsid w:val="00745F8C"/>
    <w:rsid w:val="00746F5E"/>
    <w:rsid w:val="00746FCD"/>
    <w:rsid w:val="00750A59"/>
    <w:rsid w:val="00750B08"/>
    <w:rsid w:val="00750F4B"/>
    <w:rsid w:val="00751299"/>
    <w:rsid w:val="00751EFA"/>
    <w:rsid w:val="00752AC7"/>
    <w:rsid w:val="00752B1D"/>
    <w:rsid w:val="00752F33"/>
    <w:rsid w:val="007532D3"/>
    <w:rsid w:val="007544A6"/>
    <w:rsid w:val="007546A6"/>
    <w:rsid w:val="00754A85"/>
    <w:rsid w:val="00757249"/>
    <w:rsid w:val="00757A52"/>
    <w:rsid w:val="007603CA"/>
    <w:rsid w:val="00760FF6"/>
    <w:rsid w:val="00761286"/>
    <w:rsid w:val="007612CD"/>
    <w:rsid w:val="007618A8"/>
    <w:rsid w:val="00762884"/>
    <w:rsid w:val="00762D7B"/>
    <w:rsid w:val="00763261"/>
    <w:rsid w:val="007633F9"/>
    <w:rsid w:val="00763546"/>
    <w:rsid w:val="00763CAC"/>
    <w:rsid w:val="00763CB8"/>
    <w:rsid w:val="0076408D"/>
    <w:rsid w:val="00765847"/>
    <w:rsid w:val="00765DBA"/>
    <w:rsid w:val="00765F01"/>
    <w:rsid w:val="00766D7B"/>
    <w:rsid w:val="00766D9B"/>
    <w:rsid w:val="00766F12"/>
    <w:rsid w:val="00767C39"/>
    <w:rsid w:val="00771167"/>
    <w:rsid w:val="00771183"/>
    <w:rsid w:val="007711FD"/>
    <w:rsid w:val="00771C9C"/>
    <w:rsid w:val="00771E52"/>
    <w:rsid w:val="0077257D"/>
    <w:rsid w:val="00772D0F"/>
    <w:rsid w:val="007730A1"/>
    <w:rsid w:val="00773331"/>
    <w:rsid w:val="0077368F"/>
    <w:rsid w:val="00773C71"/>
    <w:rsid w:val="00774614"/>
    <w:rsid w:val="00774E49"/>
    <w:rsid w:val="00774EB2"/>
    <w:rsid w:val="007753DE"/>
    <w:rsid w:val="00780CCD"/>
    <w:rsid w:val="00781285"/>
    <w:rsid w:val="00781B5E"/>
    <w:rsid w:val="00781EA0"/>
    <w:rsid w:val="00782651"/>
    <w:rsid w:val="00782B01"/>
    <w:rsid w:val="00782B8F"/>
    <w:rsid w:val="007833AA"/>
    <w:rsid w:val="00783CAA"/>
    <w:rsid w:val="00783F86"/>
    <w:rsid w:val="007866DC"/>
    <w:rsid w:val="007866E0"/>
    <w:rsid w:val="007867AE"/>
    <w:rsid w:val="007870CA"/>
    <w:rsid w:val="007876EE"/>
    <w:rsid w:val="007877C7"/>
    <w:rsid w:val="007878C5"/>
    <w:rsid w:val="0079028E"/>
    <w:rsid w:val="00790CC0"/>
    <w:rsid w:val="00790D92"/>
    <w:rsid w:val="00790E8A"/>
    <w:rsid w:val="00791723"/>
    <w:rsid w:val="00791C8B"/>
    <w:rsid w:val="00792303"/>
    <w:rsid w:val="00792D5D"/>
    <w:rsid w:val="00793180"/>
    <w:rsid w:val="007932EF"/>
    <w:rsid w:val="0079403F"/>
    <w:rsid w:val="0079473C"/>
    <w:rsid w:val="00794BA0"/>
    <w:rsid w:val="00795A36"/>
    <w:rsid w:val="00795E50"/>
    <w:rsid w:val="00797181"/>
    <w:rsid w:val="00797DC2"/>
    <w:rsid w:val="007A0234"/>
    <w:rsid w:val="007A0F3A"/>
    <w:rsid w:val="007A10B9"/>
    <w:rsid w:val="007A28F2"/>
    <w:rsid w:val="007A2ADF"/>
    <w:rsid w:val="007A2CCF"/>
    <w:rsid w:val="007A2E57"/>
    <w:rsid w:val="007A3108"/>
    <w:rsid w:val="007A3752"/>
    <w:rsid w:val="007A3D3A"/>
    <w:rsid w:val="007A55DA"/>
    <w:rsid w:val="007A5886"/>
    <w:rsid w:val="007A5DAC"/>
    <w:rsid w:val="007A5FA5"/>
    <w:rsid w:val="007B0A93"/>
    <w:rsid w:val="007B202E"/>
    <w:rsid w:val="007B2FB9"/>
    <w:rsid w:val="007B41E1"/>
    <w:rsid w:val="007B4421"/>
    <w:rsid w:val="007B4B02"/>
    <w:rsid w:val="007B57E3"/>
    <w:rsid w:val="007B5E95"/>
    <w:rsid w:val="007B72FE"/>
    <w:rsid w:val="007C0430"/>
    <w:rsid w:val="007C085B"/>
    <w:rsid w:val="007C09CD"/>
    <w:rsid w:val="007C214A"/>
    <w:rsid w:val="007C306A"/>
    <w:rsid w:val="007C3096"/>
    <w:rsid w:val="007C4EB9"/>
    <w:rsid w:val="007C6498"/>
    <w:rsid w:val="007C776B"/>
    <w:rsid w:val="007D071B"/>
    <w:rsid w:val="007D0A0D"/>
    <w:rsid w:val="007D0E00"/>
    <w:rsid w:val="007D13BD"/>
    <w:rsid w:val="007D17F2"/>
    <w:rsid w:val="007D279F"/>
    <w:rsid w:val="007D303A"/>
    <w:rsid w:val="007D36B1"/>
    <w:rsid w:val="007D3918"/>
    <w:rsid w:val="007D3EBD"/>
    <w:rsid w:val="007D4864"/>
    <w:rsid w:val="007D4910"/>
    <w:rsid w:val="007D5355"/>
    <w:rsid w:val="007D5668"/>
    <w:rsid w:val="007D5776"/>
    <w:rsid w:val="007D59A0"/>
    <w:rsid w:val="007D61E3"/>
    <w:rsid w:val="007D658E"/>
    <w:rsid w:val="007D6F5B"/>
    <w:rsid w:val="007D78E1"/>
    <w:rsid w:val="007D794C"/>
    <w:rsid w:val="007D7D7C"/>
    <w:rsid w:val="007D7FBD"/>
    <w:rsid w:val="007E05B0"/>
    <w:rsid w:val="007E065C"/>
    <w:rsid w:val="007E0765"/>
    <w:rsid w:val="007E1BB2"/>
    <w:rsid w:val="007E1BD2"/>
    <w:rsid w:val="007E29D7"/>
    <w:rsid w:val="007E2FD5"/>
    <w:rsid w:val="007E325E"/>
    <w:rsid w:val="007E57F8"/>
    <w:rsid w:val="007E5AEF"/>
    <w:rsid w:val="007E66B7"/>
    <w:rsid w:val="007E6897"/>
    <w:rsid w:val="007E6F34"/>
    <w:rsid w:val="007E7A11"/>
    <w:rsid w:val="007E7C84"/>
    <w:rsid w:val="007E7CE4"/>
    <w:rsid w:val="007F059A"/>
    <w:rsid w:val="007F121F"/>
    <w:rsid w:val="007F17A9"/>
    <w:rsid w:val="007F2169"/>
    <w:rsid w:val="007F4374"/>
    <w:rsid w:val="007F44B4"/>
    <w:rsid w:val="007F481C"/>
    <w:rsid w:val="007F4871"/>
    <w:rsid w:val="007F51E3"/>
    <w:rsid w:val="007F5A34"/>
    <w:rsid w:val="007F5F90"/>
    <w:rsid w:val="007F77C1"/>
    <w:rsid w:val="007F7D8D"/>
    <w:rsid w:val="00800DF7"/>
    <w:rsid w:val="008010FF"/>
    <w:rsid w:val="00802195"/>
    <w:rsid w:val="00802B03"/>
    <w:rsid w:val="008048D4"/>
    <w:rsid w:val="00804CA3"/>
    <w:rsid w:val="00805F9E"/>
    <w:rsid w:val="0080647F"/>
    <w:rsid w:val="0080771B"/>
    <w:rsid w:val="00807B14"/>
    <w:rsid w:val="00807FEF"/>
    <w:rsid w:val="00811980"/>
    <w:rsid w:val="00811B1B"/>
    <w:rsid w:val="0081230D"/>
    <w:rsid w:val="008124DB"/>
    <w:rsid w:val="008124FE"/>
    <w:rsid w:val="00812ED5"/>
    <w:rsid w:val="0081325A"/>
    <w:rsid w:val="0081344C"/>
    <w:rsid w:val="00813AC8"/>
    <w:rsid w:val="0081430C"/>
    <w:rsid w:val="0081445F"/>
    <w:rsid w:val="008150D9"/>
    <w:rsid w:val="008151AD"/>
    <w:rsid w:val="0081527E"/>
    <w:rsid w:val="0081536F"/>
    <w:rsid w:val="00815B26"/>
    <w:rsid w:val="00815C6D"/>
    <w:rsid w:val="0081686D"/>
    <w:rsid w:val="00817548"/>
    <w:rsid w:val="008177D5"/>
    <w:rsid w:val="00817B0C"/>
    <w:rsid w:val="008204AD"/>
    <w:rsid w:val="0082050C"/>
    <w:rsid w:val="008226D1"/>
    <w:rsid w:val="00822F8F"/>
    <w:rsid w:val="00823484"/>
    <w:rsid w:val="00823896"/>
    <w:rsid w:val="00823A2B"/>
    <w:rsid w:val="00824032"/>
    <w:rsid w:val="0082466B"/>
    <w:rsid w:val="008249A9"/>
    <w:rsid w:val="00824D50"/>
    <w:rsid w:val="00824F1C"/>
    <w:rsid w:val="00824F6A"/>
    <w:rsid w:val="008252C2"/>
    <w:rsid w:val="00825A1B"/>
    <w:rsid w:val="00826C33"/>
    <w:rsid w:val="00826CE9"/>
    <w:rsid w:val="00826E67"/>
    <w:rsid w:val="00826F77"/>
    <w:rsid w:val="00830332"/>
    <w:rsid w:val="00830784"/>
    <w:rsid w:val="00830C78"/>
    <w:rsid w:val="008319F9"/>
    <w:rsid w:val="00832920"/>
    <w:rsid w:val="00833D80"/>
    <w:rsid w:val="00834874"/>
    <w:rsid w:val="0083526B"/>
    <w:rsid w:val="00835296"/>
    <w:rsid w:val="00835BC0"/>
    <w:rsid w:val="00835F82"/>
    <w:rsid w:val="00835FD6"/>
    <w:rsid w:val="0083679C"/>
    <w:rsid w:val="0083706C"/>
    <w:rsid w:val="00840ACB"/>
    <w:rsid w:val="008413F4"/>
    <w:rsid w:val="0084173F"/>
    <w:rsid w:val="008420E5"/>
    <w:rsid w:val="00844B60"/>
    <w:rsid w:val="00845186"/>
    <w:rsid w:val="00845666"/>
    <w:rsid w:val="00846095"/>
    <w:rsid w:val="0084610B"/>
    <w:rsid w:val="00846170"/>
    <w:rsid w:val="008462E9"/>
    <w:rsid w:val="00846783"/>
    <w:rsid w:val="008469C6"/>
    <w:rsid w:val="00847235"/>
    <w:rsid w:val="008474AA"/>
    <w:rsid w:val="008477BA"/>
    <w:rsid w:val="008501DC"/>
    <w:rsid w:val="00850276"/>
    <w:rsid w:val="00851227"/>
    <w:rsid w:val="00851388"/>
    <w:rsid w:val="00851819"/>
    <w:rsid w:val="00854142"/>
    <w:rsid w:val="00854600"/>
    <w:rsid w:val="00854BD1"/>
    <w:rsid w:val="00854D3D"/>
    <w:rsid w:val="008552C3"/>
    <w:rsid w:val="0085557F"/>
    <w:rsid w:val="00856026"/>
    <w:rsid w:val="0085627F"/>
    <w:rsid w:val="00856A30"/>
    <w:rsid w:val="0085725E"/>
    <w:rsid w:val="008575A5"/>
    <w:rsid w:val="008577B1"/>
    <w:rsid w:val="008578ED"/>
    <w:rsid w:val="008579EC"/>
    <w:rsid w:val="008607C9"/>
    <w:rsid w:val="00860D00"/>
    <w:rsid w:val="00860E42"/>
    <w:rsid w:val="00861373"/>
    <w:rsid w:val="00861CB5"/>
    <w:rsid w:val="0086214D"/>
    <w:rsid w:val="00862207"/>
    <w:rsid w:val="00862494"/>
    <w:rsid w:val="00862D55"/>
    <w:rsid w:val="00863711"/>
    <w:rsid w:val="0086395A"/>
    <w:rsid w:val="00863A70"/>
    <w:rsid w:val="00864BDA"/>
    <w:rsid w:val="00865581"/>
    <w:rsid w:val="00865CDB"/>
    <w:rsid w:val="00865CE8"/>
    <w:rsid w:val="00867113"/>
    <w:rsid w:val="008672BB"/>
    <w:rsid w:val="00867312"/>
    <w:rsid w:val="00867909"/>
    <w:rsid w:val="00867E33"/>
    <w:rsid w:val="00870752"/>
    <w:rsid w:val="008710F7"/>
    <w:rsid w:val="00871300"/>
    <w:rsid w:val="00871AA8"/>
    <w:rsid w:val="00871B38"/>
    <w:rsid w:val="00872A70"/>
    <w:rsid w:val="0087337F"/>
    <w:rsid w:val="0087359B"/>
    <w:rsid w:val="008740AA"/>
    <w:rsid w:val="0087445A"/>
    <w:rsid w:val="0087470E"/>
    <w:rsid w:val="00874D22"/>
    <w:rsid w:val="00874EF6"/>
    <w:rsid w:val="0087524B"/>
    <w:rsid w:val="008754C4"/>
    <w:rsid w:val="00875920"/>
    <w:rsid w:val="00875BDE"/>
    <w:rsid w:val="00875C45"/>
    <w:rsid w:val="00875F7C"/>
    <w:rsid w:val="008766AA"/>
    <w:rsid w:val="0087757C"/>
    <w:rsid w:val="00881200"/>
    <w:rsid w:val="00881793"/>
    <w:rsid w:val="00882136"/>
    <w:rsid w:val="00882A4A"/>
    <w:rsid w:val="00882D35"/>
    <w:rsid w:val="00883002"/>
    <w:rsid w:val="00884FB8"/>
    <w:rsid w:val="00885907"/>
    <w:rsid w:val="00885C3B"/>
    <w:rsid w:val="00885E48"/>
    <w:rsid w:val="008861D4"/>
    <w:rsid w:val="008862FE"/>
    <w:rsid w:val="00886472"/>
    <w:rsid w:val="008864CE"/>
    <w:rsid w:val="00886814"/>
    <w:rsid w:val="00886F76"/>
    <w:rsid w:val="0088734D"/>
    <w:rsid w:val="0089020B"/>
    <w:rsid w:val="00891819"/>
    <w:rsid w:val="00891F77"/>
    <w:rsid w:val="0089205B"/>
    <w:rsid w:val="0089322E"/>
    <w:rsid w:val="0089343B"/>
    <w:rsid w:val="00893B1E"/>
    <w:rsid w:val="00893BEB"/>
    <w:rsid w:val="00894B7A"/>
    <w:rsid w:val="008950B7"/>
    <w:rsid w:val="00895AAC"/>
    <w:rsid w:val="00896453"/>
    <w:rsid w:val="0089691F"/>
    <w:rsid w:val="00896A52"/>
    <w:rsid w:val="00896B16"/>
    <w:rsid w:val="00897A55"/>
    <w:rsid w:val="00897C2B"/>
    <w:rsid w:val="008A100D"/>
    <w:rsid w:val="008A1C70"/>
    <w:rsid w:val="008A2914"/>
    <w:rsid w:val="008A2B12"/>
    <w:rsid w:val="008A3D47"/>
    <w:rsid w:val="008A4FAA"/>
    <w:rsid w:val="008A5091"/>
    <w:rsid w:val="008A5257"/>
    <w:rsid w:val="008A52F5"/>
    <w:rsid w:val="008A631E"/>
    <w:rsid w:val="008A685D"/>
    <w:rsid w:val="008A6E61"/>
    <w:rsid w:val="008A7800"/>
    <w:rsid w:val="008B01BD"/>
    <w:rsid w:val="008B0CDA"/>
    <w:rsid w:val="008B174E"/>
    <w:rsid w:val="008B1E42"/>
    <w:rsid w:val="008B25E1"/>
    <w:rsid w:val="008B2B25"/>
    <w:rsid w:val="008B30F9"/>
    <w:rsid w:val="008B383B"/>
    <w:rsid w:val="008B431F"/>
    <w:rsid w:val="008B508B"/>
    <w:rsid w:val="008B53DC"/>
    <w:rsid w:val="008B5F58"/>
    <w:rsid w:val="008B70E0"/>
    <w:rsid w:val="008B725D"/>
    <w:rsid w:val="008B765A"/>
    <w:rsid w:val="008B7840"/>
    <w:rsid w:val="008B7C32"/>
    <w:rsid w:val="008C03F5"/>
    <w:rsid w:val="008C0B18"/>
    <w:rsid w:val="008C1898"/>
    <w:rsid w:val="008C235A"/>
    <w:rsid w:val="008C2438"/>
    <w:rsid w:val="008C246A"/>
    <w:rsid w:val="008C28D1"/>
    <w:rsid w:val="008C3269"/>
    <w:rsid w:val="008C3B68"/>
    <w:rsid w:val="008C4B6B"/>
    <w:rsid w:val="008C4E45"/>
    <w:rsid w:val="008C4F04"/>
    <w:rsid w:val="008C5010"/>
    <w:rsid w:val="008C539A"/>
    <w:rsid w:val="008C5928"/>
    <w:rsid w:val="008C5B7F"/>
    <w:rsid w:val="008C65C5"/>
    <w:rsid w:val="008C690B"/>
    <w:rsid w:val="008C7D30"/>
    <w:rsid w:val="008C7D82"/>
    <w:rsid w:val="008D0073"/>
    <w:rsid w:val="008D02B3"/>
    <w:rsid w:val="008D0B08"/>
    <w:rsid w:val="008D10E7"/>
    <w:rsid w:val="008D14AE"/>
    <w:rsid w:val="008D1714"/>
    <w:rsid w:val="008D306A"/>
    <w:rsid w:val="008D4312"/>
    <w:rsid w:val="008D5F51"/>
    <w:rsid w:val="008D643D"/>
    <w:rsid w:val="008D6B5E"/>
    <w:rsid w:val="008D6F99"/>
    <w:rsid w:val="008D711D"/>
    <w:rsid w:val="008D784C"/>
    <w:rsid w:val="008E04C2"/>
    <w:rsid w:val="008E0AD1"/>
    <w:rsid w:val="008E1BC0"/>
    <w:rsid w:val="008E1F4D"/>
    <w:rsid w:val="008E28A2"/>
    <w:rsid w:val="008E3027"/>
    <w:rsid w:val="008E38A0"/>
    <w:rsid w:val="008E39E2"/>
    <w:rsid w:val="008E407C"/>
    <w:rsid w:val="008E4155"/>
    <w:rsid w:val="008E49A6"/>
    <w:rsid w:val="008E4D8E"/>
    <w:rsid w:val="008E4E69"/>
    <w:rsid w:val="008E56AC"/>
    <w:rsid w:val="008E56F2"/>
    <w:rsid w:val="008E6C54"/>
    <w:rsid w:val="008E72A4"/>
    <w:rsid w:val="008E734B"/>
    <w:rsid w:val="008E7A6B"/>
    <w:rsid w:val="008E7C11"/>
    <w:rsid w:val="008F0B07"/>
    <w:rsid w:val="008F0D09"/>
    <w:rsid w:val="008F11DA"/>
    <w:rsid w:val="008F11EF"/>
    <w:rsid w:val="008F16A2"/>
    <w:rsid w:val="008F1FF6"/>
    <w:rsid w:val="008F2375"/>
    <w:rsid w:val="008F2C21"/>
    <w:rsid w:val="008F2CFC"/>
    <w:rsid w:val="008F3348"/>
    <w:rsid w:val="008F355B"/>
    <w:rsid w:val="008F48AE"/>
    <w:rsid w:val="008F558C"/>
    <w:rsid w:val="008F568D"/>
    <w:rsid w:val="008F5C14"/>
    <w:rsid w:val="008F6902"/>
    <w:rsid w:val="008F6932"/>
    <w:rsid w:val="008F69EC"/>
    <w:rsid w:val="008F6B93"/>
    <w:rsid w:val="008F75ED"/>
    <w:rsid w:val="008F7600"/>
    <w:rsid w:val="009002EC"/>
    <w:rsid w:val="009005C0"/>
    <w:rsid w:val="00900D0A"/>
    <w:rsid w:val="00900E81"/>
    <w:rsid w:val="00901F05"/>
    <w:rsid w:val="00903887"/>
    <w:rsid w:val="00903CE3"/>
    <w:rsid w:val="009043AC"/>
    <w:rsid w:val="00904426"/>
    <w:rsid w:val="009054A0"/>
    <w:rsid w:val="009067E5"/>
    <w:rsid w:val="00906809"/>
    <w:rsid w:val="009070A5"/>
    <w:rsid w:val="0090736E"/>
    <w:rsid w:val="009075FB"/>
    <w:rsid w:val="00907829"/>
    <w:rsid w:val="009105DF"/>
    <w:rsid w:val="009115B4"/>
    <w:rsid w:val="0091190E"/>
    <w:rsid w:val="00912C46"/>
    <w:rsid w:val="0091329F"/>
    <w:rsid w:val="009135A5"/>
    <w:rsid w:val="009136DD"/>
    <w:rsid w:val="009136F0"/>
    <w:rsid w:val="00913BDB"/>
    <w:rsid w:val="00914482"/>
    <w:rsid w:val="0091455B"/>
    <w:rsid w:val="00914B7B"/>
    <w:rsid w:val="009163F2"/>
    <w:rsid w:val="00916881"/>
    <w:rsid w:val="00916950"/>
    <w:rsid w:val="00916AFB"/>
    <w:rsid w:val="00916DB0"/>
    <w:rsid w:val="0091758E"/>
    <w:rsid w:val="0092036A"/>
    <w:rsid w:val="00920554"/>
    <w:rsid w:val="0092102B"/>
    <w:rsid w:val="00921412"/>
    <w:rsid w:val="009214A9"/>
    <w:rsid w:val="0092177A"/>
    <w:rsid w:val="00922D5B"/>
    <w:rsid w:val="00923A42"/>
    <w:rsid w:val="00923AF0"/>
    <w:rsid w:val="00923D02"/>
    <w:rsid w:val="00923FC7"/>
    <w:rsid w:val="00924ED9"/>
    <w:rsid w:val="0092529C"/>
    <w:rsid w:val="00925E92"/>
    <w:rsid w:val="009265E2"/>
    <w:rsid w:val="00927223"/>
    <w:rsid w:val="00927A8D"/>
    <w:rsid w:val="00927DC6"/>
    <w:rsid w:val="00930497"/>
    <w:rsid w:val="00930723"/>
    <w:rsid w:val="00930848"/>
    <w:rsid w:val="00931582"/>
    <w:rsid w:val="00931BE3"/>
    <w:rsid w:val="00931E51"/>
    <w:rsid w:val="00932813"/>
    <w:rsid w:val="00932A1F"/>
    <w:rsid w:val="00932FC0"/>
    <w:rsid w:val="00933432"/>
    <w:rsid w:val="00933519"/>
    <w:rsid w:val="00933F08"/>
    <w:rsid w:val="00934001"/>
    <w:rsid w:val="00934B44"/>
    <w:rsid w:val="00934E15"/>
    <w:rsid w:val="00936726"/>
    <w:rsid w:val="00936EBC"/>
    <w:rsid w:val="00937F32"/>
    <w:rsid w:val="0093F51E"/>
    <w:rsid w:val="00940064"/>
    <w:rsid w:val="009400A6"/>
    <w:rsid w:val="009402D1"/>
    <w:rsid w:val="009407EC"/>
    <w:rsid w:val="00940C6F"/>
    <w:rsid w:val="0094193A"/>
    <w:rsid w:val="009419B8"/>
    <w:rsid w:val="00942ACA"/>
    <w:rsid w:val="00943113"/>
    <w:rsid w:val="009433DF"/>
    <w:rsid w:val="00943513"/>
    <w:rsid w:val="00943975"/>
    <w:rsid w:val="00943E1D"/>
    <w:rsid w:val="00943F03"/>
    <w:rsid w:val="0094458B"/>
    <w:rsid w:val="009448A4"/>
    <w:rsid w:val="00945A42"/>
    <w:rsid w:val="00945E24"/>
    <w:rsid w:val="009469E8"/>
    <w:rsid w:val="009469FB"/>
    <w:rsid w:val="00946AF2"/>
    <w:rsid w:val="00946E27"/>
    <w:rsid w:val="0095025D"/>
    <w:rsid w:val="00950DF3"/>
    <w:rsid w:val="00953378"/>
    <w:rsid w:val="00953713"/>
    <w:rsid w:val="0095464C"/>
    <w:rsid w:val="00954ADA"/>
    <w:rsid w:val="00955776"/>
    <w:rsid w:val="00955EC2"/>
    <w:rsid w:val="00956EEE"/>
    <w:rsid w:val="00957A9F"/>
    <w:rsid w:val="00960939"/>
    <w:rsid w:val="00960D50"/>
    <w:rsid w:val="00961313"/>
    <w:rsid w:val="00961436"/>
    <w:rsid w:val="00961810"/>
    <w:rsid w:val="00961FCC"/>
    <w:rsid w:val="00962C8C"/>
    <w:rsid w:val="00962DA3"/>
    <w:rsid w:val="00962FA6"/>
    <w:rsid w:val="00963370"/>
    <w:rsid w:val="00963583"/>
    <w:rsid w:val="00963BDD"/>
    <w:rsid w:val="00964640"/>
    <w:rsid w:val="009648A9"/>
    <w:rsid w:val="00967019"/>
    <w:rsid w:val="00967800"/>
    <w:rsid w:val="00967CD2"/>
    <w:rsid w:val="00970927"/>
    <w:rsid w:val="0097109C"/>
    <w:rsid w:val="00971266"/>
    <w:rsid w:val="009715BD"/>
    <w:rsid w:val="00972424"/>
    <w:rsid w:val="00972554"/>
    <w:rsid w:val="009731DC"/>
    <w:rsid w:val="0097354D"/>
    <w:rsid w:val="00973580"/>
    <w:rsid w:val="00973DA7"/>
    <w:rsid w:val="009743C7"/>
    <w:rsid w:val="0097445D"/>
    <w:rsid w:val="0097476B"/>
    <w:rsid w:val="00974931"/>
    <w:rsid w:val="00974BE9"/>
    <w:rsid w:val="00975178"/>
    <w:rsid w:val="0097540F"/>
    <w:rsid w:val="00975814"/>
    <w:rsid w:val="00975CB0"/>
    <w:rsid w:val="009769CA"/>
    <w:rsid w:val="00976A52"/>
    <w:rsid w:val="00976CEF"/>
    <w:rsid w:val="00977094"/>
    <w:rsid w:val="0097720F"/>
    <w:rsid w:val="00977767"/>
    <w:rsid w:val="00977CF6"/>
    <w:rsid w:val="00981818"/>
    <w:rsid w:val="00981A98"/>
    <w:rsid w:val="009821BB"/>
    <w:rsid w:val="00982764"/>
    <w:rsid w:val="00982825"/>
    <w:rsid w:val="00983467"/>
    <w:rsid w:val="00983EAD"/>
    <w:rsid w:val="009843EA"/>
    <w:rsid w:val="00984B28"/>
    <w:rsid w:val="009852A2"/>
    <w:rsid w:val="0098551C"/>
    <w:rsid w:val="009861EC"/>
    <w:rsid w:val="0098655E"/>
    <w:rsid w:val="00987321"/>
    <w:rsid w:val="0098755D"/>
    <w:rsid w:val="00987A85"/>
    <w:rsid w:val="00987AFA"/>
    <w:rsid w:val="009901A2"/>
    <w:rsid w:val="00990E21"/>
    <w:rsid w:val="00990F6D"/>
    <w:rsid w:val="00990FE8"/>
    <w:rsid w:val="00991E29"/>
    <w:rsid w:val="00992A5E"/>
    <w:rsid w:val="00992D8A"/>
    <w:rsid w:val="0099305B"/>
    <w:rsid w:val="00993173"/>
    <w:rsid w:val="009931F7"/>
    <w:rsid w:val="00994676"/>
    <w:rsid w:val="00994A3A"/>
    <w:rsid w:val="00995DA7"/>
    <w:rsid w:val="00995F19"/>
    <w:rsid w:val="00997475"/>
    <w:rsid w:val="00997AB3"/>
    <w:rsid w:val="009A0126"/>
    <w:rsid w:val="009A0D24"/>
    <w:rsid w:val="009A13BC"/>
    <w:rsid w:val="009A1541"/>
    <w:rsid w:val="009A187D"/>
    <w:rsid w:val="009A18C9"/>
    <w:rsid w:val="009A1CA0"/>
    <w:rsid w:val="009A2E4B"/>
    <w:rsid w:val="009A3090"/>
    <w:rsid w:val="009A49A6"/>
    <w:rsid w:val="009A4C6A"/>
    <w:rsid w:val="009A5AF1"/>
    <w:rsid w:val="009A660F"/>
    <w:rsid w:val="009A6AF3"/>
    <w:rsid w:val="009A6C51"/>
    <w:rsid w:val="009A73D2"/>
    <w:rsid w:val="009A7789"/>
    <w:rsid w:val="009B072B"/>
    <w:rsid w:val="009B163A"/>
    <w:rsid w:val="009B1A3F"/>
    <w:rsid w:val="009B1E9B"/>
    <w:rsid w:val="009B221E"/>
    <w:rsid w:val="009B24A0"/>
    <w:rsid w:val="009B2613"/>
    <w:rsid w:val="009B2CAF"/>
    <w:rsid w:val="009B2CE7"/>
    <w:rsid w:val="009B3192"/>
    <w:rsid w:val="009B36B5"/>
    <w:rsid w:val="009B3BB2"/>
    <w:rsid w:val="009B3C6B"/>
    <w:rsid w:val="009B3CD3"/>
    <w:rsid w:val="009B51AA"/>
    <w:rsid w:val="009B5399"/>
    <w:rsid w:val="009B5531"/>
    <w:rsid w:val="009B558E"/>
    <w:rsid w:val="009B5CDB"/>
    <w:rsid w:val="009B6E22"/>
    <w:rsid w:val="009B6F92"/>
    <w:rsid w:val="009B76CF"/>
    <w:rsid w:val="009B7A77"/>
    <w:rsid w:val="009B7DBB"/>
    <w:rsid w:val="009C001D"/>
    <w:rsid w:val="009C02A4"/>
    <w:rsid w:val="009C06C0"/>
    <w:rsid w:val="009C1497"/>
    <w:rsid w:val="009C1A02"/>
    <w:rsid w:val="009C207E"/>
    <w:rsid w:val="009C22B0"/>
    <w:rsid w:val="009C234D"/>
    <w:rsid w:val="009C2F4C"/>
    <w:rsid w:val="009C2FDC"/>
    <w:rsid w:val="009C4364"/>
    <w:rsid w:val="009C5318"/>
    <w:rsid w:val="009C59A0"/>
    <w:rsid w:val="009C5C5A"/>
    <w:rsid w:val="009C6C29"/>
    <w:rsid w:val="009C79A3"/>
    <w:rsid w:val="009D2078"/>
    <w:rsid w:val="009D24CB"/>
    <w:rsid w:val="009D2735"/>
    <w:rsid w:val="009D2901"/>
    <w:rsid w:val="009D3962"/>
    <w:rsid w:val="009D4ADE"/>
    <w:rsid w:val="009D4C29"/>
    <w:rsid w:val="009D4C4D"/>
    <w:rsid w:val="009D5B08"/>
    <w:rsid w:val="009D741F"/>
    <w:rsid w:val="009E01D3"/>
    <w:rsid w:val="009E06D7"/>
    <w:rsid w:val="009E0D0A"/>
    <w:rsid w:val="009E213B"/>
    <w:rsid w:val="009E298B"/>
    <w:rsid w:val="009E337A"/>
    <w:rsid w:val="009E36EE"/>
    <w:rsid w:val="009E389B"/>
    <w:rsid w:val="009E3CBB"/>
    <w:rsid w:val="009E4B10"/>
    <w:rsid w:val="009E4D88"/>
    <w:rsid w:val="009E508B"/>
    <w:rsid w:val="009E5D17"/>
    <w:rsid w:val="009E7A1F"/>
    <w:rsid w:val="009E7C55"/>
    <w:rsid w:val="009F0154"/>
    <w:rsid w:val="009F0BF1"/>
    <w:rsid w:val="009F13DE"/>
    <w:rsid w:val="009F1C6A"/>
    <w:rsid w:val="009F216C"/>
    <w:rsid w:val="009F2868"/>
    <w:rsid w:val="009F2927"/>
    <w:rsid w:val="009F2928"/>
    <w:rsid w:val="009F2DDB"/>
    <w:rsid w:val="009F3059"/>
    <w:rsid w:val="009F30AE"/>
    <w:rsid w:val="009F3519"/>
    <w:rsid w:val="009F4E5F"/>
    <w:rsid w:val="009F5C7D"/>
    <w:rsid w:val="009F664F"/>
    <w:rsid w:val="009F672C"/>
    <w:rsid w:val="009F67AD"/>
    <w:rsid w:val="009F70B8"/>
    <w:rsid w:val="009F7430"/>
    <w:rsid w:val="009F76D6"/>
    <w:rsid w:val="00A00478"/>
    <w:rsid w:val="00A00AE6"/>
    <w:rsid w:val="00A00F44"/>
    <w:rsid w:val="00A00F86"/>
    <w:rsid w:val="00A0136F"/>
    <w:rsid w:val="00A01504"/>
    <w:rsid w:val="00A0254F"/>
    <w:rsid w:val="00A02BEF"/>
    <w:rsid w:val="00A03E56"/>
    <w:rsid w:val="00A04C9E"/>
    <w:rsid w:val="00A0542C"/>
    <w:rsid w:val="00A055F1"/>
    <w:rsid w:val="00A05A6A"/>
    <w:rsid w:val="00A0651D"/>
    <w:rsid w:val="00A068BB"/>
    <w:rsid w:val="00A07BFE"/>
    <w:rsid w:val="00A101C3"/>
    <w:rsid w:val="00A1031E"/>
    <w:rsid w:val="00A103A0"/>
    <w:rsid w:val="00A1043C"/>
    <w:rsid w:val="00A10F29"/>
    <w:rsid w:val="00A12547"/>
    <w:rsid w:val="00A12C92"/>
    <w:rsid w:val="00A12DA7"/>
    <w:rsid w:val="00A1371E"/>
    <w:rsid w:val="00A13731"/>
    <w:rsid w:val="00A142D6"/>
    <w:rsid w:val="00A14D06"/>
    <w:rsid w:val="00A1516F"/>
    <w:rsid w:val="00A156EF"/>
    <w:rsid w:val="00A164B9"/>
    <w:rsid w:val="00A16EE8"/>
    <w:rsid w:val="00A17D60"/>
    <w:rsid w:val="00A2057A"/>
    <w:rsid w:val="00A205C2"/>
    <w:rsid w:val="00A20FB7"/>
    <w:rsid w:val="00A2172E"/>
    <w:rsid w:val="00A21758"/>
    <w:rsid w:val="00A21AB4"/>
    <w:rsid w:val="00A21FE9"/>
    <w:rsid w:val="00A22B4F"/>
    <w:rsid w:val="00A22E16"/>
    <w:rsid w:val="00A230E0"/>
    <w:rsid w:val="00A23203"/>
    <w:rsid w:val="00A234A7"/>
    <w:rsid w:val="00A235BD"/>
    <w:rsid w:val="00A2380B"/>
    <w:rsid w:val="00A24B6C"/>
    <w:rsid w:val="00A25C1E"/>
    <w:rsid w:val="00A26F92"/>
    <w:rsid w:val="00A27C28"/>
    <w:rsid w:val="00A302AD"/>
    <w:rsid w:val="00A30556"/>
    <w:rsid w:val="00A3059D"/>
    <w:rsid w:val="00A30C81"/>
    <w:rsid w:val="00A30E65"/>
    <w:rsid w:val="00A31278"/>
    <w:rsid w:val="00A31AA4"/>
    <w:rsid w:val="00A31C64"/>
    <w:rsid w:val="00A32653"/>
    <w:rsid w:val="00A32A42"/>
    <w:rsid w:val="00A32EA1"/>
    <w:rsid w:val="00A3343B"/>
    <w:rsid w:val="00A3635E"/>
    <w:rsid w:val="00A36370"/>
    <w:rsid w:val="00A3687C"/>
    <w:rsid w:val="00A36DA6"/>
    <w:rsid w:val="00A36F8A"/>
    <w:rsid w:val="00A37888"/>
    <w:rsid w:val="00A37E10"/>
    <w:rsid w:val="00A41956"/>
    <w:rsid w:val="00A42256"/>
    <w:rsid w:val="00A424DE"/>
    <w:rsid w:val="00A425F3"/>
    <w:rsid w:val="00A429F0"/>
    <w:rsid w:val="00A431C7"/>
    <w:rsid w:val="00A4327A"/>
    <w:rsid w:val="00A438F4"/>
    <w:rsid w:val="00A43ACE"/>
    <w:rsid w:val="00A441F5"/>
    <w:rsid w:val="00A44303"/>
    <w:rsid w:val="00A445D9"/>
    <w:rsid w:val="00A4475A"/>
    <w:rsid w:val="00A44AC5"/>
    <w:rsid w:val="00A456A1"/>
    <w:rsid w:val="00A466D1"/>
    <w:rsid w:val="00A468B3"/>
    <w:rsid w:val="00A47B19"/>
    <w:rsid w:val="00A47B6C"/>
    <w:rsid w:val="00A47EBA"/>
    <w:rsid w:val="00A50113"/>
    <w:rsid w:val="00A50E7B"/>
    <w:rsid w:val="00A51023"/>
    <w:rsid w:val="00A5162E"/>
    <w:rsid w:val="00A51D61"/>
    <w:rsid w:val="00A5262D"/>
    <w:rsid w:val="00A531D2"/>
    <w:rsid w:val="00A54F87"/>
    <w:rsid w:val="00A562CF"/>
    <w:rsid w:val="00A568AC"/>
    <w:rsid w:val="00A56CE4"/>
    <w:rsid w:val="00A56F07"/>
    <w:rsid w:val="00A56F49"/>
    <w:rsid w:val="00A571A8"/>
    <w:rsid w:val="00A57E3E"/>
    <w:rsid w:val="00A603CD"/>
    <w:rsid w:val="00A608FB"/>
    <w:rsid w:val="00A62225"/>
    <w:rsid w:val="00A6234E"/>
    <w:rsid w:val="00A62CD2"/>
    <w:rsid w:val="00A63140"/>
    <w:rsid w:val="00A632DD"/>
    <w:rsid w:val="00A637A4"/>
    <w:rsid w:val="00A642B1"/>
    <w:rsid w:val="00A64ADE"/>
    <w:rsid w:val="00A65910"/>
    <w:rsid w:val="00A6612D"/>
    <w:rsid w:val="00A665E8"/>
    <w:rsid w:val="00A66902"/>
    <w:rsid w:val="00A67402"/>
    <w:rsid w:val="00A67FD2"/>
    <w:rsid w:val="00A70334"/>
    <w:rsid w:val="00A70A0A"/>
    <w:rsid w:val="00A70E4B"/>
    <w:rsid w:val="00A70F42"/>
    <w:rsid w:val="00A714F9"/>
    <w:rsid w:val="00A719DF"/>
    <w:rsid w:val="00A72B9C"/>
    <w:rsid w:val="00A73E51"/>
    <w:rsid w:val="00A744AC"/>
    <w:rsid w:val="00A74D30"/>
    <w:rsid w:val="00A76173"/>
    <w:rsid w:val="00A76576"/>
    <w:rsid w:val="00A77358"/>
    <w:rsid w:val="00A77BBD"/>
    <w:rsid w:val="00A77DC8"/>
    <w:rsid w:val="00A80A59"/>
    <w:rsid w:val="00A80CCA"/>
    <w:rsid w:val="00A810CE"/>
    <w:rsid w:val="00A83283"/>
    <w:rsid w:val="00A836A0"/>
    <w:rsid w:val="00A83AFC"/>
    <w:rsid w:val="00A83C71"/>
    <w:rsid w:val="00A83E47"/>
    <w:rsid w:val="00A8525C"/>
    <w:rsid w:val="00A86103"/>
    <w:rsid w:val="00A86C83"/>
    <w:rsid w:val="00A90377"/>
    <w:rsid w:val="00A9081A"/>
    <w:rsid w:val="00A90F0B"/>
    <w:rsid w:val="00A92173"/>
    <w:rsid w:val="00A926DE"/>
    <w:rsid w:val="00A92C66"/>
    <w:rsid w:val="00A930B8"/>
    <w:rsid w:val="00A933E8"/>
    <w:rsid w:val="00A93AE0"/>
    <w:rsid w:val="00A93E27"/>
    <w:rsid w:val="00A9400E"/>
    <w:rsid w:val="00A9484A"/>
    <w:rsid w:val="00A9533A"/>
    <w:rsid w:val="00A96417"/>
    <w:rsid w:val="00A97BAF"/>
    <w:rsid w:val="00A9EE14"/>
    <w:rsid w:val="00AA000C"/>
    <w:rsid w:val="00AA0DB0"/>
    <w:rsid w:val="00AA19D1"/>
    <w:rsid w:val="00AA249C"/>
    <w:rsid w:val="00AA2D94"/>
    <w:rsid w:val="00AA343B"/>
    <w:rsid w:val="00AA3461"/>
    <w:rsid w:val="00AA37BC"/>
    <w:rsid w:val="00AA3FCE"/>
    <w:rsid w:val="00AA41D2"/>
    <w:rsid w:val="00AA4826"/>
    <w:rsid w:val="00AA48B3"/>
    <w:rsid w:val="00AA5B69"/>
    <w:rsid w:val="00AA5D65"/>
    <w:rsid w:val="00AA612F"/>
    <w:rsid w:val="00AA657A"/>
    <w:rsid w:val="00AA685C"/>
    <w:rsid w:val="00AA72F2"/>
    <w:rsid w:val="00AAE68B"/>
    <w:rsid w:val="00AB045B"/>
    <w:rsid w:val="00AB0944"/>
    <w:rsid w:val="00AB0CBB"/>
    <w:rsid w:val="00AB1CBA"/>
    <w:rsid w:val="00AB1E85"/>
    <w:rsid w:val="00AB226B"/>
    <w:rsid w:val="00AB22BE"/>
    <w:rsid w:val="00AB2A4F"/>
    <w:rsid w:val="00AB2BF4"/>
    <w:rsid w:val="00AB3531"/>
    <w:rsid w:val="00AB36C1"/>
    <w:rsid w:val="00AB36F3"/>
    <w:rsid w:val="00AB4098"/>
    <w:rsid w:val="00AB4780"/>
    <w:rsid w:val="00AB4AF2"/>
    <w:rsid w:val="00AB51F2"/>
    <w:rsid w:val="00AB54CF"/>
    <w:rsid w:val="00AB5F27"/>
    <w:rsid w:val="00AB672D"/>
    <w:rsid w:val="00AB7185"/>
    <w:rsid w:val="00AB75D9"/>
    <w:rsid w:val="00AB7BDB"/>
    <w:rsid w:val="00AC02BF"/>
    <w:rsid w:val="00AC0A9A"/>
    <w:rsid w:val="00AC0E13"/>
    <w:rsid w:val="00AC0EB7"/>
    <w:rsid w:val="00AC0EDA"/>
    <w:rsid w:val="00AC17AD"/>
    <w:rsid w:val="00AC1E3D"/>
    <w:rsid w:val="00AC1F4F"/>
    <w:rsid w:val="00AC23A2"/>
    <w:rsid w:val="00AC3347"/>
    <w:rsid w:val="00AC35AE"/>
    <w:rsid w:val="00AC38DC"/>
    <w:rsid w:val="00AC6573"/>
    <w:rsid w:val="00AC679F"/>
    <w:rsid w:val="00AC6AA9"/>
    <w:rsid w:val="00AC6CFA"/>
    <w:rsid w:val="00AC75EF"/>
    <w:rsid w:val="00AC78DE"/>
    <w:rsid w:val="00AC7C41"/>
    <w:rsid w:val="00AD018F"/>
    <w:rsid w:val="00AD02AF"/>
    <w:rsid w:val="00AD075C"/>
    <w:rsid w:val="00AD0F52"/>
    <w:rsid w:val="00AD0FFE"/>
    <w:rsid w:val="00AD176B"/>
    <w:rsid w:val="00AD189D"/>
    <w:rsid w:val="00AD18DC"/>
    <w:rsid w:val="00AD2392"/>
    <w:rsid w:val="00AD2431"/>
    <w:rsid w:val="00AD2D4C"/>
    <w:rsid w:val="00AD38AF"/>
    <w:rsid w:val="00AD4597"/>
    <w:rsid w:val="00AD4B1A"/>
    <w:rsid w:val="00AD4ECE"/>
    <w:rsid w:val="00AD6807"/>
    <w:rsid w:val="00AD6C29"/>
    <w:rsid w:val="00AD6ED5"/>
    <w:rsid w:val="00AD6F6E"/>
    <w:rsid w:val="00AD7572"/>
    <w:rsid w:val="00AD7E0F"/>
    <w:rsid w:val="00AE09C6"/>
    <w:rsid w:val="00AE0D03"/>
    <w:rsid w:val="00AE0FCF"/>
    <w:rsid w:val="00AE1749"/>
    <w:rsid w:val="00AE19BE"/>
    <w:rsid w:val="00AE1C46"/>
    <w:rsid w:val="00AE21DD"/>
    <w:rsid w:val="00AE2357"/>
    <w:rsid w:val="00AE2744"/>
    <w:rsid w:val="00AE30DF"/>
    <w:rsid w:val="00AE327F"/>
    <w:rsid w:val="00AE3A3E"/>
    <w:rsid w:val="00AE424B"/>
    <w:rsid w:val="00AE45C7"/>
    <w:rsid w:val="00AE4B46"/>
    <w:rsid w:val="00AE4E7F"/>
    <w:rsid w:val="00AE526B"/>
    <w:rsid w:val="00AE5E61"/>
    <w:rsid w:val="00AE624D"/>
    <w:rsid w:val="00AE6A8D"/>
    <w:rsid w:val="00AE70B9"/>
    <w:rsid w:val="00AE7BE0"/>
    <w:rsid w:val="00AF01DE"/>
    <w:rsid w:val="00AF037C"/>
    <w:rsid w:val="00AF1FAB"/>
    <w:rsid w:val="00AF29AA"/>
    <w:rsid w:val="00AF327E"/>
    <w:rsid w:val="00AF431A"/>
    <w:rsid w:val="00AF46FA"/>
    <w:rsid w:val="00AF47B6"/>
    <w:rsid w:val="00AF490D"/>
    <w:rsid w:val="00AF598D"/>
    <w:rsid w:val="00AF5CD3"/>
    <w:rsid w:val="00AF69CB"/>
    <w:rsid w:val="00AF6A5D"/>
    <w:rsid w:val="00AF7204"/>
    <w:rsid w:val="00AF721E"/>
    <w:rsid w:val="00AF7D7A"/>
    <w:rsid w:val="00AF7E5E"/>
    <w:rsid w:val="00B00054"/>
    <w:rsid w:val="00B008F4"/>
    <w:rsid w:val="00B00E20"/>
    <w:rsid w:val="00B00ED6"/>
    <w:rsid w:val="00B01602"/>
    <w:rsid w:val="00B018F6"/>
    <w:rsid w:val="00B01928"/>
    <w:rsid w:val="00B01A4E"/>
    <w:rsid w:val="00B0284F"/>
    <w:rsid w:val="00B039A0"/>
    <w:rsid w:val="00B03B16"/>
    <w:rsid w:val="00B03F2D"/>
    <w:rsid w:val="00B04B40"/>
    <w:rsid w:val="00B04CF1"/>
    <w:rsid w:val="00B05BE9"/>
    <w:rsid w:val="00B05BEB"/>
    <w:rsid w:val="00B06008"/>
    <w:rsid w:val="00B06C04"/>
    <w:rsid w:val="00B071EE"/>
    <w:rsid w:val="00B0739F"/>
    <w:rsid w:val="00B07ACF"/>
    <w:rsid w:val="00B07CFC"/>
    <w:rsid w:val="00B10407"/>
    <w:rsid w:val="00B107A3"/>
    <w:rsid w:val="00B10DDD"/>
    <w:rsid w:val="00B10F56"/>
    <w:rsid w:val="00B110E3"/>
    <w:rsid w:val="00B11181"/>
    <w:rsid w:val="00B111A2"/>
    <w:rsid w:val="00B125AD"/>
    <w:rsid w:val="00B12CAA"/>
    <w:rsid w:val="00B143B9"/>
    <w:rsid w:val="00B14CC5"/>
    <w:rsid w:val="00B1713D"/>
    <w:rsid w:val="00B176EB"/>
    <w:rsid w:val="00B17A8C"/>
    <w:rsid w:val="00B17E6C"/>
    <w:rsid w:val="00B2056A"/>
    <w:rsid w:val="00B208B9"/>
    <w:rsid w:val="00B21FF4"/>
    <w:rsid w:val="00B226F9"/>
    <w:rsid w:val="00B22C65"/>
    <w:rsid w:val="00B23C8B"/>
    <w:rsid w:val="00B2419F"/>
    <w:rsid w:val="00B2430B"/>
    <w:rsid w:val="00B267E3"/>
    <w:rsid w:val="00B26AB7"/>
    <w:rsid w:val="00B27C4F"/>
    <w:rsid w:val="00B27DFB"/>
    <w:rsid w:val="00B300E5"/>
    <w:rsid w:val="00B30924"/>
    <w:rsid w:val="00B30D34"/>
    <w:rsid w:val="00B3133A"/>
    <w:rsid w:val="00B316EA"/>
    <w:rsid w:val="00B31E8E"/>
    <w:rsid w:val="00B32AD5"/>
    <w:rsid w:val="00B32BA2"/>
    <w:rsid w:val="00B33104"/>
    <w:rsid w:val="00B339A4"/>
    <w:rsid w:val="00B33B0E"/>
    <w:rsid w:val="00B33DC0"/>
    <w:rsid w:val="00B34A53"/>
    <w:rsid w:val="00B34B70"/>
    <w:rsid w:val="00B35632"/>
    <w:rsid w:val="00B36ECF"/>
    <w:rsid w:val="00B3745D"/>
    <w:rsid w:val="00B378F8"/>
    <w:rsid w:val="00B420A2"/>
    <w:rsid w:val="00B43D27"/>
    <w:rsid w:val="00B43E3E"/>
    <w:rsid w:val="00B441A8"/>
    <w:rsid w:val="00B44CBC"/>
    <w:rsid w:val="00B460E1"/>
    <w:rsid w:val="00B46609"/>
    <w:rsid w:val="00B467D6"/>
    <w:rsid w:val="00B50E14"/>
    <w:rsid w:val="00B51545"/>
    <w:rsid w:val="00B520CD"/>
    <w:rsid w:val="00B54B6C"/>
    <w:rsid w:val="00B5562A"/>
    <w:rsid w:val="00B55BD4"/>
    <w:rsid w:val="00B55DAB"/>
    <w:rsid w:val="00B5628C"/>
    <w:rsid w:val="00B5754F"/>
    <w:rsid w:val="00B57B93"/>
    <w:rsid w:val="00B60900"/>
    <w:rsid w:val="00B6124A"/>
    <w:rsid w:val="00B6233B"/>
    <w:rsid w:val="00B625A2"/>
    <w:rsid w:val="00B62AFA"/>
    <w:rsid w:val="00B62D0B"/>
    <w:rsid w:val="00B63DF9"/>
    <w:rsid w:val="00B647E8"/>
    <w:rsid w:val="00B64B75"/>
    <w:rsid w:val="00B64C3B"/>
    <w:rsid w:val="00B65B11"/>
    <w:rsid w:val="00B669A5"/>
    <w:rsid w:val="00B67153"/>
    <w:rsid w:val="00B67ECD"/>
    <w:rsid w:val="00B70859"/>
    <w:rsid w:val="00B70B75"/>
    <w:rsid w:val="00B70D89"/>
    <w:rsid w:val="00B715D2"/>
    <w:rsid w:val="00B727B2"/>
    <w:rsid w:val="00B73677"/>
    <w:rsid w:val="00B74B49"/>
    <w:rsid w:val="00B762A8"/>
    <w:rsid w:val="00B76455"/>
    <w:rsid w:val="00B77DCF"/>
    <w:rsid w:val="00B77E5E"/>
    <w:rsid w:val="00B8012D"/>
    <w:rsid w:val="00B8120E"/>
    <w:rsid w:val="00B816AB"/>
    <w:rsid w:val="00B81CBB"/>
    <w:rsid w:val="00B82099"/>
    <w:rsid w:val="00B8243B"/>
    <w:rsid w:val="00B8284A"/>
    <w:rsid w:val="00B82DAD"/>
    <w:rsid w:val="00B83267"/>
    <w:rsid w:val="00B83288"/>
    <w:rsid w:val="00B835F8"/>
    <w:rsid w:val="00B837EB"/>
    <w:rsid w:val="00B83ABC"/>
    <w:rsid w:val="00B84824"/>
    <w:rsid w:val="00B84AEA"/>
    <w:rsid w:val="00B8569B"/>
    <w:rsid w:val="00B90296"/>
    <w:rsid w:val="00B90491"/>
    <w:rsid w:val="00B90597"/>
    <w:rsid w:val="00B910AC"/>
    <w:rsid w:val="00B91766"/>
    <w:rsid w:val="00B91971"/>
    <w:rsid w:val="00B925FA"/>
    <w:rsid w:val="00B92EF7"/>
    <w:rsid w:val="00B92F95"/>
    <w:rsid w:val="00B93FFB"/>
    <w:rsid w:val="00B943FE"/>
    <w:rsid w:val="00B94507"/>
    <w:rsid w:val="00B94718"/>
    <w:rsid w:val="00B95054"/>
    <w:rsid w:val="00B9581D"/>
    <w:rsid w:val="00B95A20"/>
    <w:rsid w:val="00B96C4A"/>
    <w:rsid w:val="00B970DA"/>
    <w:rsid w:val="00B9759E"/>
    <w:rsid w:val="00BA0104"/>
    <w:rsid w:val="00BA125F"/>
    <w:rsid w:val="00BA137E"/>
    <w:rsid w:val="00BA2945"/>
    <w:rsid w:val="00BA2A4F"/>
    <w:rsid w:val="00BA3072"/>
    <w:rsid w:val="00BA30D1"/>
    <w:rsid w:val="00BA3974"/>
    <w:rsid w:val="00BA4646"/>
    <w:rsid w:val="00BA4ABA"/>
    <w:rsid w:val="00BA5510"/>
    <w:rsid w:val="00BA5B05"/>
    <w:rsid w:val="00BA5D5A"/>
    <w:rsid w:val="00BA5EEE"/>
    <w:rsid w:val="00BA65AC"/>
    <w:rsid w:val="00BA6D23"/>
    <w:rsid w:val="00BA6E14"/>
    <w:rsid w:val="00BA7238"/>
    <w:rsid w:val="00BA75D9"/>
    <w:rsid w:val="00BA786A"/>
    <w:rsid w:val="00BA7F06"/>
    <w:rsid w:val="00BA7F9D"/>
    <w:rsid w:val="00BB11BA"/>
    <w:rsid w:val="00BB11C6"/>
    <w:rsid w:val="00BB1F33"/>
    <w:rsid w:val="00BB320D"/>
    <w:rsid w:val="00BB5343"/>
    <w:rsid w:val="00BB5F6C"/>
    <w:rsid w:val="00BB695F"/>
    <w:rsid w:val="00BB6C03"/>
    <w:rsid w:val="00BB78C7"/>
    <w:rsid w:val="00BC0F4E"/>
    <w:rsid w:val="00BC1C6F"/>
    <w:rsid w:val="00BC1CEE"/>
    <w:rsid w:val="00BC1D07"/>
    <w:rsid w:val="00BC2C3C"/>
    <w:rsid w:val="00BC38C7"/>
    <w:rsid w:val="00BC395D"/>
    <w:rsid w:val="00BC3C46"/>
    <w:rsid w:val="00BC4444"/>
    <w:rsid w:val="00BC49BD"/>
    <w:rsid w:val="00BC49F2"/>
    <w:rsid w:val="00BC6AE0"/>
    <w:rsid w:val="00BC6C2B"/>
    <w:rsid w:val="00BC7181"/>
    <w:rsid w:val="00BC743D"/>
    <w:rsid w:val="00BD0ADD"/>
    <w:rsid w:val="00BD0D9B"/>
    <w:rsid w:val="00BD1A79"/>
    <w:rsid w:val="00BD2570"/>
    <w:rsid w:val="00BD2CC9"/>
    <w:rsid w:val="00BD310A"/>
    <w:rsid w:val="00BD3DF1"/>
    <w:rsid w:val="00BD4A56"/>
    <w:rsid w:val="00BD5307"/>
    <w:rsid w:val="00BD58C4"/>
    <w:rsid w:val="00BD59F3"/>
    <w:rsid w:val="00BD6783"/>
    <w:rsid w:val="00BD6E41"/>
    <w:rsid w:val="00BD75D3"/>
    <w:rsid w:val="00BD790B"/>
    <w:rsid w:val="00BD7BC2"/>
    <w:rsid w:val="00BD7C37"/>
    <w:rsid w:val="00BE039F"/>
    <w:rsid w:val="00BE1018"/>
    <w:rsid w:val="00BE10A3"/>
    <w:rsid w:val="00BE18D6"/>
    <w:rsid w:val="00BE1B0B"/>
    <w:rsid w:val="00BE2396"/>
    <w:rsid w:val="00BE2A57"/>
    <w:rsid w:val="00BE3D99"/>
    <w:rsid w:val="00BE3FA4"/>
    <w:rsid w:val="00BE438D"/>
    <w:rsid w:val="00BE43C9"/>
    <w:rsid w:val="00BE470C"/>
    <w:rsid w:val="00BE5252"/>
    <w:rsid w:val="00BE632F"/>
    <w:rsid w:val="00BE6630"/>
    <w:rsid w:val="00BE6951"/>
    <w:rsid w:val="00BE6C87"/>
    <w:rsid w:val="00BE7033"/>
    <w:rsid w:val="00BE7E55"/>
    <w:rsid w:val="00BF10E5"/>
    <w:rsid w:val="00BF1AED"/>
    <w:rsid w:val="00BF2FDE"/>
    <w:rsid w:val="00BF3B12"/>
    <w:rsid w:val="00BF3CD4"/>
    <w:rsid w:val="00BF40A9"/>
    <w:rsid w:val="00BF6113"/>
    <w:rsid w:val="00BF71D1"/>
    <w:rsid w:val="00BF76FA"/>
    <w:rsid w:val="00BF7D24"/>
    <w:rsid w:val="00BF7E1F"/>
    <w:rsid w:val="00C004EA"/>
    <w:rsid w:val="00C00D59"/>
    <w:rsid w:val="00C012D1"/>
    <w:rsid w:val="00C013A9"/>
    <w:rsid w:val="00C02164"/>
    <w:rsid w:val="00C023B6"/>
    <w:rsid w:val="00C0291A"/>
    <w:rsid w:val="00C02D90"/>
    <w:rsid w:val="00C038AA"/>
    <w:rsid w:val="00C03D5A"/>
    <w:rsid w:val="00C0510E"/>
    <w:rsid w:val="00C05120"/>
    <w:rsid w:val="00C05948"/>
    <w:rsid w:val="00C0625E"/>
    <w:rsid w:val="00C06C1A"/>
    <w:rsid w:val="00C07628"/>
    <w:rsid w:val="00C10FEE"/>
    <w:rsid w:val="00C1123C"/>
    <w:rsid w:val="00C12301"/>
    <w:rsid w:val="00C1236E"/>
    <w:rsid w:val="00C12B5F"/>
    <w:rsid w:val="00C12B76"/>
    <w:rsid w:val="00C12B9C"/>
    <w:rsid w:val="00C12D5B"/>
    <w:rsid w:val="00C13792"/>
    <w:rsid w:val="00C142F8"/>
    <w:rsid w:val="00C14B9A"/>
    <w:rsid w:val="00C1511F"/>
    <w:rsid w:val="00C15A50"/>
    <w:rsid w:val="00C15B88"/>
    <w:rsid w:val="00C16598"/>
    <w:rsid w:val="00C16D13"/>
    <w:rsid w:val="00C178F2"/>
    <w:rsid w:val="00C17987"/>
    <w:rsid w:val="00C2064A"/>
    <w:rsid w:val="00C21DA4"/>
    <w:rsid w:val="00C224FE"/>
    <w:rsid w:val="00C22AAA"/>
    <w:rsid w:val="00C236B0"/>
    <w:rsid w:val="00C244B4"/>
    <w:rsid w:val="00C253B0"/>
    <w:rsid w:val="00C25A75"/>
    <w:rsid w:val="00C25E35"/>
    <w:rsid w:val="00C260FB"/>
    <w:rsid w:val="00C2618A"/>
    <w:rsid w:val="00C26750"/>
    <w:rsid w:val="00C27798"/>
    <w:rsid w:val="00C27AEA"/>
    <w:rsid w:val="00C301CD"/>
    <w:rsid w:val="00C306B3"/>
    <w:rsid w:val="00C3144C"/>
    <w:rsid w:val="00C31546"/>
    <w:rsid w:val="00C319A3"/>
    <w:rsid w:val="00C31ADF"/>
    <w:rsid w:val="00C31FFA"/>
    <w:rsid w:val="00C323E4"/>
    <w:rsid w:val="00C336E4"/>
    <w:rsid w:val="00C33BC1"/>
    <w:rsid w:val="00C341A2"/>
    <w:rsid w:val="00C3500F"/>
    <w:rsid w:val="00C35221"/>
    <w:rsid w:val="00C36241"/>
    <w:rsid w:val="00C3691F"/>
    <w:rsid w:val="00C36AB2"/>
    <w:rsid w:val="00C373DB"/>
    <w:rsid w:val="00C373F2"/>
    <w:rsid w:val="00C40060"/>
    <w:rsid w:val="00C40406"/>
    <w:rsid w:val="00C40C49"/>
    <w:rsid w:val="00C40F56"/>
    <w:rsid w:val="00C4130F"/>
    <w:rsid w:val="00C4136F"/>
    <w:rsid w:val="00C42447"/>
    <w:rsid w:val="00C43668"/>
    <w:rsid w:val="00C45376"/>
    <w:rsid w:val="00C456EF"/>
    <w:rsid w:val="00C4753C"/>
    <w:rsid w:val="00C50079"/>
    <w:rsid w:val="00C50974"/>
    <w:rsid w:val="00C51990"/>
    <w:rsid w:val="00C51B7D"/>
    <w:rsid w:val="00C51E94"/>
    <w:rsid w:val="00C51F50"/>
    <w:rsid w:val="00C532ED"/>
    <w:rsid w:val="00C53474"/>
    <w:rsid w:val="00C53485"/>
    <w:rsid w:val="00C53616"/>
    <w:rsid w:val="00C53768"/>
    <w:rsid w:val="00C537F1"/>
    <w:rsid w:val="00C53EB4"/>
    <w:rsid w:val="00C54E2E"/>
    <w:rsid w:val="00C54FE3"/>
    <w:rsid w:val="00C55319"/>
    <w:rsid w:val="00C556B6"/>
    <w:rsid w:val="00C55865"/>
    <w:rsid w:val="00C55984"/>
    <w:rsid w:val="00C5676E"/>
    <w:rsid w:val="00C56ACB"/>
    <w:rsid w:val="00C56C05"/>
    <w:rsid w:val="00C56E64"/>
    <w:rsid w:val="00C57660"/>
    <w:rsid w:val="00C57845"/>
    <w:rsid w:val="00C5793E"/>
    <w:rsid w:val="00C57A07"/>
    <w:rsid w:val="00C57C32"/>
    <w:rsid w:val="00C609DC"/>
    <w:rsid w:val="00C60B61"/>
    <w:rsid w:val="00C60B6F"/>
    <w:rsid w:val="00C62312"/>
    <w:rsid w:val="00C64663"/>
    <w:rsid w:val="00C6531A"/>
    <w:rsid w:val="00C65941"/>
    <w:rsid w:val="00C65993"/>
    <w:rsid w:val="00C66A25"/>
    <w:rsid w:val="00C66A8A"/>
    <w:rsid w:val="00C700B2"/>
    <w:rsid w:val="00C700D7"/>
    <w:rsid w:val="00C7046D"/>
    <w:rsid w:val="00C7069B"/>
    <w:rsid w:val="00C70A1A"/>
    <w:rsid w:val="00C70C1D"/>
    <w:rsid w:val="00C70CF7"/>
    <w:rsid w:val="00C70D47"/>
    <w:rsid w:val="00C71358"/>
    <w:rsid w:val="00C715CE"/>
    <w:rsid w:val="00C72B2D"/>
    <w:rsid w:val="00C73408"/>
    <w:rsid w:val="00C73BBA"/>
    <w:rsid w:val="00C73BCE"/>
    <w:rsid w:val="00C73FD8"/>
    <w:rsid w:val="00C7407E"/>
    <w:rsid w:val="00C7424A"/>
    <w:rsid w:val="00C74C14"/>
    <w:rsid w:val="00C74F68"/>
    <w:rsid w:val="00C7535E"/>
    <w:rsid w:val="00C75979"/>
    <w:rsid w:val="00C75F8B"/>
    <w:rsid w:val="00C76081"/>
    <w:rsid w:val="00C76168"/>
    <w:rsid w:val="00C76425"/>
    <w:rsid w:val="00C776A2"/>
    <w:rsid w:val="00C80A04"/>
    <w:rsid w:val="00C80B54"/>
    <w:rsid w:val="00C80C89"/>
    <w:rsid w:val="00C80E29"/>
    <w:rsid w:val="00C81EFD"/>
    <w:rsid w:val="00C82523"/>
    <w:rsid w:val="00C82589"/>
    <w:rsid w:val="00C827A4"/>
    <w:rsid w:val="00C82C2D"/>
    <w:rsid w:val="00C82D57"/>
    <w:rsid w:val="00C82E17"/>
    <w:rsid w:val="00C83FCC"/>
    <w:rsid w:val="00C84977"/>
    <w:rsid w:val="00C84B92"/>
    <w:rsid w:val="00C84F2C"/>
    <w:rsid w:val="00C86195"/>
    <w:rsid w:val="00C86220"/>
    <w:rsid w:val="00C86EA0"/>
    <w:rsid w:val="00C87090"/>
    <w:rsid w:val="00C871F2"/>
    <w:rsid w:val="00C8741D"/>
    <w:rsid w:val="00C87DC9"/>
    <w:rsid w:val="00C90245"/>
    <w:rsid w:val="00C913B3"/>
    <w:rsid w:val="00C91F78"/>
    <w:rsid w:val="00C92455"/>
    <w:rsid w:val="00C92E46"/>
    <w:rsid w:val="00C92FFD"/>
    <w:rsid w:val="00C9376D"/>
    <w:rsid w:val="00C937E8"/>
    <w:rsid w:val="00C94244"/>
    <w:rsid w:val="00C94968"/>
    <w:rsid w:val="00C94DFC"/>
    <w:rsid w:val="00C97A32"/>
    <w:rsid w:val="00C97EED"/>
    <w:rsid w:val="00CA05AF"/>
    <w:rsid w:val="00CA0B3F"/>
    <w:rsid w:val="00CA0F25"/>
    <w:rsid w:val="00CA19BD"/>
    <w:rsid w:val="00CA1F6F"/>
    <w:rsid w:val="00CA2A93"/>
    <w:rsid w:val="00CA3A51"/>
    <w:rsid w:val="00CA3E5A"/>
    <w:rsid w:val="00CA4512"/>
    <w:rsid w:val="00CA4A24"/>
    <w:rsid w:val="00CA5656"/>
    <w:rsid w:val="00CA56BA"/>
    <w:rsid w:val="00CA717A"/>
    <w:rsid w:val="00CA75F7"/>
    <w:rsid w:val="00CB0676"/>
    <w:rsid w:val="00CB07A6"/>
    <w:rsid w:val="00CB0DD3"/>
    <w:rsid w:val="00CB199C"/>
    <w:rsid w:val="00CB22D1"/>
    <w:rsid w:val="00CB23EA"/>
    <w:rsid w:val="00CB3355"/>
    <w:rsid w:val="00CB3C66"/>
    <w:rsid w:val="00CB408D"/>
    <w:rsid w:val="00CB41BA"/>
    <w:rsid w:val="00CB5675"/>
    <w:rsid w:val="00CB59B9"/>
    <w:rsid w:val="00CB646F"/>
    <w:rsid w:val="00CC06B4"/>
    <w:rsid w:val="00CC1348"/>
    <w:rsid w:val="00CC16E7"/>
    <w:rsid w:val="00CC1741"/>
    <w:rsid w:val="00CC18F3"/>
    <w:rsid w:val="00CC2025"/>
    <w:rsid w:val="00CC255F"/>
    <w:rsid w:val="00CC25FC"/>
    <w:rsid w:val="00CC41DD"/>
    <w:rsid w:val="00CC4AB0"/>
    <w:rsid w:val="00CC5F96"/>
    <w:rsid w:val="00CC69F0"/>
    <w:rsid w:val="00CC6BF8"/>
    <w:rsid w:val="00CC702A"/>
    <w:rsid w:val="00CC7B24"/>
    <w:rsid w:val="00CD0093"/>
    <w:rsid w:val="00CD0E33"/>
    <w:rsid w:val="00CD0EE5"/>
    <w:rsid w:val="00CD12F4"/>
    <w:rsid w:val="00CD19BA"/>
    <w:rsid w:val="00CD211E"/>
    <w:rsid w:val="00CD2905"/>
    <w:rsid w:val="00CD33B2"/>
    <w:rsid w:val="00CD43F1"/>
    <w:rsid w:val="00CD4664"/>
    <w:rsid w:val="00CD4D59"/>
    <w:rsid w:val="00CD598D"/>
    <w:rsid w:val="00CD5AC5"/>
    <w:rsid w:val="00CD5E7E"/>
    <w:rsid w:val="00CD66E1"/>
    <w:rsid w:val="00CD6D9E"/>
    <w:rsid w:val="00CD7E1D"/>
    <w:rsid w:val="00CE0793"/>
    <w:rsid w:val="00CE1DEA"/>
    <w:rsid w:val="00CE1EF3"/>
    <w:rsid w:val="00CE21B8"/>
    <w:rsid w:val="00CE222F"/>
    <w:rsid w:val="00CE2E96"/>
    <w:rsid w:val="00CE3459"/>
    <w:rsid w:val="00CE34C4"/>
    <w:rsid w:val="00CE34F5"/>
    <w:rsid w:val="00CE3544"/>
    <w:rsid w:val="00CE3883"/>
    <w:rsid w:val="00CE446E"/>
    <w:rsid w:val="00CE4B6F"/>
    <w:rsid w:val="00CE530E"/>
    <w:rsid w:val="00CE5400"/>
    <w:rsid w:val="00CE5989"/>
    <w:rsid w:val="00CE6226"/>
    <w:rsid w:val="00CE7183"/>
    <w:rsid w:val="00CE723C"/>
    <w:rsid w:val="00CE72BB"/>
    <w:rsid w:val="00CF06B7"/>
    <w:rsid w:val="00CF0C12"/>
    <w:rsid w:val="00CF0F2F"/>
    <w:rsid w:val="00CF161C"/>
    <w:rsid w:val="00CF1B8A"/>
    <w:rsid w:val="00CF1BA3"/>
    <w:rsid w:val="00CF23BB"/>
    <w:rsid w:val="00CF24C6"/>
    <w:rsid w:val="00CF270B"/>
    <w:rsid w:val="00CF2D5A"/>
    <w:rsid w:val="00CF3327"/>
    <w:rsid w:val="00CF34D5"/>
    <w:rsid w:val="00CF3EFD"/>
    <w:rsid w:val="00CF419B"/>
    <w:rsid w:val="00CF450B"/>
    <w:rsid w:val="00CF457F"/>
    <w:rsid w:val="00CF4A5A"/>
    <w:rsid w:val="00CF571B"/>
    <w:rsid w:val="00CF60EB"/>
    <w:rsid w:val="00CF6C73"/>
    <w:rsid w:val="00CF71A4"/>
    <w:rsid w:val="00CF7881"/>
    <w:rsid w:val="00CF7CC4"/>
    <w:rsid w:val="00CF7DD0"/>
    <w:rsid w:val="00D0023E"/>
    <w:rsid w:val="00D01488"/>
    <w:rsid w:val="00D01711"/>
    <w:rsid w:val="00D0444B"/>
    <w:rsid w:val="00D0575F"/>
    <w:rsid w:val="00D057B0"/>
    <w:rsid w:val="00D065C7"/>
    <w:rsid w:val="00D0710A"/>
    <w:rsid w:val="00D073F8"/>
    <w:rsid w:val="00D0792E"/>
    <w:rsid w:val="00D07CE4"/>
    <w:rsid w:val="00D1025B"/>
    <w:rsid w:val="00D10936"/>
    <w:rsid w:val="00D10A87"/>
    <w:rsid w:val="00D10B58"/>
    <w:rsid w:val="00D113DC"/>
    <w:rsid w:val="00D12094"/>
    <w:rsid w:val="00D12896"/>
    <w:rsid w:val="00D1291C"/>
    <w:rsid w:val="00D13293"/>
    <w:rsid w:val="00D14506"/>
    <w:rsid w:val="00D14636"/>
    <w:rsid w:val="00D156D7"/>
    <w:rsid w:val="00D15A06"/>
    <w:rsid w:val="00D16258"/>
    <w:rsid w:val="00D16285"/>
    <w:rsid w:val="00D162EE"/>
    <w:rsid w:val="00D16903"/>
    <w:rsid w:val="00D16C26"/>
    <w:rsid w:val="00D17630"/>
    <w:rsid w:val="00D17CFB"/>
    <w:rsid w:val="00D201B6"/>
    <w:rsid w:val="00D20381"/>
    <w:rsid w:val="00D21D96"/>
    <w:rsid w:val="00D225A4"/>
    <w:rsid w:val="00D22F84"/>
    <w:rsid w:val="00D24098"/>
    <w:rsid w:val="00D24C1F"/>
    <w:rsid w:val="00D250DC"/>
    <w:rsid w:val="00D25AFF"/>
    <w:rsid w:val="00D2699C"/>
    <w:rsid w:val="00D271E8"/>
    <w:rsid w:val="00D30791"/>
    <w:rsid w:val="00D319F3"/>
    <w:rsid w:val="00D3204B"/>
    <w:rsid w:val="00D3391C"/>
    <w:rsid w:val="00D33B49"/>
    <w:rsid w:val="00D34BB1"/>
    <w:rsid w:val="00D34F46"/>
    <w:rsid w:val="00D361EC"/>
    <w:rsid w:val="00D36259"/>
    <w:rsid w:val="00D3656E"/>
    <w:rsid w:val="00D36FE4"/>
    <w:rsid w:val="00D37014"/>
    <w:rsid w:val="00D37787"/>
    <w:rsid w:val="00D377FD"/>
    <w:rsid w:val="00D40354"/>
    <w:rsid w:val="00D40B04"/>
    <w:rsid w:val="00D43649"/>
    <w:rsid w:val="00D43806"/>
    <w:rsid w:val="00D44553"/>
    <w:rsid w:val="00D45BDD"/>
    <w:rsid w:val="00D469DF"/>
    <w:rsid w:val="00D4737D"/>
    <w:rsid w:val="00D47908"/>
    <w:rsid w:val="00D50B11"/>
    <w:rsid w:val="00D511F8"/>
    <w:rsid w:val="00D51384"/>
    <w:rsid w:val="00D524A0"/>
    <w:rsid w:val="00D528C8"/>
    <w:rsid w:val="00D53B43"/>
    <w:rsid w:val="00D53ECF"/>
    <w:rsid w:val="00D54C69"/>
    <w:rsid w:val="00D5500A"/>
    <w:rsid w:val="00D5618A"/>
    <w:rsid w:val="00D56F8E"/>
    <w:rsid w:val="00D57C9D"/>
    <w:rsid w:val="00D60E90"/>
    <w:rsid w:val="00D61A88"/>
    <w:rsid w:val="00D62231"/>
    <w:rsid w:val="00D62BB2"/>
    <w:rsid w:val="00D63432"/>
    <w:rsid w:val="00D64361"/>
    <w:rsid w:val="00D65688"/>
    <w:rsid w:val="00D657DB"/>
    <w:rsid w:val="00D65E82"/>
    <w:rsid w:val="00D6610F"/>
    <w:rsid w:val="00D66CD0"/>
    <w:rsid w:val="00D6723D"/>
    <w:rsid w:val="00D67B0D"/>
    <w:rsid w:val="00D67C70"/>
    <w:rsid w:val="00D70319"/>
    <w:rsid w:val="00D70754"/>
    <w:rsid w:val="00D70C47"/>
    <w:rsid w:val="00D711A8"/>
    <w:rsid w:val="00D729F8"/>
    <w:rsid w:val="00D73542"/>
    <w:rsid w:val="00D735FE"/>
    <w:rsid w:val="00D742E5"/>
    <w:rsid w:val="00D748D9"/>
    <w:rsid w:val="00D74FFB"/>
    <w:rsid w:val="00D760A1"/>
    <w:rsid w:val="00D7663A"/>
    <w:rsid w:val="00D76B23"/>
    <w:rsid w:val="00D80031"/>
    <w:rsid w:val="00D803D1"/>
    <w:rsid w:val="00D81050"/>
    <w:rsid w:val="00D82CD4"/>
    <w:rsid w:val="00D847B8"/>
    <w:rsid w:val="00D85490"/>
    <w:rsid w:val="00D85829"/>
    <w:rsid w:val="00D85937"/>
    <w:rsid w:val="00D85E7D"/>
    <w:rsid w:val="00D8600E"/>
    <w:rsid w:val="00D86E1A"/>
    <w:rsid w:val="00D87B60"/>
    <w:rsid w:val="00D87BA9"/>
    <w:rsid w:val="00D87C35"/>
    <w:rsid w:val="00D87F0B"/>
    <w:rsid w:val="00D9068E"/>
    <w:rsid w:val="00D90AB2"/>
    <w:rsid w:val="00D9206F"/>
    <w:rsid w:val="00D921AB"/>
    <w:rsid w:val="00D925B4"/>
    <w:rsid w:val="00D938E5"/>
    <w:rsid w:val="00D94B49"/>
    <w:rsid w:val="00D952C5"/>
    <w:rsid w:val="00D953D1"/>
    <w:rsid w:val="00D95A9E"/>
    <w:rsid w:val="00D95DE4"/>
    <w:rsid w:val="00D964E7"/>
    <w:rsid w:val="00D9688F"/>
    <w:rsid w:val="00D96CA2"/>
    <w:rsid w:val="00D97696"/>
    <w:rsid w:val="00DA039B"/>
    <w:rsid w:val="00DA03EF"/>
    <w:rsid w:val="00DA0ECA"/>
    <w:rsid w:val="00DA1D11"/>
    <w:rsid w:val="00DA23B0"/>
    <w:rsid w:val="00DA28F4"/>
    <w:rsid w:val="00DA32C0"/>
    <w:rsid w:val="00DA383D"/>
    <w:rsid w:val="00DA3C4A"/>
    <w:rsid w:val="00DA4A8E"/>
    <w:rsid w:val="00DA4E5F"/>
    <w:rsid w:val="00DA54CC"/>
    <w:rsid w:val="00DA693D"/>
    <w:rsid w:val="00DA6FF0"/>
    <w:rsid w:val="00DA7AFB"/>
    <w:rsid w:val="00DA7ECB"/>
    <w:rsid w:val="00DB02E6"/>
    <w:rsid w:val="00DB0AB7"/>
    <w:rsid w:val="00DB0B69"/>
    <w:rsid w:val="00DB128A"/>
    <w:rsid w:val="00DB1610"/>
    <w:rsid w:val="00DB17C9"/>
    <w:rsid w:val="00DB195F"/>
    <w:rsid w:val="00DB1A22"/>
    <w:rsid w:val="00DB1D39"/>
    <w:rsid w:val="00DB2483"/>
    <w:rsid w:val="00DB2A4C"/>
    <w:rsid w:val="00DB2FD4"/>
    <w:rsid w:val="00DB306A"/>
    <w:rsid w:val="00DB375E"/>
    <w:rsid w:val="00DB63CE"/>
    <w:rsid w:val="00DB7AF6"/>
    <w:rsid w:val="00DB7CA3"/>
    <w:rsid w:val="00DC009A"/>
    <w:rsid w:val="00DC07F9"/>
    <w:rsid w:val="00DC0DFA"/>
    <w:rsid w:val="00DC0F47"/>
    <w:rsid w:val="00DC1935"/>
    <w:rsid w:val="00DC30B2"/>
    <w:rsid w:val="00DC3FD6"/>
    <w:rsid w:val="00DC454E"/>
    <w:rsid w:val="00DC57C9"/>
    <w:rsid w:val="00DC73B0"/>
    <w:rsid w:val="00DC7422"/>
    <w:rsid w:val="00DC75CB"/>
    <w:rsid w:val="00DD15A2"/>
    <w:rsid w:val="00DD1BA6"/>
    <w:rsid w:val="00DD341E"/>
    <w:rsid w:val="00DD3567"/>
    <w:rsid w:val="00DD3636"/>
    <w:rsid w:val="00DD394A"/>
    <w:rsid w:val="00DD3DD8"/>
    <w:rsid w:val="00DD40D1"/>
    <w:rsid w:val="00DD49D7"/>
    <w:rsid w:val="00DD5128"/>
    <w:rsid w:val="00DD63A1"/>
    <w:rsid w:val="00DD6AF5"/>
    <w:rsid w:val="00DE04D9"/>
    <w:rsid w:val="00DE0A35"/>
    <w:rsid w:val="00DE1994"/>
    <w:rsid w:val="00DE222C"/>
    <w:rsid w:val="00DE3144"/>
    <w:rsid w:val="00DE36C8"/>
    <w:rsid w:val="00DE3FE0"/>
    <w:rsid w:val="00DE446B"/>
    <w:rsid w:val="00DE5FD8"/>
    <w:rsid w:val="00DE6AF8"/>
    <w:rsid w:val="00DF0B42"/>
    <w:rsid w:val="00DF0C17"/>
    <w:rsid w:val="00DF0F0A"/>
    <w:rsid w:val="00DF1019"/>
    <w:rsid w:val="00DF1D36"/>
    <w:rsid w:val="00DF2DFC"/>
    <w:rsid w:val="00DF2EC2"/>
    <w:rsid w:val="00DF309F"/>
    <w:rsid w:val="00DF3A56"/>
    <w:rsid w:val="00DF3A71"/>
    <w:rsid w:val="00DF403F"/>
    <w:rsid w:val="00DF41F7"/>
    <w:rsid w:val="00DF45FF"/>
    <w:rsid w:val="00DF4CC7"/>
    <w:rsid w:val="00DF4D59"/>
    <w:rsid w:val="00DF4DD6"/>
    <w:rsid w:val="00DF53D9"/>
    <w:rsid w:val="00DF63CE"/>
    <w:rsid w:val="00DF67FE"/>
    <w:rsid w:val="00DF7DA5"/>
    <w:rsid w:val="00E00A2B"/>
    <w:rsid w:val="00E01329"/>
    <w:rsid w:val="00E03E3D"/>
    <w:rsid w:val="00E04B55"/>
    <w:rsid w:val="00E05613"/>
    <w:rsid w:val="00E06183"/>
    <w:rsid w:val="00E06F4C"/>
    <w:rsid w:val="00E07008"/>
    <w:rsid w:val="00E071C0"/>
    <w:rsid w:val="00E07380"/>
    <w:rsid w:val="00E0780B"/>
    <w:rsid w:val="00E0791F"/>
    <w:rsid w:val="00E104B3"/>
    <w:rsid w:val="00E10AC3"/>
    <w:rsid w:val="00E10B71"/>
    <w:rsid w:val="00E12193"/>
    <w:rsid w:val="00E127D2"/>
    <w:rsid w:val="00E12B50"/>
    <w:rsid w:val="00E12B81"/>
    <w:rsid w:val="00E12C20"/>
    <w:rsid w:val="00E130CC"/>
    <w:rsid w:val="00E13BD6"/>
    <w:rsid w:val="00E14F6F"/>
    <w:rsid w:val="00E15B69"/>
    <w:rsid w:val="00E16004"/>
    <w:rsid w:val="00E16BE8"/>
    <w:rsid w:val="00E1707A"/>
    <w:rsid w:val="00E17B12"/>
    <w:rsid w:val="00E17DB4"/>
    <w:rsid w:val="00E202C3"/>
    <w:rsid w:val="00E205F3"/>
    <w:rsid w:val="00E206C4"/>
    <w:rsid w:val="00E20BBD"/>
    <w:rsid w:val="00E20E83"/>
    <w:rsid w:val="00E20F4A"/>
    <w:rsid w:val="00E212B9"/>
    <w:rsid w:val="00E212C7"/>
    <w:rsid w:val="00E213C2"/>
    <w:rsid w:val="00E21C7A"/>
    <w:rsid w:val="00E2233C"/>
    <w:rsid w:val="00E223CD"/>
    <w:rsid w:val="00E2292F"/>
    <w:rsid w:val="00E22992"/>
    <w:rsid w:val="00E22B37"/>
    <w:rsid w:val="00E22E0A"/>
    <w:rsid w:val="00E233AA"/>
    <w:rsid w:val="00E237F5"/>
    <w:rsid w:val="00E23BF1"/>
    <w:rsid w:val="00E24D0D"/>
    <w:rsid w:val="00E2536E"/>
    <w:rsid w:val="00E25E90"/>
    <w:rsid w:val="00E2606C"/>
    <w:rsid w:val="00E26957"/>
    <w:rsid w:val="00E26A3C"/>
    <w:rsid w:val="00E26FEF"/>
    <w:rsid w:val="00E27928"/>
    <w:rsid w:val="00E27D00"/>
    <w:rsid w:val="00E3042E"/>
    <w:rsid w:val="00E30465"/>
    <w:rsid w:val="00E30925"/>
    <w:rsid w:val="00E313A8"/>
    <w:rsid w:val="00E314A6"/>
    <w:rsid w:val="00E32087"/>
    <w:rsid w:val="00E32925"/>
    <w:rsid w:val="00E32AA7"/>
    <w:rsid w:val="00E32DEC"/>
    <w:rsid w:val="00E347BB"/>
    <w:rsid w:val="00E34F9F"/>
    <w:rsid w:val="00E350FB"/>
    <w:rsid w:val="00E3520F"/>
    <w:rsid w:val="00E35A44"/>
    <w:rsid w:val="00E35CF6"/>
    <w:rsid w:val="00E360AF"/>
    <w:rsid w:val="00E36B51"/>
    <w:rsid w:val="00E375E0"/>
    <w:rsid w:val="00E378E1"/>
    <w:rsid w:val="00E37B2F"/>
    <w:rsid w:val="00E40747"/>
    <w:rsid w:val="00E40BFE"/>
    <w:rsid w:val="00E4140D"/>
    <w:rsid w:val="00E41443"/>
    <w:rsid w:val="00E41668"/>
    <w:rsid w:val="00E41A9B"/>
    <w:rsid w:val="00E42B96"/>
    <w:rsid w:val="00E42FAF"/>
    <w:rsid w:val="00E43089"/>
    <w:rsid w:val="00E43157"/>
    <w:rsid w:val="00E43E67"/>
    <w:rsid w:val="00E44213"/>
    <w:rsid w:val="00E44296"/>
    <w:rsid w:val="00E4532E"/>
    <w:rsid w:val="00E4536B"/>
    <w:rsid w:val="00E4548D"/>
    <w:rsid w:val="00E463DB"/>
    <w:rsid w:val="00E467F0"/>
    <w:rsid w:val="00E46898"/>
    <w:rsid w:val="00E46EFE"/>
    <w:rsid w:val="00E46FDB"/>
    <w:rsid w:val="00E51008"/>
    <w:rsid w:val="00E51273"/>
    <w:rsid w:val="00E513A5"/>
    <w:rsid w:val="00E513DB"/>
    <w:rsid w:val="00E513EF"/>
    <w:rsid w:val="00E51F06"/>
    <w:rsid w:val="00E52276"/>
    <w:rsid w:val="00E525F2"/>
    <w:rsid w:val="00E53037"/>
    <w:rsid w:val="00E5430E"/>
    <w:rsid w:val="00E54794"/>
    <w:rsid w:val="00E5B3FC"/>
    <w:rsid w:val="00E604D9"/>
    <w:rsid w:val="00E606F8"/>
    <w:rsid w:val="00E60867"/>
    <w:rsid w:val="00E6113C"/>
    <w:rsid w:val="00E61909"/>
    <w:rsid w:val="00E61916"/>
    <w:rsid w:val="00E62B64"/>
    <w:rsid w:val="00E65656"/>
    <w:rsid w:val="00E656FE"/>
    <w:rsid w:val="00E66B1A"/>
    <w:rsid w:val="00E6774A"/>
    <w:rsid w:val="00E67C0C"/>
    <w:rsid w:val="00E7094C"/>
    <w:rsid w:val="00E71419"/>
    <w:rsid w:val="00E71FD3"/>
    <w:rsid w:val="00E720D1"/>
    <w:rsid w:val="00E72733"/>
    <w:rsid w:val="00E72CB3"/>
    <w:rsid w:val="00E73916"/>
    <w:rsid w:val="00E73BDF"/>
    <w:rsid w:val="00E74372"/>
    <w:rsid w:val="00E75766"/>
    <w:rsid w:val="00E75918"/>
    <w:rsid w:val="00E75BA5"/>
    <w:rsid w:val="00E75BC5"/>
    <w:rsid w:val="00E76EB3"/>
    <w:rsid w:val="00E814D6"/>
    <w:rsid w:val="00E82280"/>
    <w:rsid w:val="00E82B6F"/>
    <w:rsid w:val="00E8301B"/>
    <w:rsid w:val="00E85A28"/>
    <w:rsid w:val="00E860C3"/>
    <w:rsid w:val="00E8662C"/>
    <w:rsid w:val="00E86B87"/>
    <w:rsid w:val="00E877E0"/>
    <w:rsid w:val="00E90E7C"/>
    <w:rsid w:val="00E90FAC"/>
    <w:rsid w:val="00E92B2D"/>
    <w:rsid w:val="00E932AA"/>
    <w:rsid w:val="00E93C14"/>
    <w:rsid w:val="00E93C45"/>
    <w:rsid w:val="00E94637"/>
    <w:rsid w:val="00E94E8E"/>
    <w:rsid w:val="00E9514F"/>
    <w:rsid w:val="00E95732"/>
    <w:rsid w:val="00E95BE0"/>
    <w:rsid w:val="00E95E3D"/>
    <w:rsid w:val="00E96277"/>
    <w:rsid w:val="00E977D9"/>
    <w:rsid w:val="00E97922"/>
    <w:rsid w:val="00EA034B"/>
    <w:rsid w:val="00EA0D92"/>
    <w:rsid w:val="00EA0E72"/>
    <w:rsid w:val="00EA32C7"/>
    <w:rsid w:val="00EA3730"/>
    <w:rsid w:val="00EA37C0"/>
    <w:rsid w:val="00EA48AD"/>
    <w:rsid w:val="00EA4934"/>
    <w:rsid w:val="00EA4962"/>
    <w:rsid w:val="00EA4A7F"/>
    <w:rsid w:val="00EA560E"/>
    <w:rsid w:val="00EA583C"/>
    <w:rsid w:val="00EA6309"/>
    <w:rsid w:val="00EA66CE"/>
    <w:rsid w:val="00EA778A"/>
    <w:rsid w:val="00EB02A5"/>
    <w:rsid w:val="00EB059D"/>
    <w:rsid w:val="00EB184F"/>
    <w:rsid w:val="00EB19CD"/>
    <w:rsid w:val="00EB1C39"/>
    <w:rsid w:val="00EB1D05"/>
    <w:rsid w:val="00EB1E75"/>
    <w:rsid w:val="00EB2241"/>
    <w:rsid w:val="00EB23E0"/>
    <w:rsid w:val="00EB3191"/>
    <w:rsid w:val="00EB3A4F"/>
    <w:rsid w:val="00EB3B3D"/>
    <w:rsid w:val="00EB3C21"/>
    <w:rsid w:val="00EB4F98"/>
    <w:rsid w:val="00EB64A6"/>
    <w:rsid w:val="00EB6C19"/>
    <w:rsid w:val="00EB7039"/>
    <w:rsid w:val="00EB7451"/>
    <w:rsid w:val="00EB7853"/>
    <w:rsid w:val="00EB7A3E"/>
    <w:rsid w:val="00EC12EA"/>
    <w:rsid w:val="00EC152E"/>
    <w:rsid w:val="00EC289A"/>
    <w:rsid w:val="00EC2BCD"/>
    <w:rsid w:val="00EC397F"/>
    <w:rsid w:val="00EC5225"/>
    <w:rsid w:val="00EC5DBE"/>
    <w:rsid w:val="00EC5E00"/>
    <w:rsid w:val="00EC6D0C"/>
    <w:rsid w:val="00ED0A38"/>
    <w:rsid w:val="00ED23DB"/>
    <w:rsid w:val="00ED33B7"/>
    <w:rsid w:val="00ED3705"/>
    <w:rsid w:val="00ED3E94"/>
    <w:rsid w:val="00ED4082"/>
    <w:rsid w:val="00ED447F"/>
    <w:rsid w:val="00ED65F0"/>
    <w:rsid w:val="00ED6673"/>
    <w:rsid w:val="00ED6A13"/>
    <w:rsid w:val="00ED6E89"/>
    <w:rsid w:val="00ED7659"/>
    <w:rsid w:val="00ED7759"/>
    <w:rsid w:val="00ED7868"/>
    <w:rsid w:val="00EE06AE"/>
    <w:rsid w:val="00EE0736"/>
    <w:rsid w:val="00EE0D15"/>
    <w:rsid w:val="00EE1727"/>
    <w:rsid w:val="00EE270D"/>
    <w:rsid w:val="00EE2A57"/>
    <w:rsid w:val="00EE374F"/>
    <w:rsid w:val="00EE3FC0"/>
    <w:rsid w:val="00EE438B"/>
    <w:rsid w:val="00EE6233"/>
    <w:rsid w:val="00EE72EC"/>
    <w:rsid w:val="00EF0B32"/>
    <w:rsid w:val="00EF1273"/>
    <w:rsid w:val="00EF1DEB"/>
    <w:rsid w:val="00EF20A2"/>
    <w:rsid w:val="00EF233A"/>
    <w:rsid w:val="00EF37B2"/>
    <w:rsid w:val="00EF3F07"/>
    <w:rsid w:val="00EF41B4"/>
    <w:rsid w:val="00EF481E"/>
    <w:rsid w:val="00EF5BD3"/>
    <w:rsid w:val="00EF5F2C"/>
    <w:rsid w:val="00EF601F"/>
    <w:rsid w:val="00EF603E"/>
    <w:rsid w:val="00EF60CF"/>
    <w:rsid w:val="00EF65DB"/>
    <w:rsid w:val="00EF688C"/>
    <w:rsid w:val="00F00178"/>
    <w:rsid w:val="00F023DB"/>
    <w:rsid w:val="00F024AD"/>
    <w:rsid w:val="00F03031"/>
    <w:rsid w:val="00F03095"/>
    <w:rsid w:val="00F03586"/>
    <w:rsid w:val="00F03F98"/>
    <w:rsid w:val="00F055C4"/>
    <w:rsid w:val="00F0607D"/>
    <w:rsid w:val="00F06DD0"/>
    <w:rsid w:val="00F06F87"/>
    <w:rsid w:val="00F0716A"/>
    <w:rsid w:val="00F0FED7"/>
    <w:rsid w:val="00F10F9F"/>
    <w:rsid w:val="00F11077"/>
    <w:rsid w:val="00F118FD"/>
    <w:rsid w:val="00F120C0"/>
    <w:rsid w:val="00F12E97"/>
    <w:rsid w:val="00F13FEE"/>
    <w:rsid w:val="00F14302"/>
    <w:rsid w:val="00F14D19"/>
    <w:rsid w:val="00F1511F"/>
    <w:rsid w:val="00F1546D"/>
    <w:rsid w:val="00F155BA"/>
    <w:rsid w:val="00F15673"/>
    <w:rsid w:val="00F15B92"/>
    <w:rsid w:val="00F16090"/>
    <w:rsid w:val="00F16BBF"/>
    <w:rsid w:val="00F17877"/>
    <w:rsid w:val="00F208D1"/>
    <w:rsid w:val="00F20CC7"/>
    <w:rsid w:val="00F22486"/>
    <w:rsid w:val="00F22EEA"/>
    <w:rsid w:val="00F22FC3"/>
    <w:rsid w:val="00F2384A"/>
    <w:rsid w:val="00F238A9"/>
    <w:rsid w:val="00F23DD9"/>
    <w:rsid w:val="00F23EBF"/>
    <w:rsid w:val="00F2522F"/>
    <w:rsid w:val="00F259B1"/>
    <w:rsid w:val="00F25F93"/>
    <w:rsid w:val="00F26004"/>
    <w:rsid w:val="00F26714"/>
    <w:rsid w:val="00F272E3"/>
    <w:rsid w:val="00F31901"/>
    <w:rsid w:val="00F319EE"/>
    <w:rsid w:val="00F331DE"/>
    <w:rsid w:val="00F339F4"/>
    <w:rsid w:val="00F35C64"/>
    <w:rsid w:val="00F366C2"/>
    <w:rsid w:val="00F36BA8"/>
    <w:rsid w:val="00F370D3"/>
    <w:rsid w:val="00F375A7"/>
    <w:rsid w:val="00F37AA0"/>
    <w:rsid w:val="00F40153"/>
    <w:rsid w:val="00F40664"/>
    <w:rsid w:val="00F41415"/>
    <w:rsid w:val="00F4213C"/>
    <w:rsid w:val="00F425C0"/>
    <w:rsid w:val="00F42A4B"/>
    <w:rsid w:val="00F42B13"/>
    <w:rsid w:val="00F42C02"/>
    <w:rsid w:val="00F434F7"/>
    <w:rsid w:val="00F4358C"/>
    <w:rsid w:val="00F436C6"/>
    <w:rsid w:val="00F43BC9"/>
    <w:rsid w:val="00F43F60"/>
    <w:rsid w:val="00F449EF"/>
    <w:rsid w:val="00F44A6C"/>
    <w:rsid w:val="00F44CA9"/>
    <w:rsid w:val="00F45352"/>
    <w:rsid w:val="00F45B0A"/>
    <w:rsid w:val="00F46294"/>
    <w:rsid w:val="00F4629C"/>
    <w:rsid w:val="00F46ECA"/>
    <w:rsid w:val="00F47082"/>
    <w:rsid w:val="00F47427"/>
    <w:rsid w:val="00F4749C"/>
    <w:rsid w:val="00F47697"/>
    <w:rsid w:val="00F4795E"/>
    <w:rsid w:val="00F479D3"/>
    <w:rsid w:val="00F50125"/>
    <w:rsid w:val="00F51527"/>
    <w:rsid w:val="00F51D89"/>
    <w:rsid w:val="00F5213A"/>
    <w:rsid w:val="00F52842"/>
    <w:rsid w:val="00F533DE"/>
    <w:rsid w:val="00F55744"/>
    <w:rsid w:val="00F562B0"/>
    <w:rsid w:val="00F5693D"/>
    <w:rsid w:val="00F56E26"/>
    <w:rsid w:val="00F60C4D"/>
    <w:rsid w:val="00F6124B"/>
    <w:rsid w:val="00F63276"/>
    <w:rsid w:val="00F638A3"/>
    <w:rsid w:val="00F646A3"/>
    <w:rsid w:val="00F64917"/>
    <w:rsid w:val="00F65769"/>
    <w:rsid w:val="00F65BC8"/>
    <w:rsid w:val="00F66716"/>
    <w:rsid w:val="00F6732D"/>
    <w:rsid w:val="00F678B6"/>
    <w:rsid w:val="00F67A0F"/>
    <w:rsid w:val="00F67D43"/>
    <w:rsid w:val="00F70C95"/>
    <w:rsid w:val="00F71E9D"/>
    <w:rsid w:val="00F737CA"/>
    <w:rsid w:val="00F73C5B"/>
    <w:rsid w:val="00F73E72"/>
    <w:rsid w:val="00F7435E"/>
    <w:rsid w:val="00F7452C"/>
    <w:rsid w:val="00F7481F"/>
    <w:rsid w:val="00F74AEC"/>
    <w:rsid w:val="00F75225"/>
    <w:rsid w:val="00F76DF3"/>
    <w:rsid w:val="00F76E1A"/>
    <w:rsid w:val="00F770A4"/>
    <w:rsid w:val="00F772B8"/>
    <w:rsid w:val="00F772D8"/>
    <w:rsid w:val="00F77955"/>
    <w:rsid w:val="00F80C04"/>
    <w:rsid w:val="00F81160"/>
    <w:rsid w:val="00F816D6"/>
    <w:rsid w:val="00F81CE6"/>
    <w:rsid w:val="00F81FDF"/>
    <w:rsid w:val="00F82290"/>
    <w:rsid w:val="00F82378"/>
    <w:rsid w:val="00F823D2"/>
    <w:rsid w:val="00F823FD"/>
    <w:rsid w:val="00F825AF"/>
    <w:rsid w:val="00F82811"/>
    <w:rsid w:val="00F82941"/>
    <w:rsid w:val="00F82A9C"/>
    <w:rsid w:val="00F82ACB"/>
    <w:rsid w:val="00F82D67"/>
    <w:rsid w:val="00F834DF"/>
    <w:rsid w:val="00F83529"/>
    <w:rsid w:val="00F83A26"/>
    <w:rsid w:val="00F83B38"/>
    <w:rsid w:val="00F85114"/>
    <w:rsid w:val="00F855B5"/>
    <w:rsid w:val="00F857AF"/>
    <w:rsid w:val="00F85967"/>
    <w:rsid w:val="00F85FF9"/>
    <w:rsid w:val="00F87ACF"/>
    <w:rsid w:val="00F87E14"/>
    <w:rsid w:val="00F90010"/>
    <w:rsid w:val="00F901E6"/>
    <w:rsid w:val="00F9025C"/>
    <w:rsid w:val="00F906F2"/>
    <w:rsid w:val="00F914B9"/>
    <w:rsid w:val="00F92D76"/>
    <w:rsid w:val="00F93435"/>
    <w:rsid w:val="00F93AAC"/>
    <w:rsid w:val="00F93EA8"/>
    <w:rsid w:val="00F93F49"/>
    <w:rsid w:val="00F94125"/>
    <w:rsid w:val="00F952B4"/>
    <w:rsid w:val="00F952BA"/>
    <w:rsid w:val="00F958AD"/>
    <w:rsid w:val="00F959DA"/>
    <w:rsid w:val="00F95B4F"/>
    <w:rsid w:val="00F96620"/>
    <w:rsid w:val="00F97632"/>
    <w:rsid w:val="00F979BA"/>
    <w:rsid w:val="00F97BBB"/>
    <w:rsid w:val="00F97EB3"/>
    <w:rsid w:val="00FA07EF"/>
    <w:rsid w:val="00FA1450"/>
    <w:rsid w:val="00FA1EA6"/>
    <w:rsid w:val="00FA22BE"/>
    <w:rsid w:val="00FA2ABB"/>
    <w:rsid w:val="00FA35BD"/>
    <w:rsid w:val="00FA3678"/>
    <w:rsid w:val="00FA48A8"/>
    <w:rsid w:val="00FA50F2"/>
    <w:rsid w:val="00FA52CC"/>
    <w:rsid w:val="00FA5AA5"/>
    <w:rsid w:val="00FA66F0"/>
    <w:rsid w:val="00FA720C"/>
    <w:rsid w:val="00FA7D31"/>
    <w:rsid w:val="00FB0243"/>
    <w:rsid w:val="00FB035C"/>
    <w:rsid w:val="00FB063B"/>
    <w:rsid w:val="00FB0A06"/>
    <w:rsid w:val="00FB1A10"/>
    <w:rsid w:val="00FB215E"/>
    <w:rsid w:val="00FB2309"/>
    <w:rsid w:val="00FB3D7E"/>
    <w:rsid w:val="00FB3DB1"/>
    <w:rsid w:val="00FB3F12"/>
    <w:rsid w:val="00FB511E"/>
    <w:rsid w:val="00FB5DA3"/>
    <w:rsid w:val="00FB746E"/>
    <w:rsid w:val="00FC0077"/>
    <w:rsid w:val="00FC0913"/>
    <w:rsid w:val="00FC0D92"/>
    <w:rsid w:val="00FC1850"/>
    <w:rsid w:val="00FC1867"/>
    <w:rsid w:val="00FC227D"/>
    <w:rsid w:val="00FC2A39"/>
    <w:rsid w:val="00FC2AC7"/>
    <w:rsid w:val="00FC34D1"/>
    <w:rsid w:val="00FC3567"/>
    <w:rsid w:val="00FC38F8"/>
    <w:rsid w:val="00FC39FC"/>
    <w:rsid w:val="00FC3E8A"/>
    <w:rsid w:val="00FC4004"/>
    <w:rsid w:val="00FC400D"/>
    <w:rsid w:val="00FC4021"/>
    <w:rsid w:val="00FC40AE"/>
    <w:rsid w:val="00FC410B"/>
    <w:rsid w:val="00FC49B7"/>
    <w:rsid w:val="00FC4A47"/>
    <w:rsid w:val="00FC60C1"/>
    <w:rsid w:val="00FC61C7"/>
    <w:rsid w:val="00FC667D"/>
    <w:rsid w:val="00FC7102"/>
    <w:rsid w:val="00FC718D"/>
    <w:rsid w:val="00FC728E"/>
    <w:rsid w:val="00FC7936"/>
    <w:rsid w:val="00FC7958"/>
    <w:rsid w:val="00FC79A4"/>
    <w:rsid w:val="00FC7BE1"/>
    <w:rsid w:val="00FC7D4E"/>
    <w:rsid w:val="00FD02D9"/>
    <w:rsid w:val="00FD043A"/>
    <w:rsid w:val="00FD0508"/>
    <w:rsid w:val="00FD0AB4"/>
    <w:rsid w:val="00FD0D81"/>
    <w:rsid w:val="00FD5C61"/>
    <w:rsid w:val="00FD6212"/>
    <w:rsid w:val="00FD7899"/>
    <w:rsid w:val="00FD7A58"/>
    <w:rsid w:val="00FD7DEA"/>
    <w:rsid w:val="00FE0B9F"/>
    <w:rsid w:val="00FE1278"/>
    <w:rsid w:val="00FE18DD"/>
    <w:rsid w:val="00FE229E"/>
    <w:rsid w:val="00FE2654"/>
    <w:rsid w:val="00FE2780"/>
    <w:rsid w:val="00FE37CF"/>
    <w:rsid w:val="00FE40E7"/>
    <w:rsid w:val="00FE4542"/>
    <w:rsid w:val="00FE4B52"/>
    <w:rsid w:val="00FE4F91"/>
    <w:rsid w:val="00FE581F"/>
    <w:rsid w:val="00FE6141"/>
    <w:rsid w:val="00FE6265"/>
    <w:rsid w:val="00FE6284"/>
    <w:rsid w:val="00FE631E"/>
    <w:rsid w:val="00FE64AD"/>
    <w:rsid w:val="00FE6E8F"/>
    <w:rsid w:val="00FF01D2"/>
    <w:rsid w:val="00FF08F5"/>
    <w:rsid w:val="00FF0AFA"/>
    <w:rsid w:val="00FF1502"/>
    <w:rsid w:val="00FF1678"/>
    <w:rsid w:val="00FF2232"/>
    <w:rsid w:val="00FF23B4"/>
    <w:rsid w:val="00FF25CF"/>
    <w:rsid w:val="00FF326B"/>
    <w:rsid w:val="00FF3C02"/>
    <w:rsid w:val="00FF4FA4"/>
    <w:rsid w:val="00FF59BA"/>
    <w:rsid w:val="00FF6255"/>
    <w:rsid w:val="00FF71F7"/>
    <w:rsid w:val="00FF738A"/>
    <w:rsid w:val="00FF753D"/>
    <w:rsid w:val="00FF771C"/>
    <w:rsid w:val="0104109A"/>
    <w:rsid w:val="0106773A"/>
    <w:rsid w:val="0106995E"/>
    <w:rsid w:val="010B6E47"/>
    <w:rsid w:val="01150480"/>
    <w:rsid w:val="01158627"/>
    <w:rsid w:val="01175B38"/>
    <w:rsid w:val="011E7CDB"/>
    <w:rsid w:val="0122C0A8"/>
    <w:rsid w:val="012AE4A3"/>
    <w:rsid w:val="0133213A"/>
    <w:rsid w:val="014A9652"/>
    <w:rsid w:val="014E77F7"/>
    <w:rsid w:val="0155884C"/>
    <w:rsid w:val="01589159"/>
    <w:rsid w:val="015AFFC1"/>
    <w:rsid w:val="01642171"/>
    <w:rsid w:val="01693E08"/>
    <w:rsid w:val="017A2B64"/>
    <w:rsid w:val="0187A1E0"/>
    <w:rsid w:val="01992C13"/>
    <w:rsid w:val="01A47287"/>
    <w:rsid w:val="01A6A463"/>
    <w:rsid w:val="01BC26E2"/>
    <w:rsid w:val="01CF8667"/>
    <w:rsid w:val="01D02350"/>
    <w:rsid w:val="01DD3D70"/>
    <w:rsid w:val="01E357E1"/>
    <w:rsid w:val="01E6374A"/>
    <w:rsid w:val="01EB75E2"/>
    <w:rsid w:val="01F22EA9"/>
    <w:rsid w:val="01F63722"/>
    <w:rsid w:val="0216F283"/>
    <w:rsid w:val="02272AAF"/>
    <w:rsid w:val="022E3DB8"/>
    <w:rsid w:val="0234B093"/>
    <w:rsid w:val="02362B39"/>
    <w:rsid w:val="0237699F"/>
    <w:rsid w:val="023C8672"/>
    <w:rsid w:val="023D0CBE"/>
    <w:rsid w:val="0246E101"/>
    <w:rsid w:val="02513AFA"/>
    <w:rsid w:val="0256F110"/>
    <w:rsid w:val="025A6610"/>
    <w:rsid w:val="025C704F"/>
    <w:rsid w:val="025E0ADA"/>
    <w:rsid w:val="026038DA"/>
    <w:rsid w:val="02691963"/>
    <w:rsid w:val="026E065C"/>
    <w:rsid w:val="02762ED8"/>
    <w:rsid w:val="02775BD0"/>
    <w:rsid w:val="0279774F"/>
    <w:rsid w:val="0285FD9F"/>
    <w:rsid w:val="02900224"/>
    <w:rsid w:val="029CADA4"/>
    <w:rsid w:val="029F595B"/>
    <w:rsid w:val="029FB1E0"/>
    <w:rsid w:val="029FE254"/>
    <w:rsid w:val="02A7581E"/>
    <w:rsid w:val="02B08471"/>
    <w:rsid w:val="02B69A23"/>
    <w:rsid w:val="02C451C0"/>
    <w:rsid w:val="02CAC906"/>
    <w:rsid w:val="02D1205E"/>
    <w:rsid w:val="02D188F9"/>
    <w:rsid w:val="02DDA3A2"/>
    <w:rsid w:val="02DDD155"/>
    <w:rsid w:val="02E282EA"/>
    <w:rsid w:val="02EEAE25"/>
    <w:rsid w:val="02FA8C44"/>
    <w:rsid w:val="02FD02AB"/>
    <w:rsid w:val="02FF6468"/>
    <w:rsid w:val="0301895E"/>
    <w:rsid w:val="0321FD48"/>
    <w:rsid w:val="03289558"/>
    <w:rsid w:val="03290D01"/>
    <w:rsid w:val="0329AD21"/>
    <w:rsid w:val="032D3B53"/>
    <w:rsid w:val="032E8ECF"/>
    <w:rsid w:val="0334CB93"/>
    <w:rsid w:val="0334E49F"/>
    <w:rsid w:val="033B8AD3"/>
    <w:rsid w:val="036192B6"/>
    <w:rsid w:val="0362F1C9"/>
    <w:rsid w:val="03662C27"/>
    <w:rsid w:val="0377AE1C"/>
    <w:rsid w:val="037DFBC5"/>
    <w:rsid w:val="038416D0"/>
    <w:rsid w:val="0385C2A7"/>
    <w:rsid w:val="0385D20A"/>
    <w:rsid w:val="03870993"/>
    <w:rsid w:val="0396DC7F"/>
    <w:rsid w:val="03AC079E"/>
    <w:rsid w:val="03C1E177"/>
    <w:rsid w:val="03C2123F"/>
    <w:rsid w:val="03C40CDF"/>
    <w:rsid w:val="03C46A59"/>
    <w:rsid w:val="03D05B99"/>
    <w:rsid w:val="03D49993"/>
    <w:rsid w:val="03ED2781"/>
    <w:rsid w:val="03F0384B"/>
    <w:rsid w:val="03F2D840"/>
    <w:rsid w:val="03F977CF"/>
    <w:rsid w:val="03F9C360"/>
    <w:rsid w:val="0403D0B6"/>
    <w:rsid w:val="040516FE"/>
    <w:rsid w:val="0412DADE"/>
    <w:rsid w:val="0426B8C0"/>
    <w:rsid w:val="0427221D"/>
    <w:rsid w:val="042E84B7"/>
    <w:rsid w:val="0442C922"/>
    <w:rsid w:val="044C4E34"/>
    <w:rsid w:val="04582AF8"/>
    <w:rsid w:val="045B3D86"/>
    <w:rsid w:val="045BD22E"/>
    <w:rsid w:val="045F2013"/>
    <w:rsid w:val="0466821F"/>
    <w:rsid w:val="0471CFCC"/>
    <w:rsid w:val="04782C40"/>
    <w:rsid w:val="04793EB4"/>
    <w:rsid w:val="04C03660"/>
    <w:rsid w:val="04C1B1D1"/>
    <w:rsid w:val="04CA873E"/>
    <w:rsid w:val="04DDD299"/>
    <w:rsid w:val="04E4AB59"/>
    <w:rsid w:val="04E5311D"/>
    <w:rsid w:val="04E72E01"/>
    <w:rsid w:val="04F4DE63"/>
    <w:rsid w:val="04FB91C2"/>
    <w:rsid w:val="050260FB"/>
    <w:rsid w:val="05028304"/>
    <w:rsid w:val="05084FCA"/>
    <w:rsid w:val="050BB9CE"/>
    <w:rsid w:val="0540C9E2"/>
    <w:rsid w:val="05426073"/>
    <w:rsid w:val="0545636D"/>
    <w:rsid w:val="054B5E58"/>
    <w:rsid w:val="05525A28"/>
    <w:rsid w:val="05548E51"/>
    <w:rsid w:val="056D9F76"/>
    <w:rsid w:val="0574AE7B"/>
    <w:rsid w:val="0576BDBC"/>
    <w:rsid w:val="057A0933"/>
    <w:rsid w:val="0584DFAD"/>
    <w:rsid w:val="0585327E"/>
    <w:rsid w:val="05956DAF"/>
    <w:rsid w:val="059B377E"/>
    <w:rsid w:val="05A08C28"/>
    <w:rsid w:val="05A631FE"/>
    <w:rsid w:val="05C1E31B"/>
    <w:rsid w:val="05C50080"/>
    <w:rsid w:val="05DC85E8"/>
    <w:rsid w:val="05EA1DD0"/>
    <w:rsid w:val="05F428BC"/>
    <w:rsid w:val="05F63E51"/>
    <w:rsid w:val="05FA5A73"/>
    <w:rsid w:val="05FB41A9"/>
    <w:rsid w:val="05FC9B44"/>
    <w:rsid w:val="05FE7838"/>
    <w:rsid w:val="05FE9C60"/>
    <w:rsid w:val="0606B896"/>
    <w:rsid w:val="060736EB"/>
    <w:rsid w:val="06184648"/>
    <w:rsid w:val="061BAA43"/>
    <w:rsid w:val="063AA8E1"/>
    <w:rsid w:val="0644C4BB"/>
    <w:rsid w:val="06460B09"/>
    <w:rsid w:val="064D241C"/>
    <w:rsid w:val="064F67A3"/>
    <w:rsid w:val="064F69EC"/>
    <w:rsid w:val="0655DDAA"/>
    <w:rsid w:val="06581E1B"/>
    <w:rsid w:val="0663B391"/>
    <w:rsid w:val="066689CC"/>
    <w:rsid w:val="0676FD2A"/>
    <w:rsid w:val="06774108"/>
    <w:rsid w:val="067C075D"/>
    <w:rsid w:val="067CB334"/>
    <w:rsid w:val="0691E935"/>
    <w:rsid w:val="069F31C5"/>
    <w:rsid w:val="06A78A73"/>
    <w:rsid w:val="06AB90D1"/>
    <w:rsid w:val="06ABB640"/>
    <w:rsid w:val="06B17CC1"/>
    <w:rsid w:val="06B2B688"/>
    <w:rsid w:val="06C283F4"/>
    <w:rsid w:val="06C369A9"/>
    <w:rsid w:val="06CB1C41"/>
    <w:rsid w:val="06D627B8"/>
    <w:rsid w:val="06E26EBF"/>
    <w:rsid w:val="06ECCEAB"/>
    <w:rsid w:val="06EE6CDF"/>
    <w:rsid w:val="0708BF0D"/>
    <w:rsid w:val="070AE122"/>
    <w:rsid w:val="070BD462"/>
    <w:rsid w:val="07221464"/>
    <w:rsid w:val="0722A5E3"/>
    <w:rsid w:val="0731BA1E"/>
    <w:rsid w:val="073C0FBA"/>
    <w:rsid w:val="073D2575"/>
    <w:rsid w:val="075127C4"/>
    <w:rsid w:val="0759F34E"/>
    <w:rsid w:val="0764C705"/>
    <w:rsid w:val="0779D5C1"/>
    <w:rsid w:val="077A146D"/>
    <w:rsid w:val="07920EB2"/>
    <w:rsid w:val="0798531F"/>
    <w:rsid w:val="07AACA11"/>
    <w:rsid w:val="07B0058D"/>
    <w:rsid w:val="07BEF718"/>
    <w:rsid w:val="07CB6333"/>
    <w:rsid w:val="07D3828F"/>
    <w:rsid w:val="07DFC15E"/>
    <w:rsid w:val="07E1EB35"/>
    <w:rsid w:val="07E4AA1F"/>
    <w:rsid w:val="07F3D697"/>
    <w:rsid w:val="07F6E69C"/>
    <w:rsid w:val="07FC3B18"/>
    <w:rsid w:val="0806DFB8"/>
    <w:rsid w:val="08073A82"/>
    <w:rsid w:val="0820C54D"/>
    <w:rsid w:val="0824F19E"/>
    <w:rsid w:val="0826B50E"/>
    <w:rsid w:val="0833C636"/>
    <w:rsid w:val="0844A31B"/>
    <w:rsid w:val="08486163"/>
    <w:rsid w:val="085032CF"/>
    <w:rsid w:val="087C9BDC"/>
    <w:rsid w:val="087D91A6"/>
    <w:rsid w:val="088C463E"/>
    <w:rsid w:val="088E679D"/>
    <w:rsid w:val="088EC42D"/>
    <w:rsid w:val="08902BDE"/>
    <w:rsid w:val="08927206"/>
    <w:rsid w:val="089BF854"/>
    <w:rsid w:val="08A0430B"/>
    <w:rsid w:val="08C72CDB"/>
    <w:rsid w:val="08D21CF8"/>
    <w:rsid w:val="08E5C258"/>
    <w:rsid w:val="08E641AB"/>
    <w:rsid w:val="08E6A1C1"/>
    <w:rsid w:val="08FD8EF5"/>
    <w:rsid w:val="0914537D"/>
    <w:rsid w:val="091F54AA"/>
    <w:rsid w:val="0929F7CC"/>
    <w:rsid w:val="092C5A87"/>
    <w:rsid w:val="0936496A"/>
    <w:rsid w:val="0940975D"/>
    <w:rsid w:val="0944813A"/>
    <w:rsid w:val="09449325"/>
    <w:rsid w:val="0953A054"/>
    <w:rsid w:val="095689A1"/>
    <w:rsid w:val="09603292"/>
    <w:rsid w:val="0967DDFB"/>
    <w:rsid w:val="0967E08D"/>
    <w:rsid w:val="096C6D8E"/>
    <w:rsid w:val="098F88CE"/>
    <w:rsid w:val="09957374"/>
    <w:rsid w:val="09965FDF"/>
    <w:rsid w:val="09A1945B"/>
    <w:rsid w:val="09A33B2B"/>
    <w:rsid w:val="09A83696"/>
    <w:rsid w:val="09A8A103"/>
    <w:rsid w:val="09B3C7A4"/>
    <w:rsid w:val="09B83B80"/>
    <w:rsid w:val="09C28752"/>
    <w:rsid w:val="09CABB20"/>
    <w:rsid w:val="09CFBD20"/>
    <w:rsid w:val="09D2469D"/>
    <w:rsid w:val="09E26696"/>
    <w:rsid w:val="09E83170"/>
    <w:rsid w:val="09FA0D97"/>
    <w:rsid w:val="0A012183"/>
    <w:rsid w:val="0A153208"/>
    <w:rsid w:val="0A37C3FA"/>
    <w:rsid w:val="0A39B7EA"/>
    <w:rsid w:val="0A4ACAED"/>
    <w:rsid w:val="0A5BD4C7"/>
    <w:rsid w:val="0A67C813"/>
    <w:rsid w:val="0A7006C9"/>
    <w:rsid w:val="0A78752E"/>
    <w:rsid w:val="0A82861A"/>
    <w:rsid w:val="0A89976B"/>
    <w:rsid w:val="0A9A4183"/>
    <w:rsid w:val="0A9FB9A8"/>
    <w:rsid w:val="0AAA2041"/>
    <w:rsid w:val="0AB9FCF6"/>
    <w:rsid w:val="0ABAFDE5"/>
    <w:rsid w:val="0ABBE3CC"/>
    <w:rsid w:val="0ABE549A"/>
    <w:rsid w:val="0ABEF36F"/>
    <w:rsid w:val="0AC91A55"/>
    <w:rsid w:val="0ACE74D1"/>
    <w:rsid w:val="0AD448C2"/>
    <w:rsid w:val="0AE0B965"/>
    <w:rsid w:val="0AE3E195"/>
    <w:rsid w:val="0AEA27AD"/>
    <w:rsid w:val="0AF31D16"/>
    <w:rsid w:val="0AF9909B"/>
    <w:rsid w:val="0AFBC2D8"/>
    <w:rsid w:val="0B00612A"/>
    <w:rsid w:val="0B063E9A"/>
    <w:rsid w:val="0B0AD535"/>
    <w:rsid w:val="0B173E28"/>
    <w:rsid w:val="0B21B1C8"/>
    <w:rsid w:val="0B3DA60B"/>
    <w:rsid w:val="0B497387"/>
    <w:rsid w:val="0B4B71A9"/>
    <w:rsid w:val="0B5C96C9"/>
    <w:rsid w:val="0B5FBF20"/>
    <w:rsid w:val="0B7590A7"/>
    <w:rsid w:val="0B7E94E8"/>
    <w:rsid w:val="0B81D057"/>
    <w:rsid w:val="0B951C2A"/>
    <w:rsid w:val="0B962503"/>
    <w:rsid w:val="0BAAB2F6"/>
    <w:rsid w:val="0BAB6D47"/>
    <w:rsid w:val="0BB179C8"/>
    <w:rsid w:val="0BBE0624"/>
    <w:rsid w:val="0BC05143"/>
    <w:rsid w:val="0BEC36FD"/>
    <w:rsid w:val="0BFF580B"/>
    <w:rsid w:val="0C100042"/>
    <w:rsid w:val="0C1039CE"/>
    <w:rsid w:val="0C13C12C"/>
    <w:rsid w:val="0C19E936"/>
    <w:rsid w:val="0C38414D"/>
    <w:rsid w:val="0C3FC51C"/>
    <w:rsid w:val="0C42894D"/>
    <w:rsid w:val="0C491D78"/>
    <w:rsid w:val="0C4DBC95"/>
    <w:rsid w:val="0C55CFE3"/>
    <w:rsid w:val="0C644FF7"/>
    <w:rsid w:val="0C6F8094"/>
    <w:rsid w:val="0C713D89"/>
    <w:rsid w:val="0C989C33"/>
    <w:rsid w:val="0CA9D8DE"/>
    <w:rsid w:val="0CB0E2D5"/>
    <w:rsid w:val="0CB85022"/>
    <w:rsid w:val="0CC849D7"/>
    <w:rsid w:val="0CD78D1B"/>
    <w:rsid w:val="0CDF0C5D"/>
    <w:rsid w:val="0CE18224"/>
    <w:rsid w:val="0CE3FBF6"/>
    <w:rsid w:val="0CF5227C"/>
    <w:rsid w:val="0D0C549D"/>
    <w:rsid w:val="0D16DBD9"/>
    <w:rsid w:val="0D21B99C"/>
    <w:rsid w:val="0D2B923F"/>
    <w:rsid w:val="0D2C51A5"/>
    <w:rsid w:val="0D3C4907"/>
    <w:rsid w:val="0D418461"/>
    <w:rsid w:val="0D4B417D"/>
    <w:rsid w:val="0D562291"/>
    <w:rsid w:val="0D8AF1AE"/>
    <w:rsid w:val="0D9A7A54"/>
    <w:rsid w:val="0D9AB6A5"/>
    <w:rsid w:val="0D9F07A0"/>
    <w:rsid w:val="0DAA8C9E"/>
    <w:rsid w:val="0DB7557D"/>
    <w:rsid w:val="0DC44D03"/>
    <w:rsid w:val="0DD431FF"/>
    <w:rsid w:val="0DD4FB3D"/>
    <w:rsid w:val="0DE7AC2E"/>
    <w:rsid w:val="0DED432C"/>
    <w:rsid w:val="0DFD9050"/>
    <w:rsid w:val="0E0724A2"/>
    <w:rsid w:val="0E1193B4"/>
    <w:rsid w:val="0E16E582"/>
    <w:rsid w:val="0E351B11"/>
    <w:rsid w:val="0E3A666B"/>
    <w:rsid w:val="0E52EC5A"/>
    <w:rsid w:val="0E6248FB"/>
    <w:rsid w:val="0E7A884E"/>
    <w:rsid w:val="0E818F5E"/>
    <w:rsid w:val="0E886B70"/>
    <w:rsid w:val="0E978EC2"/>
    <w:rsid w:val="0E9CB06F"/>
    <w:rsid w:val="0EA77C3C"/>
    <w:rsid w:val="0EA8B7A6"/>
    <w:rsid w:val="0EB83867"/>
    <w:rsid w:val="0EC2543F"/>
    <w:rsid w:val="0EC9A31F"/>
    <w:rsid w:val="0EECFD68"/>
    <w:rsid w:val="0F0112DA"/>
    <w:rsid w:val="0F025DC3"/>
    <w:rsid w:val="0F09433F"/>
    <w:rsid w:val="0F1F2ABB"/>
    <w:rsid w:val="0F2486B5"/>
    <w:rsid w:val="0F38BE82"/>
    <w:rsid w:val="0F64B9EE"/>
    <w:rsid w:val="0F804821"/>
    <w:rsid w:val="0F856A48"/>
    <w:rsid w:val="0F86D521"/>
    <w:rsid w:val="0F87D64B"/>
    <w:rsid w:val="0F8D4549"/>
    <w:rsid w:val="0F9A373D"/>
    <w:rsid w:val="0F9B510F"/>
    <w:rsid w:val="0F9F1042"/>
    <w:rsid w:val="0FAE905D"/>
    <w:rsid w:val="0FAEEF2C"/>
    <w:rsid w:val="0FBD3896"/>
    <w:rsid w:val="0FC021AC"/>
    <w:rsid w:val="0FCB362F"/>
    <w:rsid w:val="0FE59DD6"/>
    <w:rsid w:val="10062B7A"/>
    <w:rsid w:val="10114157"/>
    <w:rsid w:val="101825D2"/>
    <w:rsid w:val="101AF419"/>
    <w:rsid w:val="1022E97D"/>
    <w:rsid w:val="10297BBD"/>
    <w:rsid w:val="1044976F"/>
    <w:rsid w:val="10522F70"/>
    <w:rsid w:val="105E8A3E"/>
    <w:rsid w:val="1064CCD9"/>
    <w:rsid w:val="109225D5"/>
    <w:rsid w:val="10AF5341"/>
    <w:rsid w:val="10AFAEEF"/>
    <w:rsid w:val="10B2FAEC"/>
    <w:rsid w:val="10BC12AC"/>
    <w:rsid w:val="10BF585A"/>
    <w:rsid w:val="10C2910A"/>
    <w:rsid w:val="10D67436"/>
    <w:rsid w:val="10D6E471"/>
    <w:rsid w:val="10EAE781"/>
    <w:rsid w:val="10F3C62B"/>
    <w:rsid w:val="10FECFA9"/>
    <w:rsid w:val="11123DC6"/>
    <w:rsid w:val="111A6696"/>
    <w:rsid w:val="1131F726"/>
    <w:rsid w:val="1135B093"/>
    <w:rsid w:val="114D1529"/>
    <w:rsid w:val="1158B875"/>
    <w:rsid w:val="115F4B6A"/>
    <w:rsid w:val="11648E57"/>
    <w:rsid w:val="11687D08"/>
    <w:rsid w:val="116BA3E5"/>
    <w:rsid w:val="1174EE69"/>
    <w:rsid w:val="117F3F2D"/>
    <w:rsid w:val="1180E3D3"/>
    <w:rsid w:val="11849725"/>
    <w:rsid w:val="11A314B9"/>
    <w:rsid w:val="11B18F6C"/>
    <w:rsid w:val="11B5BAA0"/>
    <w:rsid w:val="11BEAE67"/>
    <w:rsid w:val="11C3D8CC"/>
    <w:rsid w:val="11C8EBAC"/>
    <w:rsid w:val="11C92440"/>
    <w:rsid w:val="11C9AC58"/>
    <w:rsid w:val="11D40EFC"/>
    <w:rsid w:val="11D429EC"/>
    <w:rsid w:val="11D8059F"/>
    <w:rsid w:val="11DD5473"/>
    <w:rsid w:val="11DE48BE"/>
    <w:rsid w:val="11E05514"/>
    <w:rsid w:val="11E638A2"/>
    <w:rsid w:val="11F00542"/>
    <w:rsid w:val="11F4971D"/>
    <w:rsid w:val="11FC13EA"/>
    <w:rsid w:val="11FE846B"/>
    <w:rsid w:val="121199C7"/>
    <w:rsid w:val="12130889"/>
    <w:rsid w:val="12149274"/>
    <w:rsid w:val="121AAECB"/>
    <w:rsid w:val="122FAFE1"/>
    <w:rsid w:val="12366292"/>
    <w:rsid w:val="12382445"/>
    <w:rsid w:val="1267E54D"/>
    <w:rsid w:val="12779B90"/>
    <w:rsid w:val="127CB4DB"/>
    <w:rsid w:val="128C9D74"/>
    <w:rsid w:val="1297E03D"/>
    <w:rsid w:val="129BA86C"/>
    <w:rsid w:val="12BD50EF"/>
    <w:rsid w:val="12CE19F3"/>
    <w:rsid w:val="12D41C10"/>
    <w:rsid w:val="12D5B53B"/>
    <w:rsid w:val="12F9EFC2"/>
    <w:rsid w:val="12FB2507"/>
    <w:rsid w:val="13013E54"/>
    <w:rsid w:val="130A47C9"/>
    <w:rsid w:val="130B1A72"/>
    <w:rsid w:val="1310C1F0"/>
    <w:rsid w:val="13264EF8"/>
    <w:rsid w:val="132BFC00"/>
    <w:rsid w:val="1338B2AF"/>
    <w:rsid w:val="13496B9E"/>
    <w:rsid w:val="1349EBDE"/>
    <w:rsid w:val="13555364"/>
    <w:rsid w:val="1356E763"/>
    <w:rsid w:val="1361EB63"/>
    <w:rsid w:val="13629DD1"/>
    <w:rsid w:val="13681E97"/>
    <w:rsid w:val="1376F0A5"/>
    <w:rsid w:val="137897F0"/>
    <w:rsid w:val="137F4B09"/>
    <w:rsid w:val="13847686"/>
    <w:rsid w:val="13860B68"/>
    <w:rsid w:val="13BDC1F4"/>
    <w:rsid w:val="13C9A891"/>
    <w:rsid w:val="13D0EEA3"/>
    <w:rsid w:val="13D36E5A"/>
    <w:rsid w:val="13D57498"/>
    <w:rsid w:val="13D76093"/>
    <w:rsid w:val="13E5AAAB"/>
    <w:rsid w:val="13ECFAFD"/>
    <w:rsid w:val="13F09381"/>
    <w:rsid w:val="140D2DBF"/>
    <w:rsid w:val="14272DD2"/>
    <w:rsid w:val="142FC770"/>
    <w:rsid w:val="14381E18"/>
    <w:rsid w:val="145997AD"/>
    <w:rsid w:val="145B6654"/>
    <w:rsid w:val="145E8B7E"/>
    <w:rsid w:val="14648251"/>
    <w:rsid w:val="146FF149"/>
    <w:rsid w:val="1471DF56"/>
    <w:rsid w:val="1473D873"/>
    <w:rsid w:val="1474CD27"/>
    <w:rsid w:val="1479EBAD"/>
    <w:rsid w:val="149592C6"/>
    <w:rsid w:val="1496FF2A"/>
    <w:rsid w:val="14995DDB"/>
    <w:rsid w:val="14995F20"/>
    <w:rsid w:val="149E6EEB"/>
    <w:rsid w:val="14B72941"/>
    <w:rsid w:val="14BC7AEC"/>
    <w:rsid w:val="14CA377F"/>
    <w:rsid w:val="14CE38A6"/>
    <w:rsid w:val="14CFDF08"/>
    <w:rsid w:val="14D82112"/>
    <w:rsid w:val="14DE39CB"/>
    <w:rsid w:val="14DEF465"/>
    <w:rsid w:val="14E242AC"/>
    <w:rsid w:val="14E749C2"/>
    <w:rsid w:val="14EA6900"/>
    <w:rsid w:val="14F2A32A"/>
    <w:rsid w:val="14F77C23"/>
    <w:rsid w:val="14F9E820"/>
    <w:rsid w:val="1512E913"/>
    <w:rsid w:val="15176682"/>
    <w:rsid w:val="15357D65"/>
    <w:rsid w:val="153F5B1E"/>
    <w:rsid w:val="1546F5D2"/>
    <w:rsid w:val="1548877E"/>
    <w:rsid w:val="1549DCFE"/>
    <w:rsid w:val="155175F3"/>
    <w:rsid w:val="15545B5C"/>
    <w:rsid w:val="15667BC7"/>
    <w:rsid w:val="15691FD5"/>
    <w:rsid w:val="156A83B0"/>
    <w:rsid w:val="15764F1C"/>
    <w:rsid w:val="1577F5C3"/>
    <w:rsid w:val="1579193E"/>
    <w:rsid w:val="1592439D"/>
    <w:rsid w:val="15958D6E"/>
    <w:rsid w:val="15960FC4"/>
    <w:rsid w:val="15A12404"/>
    <w:rsid w:val="15A519F5"/>
    <w:rsid w:val="15AAC62D"/>
    <w:rsid w:val="15B50F48"/>
    <w:rsid w:val="15BF0670"/>
    <w:rsid w:val="15C1A336"/>
    <w:rsid w:val="15C2A844"/>
    <w:rsid w:val="15C646A2"/>
    <w:rsid w:val="15EFE1C9"/>
    <w:rsid w:val="15F665DE"/>
    <w:rsid w:val="15FA0212"/>
    <w:rsid w:val="15FAD7C2"/>
    <w:rsid w:val="15FC5743"/>
    <w:rsid w:val="15FDE1A5"/>
    <w:rsid w:val="161C1473"/>
    <w:rsid w:val="163448F4"/>
    <w:rsid w:val="16389D9E"/>
    <w:rsid w:val="163918C8"/>
    <w:rsid w:val="16474373"/>
    <w:rsid w:val="164CCF34"/>
    <w:rsid w:val="164D03B8"/>
    <w:rsid w:val="164EB18A"/>
    <w:rsid w:val="164F323B"/>
    <w:rsid w:val="1654110D"/>
    <w:rsid w:val="16566E61"/>
    <w:rsid w:val="165AF194"/>
    <w:rsid w:val="165E35FE"/>
    <w:rsid w:val="166082A0"/>
    <w:rsid w:val="166CD2FB"/>
    <w:rsid w:val="1674D096"/>
    <w:rsid w:val="16763B48"/>
    <w:rsid w:val="16846FE4"/>
    <w:rsid w:val="1693AB35"/>
    <w:rsid w:val="1695B881"/>
    <w:rsid w:val="1698E7E1"/>
    <w:rsid w:val="169A29D4"/>
    <w:rsid w:val="169F888A"/>
    <w:rsid w:val="16C1CF4E"/>
    <w:rsid w:val="16C3E038"/>
    <w:rsid w:val="16CACE97"/>
    <w:rsid w:val="16CD5C0B"/>
    <w:rsid w:val="16CFF712"/>
    <w:rsid w:val="16DEED75"/>
    <w:rsid w:val="16DF3280"/>
    <w:rsid w:val="16DFF8BB"/>
    <w:rsid w:val="16E404AB"/>
    <w:rsid w:val="16F93669"/>
    <w:rsid w:val="170589FE"/>
    <w:rsid w:val="170AF8B0"/>
    <w:rsid w:val="170EF30E"/>
    <w:rsid w:val="1711D5A0"/>
    <w:rsid w:val="17288FEB"/>
    <w:rsid w:val="1728C851"/>
    <w:rsid w:val="1745A15C"/>
    <w:rsid w:val="1747D3BD"/>
    <w:rsid w:val="17505BF4"/>
    <w:rsid w:val="175D6687"/>
    <w:rsid w:val="175F9C2E"/>
    <w:rsid w:val="1765726D"/>
    <w:rsid w:val="176B7B73"/>
    <w:rsid w:val="176CBDA3"/>
    <w:rsid w:val="176D1732"/>
    <w:rsid w:val="176DD10F"/>
    <w:rsid w:val="176E6DB1"/>
    <w:rsid w:val="17705198"/>
    <w:rsid w:val="17709D82"/>
    <w:rsid w:val="17768F01"/>
    <w:rsid w:val="1778E336"/>
    <w:rsid w:val="177DBEFE"/>
    <w:rsid w:val="17802748"/>
    <w:rsid w:val="1780B799"/>
    <w:rsid w:val="179A2AC9"/>
    <w:rsid w:val="17A7F63E"/>
    <w:rsid w:val="17A85A80"/>
    <w:rsid w:val="17B47596"/>
    <w:rsid w:val="17C10F5B"/>
    <w:rsid w:val="17CFFA21"/>
    <w:rsid w:val="17D5D875"/>
    <w:rsid w:val="17D6EDCD"/>
    <w:rsid w:val="17DD031B"/>
    <w:rsid w:val="17E1E7ED"/>
    <w:rsid w:val="17F66088"/>
    <w:rsid w:val="17F79148"/>
    <w:rsid w:val="17F90A45"/>
    <w:rsid w:val="1801993C"/>
    <w:rsid w:val="1812B8EF"/>
    <w:rsid w:val="181B696E"/>
    <w:rsid w:val="182665A8"/>
    <w:rsid w:val="1840887C"/>
    <w:rsid w:val="185546E4"/>
    <w:rsid w:val="1857746D"/>
    <w:rsid w:val="1859F1AD"/>
    <w:rsid w:val="186EE122"/>
    <w:rsid w:val="1883C127"/>
    <w:rsid w:val="188F65AC"/>
    <w:rsid w:val="18A00DF5"/>
    <w:rsid w:val="18B852DF"/>
    <w:rsid w:val="18BED899"/>
    <w:rsid w:val="18C60757"/>
    <w:rsid w:val="18D19078"/>
    <w:rsid w:val="18D38C55"/>
    <w:rsid w:val="18D72CCB"/>
    <w:rsid w:val="19055791"/>
    <w:rsid w:val="190E851A"/>
    <w:rsid w:val="1935F029"/>
    <w:rsid w:val="193E4BE9"/>
    <w:rsid w:val="19568DB1"/>
    <w:rsid w:val="19647EB7"/>
    <w:rsid w:val="196BE499"/>
    <w:rsid w:val="196FE036"/>
    <w:rsid w:val="19754CC1"/>
    <w:rsid w:val="197D7816"/>
    <w:rsid w:val="198520F8"/>
    <w:rsid w:val="198ED9F0"/>
    <w:rsid w:val="19911F9E"/>
    <w:rsid w:val="199AD93A"/>
    <w:rsid w:val="19A1A9C9"/>
    <w:rsid w:val="19A41A2C"/>
    <w:rsid w:val="19AA194C"/>
    <w:rsid w:val="19AC4B30"/>
    <w:rsid w:val="19B3D98E"/>
    <w:rsid w:val="19B47A3B"/>
    <w:rsid w:val="19D2A4F2"/>
    <w:rsid w:val="19DFCD44"/>
    <w:rsid w:val="19E6CC60"/>
    <w:rsid w:val="19EAC405"/>
    <w:rsid w:val="19ECC23E"/>
    <w:rsid w:val="1A3066BD"/>
    <w:rsid w:val="1A3464E2"/>
    <w:rsid w:val="1A3C0E87"/>
    <w:rsid w:val="1A499B85"/>
    <w:rsid w:val="1A4A45D6"/>
    <w:rsid w:val="1A50A640"/>
    <w:rsid w:val="1A52169D"/>
    <w:rsid w:val="1A61A9BE"/>
    <w:rsid w:val="1A66A010"/>
    <w:rsid w:val="1A6B67A0"/>
    <w:rsid w:val="1A7BC06A"/>
    <w:rsid w:val="1A81AA3C"/>
    <w:rsid w:val="1A856B93"/>
    <w:rsid w:val="1A940870"/>
    <w:rsid w:val="1A94218E"/>
    <w:rsid w:val="1A96529C"/>
    <w:rsid w:val="1A9C5052"/>
    <w:rsid w:val="1ACCFE5D"/>
    <w:rsid w:val="1AD58AA9"/>
    <w:rsid w:val="1ADA428B"/>
    <w:rsid w:val="1ADA4A13"/>
    <w:rsid w:val="1ADE63F0"/>
    <w:rsid w:val="1ADF6279"/>
    <w:rsid w:val="1AE32E9D"/>
    <w:rsid w:val="1AE67C7D"/>
    <w:rsid w:val="1AE92D31"/>
    <w:rsid w:val="1AF06706"/>
    <w:rsid w:val="1AFCF1E2"/>
    <w:rsid w:val="1B00D9EF"/>
    <w:rsid w:val="1B01F207"/>
    <w:rsid w:val="1B02E826"/>
    <w:rsid w:val="1B088643"/>
    <w:rsid w:val="1B10A227"/>
    <w:rsid w:val="1B1A9726"/>
    <w:rsid w:val="1B1DA045"/>
    <w:rsid w:val="1B31CEF9"/>
    <w:rsid w:val="1B3A2955"/>
    <w:rsid w:val="1B3A6C1B"/>
    <w:rsid w:val="1B4BD5EA"/>
    <w:rsid w:val="1B57CB5E"/>
    <w:rsid w:val="1B6806C8"/>
    <w:rsid w:val="1B75E6D6"/>
    <w:rsid w:val="1B81EC21"/>
    <w:rsid w:val="1B8F42EC"/>
    <w:rsid w:val="1BA5423E"/>
    <w:rsid w:val="1BA96423"/>
    <w:rsid w:val="1BABA7DD"/>
    <w:rsid w:val="1BAE9DD2"/>
    <w:rsid w:val="1BB5118D"/>
    <w:rsid w:val="1BBFCDD3"/>
    <w:rsid w:val="1BC0D57C"/>
    <w:rsid w:val="1BC3610B"/>
    <w:rsid w:val="1BCCFB45"/>
    <w:rsid w:val="1BD8959C"/>
    <w:rsid w:val="1BDA313D"/>
    <w:rsid w:val="1BE1CC38"/>
    <w:rsid w:val="1BEFBCD3"/>
    <w:rsid w:val="1BF3685A"/>
    <w:rsid w:val="1BF591D3"/>
    <w:rsid w:val="1BF76BA0"/>
    <w:rsid w:val="1BF80F12"/>
    <w:rsid w:val="1BF970D0"/>
    <w:rsid w:val="1BFA51C9"/>
    <w:rsid w:val="1C020648"/>
    <w:rsid w:val="1C03E1CA"/>
    <w:rsid w:val="1C0562CE"/>
    <w:rsid w:val="1C08B8B7"/>
    <w:rsid w:val="1C0B709E"/>
    <w:rsid w:val="1C17B8E8"/>
    <w:rsid w:val="1C1DCDFB"/>
    <w:rsid w:val="1C23B7F1"/>
    <w:rsid w:val="1C2504C0"/>
    <w:rsid w:val="1C2CE076"/>
    <w:rsid w:val="1C30C721"/>
    <w:rsid w:val="1C530D15"/>
    <w:rsid w:val="1C53215E"/>
    <w:rsid w:val="1C66FFD3"/>
    <w:rsid w:val="1C75D4E4"/>
    <w:rsid w:val="1C75E3B9"/>
    <w:rsid w:val="1C7FE0B4"/>
    <w:rsid w:val="1C934394"/>
    <w:rsid w:val="1C98C243"/>
    <w:rsid w:val="1CA53705"/>
    <w:rsid w:val="1CAA1578"/>
    <w:rsid w:val="1CBD9883"/>
    <w:rsid w:val="1CC20E1A"/>
    <w:rsid w:val="1CD7009E"/>
    <w:rsid w:val="1CD8A95D"/>
    <w:rsid w:val="1CDE98E3"/>
    <w:rsid w:val="1CE072F5"/>
    <w:rsid w:val="1CEF347D"/>
    <w:rsid w:val="1CF41C8C"/>
    <w:rsid w:val="1D04030C"/>
    <w:rsid w:val="1D096D71"/>
    <w:rsid w:val="1D0DC037"/>
    <w:rsid w:val="1D0FF34E"/>
    <w:rsid w:val="1D1C91C0"/>
    <w:rsid w:val="1D1CC3F7"/>
    <w:rsid w:val="1D33F78D"/>
    <w:rsid w:val="1D3791CF"/>
    <w:rsid w:val="1D4A37A7"/>
    <w:rsid w:val="1D5B71D7"/>
    <w:rsid w:val="1D5DB59C"/>
    <w:rsid w:val="1D623292"/>
    <w:rsid w:val="1D910B5E"/>
    <w:rsid w:val="1D93C0CC"/>
    <w:rsid w:val="1DA3483D"/>
    <w:rsid w:val="1DA41A6E"/>
    <w:rsid w:val="1DB9C67A"/>
    <w:rsid w:val="1DC35D70"/>
    <w:rsid w:val="1DCF5533"/>
    <w:rsid w:val="1DE1832C"/>
    <w:rsid w:val="1DF2B50D"/>
    <w:rsid w:val="1DFAC98C"/>
    <w:rsid w:val="1DFE92E4"/>
    <w:rsid w:val="1E119DAE"/>
    <w:rsid w:val="1E12B7C2"/>
    <w:rsid w:val="1E24F78E"/>
    <w:rsid w:val="1E2DA506"/>
    <w:rsid w:val="1E2DEFC2"/>
    <w:rsid w:val="1E31ACCB"/>
    <w:rsid w:val="1E39063C"/>
    <w:rsid w:val="1E3CC730"/>
    <w:rsid w:val="1E44EF4E"/>
    <w:rsid w:val="1E47204B"/>
    <w:rsid w:val="1E4C49EC"/>
    <w:rsid w:val="1E521E36"/>
    <w:rsid w:val="1E67AFF9"/>
    <w:rsid w:val="1E6ECC9A"/>
    <w:rsid w:val="1E75BF9D"/>
    <w:rsid w:val="1E8D6CD7"/>
    <w:rsid w:val="1E8F65C3"/>
    <w:rsid w:val="1E90ACC4"/>
    <w:rsid w:val="1E922D73"/>
    <w:rsid w:val="1EAAE0F4"/>
    <w:rsid w:val="1EB83A29"/>
    <w:rsid w:val="1EBF9A93"/>
    <w:rsid w:val="1ECB845D"/>
    <w:rsid w:val="1ED46AD2"/>
    <w:rsid w:val="1ED66CDA"/>
    <w:rsid w:val="1EDD5393"/>
    <w:rsid w:val="1EDE94C8"/>
    <w:rsid w:val="1EE229AB"/>
    <w:rsid w:val="1EE52E1E"/>
    <w:rsid w:val="1EECECFC"/>
    <w:rsid w:val="1EF8B66A"/>
    <w:rsid w:val="1EFB0998"/>
    <w:rsid w:val="1F0E48F7"/>
    <w:rsid w:val="1F0E7BCB"/>
    <w:rsid w:val="1F1F08C3"/>
    <w:rsid w:val="1F240261"/>
    <w:rsid w:val="1F4F56C8"/>
    <w:rsid w:val="1F55BD9C"/>
    <w:rsid w:val="1F663EE6"/>
    <w:rsid w:val="1F691634"/>
    <w:rsid w:val="1F7EE030"/>
    <w:rsid w:val="1F7EE589"/>
    <w:rsid w:val="1F8AAAAD"/>
    <w:rsid w:val="1F977705"/>
    <w:rsid w:val="1F98C112"/>
    <w:rsid w:val="1FA3D6FC"/>
    <w:rsid w:val="1FA95E0A"/>
    <w:rsid w:val="1FAFB440"/>
    <w:rsid w:val="1FB4F383"/>
    <w:rsid w:val="1FBF8D90"/>
    <w:rsid w:val="1FD40541"/>
    <w:rsid w:val="1FD4A18A"/>
    <w:rsid w:val="1FEC17BF"/>
    <w:rsid w:val="1FFC16C7"/>
    <w:rsid w:val="200A35BF"/>
    <w:rsid w:val="201762A4"/>
    <w:rsid w:val="20224400"/>
    <w:rsid w:val="20252416"/>
    <w:rsid w:val="20479213"/>
    <w:rsid w:val="204A0BE1"/>
    <w:rsid w:val="204B652F"/>
    <w:rsid w:val="2052AD97"/>
    <w:rsid w:val="205BA3E7"/>
    <w:rsid w:val="205D35BD"/>
    <w:rsid w:val="205FF43D"/>
    <w:rsid w:val="2062121E"/>
    <w:rsid w:val="2070AED3"/>
    <w:rsid w:val="2077D54B"/>
    <w:rsid w:val="208909EA"/>
    <w:rsid w:val="208A0D20"/>
    <w:rsid w:val="20929657"/>
    <w:rsid w:val="2098548B"/>
    <w:rsid w:val="209B469F"/>
    <w:rsid w:val="20BC3EC1"/>
    <w:rsid w:val="20C6AE38"/>
    <w:rsid w:val="20CC6A0C"/>
    <w:rsid w:val="20D5F92C"/>
    <w:rsid w:val="20EBCB9C"/>
    <w:rsid w:val="21024BD3"/>
    <w:rsid w:val="210349F4"/>
    <w:rsid w:val="21139EF0"/>
    <w:rsid w:val="21181C60"/>
    <w:rsid w:val="212120CA"/>
    <w:rsid w:val="21282669"/>
    <w:rsid w:val="21303487"/>
    <w:rsid w:val="2134C69C"/>
    <w:rsid w:val="215771C7"/>
    <w:rsid w:val="215B4857"/>
    <w:rsid w:val="215E0483"/>
    <w:rsid w:val="215E7AA8"/>
    <w:rsid w:val="216222E4"/>
    <w:rsid w:val="2163A77D"/>
    <w:rsid w:val="216F4472"/>
    <w:rsid w:val="21868AB0"/>
    <w:rsid w:val="2186F642"/>
    <w:rsid w:val="21AC3C75"/>
    <w:rsid w:val="21AC78D2"/>
    <w:rsid w:val="21B92524"/>
    <w:rsid w:val="21C62F1B"/>
    <w:rsid w:val="21DDDB6E"/>
    <w:rsid w:val="21E107CF"/>
    <w:rsid w:val="21ED55B0"/>
    <w:rsid w:val="21FEEEDA"/>
    <w:rsid w:val="21FFED5A"/>
    <w:rsid w:val="2204C912"/>
    <w:rsid w:val="220B0CD0"/>
    <w:rsid w:val="2219DB26"/>
    <w:rsid w:val="221D48B9"/>
    <w:rsid w:val="22272070"/>
    <w:rsid w:val="223D5A82"/>
    <w:rsid w:val="225C136D"/>
    <w:rsid w:val="2260B596"/>
    <w:rsid w:val="2261B08F"/>
    <w:rsid w:val="22637A8F"/>
    <w:rsid w:val="2288FB63"/>
    <w:rsid w:val="22894EB1"/>
    <w:rsid w:val="228F97B7"/>
    <w:rsid w:val="2295EE54"/>
    <w:rsid w:val="22C3E7F8"/>
    <w:rsid w:val="22C54302"/>
    <w:rsid w:val="22C58981"/>
    <w:rsid w:val="22D559F9"/>
    <w:rsid w:val="22DDF9D6"/>
    <w:rsid w:val="22DEF1A4"/>
    <w:rsid w:val="2304166C"/>
    <w:rsid w:val="230ED379"/>
    <w:rsid w:val="230EE517"/>
    <w:rsid w:val="232F4D84"/>
    <w:rsid w:val="2346898A"/>
    <w:rsid w:val="23667994"/>
    <w:rsid w:val="236E5FD4"/>
    <w:rsid w:val="2376AA15"/>
    <w:rsid w:val="23788AA2"/>
    <w:rsid w:val="237F8428"/>
    <w:rsid w:val="2382A2F7"/>
    <w:rsid w:val="238676DB"/>
    <w:rsid w:val="239344A9"/>
    <w:rsid w:val="239F86B4"/>
    <w:rsid w:val="23A15ADD"/>
    <w:rsid w:val="23ACF0D7"/>
    <w:rsid w:val="23B09973"/>
    <w:rsid w:val="23B0A40D"/>
    <w:rsid w:val="23B98088"/>
    <w:rsid w:val="23CA8A25"/>
    <w:rsid w:val="23CBEFA9"/>
    <w:rsid w:val="23D204CA"/>
    <w:rsid w:val="23D4EC99"/>
    <w:rsid w:val="23DAF6ED"/>
    <w:rsid w:val="23DFD8B5"/>
    <w:rsid w:val="23E96EA6"/>
    <w:rsid w:val="23EFE7B8"/>
    <w:rsid w:val="23FE0CE5"/>
    <w:rsid w:val="23FE5487"/>
    <w:rsid w:val="23FFCF7C"/>
    <w:rsid w:val="24041657"/>
    <w:rsid w:val="2410ECE6"/>
    <w:rsid w:val="24170078"/>
    <w:rsid w:val="24177757"/>
    <w:rsid w:val="241C01C3"/>
    <w:rsid w:val="24227700"/>
    <w:rsid w:val="2423C712"/>
    <w:rsid w:val="243C4F02"/>
    <w:rsid w:val="244B85DE"/>
    <w:rsid w:val="2451354F"/>
    <w:rsid w:val="246BB29E"/>
    <w:rsid w:val="246C5B7F"/>
    <w:rsid w:val="24737C98"/>
    <w:rsid w:val="2476270A"/>
    <w:rsid w:val="247F8604"/>
    <w:rsid w:val="2484DAFB"/>
    <w:rsid w:val="249555F1"/>
    <w:rsid w:val="249BEEC8"/>
    <w:rsid w:val="249BF1C7"/>
    <w:rsid w:val="24C17C93"/>
    <w:rsid w:val="24CC6078"/>
    <w:rsid w:val="24D4091F"/>
    <w:rsid w:val="24D8E64B"/>
    <w:rsid w:val="24E0BC1B"/>
    <w:rsid w:val="24E7319C"/>
    <w:rsid w:val="24F05B21"/>
    <w:rsid w:val="24F5AD6A"/>
    <w:rsid w:val="24F97211"/>
    <w:rsid w:val="2513403D"/>
    <w:rsid w:val="25161662"/>
    <w:rsid w:val="251624FF"/>
    <w:rsid w:val="2518BCD3"/>
    <w:rsid w:val="251919B5"/>
    <w:rsid w:val="2532E903"/>
    <w:rsid w:val="2535861B"/>
    <w:rsid w:val="2535CC31"/>
    <w:rsid w:val="253E741A"/>
    <w:rsid w:val="254639D5"/>
    <w:rsid w:val="25483B93"/>
    <w:rsid w:val="254C3CF8"/>
    <w:rsid w:val="255DD664"/>
    <w:rsid w:val="2566CFA3"/>
    <w:rsid w:val="2571B4F0"/>
    <w:rsid w:val="25743AF9"/>
    <w:rsid w:val="2576D9C5"/>
    <w:rsid w:val="257851D7"/>
    <w:rsid w:val="258A93F7"/>
    <w:rsid w:val="258B76B1"/>
    <w:rsid w:val="258C140E"/>
    <w:rsid w:val="25975179"/>
    <w:rsid w:val="2598C065"/>
    <w:rsid w:val="259D3114"/>
    <w:rsid w:val="25A9548B"/>
    <w:rsid w:val="25AD13B1"/>
    <w:rsid w:val="25DA7791"/>
    <w:rsid w:val="25E19354"/>
    <w:rsid w:val="25E1DC22"/>
    <w:rsid w:val="25E5678E"/>
    <w:rsid w:val="25EBC8BD"/>
    <w:rsid w:val="260B10C7"/>
    <w:rsid w:val="26135541"/>
    <w:rsid w:val="2615286D"/>
    <w:rsid w:val="263A9339"/>
    <w:rsid w:val="26426806"/>
    <w:rsid w:val="2650DC8F"/>
    <w:rsid w:val="26620359"/>
    <w:rsid w:val="2662D9A8"/>
    <w:rsid w:val="2668F411"/>
    <w:rsid w:val="26717A9C"/>
    <w:rsid w:val="26719B83"/>
    <w:rsid w:val="267F2AD2"/>
    <w:rsid w:val="268E767C"/>
    <w:rsid w:val="269A2A63"/>
    <w:rsid w:val="26A7E3F9"/>
    <w:rsid w:val="26B6CE91"/>
    <w:rsid w:val="26B728A0"/>
    <w:rsid w:val="26E7783B"/>
    <w:rsid w:val="26FFE982"/>
    <w:rsid w:val="270FE2FE"/>
    <w:rsid w:val="271C9FA5"/>
    <w:rsid w:val="271D5E2D"/>
    <w:rsid w:val="271E7465"/>
    <w:rsid w:val="272954C7"/>
    <w:rsid w:val="273EF366"/>
    <w:rsid w:val="27407049"/>
    <w:rsid w:val="274264C6"/>
    <w:rsid w:val="2743140C"/>
    <w:rsid w:val="274CEFAF"/>
    <w:rsid w:val="275245DD"/>
    <w:rsid w:val="27563C74"/>
    <w:rsid w:val="2762C145"/>
    <w:rsid w:val="27656E0A"/>
    <w:rsid w:val="277630FE"/>
    <w:rsid w:val="27768324"/>
    <w:rsid w:val="277E36E9"/>
    <w:rsid w:val="27857A4A"/>
    <w:rsid w:val="278B816D"/>
    <w:rsid w:val="2797DBF0"/>
    <w:rsid w:val="27A07A9C"/>
    <w:rsid w:val="27AAB7BC"/>
    <w:rsid w:val="27C110A7"/>
    <w:rsid w:val="27D01B13"/>
    <w:rsid w:val="27E0C71C"/>
    <w:rsid w:val="27E734C3"/>
    <w:rsid w:val="27FDD3BA"/>
    <w:rsid w:val="280555C7"/>
    <w:rsid w:val="280CB354"/>
    <w:rsid w:val="281447E9"/>
    <w:rsid w:val="28180F56"/>
    <w:rsid w:val="281A62AD"/>
    <w:rsid w:val="28346683"/>
    <w:rsid w:val="28359199"/>
    <w:rsid w:val="284F15C3"/>
    <w:rsid w:val="286AF226"/>
    <w:rsid w:val="286CD0FE"/>
    <w:rsid w:val="28719C73"/>
    <w:rsid w:val="288025C5"/>
    <w:rsid w:val="28916C59"/>
    <w:rsid w:val="289FC9E4"/>
    <w:rsid w:val="28C150A3"/>
    <w:rsid w:val="28C256E1"/>
    <w:rsid w:val="28C77EBD"/>
    <w:rsid w:val="28C9F455"/>
    <w:rsid w:val="28CC4217"/>
    <w:rsid w:val="28E489BB"/>
    <w:rsid w:val="28E9A927"/>
    <w:rsid w:val="28FE5C33"/>
    <w:rsid w:val="290D13B4"/>
    <w:rsid w:val="290D4ACD"/>
    <w:rsid w:val="291569D5"/>
    <w:rsid w:val="29189CD0"/>
    <w:rsid w:val="291F26C3"/>
    <w:rsid w:val="29249437"/>
    <w:rsid w:val="29353EE4"/>
    <w:rsid w:val="293B1D38"/>
    <w:rsid w:val="293DE252"/>
    <w:rsid w:val="293F697B"/>
    <w:rsid w:val="29472922"/>
    <w:rsid w:val="294836A4"/>
    <w:rsid w:val="295AD275"/>
    <w:rsid w:val="29645EAF"/>
    <w:rsid w:val="29661CEE"/>
    <w:rsid w:val="296D97A2"/>
    <w:rsid w:val="2981D87E"/>
    <w:rsid w:val="29852153"/>
    <w:rsid w:val="2988349E"/>
    <w:rsid w:val="298A5A5B"/>
    <w:rsid w:val="298E964F"/>
    <w:rsid w:val="29A2B3AE"/>
    <w:rsid w:val="29A958F3"/>
    <w:rsid w:val="29AE62F2"/>
    <w:rsid w:val="29AFDCEB"/>
    <w:rsid w:val="29B483E3"/>
    <w:rsid w:val="29BA5D46"/>
    <w:rsid w:val="29CDE24B"/>
    <w:rsid w:val="29FF0C87"/>
    <w:rsid w:val="2A01407F"/>
    <w:rsid w:val="2A0B1ACC"/>
    <w:rsid w:val="2A1C2279"/>
    <w:rsid w:val="2A1C6241"/>
    <w:rsid w:val="2A1E8185"/>
    <w:rsid w:val="2A3D802E"/>
    <w:rsid w:val="2A409FE4"/>
    <w:rsid w:val="2A43B62D"/>
    <w:rsid w:val="2A451A7C"/>
    <w:rsid w:val="2A4C145E"/>
    <w:rsid w:val="2A67A91A"/>
    <w:rsid w:val="2A6C0023"/>
    <w:rsid w:val="2A72CA43"/>
    <w:rsid w:val="2A7A42F1"/>
    <w:rsid w:val="2A8A0181"/>
    <w:rsid w:val="2A8B37F2"/>
    <w:rsid w:val="2A976D8A"/>
    <w:rsid w:val="2A98278B"/>
    <w:rsid w:val="2A9B9200"/>
    <w:rsid w:val="2A9BB77F"/>
    <w:rsid w:val="2AA6A585"/>
    <w:rsid w:val="2AA86DFC"/>
    <w:rsid w:val="2AB4E595"/>
    <w:rsid w:val="2ABBCB97"/>
    <w:rsid w:val="2AC97A81"/>
    <w:rsid w:val="2ACD4E89"/>
    <w:rsid w:val="2AD68A37"/>
    <w:rsid w:val="2AD77F31"/>
    <w:rsid w:val="2ADB1E2A"/>
    <w:rsid w:val="2ADEACCC"/>
    <w:rsid w:val="2AF3CCCB"/>
    <w:rsid w:val="2B068B0C"/>
    <w:rsid w:val="2B0AF851"/>
    <w:rsid w:val="2B0B8EAA"/>
    <w:rsid w:val="2B1FDD7C"/>
    <w:rsid w:val="2B221248"/>
    <w:rsid w:val="2B2872F9"/>
    <w:rsid w:val="2B35747C"/>
    <w:rsid w:val="2B424755"/>
    <w:rsid w:val="2B46E470"/>
    <w:rsid w:val="2B4B450E"/>
    <w:rsid w:val="2B521E50"/>
    <w:rsid w:val="2B5AC2A0"/>
    <w:rsid w:val="2B607E20"/>
    <w:rsid w:val="2B6C2F89"/>
    <w:rsid w:val="2B786D31"/>
    <w:rsid w:val="2B911A3D"/>
    <w:rsid w:val="2B932D7F"/>
    <w:rsid w:val="2B946B34"/>
    <w:rsid w:val="2B95FAE8"/>
    <w:rsid w:val="2B9780F5"/>
    <w:rsid w:val="2BA3EF44"/>
    <w:rsid w:val="2BABB18C"/>
    <w:rsid w:val="2BB5FA79"/>
    <w:rsid w:val="2BBE0235"/>
    <w:rsid w:val="2BD94E84"/>
    <w:rsid w:val="2BDB0FE0"/>
    <w:rsid w:val="2BE2DBCA"/>
    <w:rsid w:val="2BE92905"/>
    <w:rsid w:val="2BECE109"/>
    <w:rsid w:val="2BF62668"/>
    <w:rsid w:val="2BFFF38F"/>
    <w:rsid w:val="2C09F1DC"/>
    <w:rsid w:val="2C16CB79"/>
    <w:rsid w:val="2C1E8CBD"/>
    <w:rsid w:val="2C2B5FB8"/>
    <w:rsid w:val="2C54AC5A"/>
    <w:rsid w:val="2C5A884F"/>
    <w:rsid w:val="2C60757C"/>
    <w:rsid w:val="2C608C52"/>
    <w:rsid w:val="2C60F839"/>
    <w:rsid w:val="2C661A1D"/>
    <w:rsid w:val="2C68DE20"/>
    <w:rsid w:val="2C68E78A"/>
    <w:rsid w:val="2C99938C"/>
    <w:rsid w:val="2CA3D261"/>
    <w:rsid w:val="2CA5CD6E"/>
    <w:rsid w:val="2CACCF49"/>
    <w:rsid w:val="2CAE5CBE"/>
    <w:rsid w:val="2CB06796"/>
    <w:rsid w:val="2CB1E1FB"/>
    <w:rsid w:val="2CB4B05C"/>
    <w:rsid w:val="2CB7AB23"/>
    <w:rsid w:val="2CBFFB6A"/>
    <w:rsid w:val="2CC218E3"/>
    <w:rsid w:val="2CCAF076"/>
    <w:rsid w:val="2CCB89FC"/>
    <w:rsid w:val="2CCEF2B0"/>
    <w:rsid w:val="2CD9B5AA"/>
    <w:rsid w:val="2CE10F2B"/>
    <w:rsid w:val="2CE1E1E8"/>
    <w:rsid w:val="2CE6A1E4"/>
    <w:rsid w:val="2CF20462"/>
    <w:rsid w:val="2CF783C9"/>
    <w:rsid w:val="2CFA95DB"/>
    <w:rsid w:val="2CFDC115"/>
    <w:rsid w:val="2D0A7A8F"/>
    <w:rsid w:val="2D0F0AA5"/>
    <w:rsid w:val="2D1491BD"/>
    <w:rsid w:val="2D19F36F"/>
    <w:rsid w:val="2D1DDAD1"/>
    <w:rsid w:val="2D20AA9E"/>
    <w:rsid w:val="2D3171DC"/>
    <w:rsid w:val="2D3477F6"/>
    <w:rsid w:val="2D3E2411"/>
    <w:rsid w:val="2D4860E3"/>
    <w:rsid w:val="2D4E7058"/>
    <w:rsid w:val="2D528FF4"/>
    <w:rsid w:val="2D58A035"/>
    <w:rsid w:val="2D6DC054"/>
    <w:rsid w:val="2D76A042"/>
    <w:rsid w:val="2D7D4E18"/>
    <w:rsid w:val="2D88DA98"/>
    <w:rsid w:val="2DBF57CF"/>
    <w:rsid w:val="2DCDD431"/>
    <w:rsid w:val="2DD37962"/>
    <w:rsid w:val="2DDF5729"/>
    <w:rsid w:val="2DF6D842"/>
    <w:rsid w:val="2DFC5CB3"/>
    <w:rsid w:val="2E01E3CF"/>
    <w:rsid w:val="2E03A77F"/>
    <w:rsid w:val="2E08D05E"/>
    <w:rsid w:val="2E0E914B"/>
    <w:rsid w:val="2E190CFC"/>
    <w:rsid w:val="2E1C98EC"/>
    <w:rsid w:val="2E25F44F"/>
    <w:rsid w:val="2E2713AE"/>
    <w:rsid w:val="2E2D237C"/>
    <w:rsid w:val="2E339936"/>
    <w:rsid w:val="2E34F34D"/>
    <w:rsid w:val="2E3AD2D9"/>
    <w:rsid w:val="2E3D1BD0"/>
    <w:rsid w:val="2E4BA026"/>
    <w:rsid w:val="2E4C806C"/>
    <w:rsid w:val="2E515AC7"/>
    <w:rsid w:val="2E58CF86"/>
    <w:rsid w:val="2E5E366F"/>
    <w:rsid w:val="2E6293AB"/>
    <w:rsid w:val="2E659BB8"/>
    <w:rsid w:val="2E6D153E"/>
    <w:rsid w:val="2E7990C4"/>
    <w:rsid w:val="2E86C967"/>
    <w:rsid w:val="2E8A6AF1"/>
    <w:rsid w:val="2E97A2C8"/>
    <w:rsid w:val="2E9856FF"/>
    <w:rsid w:val="2EA06230"/>
    <w:rsid w:val="2EA3D04B"/>
    <w:rsid w:val="2EA8B2E1"/>
    <w:rsid w:val="2EAA32C4"/>
    <w:rsid w:val="2ECF805A"/>
    <w:rsid w:val="2EEB514D"/>
    <w:rsid w:val="2EF665DC"/>
    <w:rsid w:val="2F0ADE0C"/>
    <w:rsid w:val="2F2A566F"/>
    <w:rsid w:val="2F2B902E"/>
    <w:rsid w:val="2F33F96F"/>
    <w:rsid w:val="2F357B0B"/>
    <w:rsid w:val="2F3EEFB4"/>
    <w:rsid w:val="2F41FC65"/>
    <w:rsid w:val="2F473FAC"/>
    <w:rsid w:val="2F55A9EC"/>
    <w:rsid w:val="2F693E12"/>
    <w:rsid w:val="2F87EAF7"/>
    <w:rsid w:val="2F9E129B"/>
    <w:rsid w:val="2FA1F2F8"/>
    <w:rsid w:val="2FA25D60"/>
    <w:rsid w:val="2FA5D510"/>
    <w:rsid w:val="2FD7BF08"/>
    <w:rsid w:val="2FEAEE1D"/>
    <w:rsid w:val="2FF037FC"/>
    <w:rsid w:val="2FF85460"/>
    <w:rsid w:val="2FFE5D55"/>
    <w:rsid w:val="30080424"/>
    <w:rsid w:val="30116F4F"/>
    <w:rsid w:val="3013E20D"/>
    <w:rsid w:val="301D95D6"/>
    <w:rsid w:val="3026565B"/>
    <w:rsid w:val="302C9688"/>
    <w:rsid w:val="302CBFE2"/>
    <w:rsid w:val="303A4E58"/>
    <w:rsid w:val="303F0217"/>
    <w:rsid w:val="30448C6D"/>
    <w:rsid w:val="304705B2"/>
    <w:rsid w:val="304883FC"/>
    <w:rsid w:val="3059C353"/>
    <w:rsid w:val="305C5C3B"/>
    <w:rsid w:val="30687F76"/>
    <w:rsid w:val="306CF3DC"/>
    <w:rsid w:val="3072C174"/>
    <w:rsid w:val="307A685E"/>
    <w:rsid w:val="307CE5E5"/>
    <w:rsid w:val="307FA267"/>
    <w:rsid w:val="30876B2F"/>
    <w:rsid w:val="3094665E"/>
    <w:rsid w:val="30961268"/>
    <w:rsid w:val="3096B774"/>
    <w:rsid w:val="3098F2D8"/>
    <w:rsid w:val="309D463B"/>
    <w:rsid w:val="30A68AD9"/>
    <w:rsid w:val="30A831CD"/>
    <w:rsid w:val="30AA02CC"/>
    <w:rsid w:val="30B45375"/>
    <w:rsid w:val="30CCD061"/>
    <w:rsid w:val="30CFED52"/>
    <w:rsid w:val="30CFFB91"/>
    <w:rsid w:val="30D4D918"/>
    <w:rsid w:val="30D5A42D"/>
    <w:rsid w:val="30DFCCD6"/>
    <w:rsid w:val="30E095A9"/>
    <w:rsid w:val="30E33746"/>
    <w:rsid w:val="30E8F805"/>
    <w:rsid w:val="30EEAE79"/>
    <w:rsid w:val="30F80E02"/>
    <w:rsid w:val="30F8D419"/>
    <w:rsid w:val="310C4823"/>
    <w:rsid w:val="31114616"/>
    <w:rsid w:val="312D2E4E"/>
    <w:rsid w:val="313C32A9"/>
    <w:rsid w:val="313CF660"/>
    <w:rsid w:val="314C6DB3"/>
    <w:rsid w:val="316C65E7"/>
    <w:rsid w:val="316E74CA"/>
    <w:rsid w:val="317C70B8"/>
    <w:rsid w:val="318F44DB"/>
    <w:rsid w:val="3199DE05"/>
    <w:rsid w:val="319A51CA"/>
    <w:rsid w:val="31CB6784"/>
    <w:rsid w:val="31CFEAE5"/>
    <w:rsid w:val="31D23631"/>
    <w:rsid w:val="31D4BC6F"/>
    <w:rsid w:val="3200790B"/>
    <w:rsid w:val="320B9884"/>
    <w:rsid w:val="3220832C"/>
    <w:rsid w:val="323717E9"/>
    <w:rsid w:val="3247C0A8"/>
    <w:rsid w:val="325147A6"/>
    <w:rsid w:val="326F1D4E"/>
    <w:rsid w:val="327DD10C"/>
    <w:rsid w:val="328B8A0E"/>
    <w:rsid w:val="3295F5D2"/>
    <w:rsid w:val="329DEE22"/>
    <w:rsid w:val="32BB737F"/>
    <w:rsid w:val="32C3EF04"/>
    <w:rsid w:val="32DDEB04"/>
    <w:rsid w:val="32E2026E"/>
    <w:rsid w:val="32EFD18A"/>
    <w:rsid w:val="32F577EC"/>
    <w:rsid w:val="3301A15A"/>
    <w:rsid w:val="33150F2D"/>
    <w:rsid w:val="331D2F8E"/>
    <w:rsid w:val="3328A5ED"/>
    <w:rsid w:val="333479E7"/>
    <w:rsid w:val="33414220"/>
    <w:rsid w:val="33452304"/>
    <w:rsid w:val="33453917"/>
    <w:rsid w:val="33454580"/>
    <w:rsid w:val="3348CA6D"/>
    <w:rsid w:val="334C9941"/>
    <w:rsid w:val="334CB7DB"/>
    <w:rsid w:val="335E5A9F"/>
    <w:rsid w:val="335EF7A2"/>
    <w:rsid w:val="336DC997"/>
    <w:rsid w:val="33764D96"/>
    <w:rsid w:val="3378CA98"/>
    <w:rsid w:val="33851F21"/>
    <w:rsid w:val="33859A0A"/>
    <w:rsid w:val="33953BD1"/>
    <w:rsid w:val="33961481"/>
    <w:rsid w:val="3397451B"/>
    <w:rsid w:val="3399C902"/>
    <w:rsid w:val="339A107B"/>
    <w:rsid w:val="33A19728"/>
    <w:rsid w:val="33A31F48"/>
    <w:rsid w:val="33AA0B17"/>
    <w:rsid w:val="33AB024D"/>
    <w:rsid w:val="33AD94C6"/>
    <w:rsid w:val="33AEB6F9"/>
    <w:rsid w:val="33BEEE44"/>
    <w:rsid w:val="33C0D341"/>
    <w:rsid w:val="33C1D11F"/>
    <w:rsid w:val="33C2749D"/>
    <w:rsid w:val="33CB0E9C"/>
    <w:rsid w:val="33E207BC"/>
    <w:rsid w:val="33EE260B"/>
    <w:rsid w:val="33F0C83D"/>
    <w:rsid w:val="33F5AE50"/>
    <w:rsid w:val="33F84A2A"/>
    <w:rsid w:val="33F8FF06"/>
    <w:rsid w:val="33FD4067"/>
    <w:rsid w:val="340110C1"/>
    <w:rsid w:val="342C5B1E"/>
    <w:rsid w:val="343018B2"/>
    <w:rsid w:val="343435E7"/>
    <w:rsid w:val="343E429D"/>
    <w:rsid w:val="344B267B"/>
    <w:rsid w:val="3454170B"/>
    <w:rsid w:val="3457E04D"/>
    <w:rsid w:val="345D06A7"/>
    <w:rsid w:val="3463304F"/>
    <w:rsid w:val="346DCE72"/>
    <w:rsid w:val="34710781"/>
    <w:rsid w:val="34761B14"/>
    <w:rsid w:val="347E7E54"/>
    <w:rsid w:val="34853885"/>
    <w:rsid w:val="348D0045"/>
    <w:rsid w:val="3492F018"/>
    <w:rsid w:val="34983E54"/>
    <w:rsid w:val="349881E5"/>
    <w:rsid w:val="349A2C5D"/>
    <w:rsid w:val="34B81F1C"/>
    <w:rsid w:val="34BC3B78"/>
    <w:rsid w:val="34BE84D3"/>
    <w:rsid w:val="34C7536B"/>
    <w:rsid w:val="34CBD9D3"/>
    <w:rsid w:val="34D3FAFB"/>
    <w:rsid w:val="34DC4441"/>
    <w:rsid w:val="34E22F5F"/>
    <w:rsid w:val="34EB367B"/>
    <w:rsid w:val="34ECEFE1"/>
    <w:rsid w:val="34F9BEE3"/>
    <w:rsid w:val="34F9F5E6"/>
    <w:rsid w:val="350DED4F"/>
    <w:rsid w:val="352EBC07"/>
    <w:rsid w:val="353577EB"/>
    <w:rsid w:val="353BACC6"/>
    <w:rsid w:val="35551B83"/>
    <w:rsid w:val="3561D799"/>
    <w:rsid w:val="35641FF3"/>
    <w:rsid w:val="35656313"/>
    <w:rsid w:val="356B61E2"/>
    <w:rsid w:val="35763B3E"/>
    <w:rsid w:val="3580F1DB"/>
    <w:rsid w:val="35818C60"/>
    <w:rsid w:val="3585B38B"/>
    <w:rsid w:val="35925FCF"/>
    <w:rsid w:val="35B042C0"/>
    <w:rsid w:val="35B290A2"/>
    <w:rsid w:val="35B91AC0"/>
    <w:rsid w:val="35BAD632"/>
    <w:rsid w:val="35BB22F5"/>
    <w:rsid w:val="35BD41EC"/>
    <w:rsid w:val="35CA6E55"/>
    <w:rsid w:val="35E0C64F"/>
    <w:rsid w:val="35EBBEB1"/>
    <w:rsid w:val="35EF61D4"/>
    <w:rsid w:val="35FE0946"/>
    <w:rsid w:val="36043944"/>
    <w:rsid w:val="36178E82"/>
    <w:rsid w:val="3619A330"/>
    <w:rsid w:val="36292CA7"/>
    <w:rsid w:val="3636E4D3"/>
    <w:rsid w:val="363FAE71"/>
    <w:rsid w:val="36616B5D"/>
    <w:rsid w:val="3665998A"/>
    <w:rsid w:val="3669D3B5"/>
    <w:rsid w:val="3672FD5B"/>
    <w:rsid w:val="367B384B"/>
    <w:rsid w:val="36875FA1"/>
    <w:rsid w:val="369E8748"/>
    <w:rsid w:val="36B21331"/>
    <w:rsid w:val="36C71507"/>
    <w:rsid w:val="36CB1146"/>
    <w:rsid w:val="36CE43A0"/>
    <w:rsid w:val="36DA7478"/>
    <w:rsid w:val="36E0182E"/>
    <w:rsid w:val="36E40ADE"/>
    <w:rsid w:val="36E8FEC1"/>
    <w:rsid w:val="36EE45DE"/>
    <w:rsid w:val="36F45C4A"/>
    <w:rsid w:val="36F81806"/>
    <w:rsid w:val="36FD582A"/>
    <w:rsid w:val="37145A6E"/>
    <w:rsid w:val="37246B86"/>
    <w:rsid w:val="3727A575"/>
    <w:rsid w:val="372922E0"/>
    <w:rsid w:val="372B6022"/>
    <w:rsid w:val="3736F45B"/>
    <w:rsid w:val="373932E0"/>
    <w:rsid w:val="373DAB8A"/>
    <w:rsid w:val="3749F1C2"/>
    <w:rsid w:val="3750BDE8"/>
    <w:rsid w:val="3761E775"/>
    <w:rsid w:val="37782C2F"/>
    <w:rsid w:val="378B77FE"/>
    <w:rsid w:val="378E4D06"/>
    <w:rsid w:val="379736E5"/>
    <w:rsid w:val="379D32B8"/>
    <w:rsid w:val="379E5CCA"/>
    <w:rsid w:val="379EFA71"/>
    <w:rsid w:val="37AB6513"/>
    <w:rsid w:val="37ABF9A7"/>
    <w:rsid w:val="37AFC1CC"/>
    <w:rsid w:val="37B2C5C0"/>
    <w:rsid w:val="37B7047A"/>
    <w:rsid w:val="37B8A0F9"/>
    <w:rsid w:val="37BB6609"/>
    <w:rsid w:val="37BFB81E"/>
    <w:rsid w:val="37D68DBE"/>
    <w:rsid w:val="37DB71FF"/>
    <w:rsid w:val="37DC3079"/>
    <w:rsid w:val="37E2A726"/>
    <w:rsid w:val="37E4225F"/>
    <w:rsid w:val="37EEE3D4"/>
    <w:rsid w:val="3812E905"/>
    <w:rsid w:val="38178D35"/>
    <w:rsid w:val="38179C59"/>
    <w:rsid w:val="381A9693"/>
    <w:rsid w:val="382841D3"/>
    <w:rsid w:val="382A145E"/>
    <w:rsid w:val="382B2D94"/>
    <w:rsid w:val="383E9000"/>
    <w:rsid w:val="3856D8A5"/>
    <w:rsid w:val="386107D9"/>
    <w:rsid w:val="38629860"/>
    <w:rsid w:val="386B0E38"/>
    <w:rsid w:val="3879DC28"/>
    <w:rsid w:val="387B3143"/>
    <w:rsid w:val="387B7A4B"/>
    <w:rsid w:val="3885C922"/>
    <w:rsid w:val="388FC615"/>
    <w:rsid w:val="3894C44C"/>
    <w:rsid w:val="389636F8"/>
    <w:rsid w:val="38A6CE3E"/>
    <w:rsid w:val="38B909BD"/>
    <w:rsid w:val="38F70736"/>
    <w:rsid w:val="38FAB1E5"/>
    <w:rsid w:val="38FE261E"/>
    <w:rsid w:val="3908A729"/>
    <w:rsid w:val="3909B36A"/>
    <w:rsid w:val="3921E7E0"/>
    <w:rsid w:val="3922F64A"/>
    <w:rsid w:val="39305D90"/>
    <w:rsid w:val="393A49D0"/>
    <w:rsid w:val="394290DF"/>
    <w:rsid w:val="395AC00F"/>
    <w:rsid w:val="39615DEF"/>
    <w:rsid w:val="3969D647"/>
    <w:rsid w:val="396E6D2E"/>
    <w:rsid w:val="3984D523"/>
    <w:rsid w:val="3985031B"/>
    <w:rsid w:val="399290B2"/>
    <w:rsid w:val="399C0B1A"/>
    <w:rsid w:val="399F42FC"/>
    <w:rsid w:val="39A6F561"/>
    <w:rsid w:val="39B077EC"/>
    <w:rsid w:val="39B21A19"/>
    <w:rsid w:val="39B3DD01"/>
    <w:rsid w:val="39E584A3"/>
    <w:rsid w:val="39EB18C3"/>
    <w:rsid w:val="39F0D5DB"/>
    <w:rsid w:val="39FBC0E1"/>
    <w:rsid w:val="3A00B94A"/>
    <w:rsid w:val="3A216484"/>
    <w:rsid w:val="3A22C142"/>
    <w:rsid w:val="3A2585CE"/>
    <w:rsid w:val="3A358A71"/>
    <w:rsid w:val="3A59105A"/>
    <w:rsid w:val="3A595A06"/>
    <w:rsid w:val="3A598B18"/>
    <w:rsid w:val="3A662455"/>
    <w:rsid w:val="3A78DDFC"/>
    <w:rsid w:val="3A7B268D"/>
    <w:rsid w:val="3A839021"/>
    <w:rsid w:val="3A9743D3"/>
    <w:rsid w:val="3A9A2A2B"/>
    <w:rsid w:val="3AA1D665"/>
    <w:rsid w:val="3AB952CF"/>
    <w:rsid w:val="3ABA0AD7"/>
    <w:rsid w:val="3AC4897C"/>
    <w:rsid w:val="3ACDAA56"/>
    <w:rsid w:val="3ADD0697"/>
    <w:rsid w:val="3ADDCFE5"/>
    <w:rsid w:val="3ADF19FF"/>
    <w:rsid w:val="3ADF871F"/>
    <w:rsid w:val="3AF3448D"/>
    <w:rsid w:val="3B02E25D"/>
    <w:rsid w:val="3B18924B"/>
    <w:rsid w:val="3B209197"/>
    <w:rsid w:val="3B23F7AB"/>
    <w:rsid w:val="3B3522AC"/>
    <w:rsid w:val="3B3DAA6A"/>
    <w:rsid w:val="3B3F16C5"/>
    <w:rsid w:val="3B5FDD18"/>
    <w:rsid w:val="3B629B4B"/>
    <w:rsid w:val="3B6AD83E"/>
    <w:rsid w:val="3B757E9A"/>
    <w:rsid w:val="3B7D747A"/>
    <w:rsid w:val="3B814F41"/>
    <w:rsid w:val="3B81CC15"/>
    <w:rsid w:val="3B8F29D4"/>
    <w:rsid w:val="3B98C608"/>
    <w:rsid w:val="3B9C81ED"/>
    <w:rsid w:val="3B9F76BC"/>
    <w:rsid w:val="3BB25A3A"/>
    <w:rsid w:val="3BC06B7F"/>
    <w:rsid w:val="3BD2DF37"/>
    <w:rsid w:val="3BE6F407"/>
    <w:rsid w:val="3BE81031"/>
    <w:rsid w:val="3BED6997"/>
    <w:rsid w:val="3BF36DFB"/>
    <w:rsid w:val="3C02FC06"/>
    <w:rsid w:val="3C040648"/>
    <w:rsid w:val="3C0F8B5C"/>
    <w:rsid w:val="3C11833E"/>
    <w:rsid w:val="3C165097"/>
    <w:rsid w:val="3C33AAC5"/>
    <w:rsid w:val="3C349EAD"/>
    <w:rsid w:val="3C35602A"/>
    <w:rsid w:val="3C37A35D"/>
    <w:rsid w:val="3C38122D"/>
    <w:rsid w:val="3C3DA6C6"/>
    <w:rsid w:val="3C42EA49"/>
    <w:rsid w:val="3C476451"/>
    <w:rsid w:val="3C4B8CDC"/>
    <w:rsid w:val="3C4DBA0D"/>
    <w:rsid w:val="3C577A5A"/>
    <w:rsid w:val="3C5AB22D"/>
    <w:rsid w:val="3C6AFCEE"/>
    <w:rsid w:val="3C74B1F9"/>
    <w:rsid w:val="3C832BFB"/>
    <w:rsid w:val="3C85ADFE"/>
    <w:rsid w:val="3C890566"/>
    <w:rsid w:val="3C8C0605"/>
    <w:rsid w:val="3C94DD41"/>
    <w:rsid w:val="3CB7D723"/>
    <w:rsid w:val="3CBDAA99"/>
    <w:rsid w:val="3CC60A46"/>
    <w:rsid w:val="3CD0A860"/>
    <w:rsid w:val="3CD3BB1F"/>
    <w:rsid w:val="3CD865F4"/>
    <w:rsid w:val="3CE0B4A1"/>
    <w:rsid w:val="3CEE287E"/>
    <w:rsid w:val="3CFB1013"/>
    <w:rsid w:val="3D02FB35"/>
    <w:rsid w:val="3D0C82B2"/>
    <w:rsid w:val="3D0C8C02"/>
    <w:rsid w:val="3D18295C"/>
    <w:rsid w:val="3D185586"/>
    <w:rsid w:val="3D195214"/>
    <w:rsid w:val="3D20EF57"/>
    <w:rsid w:val="3D2FC37E"/>
    <w:rsid w:val="3D4D9770"/>
    <w:rsid w:val="3D5760A4"/>
    <w:rsid w:val="3D6176E8"/>
    <w:rsid w:val="3D62931E"/>
    <w:rsid w:val="3D6B0685"/>
    <w:rsid w:val="3D6C4373"/>
    <w:rsid w:val="3D85402A"/>
    <w:rsid w:val="3D8B5795"/>
    <w:rsid w:val="3D91AFEA"/>
    <w:rsid w:val="3D9CC015"/>
    <w:rsid w:val="3DA75D6E"/>
    <w:rsid w:val="3DA77D14"/>
    <w:rsid w:val="3DB6FEB4"/>
    <w:rsid w:val="3DB93592"/>
    <w:rsid w:val="3DBA98BE"/>
    <w:rsid w:val="3DBC7925"/>
    <w:rsid w:val="3DC81CF8"/>
    <w:rsid w:val="3DC8DCAD"/>
    <w:rsid w:val="3DCEE621"/>
    <w:rsid w:val="3DD30676"/>
    <w:rsid w:val="3DDB5641"/>
    <w:rsid w:val="3DE30E3A"/>
    <w:rsid w:val="3DE43E94"/>
    <w:rsid w:val="3DE6FFC8"/>
    <w:rsid w:val="3DEE167F"/>
    <w:rsid w:val="3DF5B85F"/>
    <w:rsid w:val="3DF85448"/>
    <w:rsid w:val="3E07307D"/>
    <w:rsid w:val="3E0CD879"/>
    <w:rsid w:val="3E13C9B5"/>
    <w:rsid w:val="3E15EB5A"/>
    <w:rsid w:val="3E20B1DB"/>
    <w:rsid w:val="3E2544B1"/>
    <w:rsid w:val="3E269B7A"/>
    <w:rsid w:val="3E2E3C02"/>
    <w:rsid w:val="3E2ECF70"/>
    <w:rsid w:val="3E33E8E6"/>
    <w:rsid w:val="3E3FEEDC"/>
    <w:rsid w:val="3E47E5A6"/>
    <w:rsid w:val="3E5648A8"/>
    <w:rsid w:val="3E69EAC4"/>
    <w:rsid w:val="3E718995"/>
    <w:rsid w:val="3E8BAF4F"/>
    <w:rsid w:val="3E97A6F7"/>
    <w:rsid w:val="3EB46C9B"/>
    <w:rsid w:val="3EBFB38F"/>
    <w:rsid w:val="3EC02D28"/>
    <w:rsid w:val="3EC5F7B6"/>
    <w:rsid w:val="3ECB5E18"/>
    <w:rsid w:val="3ED66CF5"/>
    <w:rsid w:val="3EDF5575"/>
    <w:rsid w:val="3EF60C93"/>
    <w:rsid w:val="3EF6A81D"/>
    <w:rsid w:val="3EFCCD5C"/>
    <w:rsid w:val="3F06CF1F"/>
    <w:rsid w:val="3F166C66"/>
    <w:rsid w:val="3F1B29B3"/>
    <w:rsid w:val="3F1C1C4C"/>
    <w:rsid w:val="3F2381E3"/>
    <w:rsid w:val="3F26A897"/>
    <w:rsid w:val="3F293288"/>
    <w:rsid w:val="3F46A2A5"/>
    <w:rsid w:val="3F562C99"/>
    <w:rsid w:val="3F62B582"/>
    <w:rsid w:val="3F7D5C2A"/>
    <w:rsid w:val="3F864747"/>
    <w:rsid w:val="3F9ECA48"/>
    <w:rsid w:val="3FA0D384"/>
    <w:rsid w:val="3FA25BB9"/>
    <w:rsid w:val="3FA39430"/>
    <w:rsid w:val="3FAB109E"/>
    <w:rsid w:val="3FAF9A16"/>
    <w:rsid w:val="3FAFF5DD"/>
    <w:rsid w:val="3FB5DB40"/>
    <w:rsid w:val="3FB701FF"/>
    <w:rsid w:val="3FB91547"/>
    <w:rsid w:val="3FB9D251"/>
    <w:rsid w:val="3FC1ABF1"/>
    <w:rsid w:val="3FD185FD"/>
    <w:rsid w:val="3FED5CE5"/>
    <w:rsid w:val="3FF41531"/>
    <w:rsid w:val="3FFAD1AD"/>
    <w:rsid w:val="3FFB677D"/>
    <w:rsid w:val="4004C8ED"/>
    <w:rsid w:val="400579D4"/>
    <w:rsid w:val="40070A04"/>
    <w:rsid w:val="40076921"/>
    <w:rsid w:val="40082769"/>
    <w:rsid w:val="400D2019"/>
    <w:rsid w:val="401A1EDB"/>
    <w:rsid w:val="401BFE7A"/>
    <w:rsid w:val="401E6539"/>
    <w:rsid w:val="401EDD5E"/>
    <w:rsid w:val="401F51D8"/>
    <w:rsid w:val="40229F19"/>
    <w:rsid w:val="4028E33A"/>
    <w:rsid w:val="403446FE"/>
    <w:rsid w:val="4043C3BE"/>
    <w:rsid w:val="40441D7A"/>
    <w:rsid w:val="404ACF96"/>
    <w:rsid w:val="404D8E65"/>
    <w:rsid w:val="407C22AA"/>
    <w:rsid w:val="407C2A41"/>
    <w:rsid w:val="4088EB74"/>
    <w:rsid w:val="409A3567"/>
    <w:rsid w:val="409F6ACA"/>
    <w:rsid w:val="40A5640A"/>
    <w:rsid w:val="40AD756F"/>
    <w:rsid w:val="40AEDD9A"/>
    <w:rsid w:val="40B25705"/>
    <w:rsid w:val="40B77C10"/>
    <w:rsid w:val="40B9BFA7"/>
    <w:rsid w:val="40CA9DCF"/>
    <w:rsid w:val="40F1B5C9"/>
    <w:rsid w:val="411F17C8"/>
    <w:rsid w:val="4130EF5D"/>
    <w:rsid w:val="41327B4D"/>
    <w:rsid w:val="41338571"/>
    <w:rsid w:val="4137AC57"/>
    <w:rsid w:val="41395324"/>
    <w:rsid w:val="413D0D80"/>
    <w:rsid w:val="413D29CD"/>
    <w:rsid w:val="414069D5"/>
    <w:rsid w:val="414B6A77"/>
    <w:rsid w:val="41533FA1"/>
    <w:rsid w:val="4156CE46"/>
    <w:rsid w:val="4162DFC7"/>
    <w:rsid w:val="417155CB"/>
    <w:rsid w:val="4174A5BB"/>
    <w:rsid w:val="41781759"/>
    <w:rsid w:val="418AA987"/>
    <w:rsid w:val="4194876B"/>
    <w:rsid w:val="419AE6EF"/>
    <w:rsid w:val="419BA913"/>
    <w:rsid w:val="41A119DF"/>
    <w:rsid w:val="41A38273"/>
    <w:rsid w:val="41B12502"/>
    <w:rsid w:val="41B7DB57"/>
    <w:rsid w:val="41BB9C6A"/>
    <w:rsid w:val="41C72536"/>
    <w:rsid w:val="41CFC800"/>
    <w:rsid w:val="41DD4335"/>
    <w:rsid w:val="41E9CD40"/>
    <w:rsid w:val="41ED9818"/>
    <w:rsid w:val="41EF66F9"/>
    <w:rsid w:val="41F9825D"/>
    <w:rsid w:val="42016F85"/>
    <w:rsid w:val="4207AE7E"/>
    <w:rsid w:val="420A28B8"/>
    <w:rsid w:val="421F12F6"/>
    <w:rsid w:val="421FAFAD"/>
    <w:rsid w:val="4220D15B"/>
    <w:rsid w:val="422FFEF8"/>
    <w:rsid w:val="4235B6E5"/>
    <w:rsid w:val="423EC1ED"/>
    <w:rsid w:val="42472D5F"/>
    <w:rsid w:val="424803F2"/>
    <w:rsid w:val="424E3050"/>
    <w:rsid w:val="425105AA"/>
    <w:rsid w:val="4251CE54"/>
    <w:rsid w:val="42561BB3"/>
    <w:rsid w:val="425B40ED"/>
    <w:rsid w:val="42738531"/>
    <w:rsid w:val="427D2629"/>
    <w:rsid w:val="427D8B56"/>
    <w:rsid w:val="4288A657"/>
    <w:rsid w:val="4288F89C"/>
    <w:rsid w:val="4289C3C8"/>
    <w:rsid w:val="428F0AB6"/>
    <w:rsid w:val="42A4338E"/>
    <w:rsid w:val="42AEC0D6"/>
    <w:rsid w:val="42B141FA"/>
    <w:rsid w:val="42B440C2"/>
    <w:rsid w:val="42BA2712"/>
    <w:rsid w:val="42C1A997"/>
    <w:rsid w:val="42C5DEE6"/>
    <w:rsid w:val="42E654A3"/>
    <w:rsid w:val="42E765E3"/>
    <w:rsid w:val="42E8AD94"/>
    <w:rsid w:val="430751DE"/>
    <w:rsid w:val="4315318B"/>
    <w:rsid w:val="4319C7E3"/>
    <w:rsid w:val="43241FAE"/>
    <w:rsid w:val="432679E8"/>
    <w:rsid w:val="432F9039"/>
    <w:rsid w:val="4334AB19"/>
    <w:rsid w:val="4338B02E"/>
    <w:rsid w:val="43410976"/>
    <w:rsid w:val="4356A14B"/>
    <w:rsid w:val="435BFE99"/>
    <w:rsid w:val="43618144"/>
    <w:rsid w:val="437C3CF0"/>
    <w:rsid w:val="4380CC7F"/>
    <w:rsid w:val="43860184"/>
    <w:rsid w:val="43905DA1"/>
    <w:rsid w:val="4393E198"/>
    <w:rsid w:val="439F7E83"/>
    <w:rsid w:val="43B420A7"/>
    <w:rsid w:val="43BACA5B"/>
    <w:rsid w:val="43BC374A"/>
    <w:rsid w:val="43C647E7"/>
    <w:rsid w:val="43D580D8"/>
    <w:rsid w:val="43D9A29F"/>
    <w:rsid w:val="43E6B26F"/>
    <w:rsid w:val="43F1F594"/>
    <w:rsid w:val="43F93DEC"/>
    <w:rsid w:val="440A81C1"/>
    <w:rsid w:val="440D74DC"/>
    <w:rsid w:val="441B4134"/>
    <w:rsid w:val="441BCCE1"/>
    <w:rsid w:val="441CCD06"/>
    <w:rsid w:val="443DD4E6"/>
    <w:rsid w:val="4450D93C"/>
    <w:rsid w:val="44552A83"/>
    <w:rsid w:val="44610046"/>
    <w:rsid w:val="44634A64"/>
    <w:rsid w:val="44785438"/>
    <w:rsid w:val="44816EA8"/>
    <w:rsid w:val="4491B786"/>
    <w:rsid w:val="4496EFC3"/>
    <w:rsid w:val="449E3EDD"/>
    <w:rsid w:val="44A16C59"/>
    <w:rsid w:val="44A55A7C"/>
    <w:rsid w:val="44A6DF92"/>
    <w:rsid w:val="44B09BC3"/>
    <w:rsid w:val="44B5BD84"/>
    <w:rsid w:val="44BE57DA"/>
    <w:rsid w:val="44C22C56"/>
    <w:rsid w:val="44CBC494"/>
    <w:rsid w:val="44CF4B4B"/>
    <w:rsid w:val="44D1F628"/>
    <w:rsid w:val="44D600B7"/>
    <w:rsid w:val="44DAB5B1"/>
    <w:rsid w:val="44F586EE"/>
    <w:rsid w:val="45119252"/>
    <w:rsid w:val="451529F8"/>
    <w:rsid w:val="451B709C"/>
    <w:rsid w:val="4523C2B8"/>
    <w:rsid w:val="452C5533"/>
    <w:rsid w:val="45311D76"/>
    <w:rsid w:val="4531F361"/>
    <w:rsid w:val="4540A92D"/>
    <w:rsid w:val="45435486"/>
    <w:rsid w:val="45474FC3"/>
    <w:rsid w:val="455244FD"/>
    <w:rsid w:val="456755E5"/>
    <w:rsid w:val="4567D013"/>
    <w:rsid w:val="4581A48A"/>
    <w:rsid w:val="458286CE"/>
    <w:rsid w:val="45842FB6"/>
    <w:rsid w:val="4587C09E"/>
    <w:rsid w:val="45880808"/>
    <w:rsid w:val="458CEC37"/>
    <w:rsid w:val="45C0799B"/>
    <w:rsid w:val="45D2BEB6"/>
    <w:rsid w:val="45D3C0EE"/>
    <w:rsid w:val="45D6ED77"/>
    <w:rsid w:val="45D72727"/>
    <w:rsid w:val="45E06CF9"/>
    <w:rsid w:val="45E74DF6"/>
    <w:rsid w:val="45E98352"/>
    <w:rsid w:val="45F2273D"/>
    <w:rsid w:val="45F32C20"/>
    <w:rsid w:val="45FB355A"/>
    <w:rsid w:val="460B63CB"/>
    <w:rsid w:val="46146C21"/>
    <w:rsid w:val="461770BD"/>
    <w:rsid w:val="461C4AD8"/>
    <w:rsid w:val="46203BA6"/>
    <w:rsid w:val="462D4177"/>
    <w:rsid w:val="463A40F7"/>
    <w:rsid w:val="463AE172"/>
    <w:rsid w:val="464C0655"/>
    <w:rsid w:val="465DA9E5"/>
    <w:rsid w:val="46630781"/>
    <w:rsid w:val="4670016A"/>
    <w:rsid w:val="469216C5"/>
    <w:rsid w:val="4692F4F5"/>
    <w:rsid w:val="469A0DB7"/>
    <w:rsid w:val="469D86B8"/>
    <w:rsid w:val="469EFBDE"/>
    <w:rsid w:val="46A3D038"/>
    <w:rsid w:val="46A3E19C"/>
    <w:rsid w:val="46B3CB23"/>
    <w:rsid w:val="46BFE878"/>
    <w:rsid w:val="46CB0300"/>
    <w:rsid w:val="46D9F634"/>
    <w:rsid w:val="46EAA813"/>
    <w:rsid w:val="46EC29F9"/>
    <w:rsid w:val="46EF1666"/>
    <w:rsid w:val="46F46040"/>
    <w:rsid w:val="46FD0FC7"/>
    <w:rsid w:val="47030C3A"/>
    <w:rsid w:val="47182085"/>
    <w:rsid w:val="4719A055"/>
    <w:rsid w:val="471CABE9"/>
    <w:rsid w:val="47225A6E"/>
    <w:rsid w:val="4722B50C"/>
    <w:rsid w:val="47242368"/>
    <w:rsid w:val="47277822"/>
    <w:rsid w:val="4727BE06"/>
    <w:rsid w:val="4728FF8A"/>
    <w:rsid w:val="4739376F"/>
    <w:rsid w:val="474408B6"/>
    <w:rsid w:val="47468D8A"/>
    <w:rsid w:val="4756977D"/>
    <w:rsid w:val="4760A673"/>
    <w:rsid w:val="476875B0"/>
    <w:rsid w:val="4771E349"/>
    <w:rsid w:val="4773D0B4"/>
    <w:rsid w:val="47833267"/>
    <w:rsid w:val="4793F4AF"/>
    <w:rsid w:val="47AD4FCE"/>
    <w:rsid w:val="47B7D6B6"/>
    <w:rsid w:val="47C66B49"/>
    <w:rsid w:val="47C6B971"/>
    <w:rsid w:val="47D2B229"/>
    <w:rsid w:val="47D2DF0D"/>
    <w:rsid w:val="47D5C20C"/>
    <w:rsid w:val="47DDDC99"/>
    <w:rsid w:val="47E5A6A3"/>
    <w:rsid w:val="47E66516"/>
    <w:rsid w:val="47ECFD0A"/>
    <w:rsid w:val="47F95D51"/>
    <w:rsid w:val="48043CD3"/>
    <w:rsid w:val="480E2FBA"/>
    <w:rsid w:val="4811AFB4"/>
    <w:rsid w:val="48163D06"/>
    <w:rsid w:val="48322CA0"/>
    <w:rsid w:val="48398251"/>
    <w:rsid w:val="484FC01A"/>
    <w:rsid w:val="48585C6F"/>
    <w:rsid w:val="485C145E"/>
    <w:rsid w:val="4862B434"/>
    <w:rsid w:val="486C4E56"/>
    <w:rsid w:val="486FE91D"/>
    <w:rsid w:val="4873C7AF"/>
    <w:rsid w:val="488C0961"/>
    <w:rsid w:val="48993B48"/>
    <w:rsid w:val="48B5202D"/>
    <w:rsid w:val="48BF94CE"/>
    <w:rsid w:val="48C0CF2C"/>
    <w:rsid w:val="48EA6A5D"/>
    <w:rsid w:val="48F85DF2"/>
    <w:rsid w:val="48F8608D"/>
    <w:rsid w:val="48FB267B"/>
    <w:rsid w:val="48FC570D"/>
    <w:rsid w:val="48FE1A17"/>
    <w:rsid w:val="490D97E9"/>
    <w:rsid w:val="492181D3"/>
    <w:rsid w:val="4929BEBE"/>
    <w:rsid w:val="493CFC91"/>
    <w:rsid w:val="495AD261"/>
    <w:rsid w:val="495D306E"/>
    <w:rsid w:val="49668B57"/>
    <w:rsid w:val="496DB336"/>
    <w:rsid w:val="49754D83"/>
    <w:rsid w:val="497672CE"/>
    <w:rsid w:val="497A461D"/>
    <w:rsid w:val="497BB2E6"/>
    <w:rsid w:val="4985D9BA"/>
    <w:rsid w:val="498F6C9B"/>
    <w:rsid w:val="4996700A"/>
    <w:rsid w:val="499CB596"/>
    <w:rsid w:val="499DE037"/>
    <w:rsid w:val="499F70A4"/>
    <w:rsid w:val="49AA001B"/>
    <w:rsid w:val="49AF91C2"/>
    <w:rsid w:val="49D944FA"/>
    <w:rsid w:val="49DAB3DE"/>
    <w:rsid w:val="49DB0D79"/>
    <w:rsid w:val="49E4E7E4"/>
    <w:rsid w:val="49E51E59"/>
    <w:rsid w:val="49F18C1D"/>
    <w:rsid w:val="49FCF79B"/>
    <w:rsid w:val="4A08AC2C"/>
    <w:rsid w:val="4A0A2EBD"/>
    <w:rsid w:val="4A0A5A0A"/>
    <w:rsid w:val="4A128932"/>
    <w:rsid w:val="4A1F1390"/>
    <w:rsid w:val="4A25A3E7"/>
    <w:rsid w:val="4A29296C"/>
    <w:rsid w:val="4A2CC226"/>
    <w:rsid w:val="4A36946D"/>
    <w:rsid w:val="4A3D279A"/>
    <w:rsid w:val="4A3DEB8E"/>
    <w:rsid w:val="4A474D33"/>
    <w:rsid w:val="4A499582"/>
    <w:rsid w:val="4A4B15CF"/>
    <w:rsid w:val="4A4E8F7E"/>
    <w:rsid w:val="4A4EE584"/>
    <w:rsid w:val="4A4F9327"/>
    <w:rsid w:val="4A54059D"/>
    <w:rsid w:val="4A58B5F9"/>
    <w:rsid w:val="4A7F57E1"/>
    <w:rsid w:val="4A80C67B"/>
    <w:rsid w:val="4A85DEEF"/>
    <w:rsid w:val="4A9D96B8"/>
    <w:rsid w:val="4AA150A2"/>
    <w:rsid w:val="4AAFBC3A"/>
    <w:rsid w:val="4ABABCA1"/>
    <w:rsid w:val="4AC71808"/>
    <w:rsid w:val="4AD7A05F"/>
    <w:rsid w:val="4ADBFD03"/>
    <w:rsid w:val="4AEEF01F"/>
    <w:rsid w:val="4AF94F03"/>
    <w:rsid w:val="4B0FBB29"/>
    <w:rsid w:val="4B2076B1"/>
    <w:rsid w:val="4B218080"/>
    <w:rsid w:val="4B236807"/>
    <w:rsid w:val="4B3ED5E5"/>
    <w:rsid w:val="4B4EC5AD"/>
    <w:rsid w:val="4B4FCE11"/>
    <w:rsid w:val="4B62109D"/>
    <w:rsid w:val="4B6E347D"/>
    <w:rsid w:val="4B73206F"/>
    <w:rsid w:val="4B78ACEF"/>
    <w:rsid w:val="4B7922AC"/>
    <w:rsid w:val="4B933F96"/>
    <w:rsid w:val="4B9D2FE4"/>
    <w:rsid w:val="4BA0650D"/>
    <w:rsid w:val="4BA173FB"/>
    <w:rsid w:val="4BB02170"/>
    <w:rsid w:val="4BC5EE4E"/>
    <w:rsid w:val="4BCA4EC5"/>
    <w:rsid w:val="4BD46F22"/>
    <w:rsid w:val="4BD61120"/>
    <w:rsid w:val="4BD77CD0"/>
    <w:rsid w:val="4BDA94AA"/>
    <w:rsid w:val="4BE79D25"/>
    <w:rsid w:val="4BEC2920"/>
    <w:rsid w:val="4BF6E1C3"/>
    <w:rsid w:val="4BFD069D"/>
    <w:rsid w:val="4BFFE9C8"/>
    <w:rsid w:val="4C076AC4"/>
    <w:rsid w:val="4C0EAB81"/>
    <w:rsid w:val="4C15EC73"/>
    <w:rsid w:val="4C283FC5"/>
    <w:rsid w:val="4C343182"/>
    <w:rsid w:val="4C3D9A16"/>
    <w:rsid w:val="4C5334D7"/>
    <w:rsid w:val="4C610A80"/>
    <w:rsid w:val="4C686EFD"/>
    <w:rsid w:val="4C74A6B4"/>
    <w:rsid w:val="4C7BE6D9"/>
    <w:rsid w:val="4C8057D8"/>
    <w:rsid w:val="4C9388F3"/>
    <w:rsid w:val="4CACF366"/>
    <w:rsid w:val="4CB6F452"/>
    <w:rsid w:val="4CC14BA8"/>
    <w:rsid w:val="4CCD5C2E"/>
    <w:rsid w:val="4CD005D0"/>
    <w:rsid w:val="4CDE8A52"/>
    <w:rsid w:val="4CF460BA"/>
    <w:rsid w:val="4CFFD4AF"/>
    <w:rsid w:val="4D0777C8"/>
    <w:rsid w:val="4D0895D2"/>
    <w:rsid w:val="4D0DFE0E"/>
    <w:rsid w:val="4D1DA840"/>
    <w:rsid w:val="4D202AFF"/>
    <w:rsid w:val="4D29E1EA"/>
    <w:rsid w:val="4D3E2542"/>
    <w:rsid w:val="4D3E6813"/>
    <w:rsid w:val="4D535990"/>
    <w:rsid w:val="4D611529"/>
    <w:rsid w:val="4D6304EE"/>
    <w:rsid w:val="4D65996C"/>
    <w:rsid w:val="4D833F86"/>
    <w:rsid w:val="4D944EA1"/>
    <w:rsid w:val="4DB59A1D"/>
    <w:rsid w:val="4DB93197"/>
    <w:rsid w:val="4DC0F60E"/>
    <w:rsid w:val="4DCDA35E"/>
    <w:rsid w:val="4DF92D0A"/>
    <w:rsid w:val="4E01AD19"/>
    <w:rsid w:val="4E09F143"/>
    <w:rsid w:val="4E16CF9A"/>
    <w:rsid w:val="4E1F4B96"/>
    <w:rsid w:val="4E2B4553"/>
    <w:rsid w:val="4E311FB6"/>
    <w:rsid w:val="4E4BEDB1"/>
    <w:rsid w:val="4E4CBB97"/>
    <w:rsid w:val="4E71F6A7"/>
    <w:rsid w:val="4E765FCB"/>
    <w:rsid w:val="4E77E16E"/>
    <w:rsid w:val="4E7B6480"/>
    <w:rsid w:val="4E82D1BD"/>
    <w:rsid w:val="4E835C06"/>
    <w:rsid w:val="4E923A40"/>
    <w:rsid w:val="4E93254F"/>
    <w:rsid w:val="4EB904DA"/>
    <w:rsid w:val="4EBDCF14"/>
    <w:rsid w:val="4EBF29C2"/>
    <w:rsid w:val="4EC5E1AE"/>
    <w:rsid w:val="4ED5B330"/>
    <w:rsid w:val="4ED9FE64"/>
    <w:rsid w:val="4EF26A69"/>
    <w:rsid w:val="4EF828DF"/>
    <w:rsid w:val="4F022F05"/>
    <w:rsid w:val="4F0C73FC"/>
    <w:rsid w:val="4F22CDC3"/>
    <w:rsid w:val="4F2C63DB"/>
    <w:rsid w:val="4F3563AE"/>
    <w:rsid w:val="4F4EAA5A"/>
    <w:rsid w:val="4F58DF25"/>
    <w:rsid w:val="4F5D608D"/>
    <w:rsid w:val="4F61309C"/>
    <w:rsid w:val="4F95E3B0"/>
    <w:rsid w:val="4F9BAA16"/>
    <w:rsid w:val="4F9D1663"/>
    <w:rsid w:val="4FA569AD"/>
    <w:rsid w:val="4FBB33F1"/>
    <w:rsid w:val="4FCF3F0A"/>
    <w:rsid w:val="4FDE39A1"/>
    <w:rsid w:val="4FE0DF57"/>
    <w:rsid w:val="4FEABECF"/>
    <w:rsid w:val="4FF30A90"/>
    <w:rsid w:val="4FF54EC5"/>
    <w:rsid w:val="4FF701D0"/>
    <w:rsid w:val="500024FF"/>
    <w:rsid w:val="500A3D08"/>
    <w:rsid w:val="5032B5B4"/>
    <w:rsid w:val="50477ADD"/>
    <w:rsid w:val="504A3148"/>
    <w:rsid w:val="504B9165"/>
    <w:rsid w:val="50515828"/>
    <w:rsid w:val="5055FF69"/>
    <w:rsid w:val="505C6E5D"/>
    <w:rsid w:val="506EA678"/>
    <w:rsid w:val="507855B0"/>
    <w:rsid w:val="508834A8"/>
    <w:rsid w:val="50943E1A"/>
    <w:rsid w:val="50952378"/>
    <w:rsid w:val="509CF7E0"/>
    <w:rsid w:val="509E7FCD"/>
    <w:rsid w:val="50A8570A"/>
    <w:rsid w:val="50A8D1B4"/>
    <w:rsid w:val="50B48189"/>
    <w:rsid w:val="50B7C34D"/>
    <w:rsid w:val="50BA3678"/>
    <w:rsid w:val="50CBDC26"/>
    <w:rsid w:val="50CFD2F0"/>
    <w:rsid w:val="50D1C94B"/>
    <w:rsid w:val="50D8DEAE"/>
    <w:rsid w:val="50F03936"/>
    <w:rsid w:val="50F4DBFE"/>
    <w:rsid w:val="5101E129"/>
    <w:rsid w:val="5103F88A"/>
    <w:rsid w:val="511574DC"/>
    <w:rsid w:val="51202E8A"/>
    <w:rsid w:val="51271B3E"/>
    <w:rsid w:val="5129FCE1"/>
    <w:rsid w:val="5134F1A4"/>
    <w:rsid w:val="513C6801"/>
    <w:rsid w:val="514E705C"/>
    <w:rsid w:val="515880CB"/>
    <w:rsid w:val="515A7449"/>
    <w:rsid w:val="515D8C37"/>
    <w:rsid w:val="517990A7"/>
    <w:rsid w:val="5182719A"/>
    <w:rsid w:val="519AD9A6"/>
    <w:rsid w:val="51AB0FCD"/>
    <w:rsid w:val="51ACC862"/>
    <w:rsid w:val="51C7F42B"/>
    <w:rsid w:val="51F4FA81"/>
    <w:rsid w:val="520BCB8E"/>
    <w:rsid w:val="52207AAA"/>
    <w:rsid w:val="52248960"/>
    <w:rsid w:val="52276BAC"/>
    <w:rsid w:val="5228DE0A"/>
    <w:rsid w:val="5236BB11"/>
    <w:rsid w:val="523859F1"/>
    <w:rsid w:val="523D1E86"/>
    <w:rsid w:val="523D4CBF"/>
    <w:rsid w:val="52424EF3"/>
    <w:rsid w:val="524C1D73"/>
    <w:rsid w:val="52744FFF"/>
    <w:rsid w:val="52899BA3"/>
    <w:rsid w:val="528EE33E"/>
    <w:rsid w:val="529066CD"/>
    <w:rsid w:val="5298D38C"/>
    <w:rsid w:val="529CE793"/>
    <w:rsid w:val="52A67ABD"/>
    <w:rsid w:val="52AB8D79"/>
    <w:rsid w:val="52B89B0F"/>
    <w:rsid w:val="52BE4E3E"/>
    <w:rsid w:val="52C98526"/>
    <w:rsid w:val="52D52286"/>
    <w:rsid w:val="52D797B8"/>
    <w:rsid w:val="52E8591F"/>
    <w:rsid w:val="52E8A726"/>
    <w:rsid w:val="52ECF50F"/>
    <w:rsid w:val="530429F1"/>
    <w:rsid w:val="53107BFB"/>
    <w:rsid w:val="531B41D8"/>
    <w:rsid w:val="53276C04"/>
    <w:rsid w:val="532A30B0"/>
    <w:rsid w:val="533043BE"/>
    <w:rsid w:val="5330DC94"/>
    <w:rsid w:val="53324062"/>
    <w:rsid w:val="533DC0AE"/>
    <w:rsid w:val="5351CC84"/>
    <w:rsid w:val="53575B2C"/>
    <w:rsid w:val="53600ECF"/>
    <w:rsid w:val="53684039"/>
    <w:rsid w:val="5374C812"/>
    <w:rsid w:val="53818664"/>
    <w:rsid w:val="538285EF"/>
    <w:rsid w:val="538DC814"/>
    <w:rsid w:val="539090F3"/>
    <w:rsid w:val="539735F9"/>
    <w:rsid w:val="53AE2668"/>
    <w:rsid w:val="53B1A8BF"/>
    <w:rsid w:val="53B593ED"/>
    <w:rsid w:val="53BDAA59"/>
    <w:rsid w:val="53C08D91"/>
    <w:rsid w:val="53CB6122"/>
    <w:rsid w:val="53DBE61D"/>
    <w:rsid w:val="53DED61A"/>
    <w:rsid w:val="53E3C22B"/>
    <w:rsid w:val="53FA0D19"/>
    <w:rsid w:val="540D5AB3"/>
    <w:rsid w:val="541292FE"/>
    <w:rsid w:val="541A0AEF"/>
    <w:rsid w:val="542182B3"/>
    <w:rsid w:val="54245831"/>
    <w:rsid w:val="542F1FD9"/>
    <w:rsid w:val="54367C90"/>
    <w:rsid w:val="543734D3"/>
    <w:rsid w:val="543AB26D"/>
    <w:rsid w:val="5440B1BC"/>
    <w:rsid w:val="544B77BA"/>
    <w:rsid w:val="544F2AC5"/>
    <w:rsid w:val="54569CB4"/>
    <w:rsid w:val="5456C321"/>
    <w:rsid w:val="5458B186"/>
    <w:rsid w:val="546F7B71"/>
    <w:rsid w:val="5470524E"/>
    <w:rsid w:val="547054B5"/>
    <w:rsid w:val="54705DCF"/>
    <w:rsid w:val="547D1E83"/>
    <w:rsid w:val="54A01805"/>
    <w:rsid w:val="54A3E5EA"/>
    <w:rsid w:val="54AA390C"/>
    <w:rsid w:val="54CB905D"/>
    <w:rsid w:val="54D27EC0"/>
    <w:rsid w:val="54E3050E"/>
    <w:rsid w:val="54EFDBC8"/>
    <w:rsid w:val="54F1D997"/>
    <w:rsid w:val="54F5960E"/>
    <w:rsid w:val="5502A290"/>
    <w:rsid w:val="5528D3B0"/>
    <w:rsid w:val="552D6C80"/>
    <w:rsid w:val="5535E3FD"/>
    <w:rsid w:val="554D3D35"/>
    <w:rsid w:val="555D3990"/>
    <w:rsid w:val="5560C4D3"/>
    <w:rsid w:val="5565786E"/>
    <w:rsid w:val="556F9065"/>
    <w:rsid w:val="5582342D"/>
    <w:rsid w:val="558273EC"/>
    <w:rsid w:val="5586D041"/>
    <w:rsid w:val="55BD5314"/>
    <w:rsid w:val="55CDEBC3"/>
    <w:rsid w:val="55DE5BAE"/>
    <w:rsid w:val="55E04B9F"/>
    <w:rsid w:val="55E32E3B"/>
    <w:rsid w:val="55E47C5C"/>
    <w:rsid w:val="55F36E1B"/>
    <w:rsid w:val="55F50217"/>
    <w:rsid w:val="562C66DC"/>
    <w:rsid w:val="562EC645"/>
    <w:rsid w:val="5652BF9D"/>
    <w:rsid w:val="5659DD8A"/>
    <w:rsid w:val="565FC9B1"/>
    <w:rsid w:val="566101BF"/>
    <w:rsid w:val="568844F3"/>
    <w:rsid w:val="56892564"/>
    <w:rsid w:val="568AAD31"/>
    <w:rsid w:val="569F8CA2"/>
    <w:rsid w:val="56A8D07C"/>
    <w:rsid w:val="56AE7CA3"/>
    <w:rsid w:val="56BF6DE3"/>
    <w:rsid w:val="56C4BF21"/>
    <w:rsid w:val="56CE010E"/>
    <w:rsid w:val="56D01C60"/>
    <w:rsid w:val="56D2754E"/>
    <w:rsid w:val="56DD523B"/>
    <w:rsid w:val="56F1D292"/>
    <w:rsid w:val="56F38A98"/>
    <w:rsid w:val="56F7EB88"/>
    <w:rsid w:val="57005EAC"/>
    <w:rsid w:val="570220C6"/>
    <w:rsid w:val="571429C8"/>
    <w:rsid w:val="571676DC"/>
    <w:rsid w:val="5718DFAD"/>
    <w:rsid w:val="572AFCB0"/>
    <w:rsid w:val="5733C313"/>
    <w:rsid w:val="573798D8"/>
    <w:rsid w:val="573EDB60"/>
    <w:rsid w:val="57508B8A"/>
    <w:rsid w:val="57662F9A"/>
    <w:rsid w:val="57680167"/>
    <w:rsid w:val="576E16C1"/>
    <w:rsid w:val="5775F878"/>
    <w:rsid w:val="5776D694"/>
    <w:rsid w:val="577EFE9C"/>
    <w:rsid w:val="57830BFD"/>
    <w:rsid w:val="57888496"/>
    <w:rsid w:val="57A53142"/>
    <w:rsid w:val="57A5D212"/>
    <w:rsid w:val="57B9578C"/>
    <w:rsid w:val="57C4685D"/>
    <w:rsid w:val="57C494B5"/>
    <w:rsid w:val="57CBC3A1"/>
    <w:rsid w:val="57CE4108"/>
    <w:rsid w:val="57E1B0E7"/>
    <w:rsid w:val="57E532D9"/>
    <w:rsid w:val="57EB807C"/>
    <w:rsid w:val="57F0A5F3"/>
    <w:rsid w:val="57F5B8E5"/>
    <w:rsid w:val="57F8334A"/>
    <w:rsid w:val="57FE165D"/>
    <w:rsid w:val="57FE7AFE"/>
    <w:rsid w:val="5802F597"/>
    <w:rsid w:val="58285DF9"/>
    <w:rsid w:val="582DD0DE"/>
    <w:rsid w:val="58301FA5"/>
    <w:rsid w:val="583EBD5D"/>
    <w:rsid w:val="5846A791"/>
    <w:rsid w:val="5847D48E"/>
    <w:rsid w:val="584C3EA1"/>
    <w:rsid w:val="586E83ED"/>
    <w:rsid w:val="5871605A"/>
    <w:rsid w:val="587A1510"/>
    <w:rsid w:val="58884509"/>
    <w:rsid w:val="58911684"/>
    <w:rsid w:val="58967125"/>
    <w:rsid w:val="5896DFF7"/>
    <w:rsid w:val="5898124A"/>
    <w:rsid w:val="58A0D8A9"/>
    <w:rsid w:val="58AF21B4"/>
    <w:rsid w:val="58B01AC3"/>
    <w:rsid w:val="58B35AE2"/>
    <w:rsid w:val="58B61E88"/>
    <w:rsid w:val="58B718CC"/>
    <w:rsid w:val="58BB6766"/>
    <w:rsid w:val="58C3D1B0"/>
    <w:rsid w:val="58CE235C"/>
    <w:rsid w:val="58CFF4C4"/>
    <w:rsid w:val="58DD6D24"/>
    <w:rsid w:val="58DEE385"/>
    <w:rsid w:val="58FFB53A"/>
    <w:rsid w:val="59037C76"/>
    <w:rsid w:val="5905E671"/>
    <w:rsid w:val="590F86BA"/>
    <w:rsid w:val="59128FC2"/>
    <w:rsid w:val="59132A84"/>
    <w:rsid w:val="59181677"/>
    <w:rsid w:val="591EF0D9"/>
    <w:rsid w:val="5926B417"/>
    <w:rsid w:val="592B32F1"/>
    <w:rsid w:val="592F1976"/>
    <w:rsid w:val="5930A637"/>
    <w:rsid w:val="593443D9"/>
    <w:rsid w:val="59441F42"/>
    <w:rsid w:val="594776BC"/>
    <w:rsid w:val="594BCDBE"/>
    <w:rsid w:val="595CA400"/>
    <w:rsid w:val="5978520A"/>
    <w:rsid w:val="597C4623"/>
    <w:rsid w:val="597E15AF"/>
    <w:rsid w:val="597F9156"/>
    <w:rsid w:val="5984F150"/>
    <w:rsid w:val="5991C478"/>
    <w:rsid w:val="59A15FCF"/>
    <w:rsid w:val="59B91B47"/>
    <w:rsid w:val="59C0F9A7"/>
    <w:rsid w:val="59CAA8C5"/>
    <w:rsid w:val="59D47141"/>
    <w:rsid w:val="59D6DE7F"/>
    <w:rsid w:val="59D83523"/>
    <w:rsid w:val="59EEE831"/>
    <w:rsid w:val="59F5AE72"/>
    <w:rsid w:val="5A07070B"/>
    <w:rsid w:val="5A20C5C7"/>
    <w:rsid w:val="5A234D34"/>
    <w:rsid w:val="5A3ABDA8"/>
    <w:rsid w:val="5A452688"/>
    <w:rsid w:val="5A4BB41F"/>
    <w:rsid w:val="5A50B7FB"/>
    <w:rsid w:val="5A562798"/>
    <w:rsid w:val="5A5DA331"/>
    <w:rsid w:val="5A5E01CD"/>
    <w:rsid w:val="5A6961EA"/>
    <w:rsid w:val="5A6CBB80"/>
    <w:rsid w:val="5A6FF68C"/>
    <w:rsid w:val="5A71E1BB"/>
    <w:rsid w:val="5A8F8C9D"/>
    <w:rsid w:val="5A99D16A"/>
    <w:rsid w:val="5AB20827"/>
    <w:rsid w:val="5AB8BB9D"/>
    <w:rsid w:val="5ABA32E2"/>
    <w:rsid w:val="5ABCC9B7"/>
    <w:rsid w:val="5AC27C64"/>
    <w:rsid w:val="5AC55C8C"/>
    <w:rsid w:val="5ACEF9C0"/>
    <w:rsid w:val="5B041981"/>
    <w:rsid w:val="5B0B1282"/>
    <w:rsid w:val="5B0BA5D3"/>
    <w:rsid w:val="5B2CA1D6"/>
    <w:rsid w:val="5B33327E"/>
    <w:rsid w:val="5B371C8A"/>
    <w:rsid w:val="5B3826EB"/>
    <w:rsid w:val="5B4F9D1D"/>
    <w:rsid w:val="5B61831D"/>
    <w:rsid w:val="5B6352D8"/>
    <w:rsid w:val="5B662CEC"/>
    <w:rsid w:val="5B67E709"/>
    <w:rsid w:val="5B7CF298"/>
    <w:rsid w:val="5B7D7CBB"/>
    <w:rsid w:val="5B9CF12A"/>
    <w:rsid w:val="5BA070ED"/>
    <w:rsid w:val="5BAA0161"/>
    <w:rsid w:val="5BB22F5B"/>
    <w:rsid w:val="5BB8364D"/>
    <w:rsid w:val="5BCA66FE"/>
    <w:rsid w:val="5BCDBA91"/>
    <w:rsid w:val="5BCFC339"/>
    <w:rsid w:val="5BD54540"/>
    <w:rsid w:val="5BD69D00"/>
    <w:rsid w:val="5BD900D6"/>
    <w:rsid w:val="5BE0C8B8"/>
    <w:rsid w:val="5BE25137"/>
    <w:rsid w:val="5BFD1C0F"/>
    <w:rsid w:val="5C02489E"/>
    <w:rsid w:val="5C0C51AF"/>
    <w:rsid w:val="5C0DB21C"/>
    <w:rsid w:val="5C0E04BA"/>
    <w:rsid w:val="5C10E2AE"/>
    <w:rsid w:val="5C13099E"/>
    <w:rsid w:val="5C193B74"/>
    <w:rsid w:val="5C274CCB"/>
    <w:rsid w:val="5C35B54C"/>
    <w:rsid w:val="5C414369"/>
    <w:rsid w:val="5C458CC3"/>
    <w:rsid w:val="5C476D19"/>
    <w:rsid w:val="5C478AFD"/>
    <w:rsid w:val="5C4BA9B0"/>
    <w:rsid w:val="5C56AE53"/>
    <w:rsid w:val="5C62B9E1"/>
    <w:rsid w:val="5C6D52DB"/>
    <w:rsid w:val="5C83187D"/>
    <w:rsid w:val="5C83D524"/>
    <w:rsid w:val="5C915A82"/>
    <w:rsid w:val="5CB20B25"/>
    <w:rsid w:val="5CB65E91"/>
    <w:rsid w:val="5CB8BF32"/>
    <w:rsid w:val="5CCB7ADA"/>
    <w:rsid w:val="5CCC7533"/>
    <w:rsid w:val="5CCDE803"/>
    <w:rsid w:val="5CE42611"/>
    <w:rsid w:val="5CF0ACFD"/>
    <w:rsid w:val="5D0356FB"/>
    <w:rsid w:val="5D145545"/>
    <w:rsid w:val="5D195D38"/>
    <w:rsid w:val="5D1D4BD8"/>
    <w:rsid w:val="5D236EF0"/>
    <w:rsid w:val="5D2ABC9C"/>
    <w:rsid w:val="5D2B1663"/>
    <w:rsid w:val="5D2E3632"/>
    <w:rsid w:val="5D3F9115"/>
    <w:rsid w:val="5D4780D3"/>
    <w:rsid w:val="5D483CEE"/>
    <w:rsid w:val="5D4F3F87"/>
    <w:rsid w:val="5D4F65B2"/>
    <w:rsid w:val="5D56845F"/>
    <w:rsid w:val="5D5A2077"/>
    <w:rsid w:val="5D746528"/>
    <w:rsid w:val="5D75139E"/>
    <w:rsid w:val="5D78079F"/>
    <w:rsid w:val="5D799B20"/>
    <w:rsid w:val="5D86EFEA"/>
    <w:rsid w:val="5DA73838"/>
    <w:rsid w:val="5DAC999E"/>
    <w:rsid w:val="5DB40761"/>
    <w:rsid w:val="5DB8FA3D"/>
    <w:rsid w:val="5DBC8729"/>
    <w:rsid w:val="5DC3ABCC"/>
    <w:rsid w:val="5DD04262"/>
    <w:rsid w:val="5DD9257C"/>
    <w:rsid w:val="5DDED19D"/>
    <w:rsid w:val="5DEB326E"/>
    <w:rsid w:val="5DF05693"/>
    <w:rsid w:val="5DF10732"/>
    <w:rsid w:val="5DF2AC90"/>
    <w:rsid w:val="5DFE287D"/>
    <w:rsid w:val="5E01C2AC"/>
    <w:rsid w:val="5E024588"/>
    <w:rsid w:val="5E036C1D"/>
    <w:rsid w:val="5E055717"/>
    <w:rsid w:val="5E067B68"/>
    <w:rsid w:val="5E158724"/>
    <w:rsid w:val="5E1926F5"/>
    <w:rsid w:val="5E1AC6FC"/>
    <w:rsid w:val="5E21F95F"/>
    <w:rsid w:val="5E244379"/>
    <w:rsid w:val="5E2E51FE"/>
    <w:rsid w:val="5E321220"/>
    <w:rsid w:val="5E49C758"/>
    <w:rsid w:val="5E4AF43C"/>
    <w:rsid w:val="5E586867"/>
    <w:rsid w:val="5E5B8B7C"/>
    <w:rsid w:val="5E6C5BBC"/>
    <w:rsid w:val="5E7F98CD"/>
    <w:rsid w:val="5E82D503"/>
    <w:rsid w:val="5E8F6DE4"/>
    <w:rsid w:val="5E9C41A4"/>
    <w:rsid w:val="5EA9F6C1"/>
    <w:rsid w:val="5EC3AE3B"/>
    <w:rsid w:val="5EC4AF19"/>
    <w:rsid w:val="5ED2DC9E"/>
    <w:rsid w:val="5EDCEE58"/>
    <w:rsid w:val="5EF61E55"/>
    <w:rsid w:val="5F0F7689"/>
    <w:rsid w:val="5F135D0A"/>
    <w:rsid w:val="5F1CDF49"/>
    <w:rsid w:val="5F26D4AB"/>
    <w:rsid w:val="5F2AD538"/>
    <w:rsid w:val="5F2FCA7F"/>
    <w:rsid w:val="5F3384C5"/>
    <w:rsid w:val="5F3A735C"/>
    <w:rsid w:val="5F41270C"/>
    <w:rsid w:val="5F470E89"/>
    <w:rsid w:val="5F5D2F8F"/>
    <w:rsid w:val="5F6FBC2A"/>
    <w:rsid w:val="5F80B952"/>
    <w:rsid w:val="5F90EDBE"/>
    <w:rsid w:val="5F913F8D"/>
    <w:rsid w:val="5F9C853E"/>
    <w:rsid w:val="5FA4402F"/>
    <w:rsid w:val="5FA6E05E"/>
    <w:rsid w:val="5FC6F3D4"/>
    <w:rsid w:val="5FE02265"/>
    <w:rsid w:val="5FEAC5AF"/>
    <w:rsid w:val="6001CE40"/>
    <w:rsid w:val="60038A27"/>
    <w:rsid w:val="60060FF9"/>
    <w:rsid w:val="600951D5"/>
    <w:rsid w:val="600E63BB"/>
    <w:rsid w:val="600EA57E"/>
    <w:rsid w:val="6011A9B5"/>
    <w:rsid w:val="601270AE"/>
    <w:rsid w:val="603A9321"/>
    <w:rsid w:val="604B9065"/>
    <w:rsid w:val="604DC586"/>
    <w:rsid w:val="605773F2"/>
    <w:rsid w:val="6058AA50"/>
    <w:rsid w:val="605DB4BF"/>
    <w:rsid w:val="60609F0F"/>
    <w:rsid w:val="6064293A"/>
    <w:rsid w:val="606CFD71"/>
    <w:rsid w:val="6071101E"/>
    <w:rsid w:val="6078B91D"/>
    <w:rsid w:val="60886C86"/>
    <w:rsid w:val="6089C3D4"/>
    <w:rsid w:val="608D2921"/>
    <w:rsid w:val="608D2C8F"/>
    <w:rsid w:val="60937BDE"/>
    <w:rsid w:val="60AF97F1"/>
    <w:rsid w:val="60B61A60"/>
    <w:rsid w:val="60B6D05F"/>
    <w:rsid w:val="60BB7455"/>
    <w:rsid w:val="60C39FEF"/>
    <w:rsid w:val="60C798EF"/>
    <w:rsid w:val="60CC48B1"/>
    <w:rsid w:val="60D991F2"/>
    <w:rsid w:val="60D9FAFE"/>
    <w:rsid w:val="60E60B0D"/>
    <w:rsid w:val="60E62896"/>
    <w:rsid w:val="60EE2E76"/>
    <w:rsid w:val="60EF62C2"/>
    <w:rsid w:val="60FC3FD6"/>
    <w:rsid w:val="60FFA017"/>
    <w:rsid w:val="6118E19B"/>
    <w:rsid w:val="611905E7"/>
    <w:rsid w:val="6133780C"/>
    <w:rsid w:val="613B9401"/>
    <w:rsid w:val="613E8A0A"/>
    <w:rsid w:val="6142A495"/>
    <w:rsid w:val="61511FF3"/>
    <w:rsid w:val="61590D11"/>
    <w:rsid w:val="615EA63B"/>
    <w:rsid w:val="615FE2D6"/>
    <w:rsid w:val="616C0CC6"/>
    <w:rsid w:val="61738C0D"/>
    <w:rsid w:val="6174248B"/>
    <w:rsid w:val="61792302"/>
    <w:rsid w:val="6186153F"/>
    <w:rsid w:val="61874786"/>
    <w:rsid w:val="6190E2C0"/>
    <w:rsid w:val="619FC216"/>
    <w:rsid w:val="61B1042B"/>
    <w:rsid w:val="61B563B0"/>
    <w:rsid w:val="61BA55B2"/>
    <w:rsid w:val="61C00EE3"/>
    <w:rsid w:val="61D41722"/>
    <w:rsid w:val="61EF1E7A"/>
    <w:rsid w:val="61F5C0F1"/>
    <w:rsid w:val="6202C186"/>
    <w:rsid w:val="62045D87"/>
    <w:rsid w:val="62053DE0"/>
    <w:rsid w:val="6209DBA8"/>
    <w:rsid w:val="62169378"/>
    <w:rsid w:val="62245B87"/>
    <w:rsid w:val="6226B4E0"/>
    <w:rsid w:val="62303C52"/>
    <w:rsid w:val="624166C1"/>
    <w:rsid w:val="6248B1D8"/>
    <w:rsid w:val="624C8B0C"/>
    <w:rsid w:val="62526BB9"/>
    <w:rsid w:val="6252C5F2"/>
    <w:rsid w:val="625B0F5F"/>
    <w:rsid w:val="62635453"/>
    <w:rsid w:val="6266C5BE"/>
    <w:rsid w:val="62679BB1"/>
    <w:rsid w:val="626A2B1B"/>
    <w:rsid w:val="626B2587"/>
    <w:rsid w:val="626EA67F"/>
    <w:rsid w:val="6277343F"/>
    <w:rsid w:val="62792331"/>
    <w:rsid w:val="627AB21C"/>
    <w:rsid w:val="6280D336"/>
    <w:rsid w:val="62A4DFCF"/>
    <w:rsid w:val="62BBF9A2"/>
    <w:rsid w:val="62C05268"/>
    <w:rsid w:val="62D6191F"/>
    <w:rsid w:val="62D83DB7"/>
    <w:rsid w:val="62E9586B"/>
    <w:rsid w:val="62FA40B8"/>
    <w:rsid w:val="630DABD3"/>
    <w:rsid w:val="6315C233"/>
    <w:rsid w:val="63240E0D"/>
    <w:rsid w:val="63248B54"/>
    <w:rsid w:val="63374657"/>
    <w:rsid w:val="633CE968"/>
    <w:rsid w:val="63546843"/>
    <w:rsid w:val="637CF256"/>
    <w:rsid w:val="63875D4F"/>
    <w:rsid w:val="638B6B11"/>
    <w:rsid w:val="639AFC6E"/>
    <w:rsid w:val="639C568A"/>
    <w:rsid w:val="639E7701"/>
    <w:rsid w:val="63B2823E"/>
    <w:rsid w:val="63C765B6"/>
    <w:rsid w:val="63DC4A17"/>
    <w:rsid w:val="63DF9838"/>
    <w:rsid w:val="63E3677B"/>
    <w:rsid w:val="63E3BD7B"/>
    <w:rsid w:val="63F27307"/>
    <w:rsid w:val="63FFA7D4"/>
    <w:rsid w:val="6407DEF4"/>
    <w:rsid w:val="6423595C"/>
    <w:rsid w:val="642C2E38"/>
    <w:rsid w:val="642D86B2"/>
    <w:rsid w:val="64376A3F"/>
    <w:rsid w:val="6437CEB6"/>
    <w:rsid w:val="643C061B"/>
    <w:rsid w:val="644444BE"/>
    <w:rsid w:val="6446A992"/>
    <w:rsid w:val="644ABDE7"/>
    <w:rsid w:val="644AD515"/>
    <w:rsid w:val="64628A4E"/>
    <w:rsid w:val="6467E452"/>
    <w:rsid w:val="6476ED3F"/>
    <w:rsid w:val="647A4557"/>
    <w:rsid w:val="648A12A2"/>
    <w:rsid w:val="648DB056"/>
    <w:rsid w:val="648DBEF2"/>
    <w:rsid w:val="6490197D"/>
    <w:rsid w:val="64BC0B40"/>
    <w:rsid w:val="64C2792F"/>
    <w:rsid w:val="64C873D8"/>
    <w:rsid w:val="64C92A0B"/>
    <w:rsid w:val="64CCB4F9"/>
    <w:rsid w:val="64E4C9A1"/>
    <w:rsid w:val="64E53F6C"/>
    <w:rsid w:val="64E9A9CE"/>
    <w:rsid w:val="65089340"/>
    <w:rsid w:val="651A0586"/>
    <w:rsid w:val="652669AA"/>
    <w:rsid w:val="653B2A58"/>
    <w:rsid w:val="653D1F0A"/>
    <w:rsid w:val="654A6369"/>
    <w:rsid w:val="655A7923"/>
    <w:rsid w:val="6561CB91"/>
    <w:rsid w:val="6568611E"/>
    <w:rsid w:val="65692A30"/>
    <w:rsid w:val="6573C639"/>
    <w:rsid w:val="657C212B"/>
    <w:rsid w:val="657D01E5"/>
    <w:rsid w:val="658EBADC"/>
    <w:rsid w:val="658F6C63"/>
    <w:rsid w:val="659024E8"/>
    <w:rsid w:val="65902D03"/>
    <w:rsid w:val="6594191C"/>
    <w:rsid w:val="65A1DAB5"/>
    <w:rsid w:val="65A2C649"/>
    <w:rsid w:val="65A452DF"/>
    <w:rsid w:val="65AA6CDF"/>
    <w:rsid w:val="65B8C342"/>
    <w:rsid w:val="65BAA406"/>
    <w:rsid w:val="65C01422"/>
    <w:rsid w:val="65C3C780"/>
    <w:rsid w:val="65E8B2C9"/>
    <w:rsid w:val="65EC380A"/>
    <w:rsid w:val="65EFD9A2"/>
    <w:rsid w:val="65F10BD1"/>
    <w:rsid w:val="6610A834"/>
    <w:rsid w:val="6616372B"/>
    <w:rsid w:val="661C509B"/>
    <w:rsid w:val="66261AA4"/>
    <w:rsid w:val="66294BD3"/>
    <w:rsid w:val="662D0AAC"/>
    <w:rsid w:val="662E941F"/>
    <w:rsid w:val="6637206B"/>
    <w:rsid w:val="663E3937"/>
    <w:rsid w:val="663FA928"/>
    <w:rsid w:val="665B22BA"/>
    <w:rsid w:val="665E1A59"/>
    <w:rsid w:val="66720A28"/>
    <w:rsid w:val="6687F53C"/>
    <w:rsid w:val="668D793F"/>
    <w:rsid w:val="6695BDAE"/>
    <w:rsid w:val="669AD6F1"/>
    <w:rsid w:val="669F976B"/>
    <w:rsid w:val="66A3E28F"/>
    <w:rsid w:val="66A86822"/>
    <w:rsid w:val="66B9ED9A"/>
    <w:rsid w:val="66C353AA"/>
    <w:rsid w:val="66C3C042"/>
    <w:rsid w:val="66CF6BEE"/>
    <w:rsid w:val="66D1E89F"/>
    <w:rsid w:val="66D9E101"/>
    <w:rsid w:val="66E8003D"/>
    <w:rsid w:val="66FCE376"/>
    <w:rsid w:val="6706D3D2"/>
    <w:rsid w:val="6710A2D6"/>
    <w:rsid w:val="6711024C"/>
    <w:rsid w:val="6717DA6B"/>
    <w:rsid w:val="671BEB8C"/>
    <w:rsid w:val="673CF4C8"/>
    <w:rsid w:val="673E0CA4"/>
    <w:rsid w:val="67405222"/>
    <w:rsid w:val="67416D3E"/>
    <w:rsid w:val="67462F33"/>
    <w:rsid w:val="6748507A"/>
    <w:rsid w:val="6759EE1E"/>
    <w:rsid w:val="675B1E27"/>
    <w:rsid w:val="675F4D40"/>
    <w:rsid w:val="6767CC76"/>
    <w:rsid w:val="676E6DD4"/>
    <w:rsid w:val="6798C47F"/>
    <w:rsid w:val="679CFB9C"/>
    <w:rsid w:val="67B59B1A"/>
    <w:rsid w:val="67B67B64"/>
    <w:rsid w:val="67BB754A"/>
    <w:rsid w:val="67BDAE5C"/>
    <w:rsid w:val="67BE7F6F"/>
    <w:rsid w:val="67C1FB50"/>
    <w:rsid w:val="67CEDFE2"/>
    <w:rsid w:val="67D60F2C"/>
    <w:rsid w:val="67D6ECB0"/>
    <w:rsid w:val="67D9D763"/>
    <w:rsid w:val="67DB4014"/>
    <w:rsid w:val="67FF8D16"/>
    <w:rsid w:val="680A2C56"/>
    <w:rsid w:val="680BDF77"/>
    <w:rsid w:val="68126FFF"/>
    <w:rsid w:val="6812ACD8"/>
    <w:rsid w:val="6817A028"/>
    <w:rsid w:val="681BE037"/>
    <w:rsid w:val="68228B3E"/>
    <w:rsid w:val="6822CB4E"/>
    <w:rsid w:val="68273637"/>
    <w:rsid w:val="6831190A"/>
    <w:rsid w:val="68326781"/>
    <w:rsid w:val="683E1B97"/>
    <w:rsid w:val="683EB6D1"/>
    <w:rsid w:val="684052E0"/>
    <w:rsid w:val="6851304F"/>
    <w:rsid w:val="68583F02"/>
    <w:rsid w:val="68639570"/>
    <w:rsid w:val="6868ABCD"/>
    <w:rsid w:val="6873547D"/>
    <w:rsid w:val="6883A6A3"/>
    <w:rsid w:val="6892F777"/>
    <w:rsid w:val="68930D34"/>
    <w:rsid w:val="6896A20C"/>
    <w:rsid w:val="68989FF1"/>
    <w:rsid w:val="689DA26D"/>
    <w:rsid w:val="68A0E9A3"/>
    <w:rsid w:val="68A6FC7C"/>
    <w:rsid w:val="68AE2DF8"/>
    <w:rsid w:val="68BDADD9"/>
    <w:rsid w:val="68CCEF67"/>
    <w:rsid w:val="68D685F7"/>
    <w:rsid w:val="68E9816B"/>
    <w:rsid w:val="68EDA249"/>
    <w:rsid w:val="68FE8516"/>
    <w:rsid w:val="6913EDBF"/>
    <w:rsid w:val="692026D3"/>
    <w:rsid w:val="6920A9C8"/>
    <w:rsid w:val="6924BDE6"/>
    <w:rsid w:val="692EBE13"/>
    <w:rsid w:val="693439B5"/>
    <w:rsid w:val="6935FB71"/>
    <w:rsid w:val="69368952"/>
    <w:rsid w:val="693DB95A"/>
    <w:rsid w:val="693E2BF5"/>
    <w:rsid w:val="69569D06"/>
    <w:rsid w:val="695E08E4"/>
    <w:rsid w:val="69686AB5"/>
    <w:rsid w:val="69737B7D"/>
    <w:rsid w:val="697544A9"/>
    <w:rsid w:val="6977FBCA"/>
    <w:rsid w:val="697E89AA"/>
    <w:rsid w:val="697FE456"/>
    <w:rsid w:val="6986AD66"/>
    <w:rsid w:val="699F19C7"/>
    <w:rsid w:val="69A35BDF"/>
    <w:rsid w:val="69B607A8"/>
    <w:rsid w:val="69CFA1E5"/>
    <w:rsid w:val="69DCBE6E"/>
    <w:rsid w:val="69E37234"/>
    <w:rsid w:val="69E9237C"/>
    <w:rsid w:val="69F491CB"/>
    <w:rsid w:val="69F7CA73"/>
    <w:rsid w:val="69FF8C45"/>
    <w:rsid w:val="6A0F24DE"/>
    <w:rsid w:val="6A163A01"/>
    <w:rsid w:val="6A197DA0"/>
    <w:rsid w:val="6A215BBB"/>
    <w:rsid w:val="6A2BBAD2"/>
    <w:rsid w:val="6A3B7097"/>
    <w:rsid w:val="6A3C20D4"/>
    <w:rsid w:val="6A49CF9E"/>
    <w:rsid w:val="6A4FB087"/>
    <w:rsid w:val="6A57659A"/>
    <w:rsid w:val="6A63250C"/>
    <w:rsid w:val="6A6CB101"/>
    <w:rsid w:val="6A6FF780"/>
    <w:rsid w:val="6A759E1F"/>
    <w:rsid w:val="6A7B810F"/>
    <w:rsid w:val="6A977379"/>
    <w:rsid w:val="6A9F7011"/>
    <w:rsid w:val="6AACADA2"/>
    <w:rsid w:val="6AC418CF"/>
    <w:rsid w:val="6AC88EED"/>
    <w:rsid w:val="6ADB9A8C"/>
    <w:rsid w:val="6AE5AAA7"/>
    <w:rsid w:val="6AF4121B"/>
    <w:rsid w:val="6AF88722"/>
    <w:rsid w:val="6AFEB973"/>
    <w:rsid w:val="6B1C66BF"/>
    <w:rsid w:val="6B292702"/>
    <w:rsid w:val="6B2A4582"/>
    <w:rsid w:val="6B2B8532"/>
    <w:rsid w:val="6B2CB3E4"/>
    <w:rsid w:val="6B39BEA1"/>
    <w:rsid w:val="6B48789A"/>
    <w:rsid w:val="6B48C6B3"/>
    <w:rsid w:val="6B511451"/>
    <w:rsid w:val="6B5146C0"/>
    <w:rsid w:val="6B5272BE"/>
    <w:rsid w:val="6B56E1DE"/>
    <w:rsid w:val="6B5E23A4"/>
    <w:rsid w:val="6B620163"/>
    <w:rsid w:val="6B6540D3"/>
    <w:rsid w:val="6B676B08"/>
    <w:rsid w:val="6B67E651"/>
    <w:rsid w:val="6B69EA06"/>
    <w:rsid w:val="6B74C67C"/>
    <w:rsid w:val="6B77D95E"/>
    <w:rsid w:val="6B7B8197"/>
    <w:rsid w:val="6B866FF3"/>
    <w:rsid w:val="6B881E41"/>
    <w:rsid w:val="6B9A76D7"/>
    <w:rsid w:val="6BA6171E"/>
    <w:rsid w:val="6BA8ABDF"/>
    <w:rsid w:val="6BA8F183"/>
    <w:rsid w:val="6BB315C3"/>
    <w:rsid w:val="6BB335C4"/>
    <w:rsid w:val="6BB7D817"/>
    <w:rsid w:val="6BBC72F6"/>
    <w:rsid w:val="6BCA24FB"/>
    <w:rsid w:val="6BD03604"/>
    <w:rsid w:val="6BDA44F5"/>
    <w:rsid w:val="6BDABD0A"/>
    <w:rsid w:val="6BE97CF6"/>
    <w:rsid w:val="6C056FE5"/>
    <w:rsid w:val="6C095D69"/>
    <w:rsid w:val="6C0F7302"/>
    <w:rsid w:val="6C1AA2F1"/>
    <w:rsid w:val="6C2967A4"/>
    <w:rsid w:val="6C2F55A6"/>
    <w:rsid w:val="6C3C1747"/>
    <w:rsid w:val="6C432724"/>
    <w:rsid w:val="6C441361"/>
    <w:rsid w:val="6C6F04C0"/>
    <w:rsid w:val="6C7821F0"/>
    <w:rsid w:val="6C960175"/>
    <w:rsid w:val="6CA2752D"/>
    <w:rsid w:val="6CAA1270"/>
    <w:rsid w:val="6CBA4637"/>
    <w:rsid w:val="6CC8FB56"/>
    <w:rsid w:val="6CCAC7AC"/>
    <w:rsid w:val="6CDB6BD6"/>
    <w:rsid w:val="6CEBFB34"/>
    <w:rsid w:val="6D08BFC5"/>
    <w:rsid w:val="6D09F942"/>
    <w:rsid w:val="6D1B80BB"/>
    <w:rsid w:val="6D2F5022"/>
    <w:rsid w:val="6D32A118"/>
    <w:rsid w:val="6D353BC5"/>
    <w:rsid w:val="6D3CC89F"/>
    <w:rsid w:val="6D3EC9C6"/>
    <w:rsid w:val="6D5DF8C7"/>
    <w:rsid w:val="6D6C57CB"/>
    <w:rsid w:val="6D77FDA8"/>
    <w:rsid w:val="6D86D6D7"/>
    <w:rsid w:val="6D8A3982"/>
    <w:rsid w:val="6D8D38C2"/>
    <w:rsid w:val="6D977ED8"/>
    <w:rsid w:val="6D98DFA6"/>
    <w:rsid w:val="6D9BBDEA"/>
    <w:rsid w:val="6DA2498A"/>
    <w:rsid w:val="6DAB5C7B"/>
    <w:rsid w:val="6DB76CFF"/>
    <w:rsid w:val="6DBB8023"/>
    <w:rsid w:val="6DE832EB"/>
    <w:rsid w:val="6DEA9565"/>
    <w:rsid w:val="6E068E68"/>
    <w:rsid w:val="6E11284B"/>
    <w:rsid w:val="6E17C0BD"/>
    <w:rsid w:val="6E1FE5E6"/>
    <w:rsid w:val="6E4E7A98"/>
    <w:rsid w:val="6E5094BF"/>
    <w:rsid w:val="6E579FAF"/>
    <w:rsid w:val="6E61D387"/>
    <w:rsid w:val="6E63E3FC"/>
    <w:rsid w:val="6E707064"/>
    <w:rsid w:val="6E75941E"/>
    <w:rsid w:val="6E78B256"/>
    <w:rsid w:val="6E82E0F4"/>
    <w:rsid w:val="6E85EF97"/>
    <w:rsid w:val="6E866820"/>
    <w:rsid w:val="6E911095"/>
    <w:rsid w:val="6E977DC7"/>
    <w:rsid w:val="6EA092BE"/>
    <w:rsid w:val="6EB7BD68"/>
    <w:rsid w:val="6EB8C013"/>
    <w:rsid w:val="6EC9DDDE"/>
    <w:rsid w:val="6ECE5882"/>
    <w:rsid w:val="6ED4735C"/>
    <w:rsid w:val="6EDC8212"/>
    <w:rsid w:val="6EE4B6BD"/>
    <w:rsid w:val="6EEF631A"/>
    <w:rsid w:val="6EF77B16"/>
    <w:rsid w:val="6EFC4AFC"/>
    <w:rsid w:val="6F0683D9"/>
    <w:rsid w:val="6F18E2F0"/>
    <w:rsid w:val="6F20BED3"/>
    <w:rsid w:val="6F40F918"/>
    <w:rsid w:val="6F4CECC6"/>
    <w:rsid w:val="6F528885"/>
    <w:rsid w:val="6F5685EC"/>
    <w:rsid w:val="6F786346"/>
    <w:rsid w:val="6F8BF6E5"/>
    <w:rsid w:val="6F8F1B75"/>
    <w:rsid w:val="6F95F214"/>
    <w:rsid w:val="6F968EB3"/>
    <w:rsid w:val="6FA8798E"/>
    <w:rsid w:val="6FB5D2D1"/>
    <w:rsid w:val="6FBC8158"/>
    <w:rsid w:val="6FC372E7"/>
    <w:rsid w:val="6FCDFD96"/>
    <w:rsid w:val="6FCE4EC4"/>
    <w:rsid w:val="6FE0DDF8"/>
    <w:rsid w:val="6FE1404A"/>
    <w:rsid w:val="6FE5E616"/>
    <w:rsid w:val="6FF4EABD"/>
    <w:rsid w:val="6FFDB412"/>
    <w:rsid w:val="6FFFB45D"/>
    <w:rsid w:val="7005C718"/>
    <w:rsid w:val="7007F4B9"/>
    <w:rsid w:val="701F7BF3"/>
    <w:rsid w:val="70225167"/>
    <w:rsid w:val="7027977E"/>
    <w:rsid w:val="702AAFEB"/>
    <w:rsid w:val="703A5167"/>
    <w:rsid w:val="7060590F"/>
    <w:rsid w:val="7070CD9E"/>
    <w:rsid w:val="70A3C5BC"/>
    <w:rsid w:val="70B43181"/>
    <w:rsid w:val="70B50578"/>
    <w:rsid w:val="70BB36E4"/>
    <w:rsid w:val="70C34DFC"/>
    <w:rsid w:val="70D0D457"/>
    <w:rsid w:val="70DBA4BA"/>
    <w:rsid w:val="70DF263A"/>
    <w:rsid w:val="70E1E7CC"/>
    <w:rsid w:val="70E78DBB"/>
    <w:rsid w:val="70E96539"/>
    <w:rsid w:val="71015ECC"/>
    <w:rsid w:val="7112D1F1"/>
    <w:rsid w:val="71241B08"/>
    <w:rsid w:val="7125B1B0"/>
    <w:rsid w:val="71297131"/>
    <w:rsid w:val="71340477"/>
    <w:rsid w:val="713ED6ED"/>
    <w:rsid w:val="7143B53D"/>
    <w:rsid w:val="71547541"/>
    <w:rsid w:val="716B995A"/>
    <w:rsid w:val="717404F2"/>
    <w:rsid w:val="718F91B9"/>
    <w:rsid w:val="719DF242"/>
    <w:rsid w:val="71A8BB80"/>
    <w:rsid w:val="71BDD4BE"/>
    <w:rsid w:val="71C06F7F"/>
    <w:rsid w:val="71C6BB28"/>
    <w:rsid w:val="71CA2A96"/>
    <w:rsid w:val="71D4634F"/>
    <w:rsid w:val="71E1198A"/>
    <w:rsid w:val="71FA6628"/>
    <w:rsid w:val="72001747"/>
    <w:rsid w:val="72014137"/>
    <w:rsid w:val="7209E72D"/>
    <w:rsid w:val="7226F9AD"/>
    <w:rsid w:val="722DDEA8"/>
    <w:rsid w:val="722E7B98"/>
    <w:rsid w:val="7241B80F"/>
    <w:rsid w:val="72422A10"/>
    <w:rsid w:val="72448B48"/>
    <w:rsid w:val="7246EC56"/>
    <w:rsid w:val="72507324"/>
    <w:rsid w:val="7252B68D"/>
    <w:rsid w:val="725376DA"/>
    <w:rsid w:val="72553FC2"/>
    <w:rsid w:val="72601903"/>
    <w:rsid w:val="7261C300"/>
    <w:rsid w:val="7265D1CD"/>
    <w:rsid w:val="72682D98"/>
    <w:rsid w:val="7274AF7B"/>
    <w:rsid w:val="727B44A4"/>
    <w:rsid w:val="7285EAB2"/>
    <w:rsid w:val="728D9B20"/>
    <w:rsid w:val="72908166"/>
    <w:rsid w:val="72A12498"/>
    <w:rsid w:val="72AE429B"/>
    <w:rsid w:val="72B0A73B"/>
    <w:rsid w:val="72B7C2EF"/>
    <w:rsid w:val="72CCB065"/>
    <w:rsid w:val="72CCD521"/>
    <w:rsid w:val="72D3B135"/>
    <w:rsid w:val="72DA34DC"/>
    <w:rsid w:val="72E63539"/>
    <w:rsid w:val="73002B97"/>
    <w:rsid w:val="730418EC"/>
    <w:rsid w:val="73054D7A"/>
    <w:rsid w:val="73071668"/>
    <w:rsid w:val="730769BB"/>
    <w:rsid w:val="73155C81"/>
    <w:rsid w:val="731DED57"/>
    <w:rsid w:val="7327EEDE"/>
    <w:rsid w:val="73357C12"/>
    <w:rsid w:val="733C4A12"/>
    <w:rsid w:val="733DD8F7"/>
    <w:rsid w:val="7342FE4E"/>
    <w:rsid w:val="734399FF"/>
    <w:rsid w:val="73460BB6"/>
    <w:rsid w:val="73524844"/>
    <w:rsid w:val="735AAA5F"/>
    <w:rsid w:val="735AADBB"/>
    <w:rsid w:val="735FE570"/>
    <w:rsid w:val="736DA24F"/>
    <w:rsid w:val="736E74EC"/>
    <w:rsid w:val="737D0D20"/>
    <w:rsid w:val="737E7C06"/>
    <w:rsid w:val="73818C02"/>
    <w:rsid w:val="73821337"/>
    <w:rsid w:val="7393BE22"/>
    <w:rsid w:val="7394048C"/>
    <w:rsid w:val="7395E686"/>
    <w:rsid w:val="739B63E5"/>
    <w:rsid w:val="73A6806C"/>
    <w:rsid w:val="73C41849"/>
    <w:rsid w:val="73C80433"/>
    <w:rsid w:val="73D1A599"/>
    <w:rsid w:val="73DC23B5"/>
    <w:rsid w:val="73F80732"/>
    <w:rsid w:val="740128DD"/>
    <w:rsid w:val="740AEE9B"/>
    <w:rsid w:val="74171505"/>
    <w:rsid w:val="7419F8EA"/>
    <w:rsid w:val="741A6C23"/>
    <w:rsid w:val="7422E28B"/>
    <w:rsid w:val="74282B2B"/>
    <w:rsid w:val="7440A36C"/>
    <w:rsid w:val="74446AB1"/>
    <w:rsid w:val="7448FA29"/>
    <w:rsid w:val="7450FD4A"/>
    <w:rsid w:val="7456A186"/>
    <w:rsid w:val="7472F67C"/>
    <w:rsid w:val="7474FDB9"/>
    <w:rsid w:val="748BE584"/>
    <w:rsid w:val="748E06D9"/>
    <w:rsid w:val="749787C8"/>
    <w:rsid w:val="74991542"/>
    <w:rsid w:val="749E1823"/>
    <w:rsid w:val="74A33A1C"/>
    <w:rsid w:val="74A8B9EA"/>
    <w:rsid w:val="74B9F4A3"/>
    <w:rsid w:val="74C52953"/>
    <w:rsid w:val="74C8DCF1"/>
    <w:rsid w:val="74C96F03"/>
    <w:rsid w:val="74CE8ECD"/>
    <w:rsid w:val="74CFCE1B"/>
    <w:rsid w:val="74DD681B"/>
    <w:rsid w:val="74EA3E79"/>
    <w:rsid w:val="74EE4648"/>
    <w:rsid w:val="750210BA"/>
    <w:rsid w:val="75042ABB"/>
    <w:rsid w:val="7507DACC"/>
    <w:rsid w:val="750DBB77"/>
    <w:rsid w:val="7514628C"/>
    <w:rsid w:val="751A9C2F"/>
    <w:rsid w:val="751AB279"/>
    <w:rsid w:val="7522D269"/>
    <w:rsid w:val="754D5D81"/>
    <w:rsid w:val="755008A0"/>
    <w:rsid w:val="755201ED"/>
    <w:rsid w:val="75579901"/>
    <w:rsid w:val="75624BCE"/>
    <w:rsid w:val="7574099F"/>
    <w:rsid w:val="7575268B"/>
    <w:rsid w:val="75761B39"/>
    <w:rsid w:val="75810901"/>
    <w:rsid w:val="7599A9A6"/>
    <w:rsid w:val="75A07BBA"/>
    <w:rsid w:val="75AAFB70"/>
    <w:rsid w:val="75B65477"/>
    <w:rsid w:val="75D2860F"/>
    <w:rsid w:val="75DB99FC"/>
    <w:rsid w:val="75DC693A"/>
    <w:rsid w:val="7615E509"/>
    <w:rsid w:val="7616B05C"/>
    <w:rsid w:val="762159EC"/>
    <w:rsid w:val="7624CF6A"/>
    <w:rsid w:val="762DE6AB"/>
    <w:rsid w:val="763B43CA"/>
    <w:rsid w:val="76442212"/>
    <w:rsid w:val="7659C29F"/>
    <w:rsid w:val="766AF9D2"/>
    <w:rsid w:val="767FF87F"/>
    <w:rsid w:val="7682D86E"/>
    <w:rsid w:val="76838D42"/>
    <w:rsid w:val="7688591A"/>
    <w:rsid w:val="76928F53"/>
    <w:rsid w:val="76976C2D"/>
    <w:rsid w:val="769E44E9"/>
    <w:rsid w:val="76B1CB15"/>
    <w:rsid w:val="76B7EE8F"/>
    <w:rsid w:val="76D2F8FA"/>
    <w:rsid w:val="76D9113B"/>
    <w:rsid w:val="76DC685D"/>
    <w:rsid w:val="76E30372"/>
    <w:rsid w:val="76E6F943"/>
    <w:rsid w:val="76E8DC90"/>
    <w:rsid w:val="76EC0032"/>
    <w:rsid w:val="76FA11B4"/>
    <w:rsid w:val="76FC7C3C"/>
    <w:rsid w:val="76FE7E5F"/>
    <w:rsid w:val="770C2928"/>
    <w:rsid w:val="77124479"/>
    <w:rsid w:val="7712C574"/>
    <w:rsid w:val="7727303E"/>
    <w:rsid w:val="772E5314"/>
    <w:rsid w:val="7742797B"/>
    <w:rsid w:val="776289A3"/>
    <w:rsid w:val="776A86F1"/>
    <w:rsid w:val="776D067C"/>
    <w:rsid w:val="776E27F7"/>
    <w:rsid w:val="7787E9BF"/>
    <w:rsid w:val="77A3851C"/>
    <w:rsid w:val="77A5AB33"/>
    <w:rsid w:val="77B1FD2F"/>
    <w:rsid w:val="77B5D47F"/>
    <w:rsid w:val="77BB468C"/>
    <w:rsid w:val="77C0755D"/>
    <w:rsid w:val="77D5E9BF"/>
    <w:rsid w:val="77DB5B49"/>
    <w:rsid w:val="77DBF658"/>
    <w:rsid w:val="77E29980"/>
    <w:rsid w:val="77EC80FE"/>
    <w:rsid w:val="77EE5D1D"/>
    <w:rsid w:val="77F33C2D"/>
    <w:rsid w:val="77FED7CB"/>
    <w:rsid w:val="780311CA"/>
    <w:rsid w:val="78085CF3"/>
    <w:rsid w:val="781C5EC3"/>
    <w:rsid w:val="78226078"/>
    <w:rsid w:val="7835AA52"/>
    <w:rsid w:val="783D9C16"/>
    <w:rsid w:val="783EDE81"/>
    <w:rsid w:val="78460887"/>
    <w:rsid w:val="78501976"/>
    <w:rsid w:val="78528A76"/>
    <w:rsid w:val="7852AC32"/>
    <w:rsid w:val="78564850"/>
    <w:rsid w:val="785BB205"/>
    <w:rsid w:val="786D26E7"/>
    <w:rsid w:val="786DBBFE"/>
    <w:rsid w:val="78747666"/>
    <w:rsid w:val="78755662"/>
    <w:rsid w:val="7876A1DD"/>
    <w:rsid w:val="787E304C"/>
    <w:rsid w:val="78991154"/>
    <w:rsid w:val="78A3ADAC"/>
    <w:rsid w:val="78AC4D93"/>
    <w:rsid w:val="78B97A9B"/>
    <w:rsid w:val="78C07A32"/>
    <w:rsid w:val="78CFAC29"/>
    <w:rsid w:val="78DA43FB"/>
    <w:rsid w:val="78DB0CB1"/>
    <w:rsid w:val="78EA94C0"/>
    <w:rsid w:val="78ED5966"/>
    <w:rsid w:val="790008EA"/>
    <w:rsid w:val="7910E884"/>
    <w:rsid w:val="79196555"/>
    <w:rsid w:val="7925AD2E"/>
    <w:rsid w:val="792EA690"/>
    <w:rsid w:val="794703D0"/>
    <w:rsid w:val="794AA00C"/>
    <w:rsid w:val="7958AB56"/>
    <w:rsid w:val="79859127"/>
    <w:rsid w:val="79A091F7"/>
    <w:rsid w:val="79A6662D"/>
    <w:rsid w:val="79AD39E5"/>
    <w:rsid w:val="79AF51A3"/>
    <w:rsid w:val="79B8C966"/>
    <w:rsid w:val="79B95EA3"/>
    <w:rsid w:val="79BB886B"/>
    <w:rsid w:val="79CA7E55"/>
    <w:rsid w:val="79CAE848"/>
    <w:rsid w:val="79D812F0"/>
    <w:rsid w:val="79DC35D0"/>
    <w:rsid w:val="79DF3E56"/>
    <w:rsid w:val="79F51C03"/>
    <w:rsid w:val="7A18818B"/>
    <w:rsid w:val="7A1F178C"/>
    <w:rsid w:val="7A2307AE"/>
    <w:rsid w:val="7A2462C0"/>
    <w:rsid w:val="7A477B68"/>
    <w:rsid w:val="7A495D7A"/>
    <w:rsid w:val="7A4B71D5"/>
    <w:rsid w:val="7A5B44EA"/>
    <w:rsid w:val="7A5D03F1"/>
    <w:rsid w:val="7A65CDC9"/>
    <w:rsid w:val="7A674ACE"/>
    <w:rsid w:val="7A73F9B8"/>
    <w:rsid w:val="7A740F17"/>
    <w:rsid w:val="7A8B96F2"/>
    <w:rsid w:val="7A8DE430"/>
    <w:rsid w:val="7A9FFEDA"/>
    <w:rsid w:val="7AAEB52C"/>
    <w:rsid w:val="7AB6FDD2"/>
    <w:rsid w:val="7AB8B915"/>
    <w:rsid w:val="7ABCCDB2"/>
    <w:rsid w:val="7ACDE43B"/>
    <w:rsid w:val="7ACEF395"/>
    <w:rsid w:val="7ADAC3EF"/>
    <w:rsid w:val="7AE50C95"/>
    <w:rsid w:val="7B042D22"/>
    <w:rsid w:val="7B047FD1"/>
    <w:rsid w:val="7B242866"/>
    <w:rsid w:val="7B2C9D8F"/>
    <w:rsid w:val="7B3284BD"/>
    <w:rsid w:val="7B32FA7B"/>
    <w:rsid w:val="7B46B8E2"/>
    <w:rsid w:val="7B48570A"/>
    <w:rsid w:val="7B4C7F70"/>
    <w:rsid w:val="7B5C8883"/>
    <w:rsid w:val="7B887DB8"/>
    <w:rsid w:val="7B8D7A63"/>
    <w:rsid w:val="7B93758A"/>
    <w:rsid w:val="7B97E20E"/>
    <w:rsid w:val="7B9A0503"/>
    <w:rsid w:val="7B9D5FCA"/>
    <w:rsid w:val="7BA02E89"/>
    <w:rsid w:val="7BA2523B"/>
    <w:rsid w:val="7BA3019C"/>
    <w:rsid w:val="7BA63636"/>
    <w:rsid w:val="7BAC5162"/>
    <w:rsid w:val="7BB2FB90"/>
    <w:rsid w:val="7BBFF636"/>
    <w:rsid w:val="7BCECF57"/>
    <w:rsid w:val="7BD7ADE7"/>
    <w:rsid w:val="7BD8C904"/>
    <w:rsid w:val="7BD995C2"/>
    <w:rsid w:val="7BF946D1"/>
    <w:rsid w:val="7C0B9978"/>
    <w:rsid w:val="7C18F05B"/>
    <w:rsid w:val="7C1B087A"/>
    <w:rsid w:val="7C1E99BE"/>
    <w:rsid w:val="7C243D23"/>
    <w:rsid w:val="7C26BCB3"/>
    <w:rsid w:val="7C27E971"/>
    <w:rsid w:val="7C306799"/>
    <w:rsid w:val="7C321DF2"/>
    <w:rsid w:val="7C39A2AD"/>
    <w:rsid w:val="7C436CF3"/>
    <w:rsid w:val="7C485814"/>
    <w:rsid w:val="7C48BCBB"/>
    <w:rsid w:val="7C577684"/>
    <w:rsid w:val="7C602D95"/>
    <w:rsid w:val="7C826AD6"/>
    <w:rsid w:val="7C83D6E7"/>
    <w:rsid w:val="7C932DC7"/>
    <w:rsid w:val="7CA2E7B7"/>
    <w:rsid w:val="7CA36B8A"/>
    <w:rsid w:val="7CBA5471"/>
    <w:rsid w:val="7CCDD469"/>
    <w:rsid w:val="7CCEA399"/>
    <w:rsid w:val="7CD10FE9"/>
    <w:rsid w:val="7CD6CB1E"/>
    <w:rsid w:val="7CDEFA7D"/>
    <w:rsid w:val="7CE033DE"/>
    <w:rsid w:val="7CEB9D6B"/>
    <w:rsid w:val="7CF1BCDE"/>
    <w:rsid w:val="7CF30029"/>
    <w:rsid w:val="7CF52F21"/>
    <w:rsid w:val="7CF80971"/>
    <w:rsid w:val="7CF8B7AF"/>
    <w:rsid w:val="7D09009A"/>
    <w:rsid w:val="7D0C74BD"/>
    <w:rsid w:val="7D1E7E11"/>
    <w:rsid w:val="7D25F093"/>
    <w:rsid w:val="7D289DFE"/>
    <w:rsid w:val="7D30D055"/>
    <w:rsid w:val="7D3A53DD"/>
    <w:rsid w:val="7D4134D9"/>
    <w:rsid w:val="7D4CC77A"/>
    <w:rsid w:val="7D55904E"/>
    <w:rsid w:val="7D59C6C9"/>
    <w:rsid w:val="7D75D960"/>
    <w:rsid w:val="7D79D2DA"/>
    <w:rsid w:val="7D79F193"/>
    <w:rsid w:val="7D7E1ABA"/>
    <w:rsid w:val="7D8464D8"/>
    <w:rsid w:val="7D8DA133"/>
    <w:rsid w:val="7D90E14B"/>
    <w:rsid w:val="7D945469"/>
    <w:rsid w:val="7DA1FA2B"/>
    <w:rsid w:val="7DB492D1"/>
    <w:rsid w:val="7DBAC596"/>
    <w:rsid w:val="7DCC5B44"/>
    <w:rsid w:val="7DD22A31"/>
    <w:rsid w:val="7DF805E9"/>
    <w:rsid w:val="7E1513AA"/>
    <w:rsid w:val="7E196B52"/>
    <w:rsid w:val="7E1A6625"/>
    <w:rsid w:val="7E1F98A9"/>
    <w:rsid w:val="7E29BAF5"/>
    <w:rsid w:val="7E2B12F3"/>
    <w:rsid w:val="7E333A89"/>
    <w:rsid w:val="7E40BFE3"/>
    <w:rsid w:val="7E480BBC"/>
    <w:rsid w:val="7E4C6A4C"/>
    <w:rsid w:val="7E5B83BC"/>
    <w:rsid w:val="7E67F655"/>
    <w:rsid w:val="7E72A467"/>
    <w:rsid w:val="7E752C58"/>
    <w:rsid w:val="7E85BAF4"/>
    <w:rsid w:val="7E86A2EC"/>
    <w:rsid w:val="7E870A25"/>
    <w:rsid w:val="7E8A5511"/>
    <w:rsid w:val="7E8C6197"/>
    <w:rsid w:val="7E90C3E8"/>
    <w:rsid w:val="7E9A17AE"/>
    <w:rsid w:val="7EA3DE47"/>
    <w:rsid w:val="7EAC9EEB"/>
    <w:rsid w:val="7EC3B113"/>
    <w:rsid w:val="7ECA4899"/>
    <w:rsid w:val="7ECA824E"/>
    <w:rsid w:val="7ECBFB33"/>
    <w:rsid w:val="7ED18D50"/>
    <w:rsid w:val="7ED23CE3"/>
    <w:rsid w:val="7EDCC199"/>
    <w:rsid w:val="7EE52BE8"/>
    <w:rsid w:val="7EEB4648"/>
    <w:rsid w:val="7EF07132"/>
    <w:rsid w:val="7EF51246"/>
    <w:rsid w:val="7F1503DF"/>
    <w:rsid w:val="7F1715BB"/>
    <w:rsid w:val="7F28F4BF"/>
    <w:rsid w:val="7F292B7F"/>
    <w:rsid w:val="7F2A2230"/>
    <w:rsid w:val="7F38A8D4"/>
    <w:rsid w:val="7F42B2DB"/>
    <w:rsid w:val="7F437E9F"/>
    <w:rsid w:val="7F444610"/>
    <w:rsid w:val="7F51A14A"/>
    <w:rsid w:val="7F570B59"/>
    <w:rsid w:val="7F57FC5B"/>
    <w:rsid w:val="7F590A48"/>
    <w:rsid w:val="7F5AFC0E"/>
    <w:rsid w:val="7F5E190E"/>
    <w:rsid w:val="7F670CDE"/>
    <w:rsid w:val="7F8356A3"/>
    <w:rsid w:val="7F911FF9"/>
    <w:rsid w:val="7F931B39"/>
    <w:rsid w:val="7F9ECACD"/>
    <w:rsid w:val="7FA3C3E0"/>
    <w:rsid w:val="7FA3CC1A"/>
    <w:rsid w:val="7FD35461"/>
    <w:rsid w:val="7FD52A0D"/>
    <w:rsid w:val="7FD80FB2"/>
    <w:rsid w:val="7FE50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F9F46D"/>
  <w15:docId w15:val="{D83966C1-F224-4538-AC87-BC69871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956AF"/>
    <w:rPr>
      <w:rFonts w:cs="Times New Roman"/>
      <w:sz w:val="16"/>
      <w:szCs w:val="16"/>
    </w:rPr>
  </w:style>
  <w:style w:type="paragraph" w:customStyle="1" w:styleId="Default">
    <w:name w:val="Default"/>
    <w:rsid w:val="001956AF"/>
    <w:pPr>
      <w:autoSpaceDE w:val="0"/>
      <w:autoSpaceDN w:val="0"/>
      <w:adjustRightInd w:val="0"/>
      <w:spacing w:after="0" w:line="240" w:lineRule="auto"/>
    </w:pPr>
    <w:rPr>
      <w:rFonts w:ascii="Times New Roman" w:hAnsi="Times New Roman" w:cs="Times New Roman"/>
      <w:color w:val="000000"/>
      <w:sz w:val="24"/>
      <w:szCs w:val="24"/>
      <w:lang w:val="en-IE"/>
    </w:rPr>
  </w:style>
  <w:style w:type="paragraph" w:styleId="ListParagraph">
    <w:name w:val="List Paragraph"/>
    <w:aliases w:val="List,Ordered list,Bullet list,1st level - Bullet List Paragraph,List Paragraph11,Lettre d'introduction,Medium Grid 1 - Accent 21,Normal bullet 2,Numbered List,Paragraphe de liste 2,Reference list,Paragraph,Bullet EY,List1,b1,Dot pt,No TOC"/>
    <w:basedOn w:val="Normal"/>
    <w:link w:val="ListParagraphChar"/>
    <w:uiPriority w:val="34"/>
    <w:qFormat/>
    <w:rsid w:val="001956AF"/>
    <w:pPr>
      <w:ind w:left="720"/>
      <w:contextualSpacing/>
    </w:pPr>
  </w:style>
  <w:style w:type="paragraph" w:customStyle="1" w:styleId="LegalNumPar">
    <w:name w:val="LegalNumPar"/>
    <w:basedOn w:val="Normal"/>
    <w:rsid w:val="001956AF"/>
    <w:pPr>
      <w:numPr>
        <w:numId w:val="1"/>
      </w:numPr>
      <w:spacing w:line="360" w:lineRule="auto"/>
    </w:pPr>
  </w:style>
  <w:style w:type="paragraph" w:customStyle="1" w:styleId="LegalNumPar2">
    <w:name w:val="LegalNumPar2"/>
    <w:basedOn w:val="Normal"/>
    <w:rsid w:val="001956AF"/>
    <w:pPr>
      <w:numPr>
        <w:ilvl w:val="1"/>
        <w:numId w:val="1"/>
      </w:numPr>
      <w:spacing w:line="360" w:lineRule="auto"/>
    </w:pPr>
  </w:style>
  <w:style w:type="paragraph" w:customStyle="1" w:styleId="LegalNumPar3">
    <w:name w:val="LegalNumPar3"/>
    <w:basedOn w:val="Normal"/>
    <w:rsid w:val="001956AF"/>
    <w:pPr>
      <w:numPr>
        <w:ilvl w:val="2"/>
        <w:numId w:val="1"/>
      </w:numPr>
      <w:spacing w:line="360" w:lineRule="auto"/>
    </w:pPr>
  </w:style>
  <w:style w:type="character" w:customStyle="1" w:styleId="ui-provider">
    <w:name w:val="ui-provider"/>
    <w:basedOn w:val="DefaultParagraphFont"/>
    <w:rsid w:val="001956AF"/>
  </w:style>
  <w:style w:type="paragraph" w:styleId="ListBullet">
    <w:name w:val="List Bullet"/>
    <w:basedOn w:val="Normal"/>
    <w:uiPriority w:val="99"/>
    <w:semiHidden/>
    <w:unhideWhenUsed/>
    <w:rsid w:val="008E734B"/>
    <w:pPr>
      <w:numPr>
        <w:numId w:val="2"/>
      </w:numPr>
      <w:contextualSpacing/>
    </w:pPr>
  </w:style>
  <w:style w:type="paragraph" w:styleId="ListBullet2">
    <w:name w:val="List Bullet 2"/>
    <w:basedOn w:val="Normal"/>
    <w:uiPriority w:val="99"/>
    <w:semiHidden/>
    <w:unhideWhenUsed/>
    <w:rsid w:val="008E734B"/>
    <w:pPr>
      <w:numPr>
        <w:numId w:val="3"/>
      </w:numPr>
      <w:contextualSpacing/>
    </w:pPr>
  </w:style>
  <w:style w:type="paragraph" w:styleId="ListBullet3">
    <w:name w:val="List Bullet 3"/>
    <w:basedOn w:val="Normal"/>
    <w:uiPriority w:val="99"/>
    <w:semiHidden/>
    <w:unhideWhenUsed/>
    <w:rsid w:val="008E734B"/>
    <w:pPr>
      <w:numPr>
        <w:numId w:val="4"/>
      </w:numPr>
      <w:contextualSpacing/>
    </w:pPr>
  </w:style>
  <w:style w:type="paragraph" w:styleId="ListBullet4">
    <w:name w:val="List Bullet 4"/>
    <w:basedOn w:val="Normal"/>
    <w:uiPriority w:val="99"/>
    <w:unhideWhenUsed/>
    <w:rsid w:val="008E734B"/>
    <w:pPr>
      <w:numPr>
        <w:numId w:val="5"/>
      </w:numPr>
      <w:contextualSpacing/>
    </w:pPr>
  </w:style>
  <w:style w:type="character" w:styleId="Hyperlink">
    <w:name w:val="Hyperlink"/>
    <w:basedOn w:val="DefaultParagraphFont"/>
    <w:uiPriority w:val="99"/>
    <w:unhideWhenUsed/>
    <w:rsid w:val="00031C74"/>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6EE4"/>
    <w:rPr>
      <w:b/>
      <w:bCs/>
    </w:rPr>
  </w:style>
  <w:style w:type="character" w:customStyle="1" w:styleId="CommentSubjectChar">
    <w:name w:val="Comment Subject Char"/>
    <w:basedOn w:val="CommentTextChar"/>
    <w:link w:val="CommentSubject"/>
    <w:uiPriority w:val="99"/>
    <w:semiHidden/>
    <w:rsid w:val="00446EE4"/>
    <w:rPr>
      <w:rFonts w:ascii="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446EE4"/>
    <w:rPr>
      <w:color w:val="605E5C"/>
      <w:shd w:val="clear" w:color="auto" w:fill="E1DFDD"/>
    </w:rPr>
  </w:style>
  <w:style w:type="paragraph" w:customStyle="1" w:styleId="TableParagraph">
    <w:name w:val="Table Paragraph"/>
    <w:basedOn w:val="Normal"/>
    <w:uiPriority w:val="1"/>
    <w:qFormat/>
    <w:rsid w:val="00141CFD"/>
    <w:pPr>
      <w:widowControl w:val="0"/>
      <w:autoSpaceDE w:val="0"/>
      <w:autoSpaceDN w:val="0"/>
      <w:spacing w:before="0" w:after="0"/>
      <w:ind w:left="107"/>
      <w:jc w:val="left"/>
    </w:pPr>
    <w:rPr>
      <w:rFonts w:eastAsia="Times New Roman"/>
      <w:sz w:val="22"/>
    </w:rPr>
  </w:style>
  <w:style w:type="paragraph" w:styleId="Revision">
    <w:name w:val="Revision"/>
    <w:hidden/>
    <w:uiPriority w:val="99"/>
    <w:semiHidden/>
    <w:rsid w:val="00AE45C7"/>
    <w:pPr>
      <w:spacing w:after="0" w:line="240" w:lineRule="auto"/>
    </w:pPr>
    <w:rPr>
      <w:rFonts w:ascii="Times New Roman" w:hAnsi="Times New Roman" w:cs="Times New Roman"/>
      <w:sz w:val="24"/>
      <w:lang w:val="en-GB"/>
    </w:rPr>
  </w:style>
  <w:style w:type="table" w:styleId="TableGrid">
    <w:name w:val="Table Grid"/>
    <w:basedOn w:val="TableNormal"/>
    <w:rsid w:val="00AA657A"/>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2">
    <w:name w:val="List Dash 2"/>
    <w:basedOn w:val="Normal"/>
    <w:rsid w:val="00052297"/>
    <w:pPr>
      <w:numPr>
        <w:numId w:val="7"/>
      </w:numPr>
      <w:tabs>
        <w:tab w:val="clear" w:pos="1134"/>
        <w:tab w:val="num" w:pos="850"/>
      </w:tabs>
      <w:ind w:left="850" w:hanging="850"/>
    </w:pPr>
    <w:rPr>
      <w:rFonts w:eastAsia="Times New Roman"/>
      <w:lang w:eastAsia="de-DE"/>
    </w:rPr>
  </w:style>
  <w:style w:type="paragraph" w:customStyle="1" w:styleId="ListDash1">
    <w:name w:val="List Dash 1"/>
    <w:basedOn w:val="Normal"/>
    <w:rsid w:val="00052297"/>
    <w:pPr>
      <w:numPr>
        <w:numId w:val="8"/>
      </w:numPr>
    </w:pPr>
    <w:rPr>
      <w:rFonts w:eastAsia="Times New Roman"/>
      <w:lang w:eastAsia="de-DE"/>
    </w:rPr>
  </w:style>
  <w:style w:type="character" w:customStyle="1" w:styleId="ListParagraphChar">
    <w:name w:val="List Paragraph Char"/>
    <w:aliases w:val="List Char,Ordered list Char,Bullet list Char,1st level - Bullet List Paragraph Char,List Paragraph11 Char,Lettre d'introduction Char,Medium Grid 1 - Accent 21 Char,Normal bullet 2 Char,Numbered List Char,Paragraphe de liste 2 Char"/>
    <w:basedOn w:val="DefaultParagraphFont"/>
    <w:link w:val="ListParagraph"/>
    <w:uiPriority w:val="34"/>
    <w:qFormat/>
    <w:rsid w:val="00052297"/>
    <w:rPr>
      <w:rFonts w:ascii="Times New Roman" w:hAnsi="Times New Roman" w:cs="Times New Roman"/>
      <w:sz w:val="24"/>
      <w:lang w:val="en-GB"/>
    </w:rPr>
  </w:style>
  <w:style w:type="paragraph" w:customStyle="1" w:styleId="footnotedescription">
    <w:name w:val="footnote description"/>
    <w:next w:val="Normal"/>
    <w:link w:val="footnotedescriptionChar"/>
    <w:hidden/>
    <w:rsid w:val="0087757C"/>
    <w:pPr>
      <w:spacing w:after="0" w:line="259" w:lineRule="auto"/>
      <w:ind w:left="720" w:hanging="720"/>
      <w:jc w:val="both"/>
    </w:pPr>
    <w:rPr>
      <w:rFonts w:ascii="Times New Roman" w:eastAsia="Times New Roman" w:hAnsi="Times New Roman" w:cs="Times New Roman"/>
      <w:color w:val="000000"/>
      <w:sz w:val="20"/>
      <w:lang w:val="en-IE" w:eastAsia="en-IE"/>
    </w:rPr>
  </w:style>
  <w:style w:type="character" w:customStyle="1" w:styleId="footnotedescriptionChar">
    <w:name w:val="footnote description Char"/>
    <w:link w:val="footnotedescription"/>
    <w:rsid w:val="0087757C"/>
    <w:rPr>
      <w:rFonts w:ascii="Times New Roman" w:eastAsia="Times New Roman" w:hAnsi="Times New Roman" w:cs="Times New Roman"/>
      <w:color w:val="000000"/>
      <w:sz w:val="20"/>
      <w:lang w:val="en-IE" w:eastAsia="en-IE"/>
    </w:rPr>
  </w:style>
  <w:style w:type="character" w:customStyle="1" w:styleId="footnotemark">
    <w:name w:val="footnote mark"/>
    <w:hidden/>
    <w:rsid w:val="0087757C"/>
    <w:rPr>
      <w:rFonts w:ascii="Times New Roman" w:eastAsia="Times New Roman" w:hAnsi="Times New Roman" w:cs="Times New Roman"/>
      <w:color w:val="000000"/>
      <w:sz w:val="20"/>
      <w:vertAlign w:val="superscript"/>
    </w:rPr>
  </w:style>
  <w:style w:type="paragraph" w:styleId="NormalWeb">
    <w:name w:val="Normal (Web)"/>
    <w:basedOn w:val="Normal"/>
    <w:uiPriority w:val="99"/>
    <w:unhideWhenUsed/>
    <w:rsid w:val="00133061"/>
    <w:pPr>
      <w:spacing w:before="100" w:beforeAutospacing="1" w:after="100" w:afterAutospacing="1"/>
      <w:jc w:val="left"/>
    </w:pPr>
    <w:rPr>
      <w:rFonts w:eastAsia="Times New Roman"/>
      <w:szCs w:val="24"/>
      <w:lang w:val="en-IE" w:eastAsia="en-IE"/>
    </w:rPr>
  </w:style>
  <w:style w:type="paragraph" w:styleId="PlainText">
    <w:name w:val="Plain Text"/>
    <w:basedOn w:val="Normal"/>
    <w:link w:val="PlainTextChar"/>
    <w:uiPriority w:val="99"/>
    <w:semiHidden/>
    <w:unhideWhenUsed/>
    <w:rsid w:val="00FF25CF"/>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F25CF"/>
    <w:rPr>
      <w:rFonts w:ascii="Consolas" w:hAnsi="Consolas" w:cs="Times New Roman"/>
      <w:sz w:val="21"/>
      <w:szCs w:val="21"/>
      <w:lang w:val="en-GB"/>
    </w:rPr>
  </w:style>
  <w:style w:type="character" w:customStyle="1" w:styleId="Mention">
    <w:name w:val="Mention"/>
    <w:basedOn w:val="DefaultParagraphFont"/>
    <w:uiPriority w:val="99"/>
    <w:unhideWhenUsed/>
    <w:rsid w:val="00263B08"/>
    <w:rPr>
      <w:color w:val="2B579A"/>
      <w:shd w:val="clear" w:color="auto" w:fill="E6E6E6"/>
    </w:rPr>
  </w:style>
  <w:style w:type="character" w:styleId="FollowedHyperlink">
    <w:name w:val="FollowedHyperlink"/>
    <w:basedOn w:val="DefaultParagraphFont"/>
    <w:uiPriority w:val="99"/>
    <w:semiHidden/>
    <w:unhideWhenUsed/>
    <w:rsid w:val="00F7481F"/>
    <w:rPr>
      <w:color w:val="800080" w:themeColor="followedHyperlink"/>
      <w:u w:val="single"/>
    </w:rPr>
  </w:style>
  <w:style w:type="character" w:customStyle="1" w:styleId="normaltextrun">
    <w:name w:val="normaltextrun"/>
    <w:basedOn w:val="DefaultParagraphFont"/>
    <w:rsid w:val="003160AD"/>
  </w:style>
  <w:style w:type="paragraph" w:customStyle="1" w:styleId="title-bold">
    <w:name w:val="title-bold"/>
    <w:basedOn w:val="Normal"/>
    <w:rsid w:val="00F82D67"/>
    <w:pPr>
      <w:spacing w:before="100" w:beforeAutospacing="1" w:after="100" w:afterAutospacing="1"/>
      <w:jc w:val="left"/>
    </w:pPr>
    <w:rPr>
      <w:rFonts w:eastAsia="Times New Roman"/>
      <w:szCs w:val="24"/>
      <w:lang w:val="en-IE" w:eastAsia="en-IE"/>
    </w:rPr>
  </w:style>
  <w:style w:type="paragraph" w:styleId="Header">
    <w:name w:val="header"/>
    <w:basedOn w:val="Normal"/>
    <w:link w:val="HeaderChar"/>
    <w:uiPriority w:val="99"/>
    <w:unhideWhenUsed/>
    <w:rsid w:val="00B018F6"/>
    <w:pPr>
      <w:tabs>
        <w:tab w:val="center" w:pos="4535"/>
        <w:tab w:val="right" w:pos="9071"/>
      </w:tabs>
      <w:spacing w:before="0"/>
    </w:pPr>
  </w:style>
  <w:style w:type="character" w:customStyle="1" w:styleId="HeaderChar">
    <w:name w:val="Header Char"/>
    <w:basedOn w:val="DefaultParagraphFont"/>
    <w:link w:val="Header"/>
    <w:uiPriority w:val="99"/>
    <w:rsid w:val="00B018F6"/>
    <w:rPr>
      <w:rFonts w:ascii="Times New Roman" w:hAnsi="Times New Roman" w:cs="Times New Roman"/>
      <w:sz w:val="24"/>
      <w:lang w:val="en-GB"/>
    </w:rPr>
  </w:style>
  <w:style w:type="paragraph" w:styleId="Footer">
    <w:name w:val="footer"/>
    <w:basedOn w:val="Normal"/>
    <w:link w:val="FooterChar"/>
    <w:uiPriority w:val="99"/>
    <w:unhideWhenUsed/>
    <w:rsid w:val="00B018F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018F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018F6"/>
    <w:pPr>
      <w:tabs>
        <w:tab w:val="center" w:pos="7285"/>
        <w:tab w:val="right" w:pos="14003"/>
      </w:tabs>
      <w:spacing w:before="0"/>
    </w:pPr>
  </w:style>
  <w:style w:type="paragraph" w:customStyle="1" w:styleId="FooterLandscape">
    <w:name w:val="FooterLandscape"/>
    <w:basedOn w:val="Normal"/>
    <w:rsid w:val="00B018F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018F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018F6"/>
    <w:pPr>
      <w:spacing w:before="0"/>
      <w:jc w:val="right"/>
    </w:pPr>
    <w:rPr>
      <w:sz w:val="28"/>
    </w:rPr>
  </w:style>
  <w:style w:type="paragraph" w:customStyle="1" w:styleId="FooterSensitivity">
    <w:name w:val="Footer Sensitivity"/>
    <w:basedOn w:val="Normal"/>
    <w:rsid w:val="00B018F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8"/>
      </w:numPr>
    </w:pPr>
  </w:style>
  <w:style w:type="paragraph" w:customStyle="1" w:styleId="Tiret1">
    <w:name w:val="Tiret 1"/>
    <w:basedOn w:val="Point1"/>
    <w:pPr>
      <w:numPr>
        <w:numId w:val="39"/>
      </w:numPr>
    </w:pPr>
  </w:style>
  <w:style w:type="paragraph" w:customStyle="1" w:styleId="Tiret2">
    <w:name w:val="Tiret 2"/>
    <w:basedOn w:val="Point2"/>
    <w:pPr>
      <w:numPr>
        <w:numId w:val="40"/>
      </w:numPr>
    </w:pPr>
  </w:style>
  <w:style w:type="paragraph" w:customStyle="1" w:styleId="Tiret3">
    <w:name w:val="Tiret 3"/>
    <w:basedOn w:val="Point3"/>
    <w:pPr>
      <w:numPr>
        <w:numId w:val="41"/>
      </w:numPr>
    </w:pPr>
  </w:style>
  <w:style w:type="paragraph" w:customStyle="1" w:styleId="Tiret4">
    <w:name w:val="Tiret 4"/>
    <w:basedOn w:val="Point4"/>
    <w:pPr>
      <w:numPr>
        <w:numId w:val="42"/>
      </w:numPr>
    </w:pPr>
  </w:style>
  <w:style w:type="paragraph" w:customStyle="1" w:styleId="Tiret5">
    <w:name w:val="Tiret 5"/>
    <w:basedOn w:val="Point5"/>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NumPar5">
    <w:name w:val="NumPar 5"/>
    <w:basedOn w:val="Normal"/>
    <w:next w:val="Text2"/>
    <w:pPr>
      <w:numPr>
        <w:ilvl w:val="4"/>
        <w:numId w:val="44"/>
      </w:numPr>
    </w:pPr>
  </w:style>
  <w:style w:type="paragraph" w:customStyle="1" w:styleId="NumPar6">
    <w:name w:val="NumPar 6"/>
    <w:basedOn w:val="Normal"/>
    <w:next w:val="Text2"/>
    <w:pPr>
      <w:numPr>
        <w:ilvl w:val="5"/>
        <w:numId w:val="44"/>
      </w:numPr>
    </w:pPr>
  </w:style>
  <w:style w:type="paragraph" w:customStyle="1" w:styleId="NumPar7">
    <w:name w:val="NumPar 7"/>
    <w:basedOn w:val="Normal"/>
    <w:next w:val="Text2"/>
    <w:pPr>
      <w:numPr>
        <w:ilvl w:val="6"/>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NormalBold">
    <w:name w:val="NormalBold"/>
    <w:basedOn w:val="Normal"/>
    <w:link w:val="NormalBoldChar"/>
    <w:rsid w:val="00791C8B"/>
    <w:pPr>
      <w:widowControl w:val="0"/>
      <w:spacing w:before="0" w:after="0"/>
      <w:jc w:val="left"/>
    </w:pPr>
    <w:rPr>
      <w:rFonts w:eastAsia="Times New Roman"/>
      <w:b/>
      <w:szCs w:val="20"/>
      <w:lang w:eastAsia="en-GB"/>
    </w:rPr>
  </w:style>
  <w:style w:type="character" w:customStyle="1" w:styleId="NormalBoldChar">
    <w:name w:val="NormalBold Char"/>
    <w:link w:val="NormalBold"/>
    <w:rsid w:val="00791C8B"/>
    <w:rPr>
      <w:rFonts w:ascii="Times New Roman" w:eastAsia="Times New Roman" w:hAnsi="Times New Roman" w:cs="Times New Roman"/>
      <w:b/>
      <w:sz w:val="24"/>
      <w:szCs w:val="20"/>
      <w:lang w:val="en-GB" w:eastAsia="en-GB"/>
    </w:rPr>
  </w:style>
  <w:style w:type="paragraph" w:styleId="BalloonText">
    <w:name w:val="Balloon Text"/>
    <w:basedOn w:val="Normal"/>
    <w:link w:val="BalloonTextChar"/>
    <w:uiPriority w:val="99"/>
    <w:semiHidden/>
    <w:unhideWhenUsed/>
    <w:rsid w:val="000E01E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EB"/>
    <w:rPr>
      <w:rFonts w:ascii="Segoe UI" w:hAnsi="Segoe UI" w:cs="Segoe UI"/>
      <w:sz w:val="18"/>
      <w:szCs w:val="18"/>
      <w:lang w:val="en-GB"/>
    </w:rPr>
  </w:style>
  <w:style w:type="character" w:customStyle="1" w:styleId="rprop">
    <w:name w:val="r_prop"/>
    <w:basedOn w:val="DefaultParagraphFont"/>
    <w:rsid w:val="00FA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9351">
      <w:bodyDiv w:val="1"/>
      <w:marLeft w:val="0"/>
      <w:marRight w:val="0"/>
      <w:marTop w:val="0"/>
      <w:marBottom w:val="0"/>
      <w:divBdr>
        <w:top w:val="none" w:sz="0" w:space="0" w:color="auto"/>
        <w:left w:val="none" w:sz="0" w:space="0" w:color="auto"/>
        <w:bottom w:val="none" w:sz="0" w:space="0" w:color="auto"/>
        <w:right w:val="none" w:sz="0" w:space="0" w:color="auto"/>
      </w:divBdr>
    </w:div>
    <w:div w:id="419763196">
      <w:bodyDiv w:val="1"/>
      <w:marLeft w:val="0"/>
      <w:marRight w:val="0"/>
      <w:marTop w:val="0"/>
      <w:marBottom w:val="0"/>
      <w:divBdr>
        <w:top w:val="none" w:sz="0" w:space="0" w:color="auto"/>
        <w:left w:val="none" w:sz="0" w:space="0" w:color="auto"/>
        <w:bottom w:val="none" w:sz="0" w:space="0" w:color="auto"/>
        <w:right w:val="none" w:sz="0" w:space="0" w:color="auto"/>
      </w:divBdr>
    </w:div>
    <w:div w:id="444007639">
      <w:bodyDiv w:val="1"/>
      <w:marLeft w:val="0"/>
      <w:marRight w:val="0"/>
      <w:marTop w:val="0"/>
      <w:marBottom w:val="0"/>
      <w:divBdr>
        <w:top w:val="none" w:sz="0" w:space="0" w:color="auto"/>
        <w:left w:val="none" w:sz="0" w:space="0" w:color="auto"/>
        <w:bottom w:val="none" w:sz="0" w:space="0" w:color="auto"/>
        <w:right w:val="none" w:sz="0" w:space="0" w:color="auto"/>
      </w:divBdr>
    </w:div>
    <w:div w:id="511917359">
      <w:bodyDiv w:val="1"/>
      <w:marLeft w:val="0"/>
      <w:marRight w:val="0"/>
      <w:marTop w:val="0"/>
      <w:marBottom w:val="0"/>
      <w:divBdr>
        <w:top w:val="none" w:sz="0" w:space="0" w:color="auto"/>
        <w:left w:val="none" w:sz="0" w:space="0" w:color="auto"/>
        <w:bottom w:val="none" w:sz="0" w:space="0" w:color="auto"/>
        <w:right w:val="none" w:sz="0" w:space="0" w:color="auto"/>
      </w:divBdr>
    </w:div>
    <w:div w:id="518589100">
      <w:bodyDiv w:val="1"/>
      <w:marLeft w:val="0"/>
      <w:marRight w:val="0"/>
      <w:marTop w:val="0"/>
      <w:marBottom w:val="0"/>
      <w:divBdr>
        <w:top w:val="none" w:sz="0" w:space="0" w:color="auto"/>
        <w:left w:val="none" w:sz="0" w:space="0" w:color="auto"/>
        <w:bottom w:val="none" w:sz="0" w:space="0" w:color="auto"/>
        <w:right w:val="none" w:sz="0" w:space="0" w:color="auto"/>
      </w:divBdr>
    </w:div>
    <w:div w:id="610625648">
      <w:bodyDiv w:val="1"/>
      <w:marLeft w:val="0"/>
      <w:marRight w:val="0"/>
      <w:marTop w:val="0"/>
      <w:marBottom w:val="0"/>
      <w:divBdr>
        <w:top w:val="none" w:sz="0" w:space="0" w:color="auto"/>
        <w:left w:val="none" w:sz="0" w:space="0" w:color="auto"/>
        <w:bottom w:val="none" w:sz="0" w:space="0" w:color="auto"/>
        <w:right w:val="none" w:sz="0" w:space="0" w:color="auto"/>
      </w:divBdr>
    </w:div>
    <w:div w:id="675965958">
      <w:bodyDiv w:val="1"/>
      <w:marLeft w:val="0"/>
      <w:marRight w:val="0"/>
      <w:marTop w:val="0"/>
      <w:marBottom w:val="0"/>
      <w:divBdr>
        <w:top w:val="none" w:sz="0" w:space="0" w:color="auto"/>
        <w:left w:val="none" w:sz="0" w:space="0" w:color="auto"/>
        <w:bottom w:val="none" w:sz="0" w:space="0" w:color="auto"/>
        <w:right w:val="none" w:sz="0" w:space="0" w:color="auto"/>
      </w:divBdr>
    </w:div>
    <w:div w:id="741483931">
      <w:bodyDiv w:val="1"/>
      <w:marLeft w:val="0"/>
      <w:marRight w:val="0"/>
      <w:marTop w:val="0"/>
      <w:marBottom w:val="0"/>
      <w:divBdr>
        <w:top w:val="none" w:sz="0" w:space="0" w:color="auto"/>
        <w:left w:val="none" w:sz="0" w:space="0" w:color="auto"/>
        <w:bottom w:val="none" w:sz="0" w:space="0" w:color="auto"/>
        <w:right w:val="none" w:sz="0" w:space="0" w:color="auto"/>
      </w:divBdr>
    </w:div>
    <w:div w:id="880440048">
      <w:bodyDiv w:val="1"/>
      <w:marLeft w:val="0"/>
      <w:marRight w:val="0"/>
      <w:marTop w:val="0"/>
      <w:marBottom w:val="0"/>
      <w:divBdr>
        <w:top w:val="none" w:sz="0" w:space="0" w:color="auto"/>
        <w:left w:val="none" w:sz="0" w:space="0" w:color="auto"/>
        <w:bottom w:val="none" w:sz="0" w:space="0" w:color="auto"/>
        <w:right w:val="none" w:sz="0" w:space="0" w:color="auto"/>
      </w:divBdr>
    </w:div>
    <w:div w:id="887766398">
      <w:bodyDiv w:val="1"/>
      <w:marLeft w:val="0"/>
      <w:marRight w:val="0"/>
      <w:marTop w:val="0"/>
      <w:marBottom w:val="0"/>
      <w:divBdr>
        <w:top w:val="none" w:sz="0" w:space="0" w:color="auto"/>
        <w:left w:val="none" w:sz="0" w:space="0" w:color="auto"/>
        <w:bottom w:val="none" w:sz="0" w:space="0" w:color="auto"/>
        <w:right w:val="none" w:sz="0" w:space="0" w:color="auto"/>
      </w:divBdr>
    </w:div>
    <w:div w:id="1303268907">
      <w:bodyDiv w:val="1"/>
      <w:marLeft w:val="0"/>
      <w:marRight w:val="0"/>
      <w:marTop w:val="0"/>
      <w:marBottom w:val="0"/>
      <w:divBdr>
        <w:top w:val="none" w:sz="0" w:space="0" w:color="auto"/>
        <w:left w:val="none" w:sz="0" w:space="0" w:color="auto"/>
        <w:bottom w:val="none" w:sz="0" w:space="0" w:color="auto"/>
        <w:right w:val="none" w:sz="0" w:space="0" w:color="auto"/>
      </w:divBdr>
    </w:div>
    <w:div w:id="1487630070">
      <w:bodyDiv w:val="1"/>
      <w:marLeft w:val="0"/>
      <w:marRight w:val="0"/>
      <w:marTop w:val="0"/>
      <w:marBottom w:val="0"/>
      <w:divBdr>
        <w:top w:val="none" w:sz="0" w:space="0" w:color="auto"/>
        <w:left w:val="none" w:sz="0" w:space="0" w:color="auto"/>
        <w:bottom w:val="none" w:sz="0" w:space="0" w:color="auto"/>
        <w:right w:val="none" w:sz="0" w:space="0" w:color="auto"/>
      </w:divBdr>
    </w:div>
    <w:div w:id="1791242948">
      <w:bodyDiv w:val="1"/>
      <w:marLeft w:val="0"/>
      <w:marRight w:val="0"/>
      <w:marTop w:val="0"/>
      <w:marBottom w:val="0"/>
      <w:divBdr>
        <w:top w:val="none" w:sz="0" w:space="0" w:color="auto"/>
        <w:left w:val="none" w:sz="0" w:space="0" w:color="auto"/>
        <w:bottom w:val="none" w:sz="0" w:space="0" w:color="auto"/>
        <w:right w:val="none" w:sz="0" w:space="0" w:color="auto"/>
      </w:divBdr>
    </w:div>
    <w:div w:id="186944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xation-customs.ec.europa.eu/system/files/2023-06/SWD_2023_216_1_EN_impact_assessment_part1_v2.pdf" TargetMode="External"/><Relationship Id="rId1" Type="http://schemas.openxmlformats.org/officeDocument/2006/relationships/hyperlink" Target="https://www.dw.com/en/cum-ex-tax-scandal-cost-european-treasuries-55-billion/a-459353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4" ma:contentTypeDescription="Create a new document in this library." ma:contentTypeScope="" ma:versionID="32ba2009fe51c7e5d42ede39f2db96b0">
  <xsd:schema xmlns:xsd="http://www.w3.org/2001/XMLSchema" xmlns:xs="http://www.w3.org/2001/XMLSchema" xmlns:p="http://schemas.microsoft.com/office/2006/metadata/properties" xmlns:ns3="ae6cfab4-27cb-4408-82ad-0f0a830288e8" xmlns:ns4="66fbeb32-1e5c-4992-9fc4-46497e4795d8" targetNamespace="http://schemas.microsoft.com/office/2006/metadata/properties" ma:root="true" ma:fieldsID="b060bbe80c7e0e9d6ce96ad05d828191" ns3:_="" ns4:_="">
    <xsd:import namespace="ae6cfab4-27cb-4408-82ad-0f0a830288e8"/>
    <xsd:import namespace="66fbeb32-1e5c-4992-9fc4-46497e4795d8"/>
    <xsd:element name="properties">
      <xsd:complexType>
        <xsd:sequence>
          <xsd:element name="documentManagement">
            <xsd:complexType>
              <xsd:all>
                <xsd:element ref="ns3:EC_Collab_Reference" minOccurs="0"/>
                <xsd:element ref="ns3:EC_Collab_DocumentLanguage"/>
                <xsd:element ref="ns3:EC_Collab_Status"/>
                <xsd:element ref="ns3:_x0076_y28"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beb32-1e5c-4992-9fc4-46497e479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76_y28 xmlns="ae6cfab4-27cb-4408-82ad-0f0a830288e8" xsi:nil="true"/>
    <EC_Collab_Status xmlns="ae6cfab4-27cb-4408-82ad-0f0a830288e8">Not Started</EC_Collab_Status>
    <EC_Collab_DocumentLanguage xmlns="ae6cfab4-27cb-4408-82ad-0f0a830288e8">EN</EC_Collab_DocumentLanguage>
    <EC_Collab_Reference xmlns="ae6cfab4-27cb-4408-82ad-0f0a83028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4" ma:contentTypeDescription="Create a new document in this library." ma:contentTypeScope="" ma:versionID="32ba2009fe51c7e5d42ede39f2db96b0">
  <xsd:schema xmlns:xsd="http://www.w3.org/2001/XMLSchema" xmlns:xs="http://www.w3.org/2001/XMLSchema" xmlns:p="http://schemas.microsoft.com/office/2006/metadata/properties" xmlns:ns3="ae6cfab4-27cb-4408-82ad-0f0a830288e8" xmlns:ns4="66fbeb32-1e5c-4992-9fc4-46497e4795d8" targetNamespace="http://schemas.microsoft.com/office/2006/metadata/properties" ma:root="true" ma:fieldsID="b060bbe80c7e0e9d6ce96ad05d828191" ns3:_="" ns4:_="">
    <xsd:import namespace="ae6cfab4-27cb-4408-82ad-0f0a830288e8"/>
    <xsd:import namespace="66fbeb32-1e5c-4992-9fc4-46497e4795d8"/>
    <xsd:element name="properties">
      <xsd:complexType>
        <xsd:sequence>
          <xsd:element name="documentManagement">
            <xsd:complexType>
              <xsd:all>
                <xsd:element ref="ns3:EC_Collab_Reference" minOccurs="0"/>
                <xsd:element ref="ns3:EC_Collab_DocumentLanguage"/>
                <xsd:element ref="ns3:EC_Collab_Status"/>
                <xsd:element ref="ns3:_x0076_y28"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beb32-1e5c-4992-9fc4-46497e479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7DC8-E0C9-4586-8EE7-A8F57F5A63AB}">
  <ds:schemaRefs>
    <ds:schemaRef ds:uri="http://schemas.microsoft.com/sharepoint/v3/contenttype/forms"/>
  </ds:schemaRefs>
</ds:datastoreItem>
</file>

<file path=customXml/itemProps2.xml><?xml version="1.0" encoding="utf-8"?>
<ds:datastoreItem xmlns:ds="http://schemas.openxmlformats.org/officeDocument/2006/customXml" ds:itemID="{3352A364-56E1-4851-B2CE-59CBE1CA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66fbeb32-1e5c-4992-9fc4-46497e479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F0CAC-B39A-49C0-BED8-6E49E33E30C5}">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6fbeb32-1e5c-4992-9fc4-46497e4795d8"/>
    <ds:schemaRef ds:uri="ae6cfab4-27cb-4408-82ad-0f0a830288e8"/>
    <ds:schemaRef ds:uri="http://www.w3.org/XML/1998/namespace"/>
  </ds:schemaRefs>
</ds:datastoreItem>
</file>

<file path=customXml/itemProps4.xml><?xml version="1.0" encoding="utf-8"?>
<ds:datastoreItem xmlns:ds="http://schemas.openxmlformats.org/officeDocument/2006/customXml" ds:itemID="{C230DA8A-70A8-45FB-90D5-2784825EE91C}">
  <ds:schemaRefs>
    <ds:schemaRef ds:uri="http://schemas.microsoft.com/sharepoint/v3/contenttype/forms"/>
  </ds:schemaRefs>
</ds:datastoreItem>
</file>

<file path=customXml/itemProps5.xml><?xml version="1.0" encoding="utf-8"?>
<ds:datastoreItem xmlns:ds="http://schemas.openxmlformats.org/officeDocument/2006/customXml" ds:itemID="{ED66E37F-945D-4D06-A7FE-0BD01E63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66fbeb32-1e5c-4992-9fc4-46497e479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C41C39-125E-4223-BC23-BF11006E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24</Pages>
  <Words>9265</Words>
  <Characters>52811</Characters>
  <Application>Microsoft Office Word</Application>
  <DocSecurity>0</DocSecurity>
  <Lines>440</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dc:creator>
  <cp:keywords/>
  <dc:description/>
  <cp:lastModifiedBy>BERRESHEIM Laurin</cp:lastModifiedBy>
  <cp:revision>4</cp:revision>
  <cp:lastPrinted>2023-12-19T09:52:00Z</cp:lastPrinted>
  <dcterms:created xsi:type="dcterms:W3CDTF">2024-01-17T09:26:00Z</dcterms:created>
  <dcterms:modified xsi:type="dcterms:W3CDTF">2024-01-17T09:44:00Z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2023-04-11T14:18:38Z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7e4594fd-2f36-40f1-8da8-c19fc39299e8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0x010100258AA79CEB83498886A3A086811232500010C4B8CEF398C046BA02B04000B35719</vt:lpwstr>
  </property>
  <property fmtid="{D5CDD505-2E9C-101B-9397-08002B2CF9AE}" pid="18" name="DQCStatus">
    <vt:lpwstr>Green (DQC version 03)</vt:lpwstr>
  </property>
</Properties>
</file>