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21"/>
        <w:gridCol w:w="4622"/>
      </w:tblGrid>
      <w:tr w:rsidRPr="00E912D9" w:rsidR="00DA038A" w:rsidTr="00EE2B8C" w14:paraId="4C10EF9F" w14:textId="77777777">
        <w:trPr>
          <w:cantSplit/>
        </w:trPr>
        <w:tc>
          <w:tcPr>
            <w:tcW w:w="4621" w:type="dxa"/>
          </w:tcPr>
          <w:p w:rsidRPr="00E912D9" w:rsidR="00DA038A" w:rsidP="002143FF" w:rsidRDefault="00493B6A" w14:paraId="543EA741" w14:textId="2B65997B">
            <w:pPr>
              <w:rPr>
                <w:rFonts w:asciiTheme="majorBidi" w:hAnsiTheme="majorBidi" w:cstheme="majorBidi"/>
                <w:bCs/>
                <w:sz w:val="24"/>
                <w:szCs w:val="24"/>
                <w:lang w:val="en-GB"/>
              </w:rPr>
            </w:pPr>
            <w:bookmarkStart w:name="_GoBack" w:id="0"/>
            <w:bookmarkEnd w:id="0"/>
            <w:r w:rsidRPr="0049767D">
              <w:rPr>
                <w:rFonts w:eastAsia="Arial Unicode MS"/>
                <w:noProof/>
              </w:rPr>
              <w:drawing>
                <wp:inline distT="0" distB="0" distL="0" distR="0" wp14:anchorId="12712051" wp14:editId="18F18E95">
                  <wp:extent cx="1800000" cy="1555851"/>
                  <wp:effectExtent l="0" t="0" r="0" b="6350"/>
                  <wp:docPr id="9" name="Picture 9"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5851"/>
                          </a:xfrm>
                          <a:prstGeom prst="rect">
                            <a:avLst/>
                          </a:prstGeom>
                          <a:noFill/>
                          <a:ln>
                            <a:noFill/>
                          </a:ln>
                        </pic:spPr>
                      </pic:pic>
                    </a:graphicData>
                  </a:graphic>
                </wp:inline>
              </w:drawing>
            </w:r>
          </w:p>
        </w:tc>
        <w:tc>
          <w:tcPr>
            <w:tcW w:w="4622" w:type="dxa"/>
          </w:tcPr>
          <w:p w:rsidRPr="00E912D9" w:rsidR="00DA038A" w:rsidP="002143FF" w:rsidRDefault="00DA038A" w14:paraId="02A34168" w14:textId="3C6BC521">
            <w:pPr>
              <w:rPr>
                <w:rFonts w:asciiTheme="majorBidi" w:hAnsiTheme="majorBidi" w:cstheme="majorBidi"/>
                <w:bCs/>
                <w:sz w:val="24"/>
                <w:szCs w:val="24"/>
                <w:lang w:val="en-GB"/>
              </w:rPr>
            </w:pPr>
          </w:p>
        </w:tc>
      </w:tr>
      <w:tr w:rsidRPr="00E912D9" w:rsidR="00DA038A" w:rsidTr="00EE2B8C" w14:paraId="76B7DC07" w14:textId="77777777">
        <w:trPr>
          <w:cantSplit/>
        </w:trPr>
        <w:tc>
          <w:tcPr>
            <w:tcW w:w="9243" w:type="dxa"/>
            <w:gridSpan w:val="2"/>
          </w:tcPr>
          <w:p w:rsidRPr="00E912D9" w:rsidR="00DA038A" w:rsidP="002143FF" w:rsidRDefault="00DA038A" w14:paraId="40C5937C" w14:textId="77777777">
            <w:pPr>
              <w:jc w:val="right"/>
              <w:rPr>
                <w:rFonts w:asciiTheme="majorBidi" w:hAnsiTheme="majorBidi" w:cstheme="majorBidi"/>
                <w:b/>
                <w:bCs/>
                <w:sz w:val="28"/>
                <w:lang w:val="en-GB"/>
              </w:rPr>
            </w:pPr>
            <w:r w:rsidRPr="00E912D9">
              <w:rPr>
                <w:rFonts w:asciiTheme="majorBidi" w:hAnsiTheme="majorBidi" w:cstheme="majorBidi"/>
                <w:b/>
                <w:sz w:val="28"/>
                <w:lang w:val="en-GB"/>
              </w:rPr>
              <w:t>ENVE-VII/</w:t>
            </w:r>
            <w:r w:rsidRPr="00E912D9" w:rsidR="008A0252">
              <w:rPr>
                <w:rFonts w:asciiTheme="majorBidi" w:hAnsiTheme="majorBidi" w:cstheme="majorBidi"/>
                <w:b/>
                <w:sz w:val="28"/>
                <w:lang w:val="en-GB"/>
              </w:rPr>
              <w:t>0</w:t>
            </w:r>
            <w:r w:rsidRPr="00E912D9" w:rsidR="00515436">
              <w:rPr>
                <w:rFonts w:asciiTheme="majorBidi" w:hAnsiTheme="majorBidi" w:cstheme="majorBidi"/>
                <w:b/>
                <w:sz w:val="28"/>
                <w:lang w:val="en-GB"/>
              </w:rPr>
              <w:t>50</w:t>
            </w:r>
          </w:p>
        </w:tc>
      </w:tr>
      <w:tr w:rsidRPr="00E912D9" w:rsidR="00DA038A" w:rsidTr="00EE2B8C" w14:paraId="18DD3E48" w14:textId="77777777">
        <w:tc>
          <w:tcPr>
            <w:tcW w:w="9243" w:type="dxa"/>
            <w:gridSpan w:val="2"/>
          </w:tcPr>
          <w:p w:rsidRPr="00E912D9" w:rsidR="00DA038A" w:rsidP="002143FF" w:rsidRDefault="00AB4C7A" w14:paraId="436871A9" w14:textId="47DA4D13">
            <w:pPr>
              <w:jc w:val="center"/>
              <w:rPr>
                <w:b/>
                <w:bCs/>
                <w:sz w:val="28"/>
                <w:lang w:val="en-GB"/>
              </w:rPr>
            </w:pPr>
            <w:r w:rsidRPr="00E912D9">
              <w:rPr>
                <w:b/>
                <w:color w:val="000000" w:themeColor="text1"/>
                <w:sz w:val="28"/>
                <w:lang w:val="en-GB"/>
              </w:rPr>
              <w:t xml:space="preserve">163rd </w:t>
            </w:r>
            <w:r w:rsidRPr="00E912D9" w:rsidR="00A22A21">
              <w:rPr>
                <w:b/>
                <w:color w:val="000000" w:themeColor="text1"/>
                <w:sz w:val="28"/>
                <w:lang w:val="en-GB"/>
              </w:rPr>
              <w:t>p</w:t>
            </w:r>
            <w:r w:rsidRPr="00E912D9">
              <w:rPr>
                <w:b/>
                <w:color w:val="000000" w:themeColor="text1"/>
                <w:sz w:val="28"/>
                <w:lang w:val="en-GB"/>
              </w:rPr>
              <w:t xml:space="preserve">lenary </w:t>
            </w:r>
            <w:r w:rsidRPr="00E912D9" w:rsidR="00A22A21">
              <w:rPr>
                <w:b/>
                <w:color w:val="000000" w:themeColor="text1"/>
                <w:sz w:val="28"/>
                <w:lang w:val="en-GB"/>
              </w:rPr>
              <w:t>s</w:t>
            </w:r>
            <w:r w:rsidRPr="00E912D9">
              <w:rPr>
                <w:b/>
                <w:color w:val="000000" w:themeColor="text1"/>
                <w:sz w:val="28"/>
                <w:lang w:val="en-GB"/>
              </w:rPr>
              <w:t>ession, 20-21 November 2024</w:t>
            </w:r>
          </w:p>
        </w:tc>
      </w:tr>
    </w:tbl>
    <w:p w:rsidRPr="00E912D9" w:rsidR="00DA038A" w:rsidP="002143FF" w:rsidRDefault="00A22A21" w14:paraId="7AAB1A7B" w14:textId="38047906">
      <w:pPr>
        <w:jc w:val="center"/>
        <w:rPr>
          <w:rFonts w:asciiTheme="majorBidi" w:hAnsiTheme="majorBidi" w:cstheme="majorBidi"/>
          <w:lang w:val="en-GB"/>
        </w:rPr>
      </w:pPr>
      <w:r w:rsidRPr="008248FD">
        <w:rPr>
          <w:rFonts w:asciiTheme="majorBidi" w:hAnsiTheme="majorBidi" w:cstheme="majorBidi"/>
          <w:noProof/>
          <w:sz w:val="24"/>
          <w:szCs w:val="24"/>
        </w:rPr>
        <mc:AlternateContent>
          <mc:Choice Requires="wps">
            <w:drawing>
              <wp:anchor distT="0" distB="0" distL="114300" distR="114300" simplePos="0" relativeHeight="251658752" behindDoc="1" locked="0" layoutInCell="0" allowOverlap="1" wp14:editId="06DD8F97" wp14:anchorId="0D2F34E0">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B33430" w:rsidR="00774A14" w:rsidP="00DA038A" w:rsidRDefault="00774A14" w14:paraId="0EADD269" w14:textId="77777777">
                            <w:pPr>
                              <w:jc w:val="center"/>
                              <w:rPr>
                                <w:rFonts w:ascii="Arial" w:hAnsi="Arial" w:cs="Arial"/>
                                <w:b/>
                                <w:bCs/>
                                <w:sz w:val="48"/>
                              </w:rPr>
                            </w:pPr>
                            <w:r w:rsidRPr="00B33430">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2F34E0">
                <v:stroke joinstyle="miter"/>
                <v:path gradientshapeok="t" o:connecttype="rect"/>
              </v:shapetype>
              <v:shape id="Text Box 3"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v:textbox>
                  <w:txbxContent>
                    <w:p w:rsidRPr="00B33430" w:rsidR="00774A14" w:rsidP="00DA038A" w:rsidRDefault="00774A14" w14:paraId="0EADD269" w14:textId="77777777">
                      <w:pPr>
                        <w:jc w:val="center"/>
                        <w:rPr>
                          <w:rFonts w:ascii="Arial" w:hAnsi="Arial" w:cs="Arial"/>
                          <w:b/>
                          <w:bCs/>
                          <w:sz w:val="48"/>
                        </w:rPr>
                      </w:pPr>
                      <w:r w:rsidRPr="00B33430">
                        <w:rPr>
                          <w:rFonts w:ascii="Arial" w:hAnsi="Arial" w:cs="Arial"/>
                          <w:b/>
                          <w:bCs/>
                          <w:sz w:val="48"/>
                        </w:rPr>
                        <w:t>EN</w:t>
                      </w:r>
                    </w:p>
                  </w:txbxContent>
                </v:textbox>
                <w10:wrap anchorx="page" anchory="page"/>
              </v:shape>
            </w:pict>
          </mc:Fallback>
        </mc:AlternateContent>
      </w:r>
    </w:p>
    <w:p w:rsidRPr="00E912D9" w:rsidR="00A22A21" w:rsidP="002143FF" w:rsidRDefault="00A22A21" w14:paraId="5DB03CEF" w14:textId="77777777">
      <w:pPr>
        <w:jc w:val="center"/>
        <w:rPr>
          <w:rFonts w:asciiTheme="majorBidi" w:hAnsiTheme="majorBidi" w:cstheme="majorBidi"/>
          <w:lang w:val="en-GB"/>
        </w:rPr>
      </w:pPr>
    </w:p>
    <w:p w:rsidRPr="00E912D9" w:rsidR="00DA038A" w:rsidP="002143FF" w:rsidRDefault="007D7CB6" w14:paraId="298B29CC" w14:textId="77777777">
      <w:pPr>
        <w:jc w:val="center"/>
        <w:rPr>
          <w:b/>
          <w:bCs/>
          <w:sz w:val="28"/>
          <w:lang w:val="en-GB"/>
        </w:rPr>
      </w:pPr>
      <w:r w:rsidRPr="00E912D9">
        <w:rPr>
          <w:b/>
          <w:bCs/>
          <w:sz w:val="28"/>
          <w:lang w:val="en-GB"/>
        </w:rPr>
        <w:t>DRAFT OPINION</w:t>
      </w:r>
    </w:p>
    <w:p w:rsidRPr="008248FD" w:rsidR="00DA038A" w:rsidP="002143FF" w:rsidRDefault="00DA038A" w14:paraId="5ACF4B7A" w14:textId="77777777">
      <w:pPr>
        <w:jc w:val="center"/>
        <w:rPr>
          <w:lang w:val="en-GB"/>
        </w:rPr>
      </w:pPr>
    </w:p>
    <w:p w:rsidRPr="00E912D9" w:rsidR="000A6571" w:rsidP="002143FF" w:rsidRDefault="00515436" w14:paraId="3EFDC98B" w14:textId="084D6FCE">
      <w:pPr>
        <w:jc w:val="center"/>
        <w:rPr>
          <w:b/>
          <w:bCs/>
          <w:sz w:val="28"/>
          <w:szCs w:val="28"/>
          <w:lang w:val="en-GB"/>
        </w:rPr>
      </w:pPr>
      <w:r w:rsidRPr="00E912D9" w:rsidDel="00CD1083">
        <w:rPr>
          <w:b/>
          <w:bCs/>
          <w:sz w:val="28"/>
          <w:szCs w:val="28"/>
          <w:lang w:val="en-GB"/>
        </w:rPr>
        <w:t xml:space="preserve">The future of EU climate policy: aligning mitigation targets and </w:t>
      </w:r>
      <w:r w:rsidRPr="00E912D9" w:rsidR="00DB5D66">
        <w:rPr>
          <w:b/>
          <w:bCs/>
          <w:sz w:val="28"/>
          <w:szCs w:val="28"/>
          <w:lang w:val="en-GB"/>
        </w:rPr>
        <w:br/>
      </w:r>
      <w:r w:rsidRPr="00E912D9" w:rsidDel="00CD1083">
        <w:rPr>
          <w:b/>
          <w:bCs/>
          <w:sz w:val="28"/>
          <w:szCs w:val="28"/>
          <w:lang w:val="en-GB"/>
        </w:rPr>
        <w:t>adaptation challenges</w:t>
      </w:r>
    </w:p>
    <w:p w:rsidRPr="00E912D9" w:rsidR="009D24C3" w:rsidP="002143FF" w:rsidRDefault="009D24C3" w14:paraId="1014F93E" w14:textId="77777777">
      <w:pPr>
        <w:jc w:val="center"/>
        <w:rPr>
          <w:lang w:val="en-GB"/>
        </w:rPr>
      </w:pPr>
    </w:p>
    <w:tbl>
      <w:tblPr>
        <w:tblW w:w="0" w:type="auto"/>
        <w:tblLayout w:type="fixed"/>
        <w:tblLook w:val="0000" w:firstRow="0" w:lastRow="0" w:firstColumn="0" w:lastColumn="0" w:noHBand="0" w:noVBand="0"/>
      </w:tblPr>
      <w:tblGrid>
        <w:gridCol w:w="9243"/>
      </w:tblGrid>
      <w:tr w:rsidRPr="00E912D9" w:rsidR="000A6571" w:rsidTr="00670899" w14:paraId="7D25C60E" w14:textId="77777777">
        <w:tc>
          <w:tcPr>
            <w:tcW w:w="9243" w:type="dxa"/>
          </w:tcPr>
          <w:p w:rsidRPr="00E912D9" w:rsidR="000A6571" w:rsidP="002143FF" w:rsidRDefault="000A6571" w14:paraId="2929C026" w14:textId="77777777">
            <w:pPr>
              <w:jc w:val="center"/>
              <w:rPr>
                <w:rFonts w:asciiTheme="majorBidi" w:hAnsiTheme="majorBidi" w:cstheme="majorBidi"/>
                <w:lang w:val="en-GB"/>
              </w:rPr>
            </w:pPr>
            <w:r w:rsidRPr="00E912D9">
              <w:rPr>
                <w:rFonts w:asciiTheme="majorBidi" w:hAnsiTheme="majorBidi" w:cstheme="majorBidi"/>
                <w:lang w:val="en-GB"/>
              </w:rPr>
              <w:t>_____________</w:t>
            </w:r>
          </w:p>
          <w:p w:rsidRPr="00E912D9" w:rsidR="000A6571" w:rsidP="002143FF" w:rsidRDefault="000A6571" w14:paraId="41BD45CD" w14:textId="77777777">
            <w:pPr>
              <w:jc w:val="center"/>
              <w:rPr>
                <w:rFonts w:asciiTheme="majorBidi" w:hAnsiTheme="majorBidi" w:cstheme="majorBidi"/>
                <w:lang w:val="en-GB"/>
              </w:rPr>
            </w:pPr>
          </w:p>
          <w:p w:rsidRPr="00E912D9" w:rsidR="00515436" w:rsidP="002143FF" w:rsidRDefault="00515436" w14:paraId="43F47EF4" w14:textId="0D252D1C">
            <w:pPr>
              <w:jc w:val="center"/>
              <w:rPr>
                <w:bCs/>
                <w:szCs w:val="20"/>
                <w:lang w:val="en-GB"/>
              </w:rPr>
            </w:pPr>
            <w:r w:rsidRPr="00E912D9">
              <w:rPr>
                <w:lang w:val="en-GB"/>
              </w:rPr>
              <w:t>Rapporteur:</w:t>
            </w:r>
            <w:r w:rsidRPr="00E912D9" w:rsidR="00B169E0">
              <w:rPr>
                <w:b/>
                <w:bCs/>
                <w:lang w:val="en-GB"/>
              </w:rPr>
              <w:t xml:space="preserve"> </w:t>
            </w:r>
            <w:r w:rsidRPr="00E912D9">
              <w:rPr>
                <w:b/>
                <w:szCs w:val="20"/>
                <w:lang w:val="en-GB"/>
              </w:rPr>
              <w:t>Markku MARKKULA (FI/EPP)</w:t>
            </w:r>
          </w:p>
          <w:p w:rsidRPr="00E912D9" w:rsidR="000A6571" w:rsidP="002143FF" w:rsidRDefault="00515436" w14:paraId="15B72E03" w14:textId="77777777">
            <w:pPr>
              <w:jc w:val="center"/>
              <w:rPr>
                <w:b/>
                <w:bCs/>
                <w:szCs w:val="20"/>
                <w:lang w:val="en-GB"/>
              </w:rPr>
            </w:pPr>
            <w:r w:rsidRPr="00E912D9">
              <w:rPr>
                <w:b/>
                <w:bCs/>
                <w:lang w:val="en-GB"/>
              </w:rPr>
              <w:t>President of the Helsinki Region</w:t>
            </w:r>
          </w:p>
          <w:p w:rsidRPr="00E912D9" w:rsidR="000A6571" w:rsidP="002143FF" w:rsidRDefault="000A6571" w14:paraId="2F6CD4A0" w14:textId="236D0DE9">
            <w:pPr>
              <w:jc w:val="center"/>
              <w:rPr>
                <w:rFonts w:asciiTheme="majorBidi" w:hAnsiTheme="majorBidi" w:cstheme="majorBidi"/>
                <w:lang w:val="en-GB"/>
              </w:rPr>
            </w:pPr>
            <w:r w:rsidRPr="00E912D9">
              <w:rPr>
                <w:rFonts w:asciiTheme="majorBidi" w:hAnsiTheme="majorBidi" w:cstheme="majorBidi"/>
                <w:lang w:val="en-GB"/>
              </w:rPr>
              <w:t>_____________</w:t>
            </w:r>
          </w:p>
        </w:tc>
      </w:tr>
    </w:tbl>
    <w:p w:rsidRPr="00E912D9" w:rsidR="00DA038A" w:rsidP="002143FF" w:rsidRDefault="00DA038A" w14:paraId="40D2A179" w14:textId="1936260F">
      <w:pPr>
        <w:rPr>
          <w:rFonts w:asciiTheme="majorBidi" w:hAnsiTheme="majorBidi" w:cstheme="majorBidi"/>
          <w:lang w:val="en-GB"/>
        </w:rPr>
      </w:pPr>
    </w:p>
    <w:p w:rsidRPr="00E912D9" w:rsidR="00DB5D66" w:rsidP="002143FF" w:rsidRDefault="00493B6A" w14:paraId="4D5EBD2E" w14:textId="0EDD210E">
      <w:pPr>
        <w:rPr>
          <w:rFonts w:asciiTheme="majorBidi" w:hAnsiTheme="majorBidi" w:cstheme="majorBidi"/>
          <w:lang w:val="en-GB"/>
        </w:rPr>
      </w:pPr>
      <w:r w:rsidRPr="00493B6A">
        <w:rPr>
          <w:rFonts w:asciiTheme="majorBidi" w:hAnsiTheme="majorBidi" w:cstheme="majorBidi"/>
          <w:noProof/>
        </w:rPr>
        <w:drawing>
          <wp:anchor distT="0" distB="0" distL="114300" distR="114300" simplePos="0" relativeHeight="251660800" behindDoc="0" locked="0" layoutInCell="1" allowOverlap="1" wp14:editId="6329E017" wp14:anchorId="4DF52EF9">
            <wp:simplePos x="0" y="0"/>
            <wp:positionH relativeFrom="column">
              <wp:posOffset>14605</wp:posOffset>
            </wp:positionH>
            <wp:positionV relativeFrom="page">
              <wp:posOffset>10166350</wp:posOffset>
            </wp:positionV>
            <wp:extent cx="5770245" cy="2876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4569"/>
                    <a:stretch/>
                  </pic:blipFill>
                  <pic:spPr bwMode="auto">
                    <a:xfrm>
                      <a:off x="0" y="0"/>
                      <a:ext cx="5770245" cy="287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E912D9" w:rsidR="00DB5D66" w:rsidP="002143FF" w:rsidRDefault="00DB5D66" w14:paraId="11BB516D" w14:textId="5A2F7E17">
      <w:pPr>
        <w:rPr>
          <w:rFonts w:asciiTheme="majorBidi" w:hAnsiTheme="majorBidi" w:cstheme="majorBidi"/>
          <w:lang w:val="en-GB"/>
        </w:rPr>
      </w:pPr>
    </w:p>
    <w:p w:rsidRPr="00E912D9" w:rsidR="00DB5D66" w:rsidP="002143FF" w:rsidRDefault="00DB5D66" w14:paraId="6B051ABC" w14:textId="576AA42D">
      <w:pPr>
        <w:rPr>
          <w:rFonts w:asciiTheme="majorBidi" w:hAnsiTheme="majorBidi" w:cstheme="majorBidi"/>
          <w:lang w:val="en-GB"/>
        </w:rPr>
      </w:pPr>
    </w:p>
    <w:p w:rsidRPr="00E912D9" w:rsidR="003D188B" w:rsidP="002143FF" w:rsidRDefault="003D188B" w14:paraId="312949DC" w14:textId="18034BE6">
      <w:pPr>
        <w:rPr>
          <w:rFonts w:asciiTheme="majorBidi" w:hAnsiTheme="majorBidi" w:cstheme="majorBidi"/>
          <w:lang w:val="en-GB"/>
        </w:rPr>
      </w:pPr>
    </w:p>
    <w:p w:rsidRPr="00E912D9" w:rsidR="003D188B" w:rsidP="002143FF" w:rsidRDefault="003D188B" w14:paraId="51837B43" w14:textId="3C1CA8D5">
      <w:pPr>
        <w:rPr>
          <w:rFonts w:asciiTheme="majorBidi" w:hAnsiTheme="majorBidi" w:cstheme="majorBidi"/>
          <w:lang w:val="en-GB"/>
        </w:rPr>
      </w:pPr>
    </w:p>
    <w:p w:rsidRPr="00E912D9" w:rsidR="003D188B" w:rsidP="002143FF" w:rsidRDefault="003D188B" w14:paraId="3285D802" w14:textId="53BC9C64">
      <w:pPr>
        <w:rPr>
          <w:rFonts w:asciiTheme="majorBidi" w:hAnsiTheme="majorBidi" w:cstheme="majorBidi"/>
          <w:lang w:val="en-GB"/>
        </w:rPr>
      </w:pPr>
    </w:p>
    <w:p w:rsidRPr="00E912D9" w:rsidR="003D188B" w:rsidP="002143FF" w:rsidRDefault="003D188B" w14:paraId="05C8961A" w14:textId="02F19AC6">
      <w:pPr>
        <w:rPr>
          <w:rFonts w:asciiTheme="majorBidi" w:hAnsiTheme="majorBidi" w:cstheme="majorBidi"/>
          <w:lang w:val="en-GB"/>
        </w:rPr>
      </w:pPr>
    </w:p>
    <w:p w:rsidRPr="00E912D9" w:rsidR="00DB5D66" w:rsidP="002143FF" w:rsidRDefault="00DB5D66" w14:paraId="43E7E7AB" w14:textId="77777777">
      <w:pPr>
        <w:rPr>
          <w:rFonts w:asciiTheme="majorBidi" w:hAnsiTheme="majorBidi" w:cstheme="majorBidi"/>
          <w:lang w:val="en-GB"/>
        </w:rP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43"/>
      </w:tblGrid>
      <w:tr w:rsidRPr="00E912D9" w:rsidR="00DA038A" w:rsidTr="00EE2B8C" w14:paraId="12DAE812" w14:textId="77777777">
        <w:tc>
          <w:tcPr>
            <w:tcW w:w="9243" w:type="dxa"/>
            <w:tcBorders>
              <w:top w:val="single" w:color="auto" w:sz="4" w:space="0"/>
              <w:bottom w:val="single" w:color="auto" w:sz="4" w:space="0"/>
            </w:tcBorders>
          </w:tcPr>
          <w:p w:rsidRPr="008248FD" w:rsidR="00AB4C7A" w:rsidP="00AB4C7A" w:rsidRDefault="00AB4C7A" w14:paraId="1DA48816" w14:textId="2BF1EC3C">
            <w:pPr>
              <w:rPr>
                <w:rFonts w:asciiTheme="majorBidi" w:hAnsiTheme="majorBidi" w:cstheme="majorBidi"/>
                <w:b/>
                <w:bCs/>
                <w:lang w:val="en-GB"/>
              </w:rPr>
            </w:pPr>
            <w:r w:rsidRPr="008248FD">
              <w:rPr>
                <w:rFonts w:asciiTheme="majorBidi" w:hAnsiTheme="majorBidi" w:cstheme="majorBidi"/>
                <w:b/>
                <w:bCs/>
                <w:u w:val="single"/>
                <w:lang w:val="en-GB"/>
              </w:rPr>
              <w:t>Deadline for tabling amendments</w:t>
            </w:r>
            <w:r w:rsidRPr="008248FD">
              <w:rPr>
                <w:rFonts w:asciiTheme="majorBidi" w:hAnsiTheme="majorBidi" w:cstheme="majorBidi"/>
                <w:b/>
                <w:bCs/>
                <w:lang w:val="en-GB"/>
              </w:rPr>
              <w:t>:</w:t>
            </w:r>
          </w:p>
          <w:p w:rsidRPr="00E912D9" w:rsidR="004F76A8" w:rsidP="00AB4C7A" w:rsidRDefault="004F76A8" w14:paraId="7B0095A8" w14:textId="77777777">
            <w:pPr>
              <w:rPr>
                <w:rFonts w:asciiTheme="majorBidi" w:hAnsiTheme="majorBidi" w:cstheme="majorBidi"/>
                <w:lang w:val="en-GB"/>
              </w:rPr>
            </w:pPr>
          </w:p>
          <w:p w:rsidRPr="00E912D9" w:rsidR="00AB4C7A" w:rsidP="00AB4C7A" w:rsidRDefault="00A22A21" w14:paraId="4C05799A" w14:textId="5A185C45">
            <w:pPr>
              <w:rPr>
                <w:rFonts w:asciiTheme="majorBidi" w:hAnsiTheme="majorBidi" w:cstheme="majorBidi"/>
                <w:lang w:val="en-GB"/>
              </w:rPr>
            </w:pPr>
            <w:r w:rsidRPr="00E912D9">
              <w:rPr>
                <w:rFonts w:asciiTheme="majorBidi" w:hAnsiTheme="majorBidi" w:cstheme="majorBidi"/>
                <w:b/>
                <w:bCs/>
                <w:lang w:val="en-GB"/>
              </w:rPr>
              <w:t>15:00</w:t>
            </w:r>
            <w:r w:rsidRPr="00E912D9" w:rsidR="00AB4C7A">
              <w:rPr>
                <w:rFonts w:asciiTheme="majorBidi" w:hAnsiTheme="majorBidi" w:cstheme="majorBidi"/>
                <w:b/>
                <w:bCs/>
                <w:lang w:val="en-GB"/>
              </w:rPr>
              <w:t xml:space="preserve"> (Brussels time) on Tuesday 5 November 2024</w:t>
            </w:r>
            <w:r w:rsidRPr="00E912D9" w:rsidR="00AB4C7A">
              <w:rPr>
                <w:rFonts w:asciiTheme="majorBidi" w:hAnsiTheme="majorBidi" w:cstheme="majorBidi"/>
                <w:lang w:val="en-GB"/>
              </w:rPr>
              <w:t>. Amendments must be submitted using the online tool for tabling amendments (available through the Members</w:t>
            </w:r>
            <w:r w:rsidR="00E912D9">
              <w:rPr>
                <w:rFonts w:asciiTheme="majorBidi" w:hAnsiTheme="majorBidi" w:cstheme="majorBidi"/>
                <w:lang w:val="en-GB"/>
              </w:rPr>
              <w:t>’</w:t>
            </w:r>
            <w:r w:rsidRPr="00E912D9" w:rsidR="00AB4C7A">
              <w:rPr>
                <w:rFonts w:asciiTheme="majorBidi" w:hAnsiTheme="majorBidi" w:cstheme="majorBidi"/>
                <w:lang w:val="en-GB"/>
              </w:rPr>
              <w:t xml:space="preserve"> Portal at </w:t>
            </w:r>
            <w:hyperlink w:history="1" r:id="rId13">
              <w:r w:rsidRPr="00E912D9" w:rsidR="00AB4C7A">
                <w:rPr>
                  <w:rStyle w:val="Hyperlink"/>
                  <w:rFonts w:asciiTheme="majorBidi" w:hAnsiTheme="majorBidi" w:cstheme="majorBidi"/>
                  <w:lang w:val="en-GB"/>
                </w:rPr>
                <w:t>https://memportal.cor.europa.eu/</w:t>
              </w:r>
            </w:hyperlink>
            <w:r w:rsidRPr="00E912D9" w:rsidR="00AB4C7A">
              <w:rPr>
                <w:rFonts w:asciiTheme="majorBidi" w:hAnsiTheme="majorBidi" w:cstheme="majorBidi"/>
                <w:lang w:val="en-GB"/>
              </w:rPr>
              <w:t>).</w:t>
            </w:r>
          </w:p>
          <w:p w:rsidRPr="00E912D9" w:rsidR="00AB4C7A" w:rsidP="00AB4C7A" w:rsidRDefault="00AB4C7A" w14:paraId="0916D8F9" w14:textId="77777777">
            <w:pPr>
              <w:rPr>
                <w:rFonts w:asciiTheme="majorBidi" w:hAnsiTheme="majorBidi" w:cstheme="majorBidi"/>
                <w:lang w:val="en-GB"/>
              </w:rPr>
            </w:pPr>
          </w:p>
          <w:p w:rsidRPr="00E912D9" w:rsidR="00DA038A" w:rsidP="00AB4C7A" w:rsidRDefault="00AB4C7A" w14:paraId="0B2FB596" w14:textId="4E6C4298">
            <w:pPr>
              <w:rPr>
                <w:rFonts w:asciiTheme="majorBidi" w:hAnsiTheme="majorBidi" w:cstheme="majorBidi"/>
                <w:lang w:val="en-GB"/>
              </w:rPr>
            </w:pPr>
            <w:r w:rsidRPr="008248FD">
              <w:rPr>
                <w:rFonts w:asciiTheme="majorBidi" w:hAnsiTheme="majorBidi" w:cstheme="majorBidi"/>
                <w:u w:val="single"/>
                <w:lang w:val="en-GB"/>
              </w:rPr>
              <w:t>Number of signatures required</w:t>
            </w:r>
            <w:r w:rsidRPr="00E912D9">
              <w:rPr>
                <w:rFonts w:asciiTheme="majorBidi" w:hAnsiTheme="majorBidi" w:cstheme="majorBidi"/>
                <w:lang w:val="en-GB"/>
              </w:rPr>
              <w:t>: 6</w:t>
            </w:r>
          </w:p>
          <w:p w:rsidRPr="00E912D9" w:rsidR="004F76A8" w:rsidP="00AB4C7A" w:rsidRDefault="004F76A8" w14:paraId="6B8971AD" w14:textId="76508C9F">
            <w:pPr>
              <w:rPr>
                <w:rFonts w:asciiTheme="majorBidi" w:hAnsiTheme="majorBidi" w:cstheme="majorBidi"/>
                <w:lang w:val="en-GB"/>
              </w:rPr>
            </w:pPr>
          </w:p>
        </w:tc>
      </w:tr>
    </w:tbl>
    <w:p w:rsidRPr="00E912D9" w:rsidR="00DA038A" w:rsidP="002143FF" w:rsidRDefault="00DA038A" w14:paraId="7305B581" w14:textId="4761D2B4">
      <w:pPr>
        <w:rPr>
          <w:rFonts w:asciiTheme="majorBidi" w:hAnsiTheme="majorBidi" w:cstheme="majorBidi"/>
          <w:lang w:val="en-GB"/>
        </w:rPr>
      </w:pPr>
    </w:p>
    <w:p w:rsidRPr="008248FD" w:rsidR="004F76A8" w:rsidP="002143FF" w:rsidRDefault="004F76A8" w14:paraId="61A7B8C3" w14:textId="77777777">
      <w:pPr>
        <w:rPr>
          <w:lang w:val="en-GB"/>
        </w:rPr>
        <w:sectPr w:rsidRPr="008248FD" w:rsidR="004F76A8" w:rsidSect="008248FD">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94" w:gutter="0"/>
          <w:pgNumType w:start="1"/>
          <w:cols w:space="708"/>
          <w:docGrid w:linePitch="360"/>
        </w:sectPr>
      </w:pPr>
    </w:p>
    <w:p w:rsidRPr="008248FD" w:rsidR="00CE063A" w:rsidP="002143FF" w:rsidRDefault="00CE063A" w14:paraId="1D083602" w14:textId="2A439FDB">
      <w:pPr>
        <w:rPr>
          <w:lang w:val="en-GB"/>
        </w:rPr>
      </w:pPr>
    </w:p>
    <w:tbl>
      <w:tblPr>
        <w:tblW w:w="0" w:type="auto"/>
        <w:tblLayout w:type="fixed"/>
        <w:tblLook w:val="01E0" w:firstRow="1" w:lastRow="1" w:firstColumn="1" w:lastColumn="1" w:noHBand="0" w:noVBand="0"/>
      </w:tblPr>
      <w:tblGrid>
        <w:gridCol w:w="9287"/>
      </w:tblGrid>
      <w:tr w:rsidRPr="00E912D9" w:rsidR="00CE063A" w:rsidTr="008607A4" w14:paraId="0C2B6B47" w14:textId="77777777">
        <w:trPr>
          <w:trHeight w:val="12474"/>
        </w:trPr>
        <w:tc>
          <w:tcPr>
            <w:tcW w:w="9287" w:type="dxa"/>
            <w:vAlign w:val="bottom"/>
          </w:tcPr>
          <w:p w:rsidRPr="008248FD" w:rsidR="00CE063A" w:rsidP="002143FF" w:rsidRDefault="00CE063A" w14:paraId="06A18E94" w14:textId="20883254">
            <w:pPr>
              <w:tabs>
                <w:tab w:val="left" w:pos="3436"/>
              </w:tabs>
              <w:rPr>
                <w:b/>
                <w:bCs/>
                <w:lang w:val="en-GB"/>
              </w:rPr>
            </w:pPr>
            <w:r w:rsidRPr="008248FD">
              <w:rPr>
                <w:b/>
                <w:bCs/>
                <w:lang w:val="en-GB"/>
              </w:rPr>
              <w:t>Reference documents:</w:t>
            </w:r>
          </w:p>
          <w:p w:rsidRPr="008248FD" w:rsidR="00CE063A" w:rsidP="002143FF" w:rsidRDefault="00CE063A" w14:paraId="7EE76FBF" w14:textId="77777777">
            <w:pPr>
              <w:tabs>
                <w:tab w:val="left" w:pos="3436"/>
              </w:tabs>
              <w:rPr>
                <w:lang w:val="en-GB"/>
              </w:rPr>
            </w:pPr>
          </w:p>
          <w:p w:rsidRPr="00E912D9" w:rsidR="00CE063A" w:rsidP="002143FF" w:rsidRDefault="00CE063A" w14:paraId="2EBD994E" w14:textId="271DA282">
            <w:pPr>
              <w:rPr>
                <w:rFonts w:asciiTheme="majorBidi" w:hAnsiTheme="majorBidi" w:cstheme="majorBidi"/>
                <w:lang w:val="en-GB"/>
              </w:rPr>
            </w:pPr>
            <w:r w:rsidRPr="00E912D9">
              <w:rPr>
                <w:rFonts w:asciiTheme="majorBidi" w:hAnsiTheme="majorBidi" w:cstheme="majorBidi"/>
                <w:lang w:val="en-GB"/>
              </w:rPr>
              <w:t xml:space="preserve">Communication on </w:t>
            </w:r>
            <w:r w:rsidRPr="00E912D9">
              <w:rPr>
                <w:rFonts w:asciiTheme="majorBidi" w:hAnsiTheme="majorBidi" w:cstheme="majorBidi"/>
                <w:i/>
                <w:iCs/>
                <w:lang w:val="en-GB"/>
              </w:rPr>
              <w:t>Securing our future Europe’s 2040 climate target and path to climate neutrality by 2050 building a sustainable, just and prosperous society</w:t>
            </w:r>
            <w:r w:rsidRPr="00E912D9">
              <w:rPr>
                <w:rFonts w:asciiTheme="majorBidi" w:hAnsiTheme="majorBidi" w:cstheme="majorBidi"/>
                <w:lang w:val="en-GB"/>
              </w:rPr>
              <w:t xml:space="preserve"> (COM/2024/63 final)</w:t>
            </w:r>
          </w:p>
          <w:p w:rsidRPr="00E912D9" w:rsidR="00CE063A" w:rsidP="002143FF" w:rsidRDefault="00CE063A" w14:paraId="36F018D0" w14:textId="77777777">
            <w:pPr>
              <w:rPr>
                <w:rFonts w:asciiTheme="majorBidi" w:hAnsiTheme="majorBidi" w:cstheme="majorBidi"/>
                <w:lang w:val="en-GB"/>
              </w:rPr>
            </w:pPr>
          </w:p>
          <w:p w:rsidRPr="008248FD" w:rsidR="00CE063A" w:rsidP="002143FF" w:rsidRDefault="00CE063A" w14:paraId="765A95A2" w14:textId="47B41FB2">
            <w:pPr>
              <w:tabs>
                <w:tab w:val="left" w:pos="3436"/>
              </w:tabs>
              <w:rPr>
                <w:lang w:val="en-GB"/>
              </w:rPr>
            </w:pPr>
            <w:r w:rsidRPr="00E912D9">
              <w:rPr>
                <w:rFonts w:asciiTheme="majorBidi" w:hAnsiTheme="majorBidi" w:cstheme="majorBidi"/>
                <w:lang w:val="en-GB"/>
              </w:rPr>
              <w:t xml:space="preserve">Communication on </w:t>
            </w:r>
            <w:r w:rsidRPr="00E912D9">
              <w:rPr>
                <w:rFonts w:asciiTheme="majorBidi" w:hAnsiTheme="majorBidi" w:cstheme="majorBidi"/>
                <w:i/>
                <w:iCs/>
                <w:lang w:val="en-GB"/>
              </w:rPr>
              <w:t xml:space="preserve">Managing climate risks – protecting people and prosperity </w:t>
            </w:r>
            <w:r w:rsidRPr="00E912D9">
              <w:rPr>
                <w:rFonts w:asciiTheme="majorBidi" w:hAnsiTheme="majorBidi" w:cstheme="majorBidi"/>
                <w:lang w:val="en-GB"/>
              </w:rPr>
              <w:t>(COM/2024/91 final)</w:t>
            </w:r>
          </w:p>
        </w:tc>
      </w:tr>
    </w:tbl>
    <w:p w:rsidRPr="00E912D9" w:rsidR="00CE063A" w:rsidP="008248FD" w:rsidRDefault="00CE063A" w14:paraId="2C4A26DB" w14:textId="5C170997">
      <w:pPr>
        <w:jc w:val="left"/>
        <w:rPr>
          <w:rFonts w:asciiTheme="majorBidi" w:hAnsiTheme="majorBidi" w:cstheme="majorBidi"/>
          <w:lang w:val="en-GB"/>
        </w:rPr>
      </w:pPr>
      <w:r w:rsidRPr="008248FD">
        <w:rPr>
          <w:lang w:val="en-GB"/>
        </w:rPr>
        <w:br w:type="page"/>
      </w:r>
    </w:p>
    <w:p w:rsidRPr="00E912D9" w:rsidR="00144EB4" w:rsidP="002143FF" w:rsidRDefault="00144EB4" w14:paraId="2F0341A6" w14:textId="56496971">
      <w:pPr>
        <w:rPr>
          <w:rFonts w:asciiTheme="majorBidi" w:hAnsiTheme="majorBidi" w:cstheme="majorBidi"/>
          <w:lang w:val="en-GB"/>
        </w:rPr>
      </w:pPr>
    </w:p>
    <w:p w:rsidRPr="00E912D9" w:rsidR="00515436" w:rsidP="002143FF" w:rsidRDefault="007D7CB6" w14:paraId="3A9F2BD4" w14:textId="77D7DB3F">
      <w:pPr>
        <w:jc w:val="center"/>
        <w:rPr>
          <w:rFonts w:asciiTheme="majorBidi" w:hAnsiTheme="majorBidi" w:cstheme="majorBidi"/>
          <w:b/>
          <w:bCs/>
          <w:lang w:val="en-GB"/>
        </w:rPr>
      </w:pPr>
      <w:r w:rsidRPr="00E912D9">
        <w:rPr>
          <w:rFonts w:asciiTheme="majorBidi" w:hAnsiTheme="majorBidi" w:cstheme="majorBidi"/>
          <w:b/>
          <w:lang w:val="en-GB"/>
        </w:rPr>
        <w:t xml:space="preserve">Draft opinion </w:t>
      </w:r>
      <w:r w:rsidRPr="00E912D9" w:rsidR="00DA038A">
        <w:rPr>
          <w:rFonts w:asciiTheme="majorBidi" w:hAnsiTheme="majorBidi" w:cstheme="majorBidi"/>
          <w:b/>
          <w:lang w:val="en-GB"/>
        </w:rPr>
        <w:t xml:space="preserve">of the </w:t>
      </w:r>
      <w:r w:rsidRPr="00E912D9" w:rsidR="00593757">
        <w:rPr>
          <w:rFonts w:asciiTheme="majorBidi" w:hAnsiTheme="majorBidi" w:cstheme="majorBidi"/>
          <w:b/>
          <w:lang w:val="en-GB"/>
        </w:rPr>
        <w:t xml:space="preserve">European Committee of the Regions </w:t>
      </w:r>
      <w:r w:rsidRPr="00E912D9" w:rsidR="0033646B">
        <w:rPr>
          <w:rFonts w:asciiTheme="majorBidi" w:hAnsiTheme="majorBidi" w:cstheme="majorBidi"/>
          <w:b/>
          <w:lang w:val="en-GB"/>
        </w:rPr>
        <w:t>–</w:t>
      </w:r>
      <w:r w:rsidRPr="00E912D9" w:rsidR="005005F3">
        <w:rPr>
          <w:rFonts w:asciiTheme="majorBidi" w:hAnsiTheme="majorBidi" w:cstheme="majorBidi"/>
          <w:b/>
          <w:lang w:val="en-GB"/>
        </w:rPr>
        <w:br/>
      </w:r>
      <w:r w:rsidRPr="00E912D9" w:rsidDel="00CD1083" w:rsidR="00515436">
        <w:rPr>
          <w:rFonts w:asciiTheme="majorBidi" w:hAnsiTheme="majorBidi" w:cstheme="majorBidi"/>
          <w:b/>
          <w:bCs/>
          <w:lang w:val="en-GB"/>
        </w:rPr>
        <w:t>The future of EU climate policy: aligning mitigation targets and adaptation challenges</w:t>
      </w:r>
    </w:p>
    <w:p w:rsidRPr="00E912D9" w:rsidR="002043B3" w:rsidP="002143FF" w:rsidRDefault="002043B3" w14:paraId="2B7ACE09" w14:textId="77777777">
      <w:pPr>
        <w:jc w:val="center"/>
        <w:rPr>
          <w:rFonts w:asciiTheme="majorBidi" w:hAnsiTheme="majorBidi" w:cstheme="majorBidi"/>
          <w:b/>
          <w:bCs/>
          <w:lang w:val="en-GB"/>
        </w:rPr>
      </w:pPr>
    </w:p>
    <w:p w:rsidRPr="00E912D9" w:rsidR="00973D99" w:rsidP="002143FF" w:rsidRDefault="00973D99" w14:paraId="378EF7BE" w14:textId="3B110ED9">
      <w:pPr>
        <w:keepNext/>
        <w:numPr>
          <w:ilvl w:val="0"/>
          <w:numId w:val="3"/>
        </w:numPr>
        <w:overflowPunct w:val="0"/>
        <w:autoSpaceDE w:val="0"/>
        <w:autoSpaceDN w:val="0"/>
        <w:adjustRightInd w:val="0"/>
        <w:ind w:left="567" w:hanging="567"/>
        <w:textAlignment w:val="baseline"/>
        <w:rPr>
          <w:rFonts w:asciiTheme="majorBidi" w:hAnsiTheme="majorBidi" w:cstheme="majorBidi"/>
          <w:b/>
          <w:lang w:val="en-GB"/>
        </w:rPr>
      </w:pPr>
      <w:r w:rsidRPr="00E912D9">
        <w:rPr>
          <w:rFonts w:asciiTheme="majorBidi" w:hAnsiTheme="majorBidi" w:cstheme="majorBidi"/>
          <w:b/>
          <w:bCs/>
          <w:lang w:val="en-GB"/>
        </w:rPr>
        <w:t>POLICY</w:t>
      </w:r>
      <w:r w:rsidRPr="00E912D9">
        <w:rPr>
          <w:rFonts w:asciiTheme="majorBidi" w:hAnsiTheme="majorBidi" w:cstheme="majorBidi"/>
          <w:b/>
          <w:lang w:val="en-GB"/>
        </w:rPr>
        <w:t xml:space="preserve"> RECOMMENDATIONS</w:t>
      </w:r>
    </w:p>
    <w:p w:rsidRPr="00E912D9" w:rsidR="00A02371" w:rsidP="002143FF" w:rsidRDefault="00A02371" w14:paraId="02C2FC8F" w14:textId="77777777">
      <w:pPr>
        <w:keepNext/>
        <w:overflowPunct w:val="0"/>
        <w:autoSpaceDE w:val="0"/>
        <w:autoSpaceDN w:val="0"/>
        <w:adjustRightInd w:val="0"/>
        <w:textAlignment w:val="baseline"/>
        <w:rPr>
          <w:rFonts w:asciiTheme="majorBidi" w:hAnsiTheme="majorBidi" w:cstheme="majorBidi"/>
          <w:b/>
          <w:lang w:val="en-GB"/>
        </w:rPr>
      </w:pPr>
    </w:p>
    <w:p w:rsidRPr="00E912D9" w:rsidR="00A02371" w:rsidP="002143FF" w:rsidRDefault="00A02371" w14:paraId="0D5FA6D6" w14:textId="02E5DEC8">
      <w:pPr>
        <w:keepNext/>
        <w:rPr>
          <w:rFonts w:asciiTheme="majorBidi" w:hAnsiTheme="majorBidi" w:cstheme="majorBidi"/>
          <w:lang w:val="en-GB"/>
        </w:rPr>
      </w:pPr>
      <w:r w:rsidRPr="00E912D9">
        <w:rPr>
          <w:rFonts w:asciiTheme="majorBidi" w:hAnsiTheme="majorBidi" w:cstheme="majorBidi"/>
          <w:lang w:val="en-GB"/>
        </w:rPr>
        <w:t>THE EUROPEAN COMMITTEE OF THE REGIONS</w:t>
      </w:r>
      <w:r w:rsidRPr="00E912D9" w:rsidR="002043B3">
        <w:rPr>
          <w:rFonts w:asciiTheme="majorBidi" w:hAnsiTheme="majorBidi" w:cstheme="majorBidi"/>
          <w:lang w:val="en-GB"/>
        </w:rPr>
        <w:t xml:space="preserve"> (CoR)</w:t>
      </w:r>
    </w:p>
    <w:p w:rsidRPr="00E912D9" w:rsidR="00CE063A" w:rsidP="002143FF" w:rsidRDefault="00CE063A" w14:paraId="47A04F82" w14:textId="77777777">
      <w:pPr>
        <w:keepNext/>
        <w:rPr>
          <w:rFonts w:asciiTheme="majorBidi" w:hAnsiTheme="majorBidi" w:cstheme="majorBidi"/>
          <w:lang w:val="en-GB"/>
        </w:rPr>
      </w:pPr>
    </w:p>
    <w:p w:rsidRPr="00E912D9" w:rsidR="00312C23" w:rsidP="002143FF" w:rsidRDefault="00312C23" w14:paraId="788D8619" w14:textId="6C17188D">
      <w:pPr>
        <w:rPr>
          <w:rFonts w:asciiTheme="majorBidi" w:hAnsiTheme="majorBidi" w:cstheme="majorBidi"/>
          <w:b/>
          <w:bCs/>
          <w:lang w:val="en-GB"/>
        </w:rPr>
      </w:pPr>
      <w:r w:rsidRPr="00E912D9">
        <w:rPr>
          <w:rFonts w:asciiTheme="majorBidi" w:hAnsiTheme="majorBidi" w:cstheme="majorBidi"/>
          <w:b/>
          <w:bCs/>
          <w:lang w:val="en-GB"/>
        </w:rPr>
        <w:t>Focus: Mobili</w:t>
      </w:r>
      <w:r w:rsidRPr="00E912D9" w:rsidR="00D57B65">
        <w:rPr>
          <w:rFonts w:asciiTheme="majorBidi" w:hAnsiTheme="majorBidi" w:cstheme="majorBidi"/>
          <w:b/>
          <w:bCs/>
          <w:lang w:val="en-GB"/>
        </w:rPr>
        <w:t>s</w:t>
      </w:r>
      <w:r w:rsidRPr="00E912D9">
        <w:rPr>
          <w:rFonts w:asciiTheme="majorBidi" w:hAnsiTheme="majorBidi" w:cstheme="majorBidi"/>
          <w:b/>
          <w:bCs/>
          <w:lang w:val="en-GB"/>
        </w:rPr>
        <w:t>ing systemic transformation for climate neutrality</w:t>
      </w:r>
    </w:p>
    <w:p w:rsidRPr="00E912D9" w:rsidR="00CE063A" w:rsidP="002143FF" w:rsidRDefault="00CE063A" w14:paraId="4D15C066" w14:textId="77777777">
      <w:pPr>
        <w:rPr>
          <w:rFonts w:asciiTheme="majorBidi" w:hAnsiTheme="majorBidi" w:cstheme="majorBidi"/>
          <w:b/>
          <w:bCs/>
          <w:lang w:val="en-GB"/>
        </w:rPr>
      </w:pPr>
    </w:p>
    <w:p w:rsidRPr="008248FD" w:rsidR="00A02371" w:rsidP="008248FD" w:rsidRDefault="00A02371" w14:paraId="161BE115" w14:textId="4702B65A">
      <w:pPr>
        <w:pStyle w:val="Heading1"/>
        <w:rPr>
          <w:lang w:val="en-GB"/>
        </w:rPr>
      </w:pPr>
      <w:r w:rsidRPr="008248FD">
        <w:rPr>
          <w:lang w:val="en-GB"/>
        </w:rPr>
        <w:t>is convinced</w:t>
      </w:r>
      <w:r w:rsidRPr="008248FD" w:rsidR="00890E1C">
        <w:rPr>
          <w:lang w:val="en-GB"/>
        </w:rPr>
        <w:t xml:space="preserve"> – </w:t>
      </w:r>
      <w:r w:rsidRPr="008248FD" w:rsidR="00594972">
        <w:rPr>
          <w:lang w:val="en-GB"/>
        </w:rPr>
        <w:t>based on scientific facts and EU policy experience and evidence</w:t>
      </w:r>
      <w:r w:rsidRPr="008248FD" w:rsidR="00890E1C">
        <w:rPr>
          <w:lang w:val="en-GB"/>
        </w:rPr>
        <w:t xml:space="preserve"> – </w:t>
      </w:r>
      <w:r w:rsidRPr="008248FD" w:rsidR="00594972">
        <w:rPr>
          <w:color w:val="000000" w:themeColor="text1"/>
          <w:lang w:val="en-GB"/>
        </w:rPr>
        <w:t xml:space="preserve">that the </w:t>
      </w:r>
      <w:r w:rsidRPr="008248FD" w:rsidR="00EE2590">
        <w:rPr>
          <w:color w:val="000000" w:themeColor="text1"/>
          <w:lang w:val="en-GB"/>
        </w:rPr>
        <w:t xml:space="preserve">EU-level targets, main </w:t>
      </w:r>
      <w:r w:rsidRPr="008248FD" w:rsidR="00890E1C">
        <w:rPr>
          <w:color w:val="000000" w:themeColor="text1"/>
          <w:lang w:val="en-GB"/>
        </w:rPr>
        <w:t xml:space="preserve">regulatory bases </w:t>
      </w:r>
      <w:r w:rsidRPr="008248FD" w:rsidR="00EE2590">
        <w:rPr>
          <w:color w:val="000000" w:themeColor="text1"/>
          <w:lang w:val="en-GB"/>
        </w:rPr>
        <w:t>and many initiatives</w:t>
      </w:r>
      <w:r w:rsidRPr="008248FD" w:rsidR="00594972">
        <w:rPr>
          <w:color w:val="000000" w:themeColor="text1"/>
          <w:lang w:val="en-GB"/>
        </w:rPr>
        <w:t xml:space="preserve"> for climate neutrality are </w:t>
      </w:r>
      <w:r w:rsidRPr="008248FD" w:rsidR="00EE2590">
        <w:rPr>
          <w:color w:val="000000" w:themeColor="text1"/>
          <w:lang w:val="en-GB"/>
        </w:rPr>
        <w:t xml:space="preserve">well </w:t>
      </w:r>
      <w:r w:rsidRPr="008248FD" w:rsidR="00890E1C">
        <w:rPr>
          <w:color w:val="000000" w:themeColor="text1"/>
          <w:lang w:val="en-GB"/>
        </w:rPr>
        <w:t>established</w:t>
      </w:r>
      <w:r w:rsidRPr="008248FD" w:rsidR="00594972">
        <w:rPr>
          <w:lang w:val="en-GB"/>
        </w:rPr>
        <w:t>, but now is the time to mobili</w:t>
      </w:r>
      <w:r w:rsidRPr="008248FD" w:rsidR="00D57B65">
        <w:rPr>
          <w:lang w:val="en-GB"/>
        </w:rPr>
        <w:t>s</w:t>
      </w:r>
      <w:r w:rsidRPr="008248FD" w:rsidR="00594972">
        <w:rPr>
          <w:lang w:val="en-GB"/>
        </w:rPr>
        <w:t>e</w:t>
      </w:r>
      <w:r w:rsidRPr="008248FD">
        <w:rPr>
          <w:lang w:val="en-GB"/>
        </w:rPr>
        <w:t xml:space="preserve"> a Europe-wide systemic transformation</w:t>
      </w:r>
      <w:r w:rsidRPr="008248FD" w:rsidR="00594972">
        <w:rPr>
          <w:lang w:val="en-GB"/>
        </w:rPr>
        <w:t>. W</w:t>
      </w:r>
      <w:r w:rsidRPr="008248FD">
        <w:rPr>
          <w:lang w:val="en-GB"/>
        </w:rPr>
        <w:t xml:space="preserve">ithout </w:t>
      </w:r>
      <w:r w:rsidRPr="008248FD" w:rsidR="00890E1C">
        <w:rPr>
          <w:lang w:val="en-GB"/>
        </w:rPr>
        <w:t>this</w:t>
      </w:r>
      <w:r w:rsidRPr="008248FD">
        <w:rPr>
          <w:lang w:val="en-GB"/>
        </w:rPr>
        <w:t>, the</w:t>
      </w:r>
      <w:r w:rsidRPr="008248FD" w:rsidR="00594972">
        <w:rPr>
          <w:lang w:val="en-GB"/>
        </w:rPr>
        <w:t xml:space="preserve"> ambitious</w:t>
      </w:r>
      <w:r w:rsidRPr="008248FD">
        <w:rPr>
          <w:lang w:val="en-GB"/>
        </w:rPr>
        <w:t xml:space="preserve"> obligatory targets will not be reached;</w:t>
      </w:r>
    </w:p>
    <w:p w:rsidRPr="00E912D9" w:rsidR="00000312" w:rsidP="008248FD" w:rsidRDefault="00000312" w14:paraId="4E1A7EF3" w14:textId="77777777">
      <w:pPr>
        <w:rPr>
          <w:rFonts w:asciiTheme="majorBidi" w:hAnsiTheme="majorBidi" w:cstheme="majorBidi"/>
          <w:lang w:val="en-GB"/>
        </w:rPr>
      </w:pPr>
    </w:p>
    <w:p w:rsidRPr="008248FD" w:rsidR="0022728B" w:rsidP="008248FD" w:rsidRDefault="00DA3367" w14:paraId="4696AD2F" w14:textId="55D2570F">
      <w:pPr>
        <w:pStyle w:val="Heading1"/>
        <w:rPr>
          <w:lang w:val="en-GB"/>
        </w:rPr>
      </w:pPr>
      <w:r w:rsidRPr="008248FD">
        <w:rPr>
          <w:lang w:val="en-GB"/>
        </w:rPr>
        <w:t>emphasi</w:t>
      </w:r>
      <w:r w:rsidRPr="008248FD" w:rsidR="00A22A21">
        <w:rPr>
          <w:lang w:val="en-GB"/>
        </w:rPr>
        <w:t>s</w:t>
      </w:r>
      <w:r w:rsidRPr="008248FD">
        <w:rPr>
          <w:lang w:val="en-GB"/>
        </w:rPr>
        <w:t xml:space="preserve">es the critical role of </w:t>
      </w:r>
      <w:r w:rsidRPr="008248FD" w:rsidR="0022728B">
        <w:rPr>
          <w:lang w:val="en-GB"/>
        </w:rPr>
        <w:t xml:space="preserve">local and regional authorities </w:t>
      </w:r>
      <w:r w:rsidRPr="008248FD" w:rsidR="00BF5411">
        <w:rPr>
          <w:lang w:val="en-GB"/>
        </w:rPr>
        <w:t xml:space="preserve">in </w:t>
      </w:r>
      <w:r w:rsidRPr="008248FD">
        <w:rPr>
          <w:lang w:val="en-GB"/>
        </w:rPr>
        <w:t xml:space="preserve">urban </w:t>
      </w:r>
      <w:r w:rsidRPr="008248FD" w:rsidR="00BF5411">
        <w:rPr>
          <w:lang w:val="en-GB"/>
        </w:rPr>
        <w:t xml:space="preserve">and </w:t>
      </w:r>
      <w:r w:rsidRPr="008248FD">
        <w:rPr>
          <w:lang w:val="en-GB"/>
        </w:rPr>
        <w:t xml:space="preserve">regional settings: </w:t>
      </w:r>
      <w:r w:rsidRPr="008248FD" w:rsidR="0022728B">
        <w:rPr>
          <w:lang w:val="en-GB"/>
        </w:rPr>
        <w:t>70% of climate</w:t>
      </w:r>
      <w:r w:rsidRPr="008248FD">
        <w:rPr>
          <w:lang w:val="en-GB"/>
        </w:rPr>
        <w:t xml:space="preserve"> change</w:t>
      </w:r>
      <w:r w:rsidRPr="008248FD" w:rsidR="0022728B">
        <w:rPr>
          <w:lang w:val="en-GB"/>
        </w:rPr>
        <w:t xml:space="preserve"> mitigation and 90% of adaptation </w:t>
      </w:r>
      <w:r w:rsidRPr="008248FD">
        <w:rPr>
          <w:lang w:val="en-GB"/>
        </w:rPr>
        <w:t>initiatives are executed at the municipality and regional levels</w:t>
      </w:r>
      <w:r w:rsidRPr="008248FD" w:rsidR="00015139">
        <w:rPr>
          <w:sz w:val="24"/>
          <w:szCs w:val="24"/>
          <w:vertAlign w:val="superscript"/>
          <w:lang w:val="en-GB"/>
        </w:rPr>
        <w:footnoteReference w:id="1"/>
      </w:r>
      <w:r w:rsidRPr="008248FD">
        <w:rPr>
          <w:lang w:val="en-GB"/>
        </w:rPr>
        <w:t xml:space="preserve">. Given their pivotal responsibility in spearheading climate action, these authorities must be centrally involved in both the strategic planning and the execution phases of climate </w:t>
      </w:r>
      <w:r w:rsidRPr="008248FD" w:rsidR="0022728B">
        <w:rPr>
          <w:lang w:val="en-GB"/>
        </w:rPr>
        <w:t>policies;</w:t>
      </w:r>
    </w:p>
    <w:p w:rsidRPr="00E912D9" w:rsidR="00CE063A" w:rsidP="008248FD" w:rsidRDefault="00CE063A" w14:paraId="5338FEB8" w14:textId="1AF418BD">
      <w:pPr>
        <w:rPr>
          <w:rFonts w:asciiTheme="majorBidi" w:hAnsiTheme="majorBidi" w:cstheme="majorBidi"/>
          <w:lang w:val="en-GB"/>
        </w:rPr>
      </w:pPr>
    </w:p>
    <w:p w:rsidRPr="008248FD" w:rsidR="00C24D3F" w:rsidP="008248FD" w:rsidRDefault="00DA3367" w14:paraId="2165B9CB" w14:textId="01BC0957">
      <w:pPr>
        <w:pStyle w:val="Heading1"/>
        <w:rPr>
          <w:lang w:val="en-GB"/>
        </w:rPr>
      </w:pPr>
      <w:r w:rsidRPr="008248FD">
        <w:rPr>
          <w:lang w:val="en-GB"/>
        </w:rPr>
        <w:t>endorses the European Commission’s proposal to establish a 90% net emissions reduction target by 2040, aligning with its COP28 and COP29 policies. Option 3 will best facilitate measures to reach the EU’s 2050 climate neutrality goal. It will accelerate the EU’s disengagement from fossil fuels, particularly imports from Russia and other non-democratic states, while boosting the EU’s strategic autonomy and resilience. It will shield the EU from fossil fuel price volatility, enhance industrial competitiveness, foster job creation through new technologies, and more effectively mitigate climate change’s economic and health impacts. The CoR highlights the EU’s comprehensive climate and energy framework, which promotes private investment by leveraging market-based mechanisms, providing attractive investment-friendly and stable regulations, and is also essential in helping vulnerable regions and securing Europe’s cohesion;</w:t>
      </w:r>
    </w:p>
    <w:p w:rsidRPr="00E912D9" w:rsidR="00C24D3F" w:rsidP="008248FD" w:rsidRDefault="00C24D3F" w14:paraId="3B3FAFB2" w14:textId="77777777">
      <w:pPr>
        <w:rPr>
          <w:rFonts w:asciiTheme="majorBidi" w:hAnsiTheme="majorBidi" w:cstheme="majorBidi"/>
          <w:lang w:val="en-GB"/>
        </w:rPr>
      </w:pPr>
    </w:p>
    <w:p w:rsidRPr="008248FD" w:rsidR="00BC6524" w:rsidP="008248FD" w:rsidRDefault="007C18C8" w14:paraId="1D7EB3A7" w14:textId="1E53E646">
      <w:pPr>
        <w:pStyle w:val="Heading1"/>
        <w:rPr>
          <w:lang w:val="en-GB"/>
        </w:rPr>
      </w:pPr>
      <w:r w:rsidRPr="008248FD">
        <w:rPr>
          <w:lang w:val="en-GB"/>
        </w:rPr>
        <w:t>outlines how the EU should implement the CoR</w:t>
      </w:r>
      <w:r w:rsidRPr="008248FD" w:rsidR="005B5E49">
        <w:rPr>
          <w:lang w:val="en-GB"/>
        </w:rPr>
        <w:t>’s</w:t>
      </w:r>
      <w:r w:rsidRPr="008248FD">
        <w:rPr>
          <w:lang w:val="en-GB"/>
        </w:rPr>
        <w:t xml:space="preserve"> policy </w:t>
      </w:r>
      <w:r w:rsidRPr="008248FD" w:rsidR="00C21331">
        <w:rPr>
          <w:lang w:val="en-GB"/>
        </w:rPr>
        <w:t xml:space="preserve">recommendations in </w:t>
      </w:r>
      <w:r w:rsidRPr="008248FD" w:rsidR="00890E1C">
        <w:rPr>
          <w:lang w:val="en-GB"/>
        </w:rPr>
        <w:t xml:space="preserve">its </w:t>
      </w:r>
      <w:r w:rsidRPr="008248FD">
        <w:rPr>
          <w:lang w:val="en-GB"/>
        </w:rPr>
        <w:t>report</w:t>
      </w:r>
      <w:r w:rsidRPr="008248FD" w:rsidR="005B5E49">
        <w:rPr>
          <w:i/>
          <w:iCs/>
          <w:lang w:val="en-GB"/>
        </w:rPr>
        <w:t xml:space="preserve"> Regions and Cities Shaping the European Green Deal 2.0</w:t>
      </w:r>
      <w:r w:rsidRPr="008248FD" w:rsidR="00C21331">
        <w:rPr>
          <w:rStyle w:val="FootnoteReference"/>
          <w:rFonts w:asciiTheme="majorBidi" w:hAnsiTheme="majorBidi" w:cstheme="majorBidi"/>
          <w:lang w:val="en-GB"/>
        </w:rPr>
        <w:footnoteReference w:id="2"/>
      </w:r>
      <w:r w:rsidRPr="008248FD">
        <w:rPr>
          <w:lang w:val="en-GB"/>
        </w:rPr>
        <w:t xml:space="preserve"> by defining cohesive, ambitious and inclusive policies that integrate a global-local approach, address multiple crises and align political, economic and financial priorities</w:t>
      </w:r>
      <w:r w:rsidRPr="008248FD" w:rsidR="00AC49F1">
        <w:rPr>
          <w:lang w:val="en-GB"/>
        </w:rPr>
        <w:t>;</w:t>
      </w:r>
    </w:p>
    <w:p w:rsidRPr="00E912D9" w:rsidR="00015139" w:rsidP="008248FD" w:rsidRDefault="00015139" w14:paraId="13B5D7EF" w14:textId="77777777">
      <w:pPr>
        <w:rPr>
          <w:rFonts w:asciiTheme="majorBidi" w:hAnsiTheme="majorBidi" w:cstheme="majorBidi"/>
          <w:lang w:val="en-GB"/>
        </w:rPr>
      </w:pPr>
    </w:p>
    <w:p w:rsidRPr="008248FD" w:rsidR="00D7133F" w:rsidP="008248FD" w:rsidRDefault="00DA3367" w14:paraId="0FF3495C" w14:textId="1E9DEFF2">
      <w:pPr>
        <w:pStyle w:val="Heading1"/>
        <w:rPr>
          <w:lang w:val="en-GB"/>
        </w:rPr>
      </w:pPr>
      <w:r w:rsidRPr="008248FD">
        <w:rPr>
          <w:lang w:val="en-GB"/>
        </w:rPr>
        <w:t xml:space="preserve">emphasises </w:t>
      </w:r>
      <w:r w:rsidRPr="008248FD" w:rsidR="00592E54">
        <w:rPr>
          <w:lang w:val="en-GB"/>
        </w:rPr>
        <w:t>that</w:t>
      </w:r>
      <w:r w:rsidRPr="008248FD" w:rsidR="006E113A">
        <w:rPr>
          <w:lang w:val="en-GB"/>
        </w:rPr>
        <w:t xml:space="preserve"> </w:t>
      </w:r>
      <w:r w:rsidRPr="008248FD">
        <w:rPr>
          <w:lang w:val="en-GB"/>
        </w:rPr>
        <w:t xml:space="preserve">achieving </w:t>
      </w:r>
      <w:r w:rsidRPr="008248FD" w:rsidR="004449A0">
        <w:rPr>
          <w:lang w:val="en-GB"/>
        </w:rPr>
        <w:t>carbon neutrality</w:t>
      </w:r>
      <w:r w:rsidRPr="008248FD">
        <w:rPr>
          <w:lang w:val="en-GB"/>
        </w:rPr>
        <w:t xml:space="preserve"> and enhancing climate change adaptation and resilience exceeds</w:t>
      </w:r>
      <w:r w:rsidRPr="008248FD" w:rsidR="004449A0">
        <w:rPr>
          <w:lang w:val="en-GB"/>
        </w:rPr>
        <w:t xml:space="preserve"> </w:t>
      </w:r>
      <w:r w:rsidRPr="008248FD" w:rsidR="005B5E49">
        <w:rPr>
          <w:lang w:val="en-GB"/>
        </w:rPr>
        <w:t xml:space="preserve">the capacity of the </w:t>
      </w:r>
      <w:r w:rsidRPr="008248FD" w:rsidR="004449A0">
        <w:rPr>
          <w:lang w:val="en-GB"/>
        </w:rPr>
        <w:t>public sector</w:t>
      </w:r>
      <w:r w:rsidRPr="008248FD">
        <w:rPr>
          <w:lang w:val="en-GB"/>
        </w:rPr>
        <w:t xml:space="preserve"> alone; underscores the necessity of establishing</w:t>
      </w:r>
      <w:r w:rsidRPr="008248FD" w:rsidR="004449A0">
        <w:rPr>
          <w:lang w:val="en-GB"/>
        </w:rPr>
        <w:t xml:space="preserve"> new mechanisms to </w:t>
      </w:r>
      <w:r w:rsidRPr="008248FD">
        <w:rPr>
          <w:lang w:val="en-GB"/>
        </w:rPr>
        <w:t>mobilise substantial</w:t>
      </w:r>
      <w:r w:rsidRPr="008248FD" w:rsidDel="00DA3367">
        <w:rPr>
          <w:lang w:val="en-GB"/>
        </w:rPr>
        <w:t xml:space="preserve"> </w:t>
      </w:r>
      <w:r w:rsidRPr="008248FD" w:rsidR="004449A0">
        <w:rPr>
          <w:lang w:val="en-GB"/>
        </w:rPr>
        <w:t xml:space="preserve">private </w:t>
      </w:r>
      <w:r w:rsidRPr="008248FD">
        <w:rPr>
          <w:lang w:val="en-GB"/>
        </w:rPr>
        <w:t xml:space="preserve">investment </w:t>
      </w:r>
      <w:r w:rsidRPr="008248FD" w:rsidR="004449A0">
        <w:rPr>
          <w:lang w:val="en-GB"/>
        </w:rPr>
        <w:t>and</w:t>
      </w:r>
      <w:r w:rsidRPr="008248FD" w:rsidR="00392D86">
        <w:rPr>
          <w:lang w:val="en-GB"/>
        </w:rPr>
        <w:t xml:space="preserve"> </w:t>
      </w:r>
      <w:r w:rsidRPr="008248FD">
        <w:rPr>
          <w:lang w:val="en-GB"/>
        </w:rPr>
        <w:t xml:space="preserve">to enhance the effectiveness of </w:t>
      </w:r>
      <w:r w:rsidRPr="008248FD" w:rsidR="004449A0">
        <w:rPr>
          <w:lang w:val="en-GB"/>
        </w:rPr>
        <w:t xml:space="preserve">cohesion and </w:t>
      </w:r>
      <w:r w:rsidRPr="008248FD">
        <w:rPr>
          <w:lang w:val="en-GB"/>
        </w:rPr>
        <w:t xml:space="preserve">Horizon </w:t>
      </w:r>
      <w:r w:rsidRPr="008248FD" w:rsidR="004449A0">
        <w:rPr>
          <w:lang w:val="en-GB"/>
        </w:rPr>
        <w:t>funds</w:t>
      </w:r>
      <w:r w:rsidRPr="008248FD" w:rsidR="00392D86">
        <w:rPr>
          <w:lang w:val="en-GB"/>
        </w:rPr>
        <w:t xml:space="preserve"> </w:t>
      </w:r>
      <w:r w:rsidRPr="008248FD" w:rsidR="004449A0">
        <w:rPr>
          <w:lang w:val="en-GB"/>
        </w:rPr>
        <w:t xml:space="preserve">in </w:t>
      </w:r>
      <w:r w:rsidRPr="008248FD">
        <w:rPr>
          <w:lang w:val="en-GB"/>
        </w:rPr>
        <w:t xml:space="preserve">supporting </w:t>
      </w:r>
      <w:r w:rsidRPr="008248FD" w:rsidR="004449A0">
        <w:rPr>
          <w:lang w:val="en-GB"/>
        </w:rPr>
        <w:t>climate initiatives</w:t>
      </w:r>
      <w:r w:rsidRPr="008248FD">
        <w:rPr>
          <w:lang w:val="en-GB"/>
        </w:rPr>
        <w:t>;</w:t>
      </w:r>
      <w:r w:rsidRPr="008248FD" w:rsidR="00392D86">
        <w:rPr>
          <w:lang w:val="en-GB"/>
        </w:rPr>
        <w:t xml:space="preserve"> </w:t>
      </w:r>
      <w:r w:rsidRPr="008248FD">
        <w:rPr>
          <w:lang w:val="en-GB"/>
        </w:rPr>
        <w:t>additionally, highlights the urgent need to embrace all clean, non-fossil solutions to address climate change comprehensively</w:t>
      </w:r>
      <w:r w:rsidRPr="008248FD" w:rsidR="006E113A">
        <w:rPr>
          <w:lang w:val="en-GB"/>
        </w:rPr>
        <w:t>;</w:t>
      </w:r>
    </w:p>
    <w:p w:rsidRPr="00E912D9" w:rsidR="00000312" w:rsidP="008248FD" w:rsidRDefault="00000312" w14:paraId="72738F05" w14:textId="77777777">
      <w:pPr>
        <w:rPr>
          <w:rFonts w:asciiTheme="majorBidi" w:hAnsiTheme="majorBidi" w:cstheme="majorBidi"/>
          <w:lang w:val="en-GB"/>
        </w:rPr>
      </w:pPr>
    </w:p>
    <w:p w:rsidRPr="008248FD" w:rsidR="00602314" w:rsidP="008248FD" w:rsidRDefault="007C18C8" w14:paraId="5074C094" w14:textId="5484CB55">
      <w:pPr>
        <w:pStyle w:val="Heading1"/>
        <w:rPr>
          <w:lang w:val="en-GB"/>
        </w:rPr>
      </w:pPr>
      <w:r w:rsidRPr="008248FD">
        <w:rPr>
          <w:lang w:val="en-GB"/>
        </w:rPr>
        <w:t>presents a structured approach to advance EU climate policy with innovative, actionable</w:t>
      </w:r>
      <w:r w:rsidRPr="008248FD" w:rsidR="009B24CD">
        <w:rPr>
          <w:lang w:val="en-GB"/>
        </w:rPr>
        <w:t xml:space="preserve"> and technology-neutral</w:t>
      </w:r>
      <w:r w:rsidRPr="008248FD">
        <w:rPr>
          <w:lang w:val="en-GB"/>
        </w:rPr>
        <w:t xml:space="preserve"> ideas, focusing on </w:t>
      </w:r>
      <w:r w:rsidRPr="008248FD" w:rsidR="009B24CD">
        <w:rPr>
          <w:lang w:val="en-GB"/>
        </w:rPr>
        <w:t xml:space="preserve">the diverse contexts of </w:t>
      </w:r>
      <w:r w:rsidRPr="008248FD">
        <w:rPr>
          <w:lang w:val="en-GB"/>
        </w:rPr>
        <w:t>cities and regions and ensuring smooth implementation across stakeholders</w:t>
      </w:r>
      <w:r w:rsidRPr="008248FD" w:rsidR="00C21331">
        <w:rPr>
          <w:lang w:val="en-GB"/>
        </w:rPr>
        <w:t>;</w:t>
      </w:r>
    </w:p>
    <w:p w:rsidRPr="00E912D9" w:rsidR="00000312" w:rsidP="008248FD" w:rsidRDefault="00000312" w14:paraId="00B94881" w14:textId="77777777">
      <w:pPr>
        <w:overflowPunct w:val="0"/>
        <w:autoSpaceDE w:val="0"/>
        <w:autoSpaceDN w:val="0"/>
        <w:adjustRightInd w:val="0"/>
        <w:textAlignment w:val="baseline"/>
        <w:rPr>
          <w:rFonts w:asciiTheme="majorBidi" w:hAnsiTheme="majorBidi" w:cstheme="majorBidi"/>
          <w:lang w:val="en-GB"/>
        </w:rPr>
      </w:pPr>
    </w:p>
    <w:p w:rsidRPr="008248FD" w:rsidR="00000312" w:rsidP="008248FD" w:rsidRDefault="00000312" w14:paraId="6C727955" w14:textId="0EC5D8C0">
      <w:pPr>
        <w:pStyle w:val="Heading1"/>
        <w:rPr>
          <w:lang w:val="en-GB"/>
        </w:rPr>
      </w:pPr>
      <w:r w:rsidRPr="008248FD">
        <w:rPr>
          <w:lang w:val="en-GB"/>
        </w:rPr>
        <w:t>stresses the importance of electrifying the economy, alongside decarbonising electricity generation, which provides essential tools for further decarbonisation, particularly within the industrial and transport sectors;</w:t>
      </w:r>
    </w:p>
    <w:p w:rsidRPr="008248FD" w:rsidR="009B24CD" w:rsidP="008248FD" w:rsidRDefault="009B24CD" w14:paraId="3E4276DA" w14:textId="77777777">
      <w:pPr>
        <w:rPr>
          <w:rFonts w:asciiTheme="majorBidi" w:hAnsiTheme="majorBidi" w:cstheme="majorBidi"/>
          <w:lang w:val="en-GB"/>
        </w:rPr>
      </w:pPr>
    </w:p>
    <w:p w:rsidRPr="00E912D9" w:rsidR="00312C23" w:rsidP="002143FF" w:rsidRDefault="00985789" w14:paraId="149B68FA" w14:textId="56890F18">
      <w:pPr>
        <w:keepNext/>
        <w:keepLines/>
        <w:rPr>
          <w:rFonts w:asciiTheme="majorBidi" w:hAnsiTheme="majorBidi" w:cstheme="majorBidi"/>
          <w:b/>
          <w:bCs/>
          <w:lang w:val="en-GB"/>
        </w:rPr>
      </w:pPr>
      <w:r w:rsidRPr="00E912D9">
        <w:rPr>
          <w:rFonts w:asciiTheme="majorBidi" w:hAnsiTheme="majorBidi" w:cstheme="majorBidi"/>
          <w:b/>
          <w:bCs/>
          <w:lang w:val="en-GB"/>
        </w:rPr>
        <w:t>I</w:t>
      </w:r>
      <w:r w:rsidRPr="00E912D9" w:rsidR="00312C23">
        <w:rPr>
          <w:rFonts w:asciiTheme="majorBidi" w:hAnsiTheme="majorBidi" w:cstheme="majorBidi"/>
          <w:b/>
          <w:bCs/>
          <w:lang w:val="en-GB"/>
        </w:rPr>
        <w:t>mperative: The integration of climate and environmental polic</w:t>
      </w:r>
      <w:r w:rsidRPr="00E912D9" w:rsidR="00C21331">
        <w:rPr>
          <w:rFonts w:asciiTheme="majorBidi" w:hAnsiTheme="majorBidi" w:cstheme="majorBidi"/>
          <w:b/>
          <w:bCs/>
          <w:lang w:val="en-GB"/>
        </w:rPr>
        <w:t>ies for the EU</w:t>
      </w:r>
      <w:r w:rsidRPr="00E912D9" w:rsidR="00516756">
        <w:rPr>
          <w:rFonts w:asciiTheme="majorBidi" w:hAnsiTheme="majorBidi" w:cstheme="majorBidi"/>
          <w:b/>
          <w:bCs/>
          <w:lang w:val="en-GB"/>
        </w:rPr>
        <w:t>’</w:t>
      </w:r>
      <w:r w:rsidRPr="00E912D9" w:rsidR="00C21331">
        <w:rPr>
          <w:rFonts w:asciiTheme="majorBidi" w:hAnsiTheme="majorBidi" w:cstheme="majorBidi"/>
          <w:b/>
          <w:bCs/>
          <w:lang w:val="en-GB"/>
        </w:rPr>
        <w:t>s well-being, industry, competitiveness and security policies</w:t>
      </w:r>
    </w:p>
    <w:p w:rsidRPr="00E912D9" w:rsidR="00000312" w:rsidP="002143FF" w:rsidRDefault="00000312" w14:paraId="6314E7F4" w14:textId="77777777">
      <w:pPr>
        <w:keepNext/>
        <w:keepLines/>
        <w:rPr>
          <w:rFonts w:asciiTheme="majorBidi" w:hAnsiTheme="majorBidi" w:cstheme="majorBidi"/>
          <w:b/>
          <w:bCs/>
          <w:lang w:val="en-GB"/>
        </w:rPr>
      </w:pPr>
    </w:p>
    <w:p w:rsidRPr="008248FD" w:rsidR="00447D69" w:rsidP="008248FD" w:rsidRDefault="00447D69" w14:paraId="25E913AA" w14:textId="10A3B695">
      <w:pPr>
        <w:pStyle w:val="Heading1"/>
        <w:rPr>
          <w:lang w:val="en-GB"/>
        </w:rPr>
      </w:pPr>
      <w:r w:rsidRPr="008248FD">
        <w:rPr>
          <w:lang w:val="en-GB"/>
        </w:rPr>
        <w:t>emphasi</w:t>
      </w:r>
      <w:r w:rsidRPr="008248FD" w:rsidR="00D57B65">
        <w:rPr>
          <w:lang w:val="en-GB"/>
        </w:rPr>
        <w:t>s</w:t>
      </w:r>
      <w:r w:rsidRPr="008248FD">
        <w:rPr>
          <w:lang w:val="en-GB"/>
        </w:rPr>
        <w:t>es the fundamental</w:t>
      </w:r>
      <w:r w:rsidRPr="008248FD" w:rsidR="005360F6">
        <w:rPr>
          <w:lang w:val="en-GB"/>
        </w:rPr>
        <w:t xml:space="preserve"> </w:t>
      </w:r>
      <w:r w:rsidRPr="008248FD">
        <w:rPr>
          <w:lang w:val="en-GB"/>
        </w:rPr>
        <w:t>principle</w:t>
      </w:r>
      <w:r w:rsidRPr="008248FD" w:rsidR="00592E54">
        <w:rPr>
          <w:lang w:val="en-GB"/>
        </w:rPr>
        <w:t xml:space="preserve"> that</w:t>
      </w:r>
      <w:r w:rsidRPr="008248FD">
        <w:rPr>
          <w:lang w:val="en-GB"/>
        </w:rPr>
        <w:t xml:space="preserve"> </w:t>
      </w:r>
      <w:r w:rsidRPr="008248FD" w:rsidR="009B24CD">
        <w:rPr>
          <w:lang w:val="en-GB"/>
        </w:rPr>
        <w:t xml:space="preserve">achieving </w:t>
      </w:r>
      <w:r w:rsidRPr="008248FD">
        <w:rPr>
          <w:lang w:val="en-GB"/>
        </w:rPr>
        <w:t xml:space="preserve">climate neutrality </w:t>
      </w:r>
      <w:r w:rsidRPr="008248FD" w:rsidR="009B24CD">
        <w:rPr>
          <w:lang w:val="en-GB"/>
        </w:rPr>
        <w:t xml:space="preserve">and resilience </w:t>
      </w:r>
      <w:r w:rsidRPr="008248FD">
        <w:rPr>
          <w:lang w:val="en-GB"/>
        </w:rPr>
        <w:t xml:space="preserve">is </w:t>
      </w:r>
      <w:r w:rsidRPr="008248FD" w:rsidR="00592E54">
        <w:rPr>
          <w:lang w:val="en-GB"/>
        </w:rPr>
        <w:t>imperative</w:t>
      </w:r>
      <w:r w:rsidRPr="008248FD">
        <w:rPr>
          <w:lang w:val="en-GB"/>
        </w:rPr>
        <w:t xml:space="preserve"> </w:t>
      </w:r>
      <w:r w:rsidRPr="008248FD" w:rsidR="005B5E49">
        <w:rPr>
          <w:lang w:val="en-GB"/>
        </w:rPr>
        <w:t xml:space="preserve">not </w:t>
      </w:r>
      <w:r w:rsidRPr="008248FD" w:rsidR="009B24CD">
        <w:rPr>
          <w:lang w:val="en-GB"/>
        </w:rPr>
        <w:t xml:space="preserve">just </w:t>
      </w:r>
      <w:r w:rsidRPr="008248FD" w:rsidR="005B5E49">
        <w:rPr>
          <w:lang w:val="en-GB"/>
        </w:rPr>
        <w:t>for</w:t>
      </w:r>
      <w:r w:rsidRPr="008248FD">
        <w:rPr>
          <w:lang w:val="en-GB"/>
        </w:rPr>
        <w:t xml:space="preserve"> the </w:t>
      </w:r>
      <w:r w:rsidRPr="008248FD" w:rsidR="00592E54">
        <w:rPr>
          <w:lang w:val="en-GB"/>
        </w:rPr>
        <w:t>nature</w:t>
      </w:r>
      <w:r w:rsidRPr="008248FD" w:rsidR="009B24CD">
        <w:rPr>
          <w:lang w:val="en-GB"/>
        </w:rPr>
        <w:t xml:space="preserve"> of the European Union</w:t>
      </w:r>
      <w:r w:rsidRPr="008248FD" w:rsidR="00AA51B2">
        <w:rPr>
          <w:lang w:val="en-GB"/>
        </w:rPr>
        <w:t xml:space="preserve"> and the world</w:t>
      </w:r>
      <w:r w:rsidRPr="008248FD" w:rsidR="009B24CD">
        <w:rPr>
          <w:lang w:val="en-GB"/>
        </w:rPr>
        <w:t>,</w:t>
      </w:r>
      <w:r w:rsidRPr="008248FD" w:rsidR="005B5E49">
        <w:rPr>
          <w:lang w:val="en-GB"/>
        </w:rPr>
        <w:t xml:space="preserve"> but also</w:t>
      </w:r>
      <w:r w:rsidRPr="008248FD" w:rsidR="00592E54">
        <w:rPr>
          <w:lang w:val="en-GB"/>
        </w:rPr>
        <w:t xml:space="preserve"> for the EU</w:t>
      </w:r>
      <w:r w:rsidRPr="008248FD" w:rsidR="00516756">
        <w:rPr>
          <w:lang w:val="en-GB"/>
        </w:rPr>
        <w:t>’</w:t>
      </w:r>
      <w:r w:rsidRPr="008248FD" w:rsidR="00592E54">
        <w:rPr>
          <w:lang w:val="en-GB"/>
        </w:rPr>
        <w:t xml:space="preserve">s </w:t>
      </w:r>
      <w:r w:rsidRPr="008248FD">
        <w:rPr>
          <w:lang w:val="en-GB"/>
        </w:rPr>
        <w:t xml:space="preserve">industry, competitiveness, </w:t>
      </w:r>
      <w:r w:rsidRPr="008248FD" w:rsidR="009B24CD">
        <w:rPr>
          <w:lang w:val="en-GB"/>
        </w:rPr>
        <w:t xml:space="preserve">self-sufficiency, security, </w:t>
      </w:r>
      <w:r w:rsidRPr="008248FD">
        <w:rPr>
          <w:lang w:val="en-GB"/>
        </w:rPr>
        <w:t>well-being</w:t>
      </w:r>
      <w:r w:rsidR="00ED6C42">
        <w:rPr>
          <w:lang w:val="en-GB"/>
        </w:rPr>
        <w:t>,</w:t>
      </w:r>
      <w:r w:rsidRPr="008248FD">
        <w:rPr>
          <w:lang w:val="en-GB"/>
        </w:rPr>
        <w:t xml:space="preserve"> </w:t>
      </w:r>
      <w:r w:rsidRPr="008248FD" w:rsidR="009B24CD">
        <w:rPr>
          <w:lang w:val="en-GB"/>
        </w:rPr>
        <w:t xml:space="preserve">health, employment </w:t>
      </w:r>
      <w:r w:rsidRPr="008248FD">
        <w:rPr>
          <w:lang w:val="en-GB"/>
        </w:rPr>
        <w:t xml:space="preserve">and </w:t>
      </w:r>
      <w:r w:rsidRPr="008248FD" w:rsidR="009B24CD">
        <w:rPr>
          <w:lang w:val="en-GB"/>
        </w:rPr>
        <w:t>urban and rural policies; highlights, in accordance with the Letta and Draghi reports, the importance of adopting a mindset geared toward renewal, increased RDI, and effective use of digitalisation</w:t>
      </w:r>
      <w:r w:rsidRPr="008248FD" w:rsidR="00592E54">
        <w:rPr>
          <w:lang w:val="en-GB"/>
        </w:rPr>
        <w:t>;</w:t>
      </w:r>
    </w:p>
    <w:p w:rsidRPr="00E912D9" w:rsidR="00CE063A" w:rsidP="008248FD" w:rsidRDefault="00CE063A" w14:paraId="204E64EB" w14:textId="77777777">
      <w:pPr>
        <w:rPr>
          <w:rFonts w:asciiTheme="majorBidi" w:hAnsiTheme="majorBidi" w:cstheme="majorBidi"/>
          <w:lang w:val="en-GB"/>
        </w:rPr>
      </w:pPr>
    </w:p>
    <w:p w:rsidRPr="008248FD" w:rsidR="00447D69" w:rsidP="008248FD" w:rsidRDefault="00447D69" w14:paraId="2AD3837E" w14:textId="7A8259BE">
      <w:pPr>
        <w:pStyle w:val="Heading1"/>
        <w:rPr>
          <w:lang w:val="en-GB"/>
        </w:rPr>
      </w:pPr>
      <w:r w:rsidRPr="008248FD">
        <w:rPr>
          <w:lang w:val="en-GB"/>
        </w:rPr>
        <w:t>warns that failure to act on climate mitigation and adaptation hand-in-hand in a systematic way will lead to significant financial losses;</w:t>
      </w:r>
    </w:p>
    <w:p w:rsidRPr="00E912D9" w:rsidR="00CE063A" w:rsidP="008248FD" w:rsidRDefault="00CE063A" w14:paraId="75B9CE13" w14:textId="77777777">
      <w:pPr>
        <w:rPr>
          <w:rFonts w:asciiTheme="majorBidi" w:hAnsiTheme="majorBidi" w:cstheme="majorBidi"/>
          <w:lang w:val="en-GB"/>
        </w:rPr>
      </w:pPr>
    </w:p>
    <w:p w:rsidRPr="008248FD" w:rsidR="0077120D" w:rsidP="008248FD" w:rsidRDefault="00447D69" w14:paraId="4BF8DEF0" w14:textId="683599A6">
      <w:pPr>
        <w:pStyle w:val="Heading1"/>
        <w:rPr>
          <w:lang w:val="en-GB"/>
        </w:rPr>
      </w:pPr>
      <w:r w:rsidRPr="008248FD">
        <w:rPr>
          <w:lang w:val="en-GB"/>
        </w:rPr>
        <w:t xml:space="preserve">advocates evidence-informed decision-making to address climate change, biodiversity loss and pollution through systemic transformation </w:t>
      </w:r>
      <w:r w:rsidRPr="008248FD" w:rsidR="001B3CA4">
        <w:rPr>
          <w:lang w:val="en-GB"/>
        </w:rPr>
        <w:t>at all governance levels</w:t>
      </w:r>
      <w:r w:rsidRPr="008248FD" w:rsidR="0077120D">
        <w:rPr>
          <w:lang w:val="en-GB"/>
        </w:rPr>
        <w:t>;</w:t>
      </w:r>
    </w:p>
    <w:p w:rsidRPr="00E912D9" w:rsidR="00000312" w:rsidP="008248FD" w:rsidRDefault="00000312" w14:paraId="6B5475E1" w14:textId="77777777">
      <w:pPr>
        <w:rPr>
          <w:rFonts w:asciiTheme="majorBidi" w:hAnsiTheme="majorBidi" w:cstheme="majorBidi"/>
          <w:lang w:val="en-GB"/>
        </w:rPr>
      </w:pPr>
    </w:p>
    <w:p w:rsidRPr="008248FD" w:rsidR="00DD3BD8" w:rsidP="008248FD" w:rsidRDefault="00AA51B2" w14:paraId="258D6D23" w14:textId="73A03736">
      <w:pPr>
        <w:pStyle w:val="Heading1"/>
        <w:rPr>
          <w:lang w:val="en-GB"/>
        </w:rPr>
      </w:pPr>
      <w:r w:rsidRPr="008248FD">
        <w:rPr>
          <w:lang w:val="en-GB"/>
        </w:rPr>
        <w:t xml:space="preserve">stresses </w:t>
      </w:r>
      <w:r w:rsidRPr="008248FD" w:rsidR="00883245">
        <w:rPr>
          <w:lang w:val="en-GB"/>
        </w:rPr>
        <w:t>the need to co-create an EU action plan covering all governance levels and policy areas, using the proposals of this opinion, the target being a joint green</w:t>
      </w:r>
      <w:r w:rsidRPr="008248FD" w:rsidR="009B33F1">
        <w:rPr>
          <w:lang w:val="en-GB"/>
        </w:rPr>
        <w:t>,</w:t>
      </w:r>
      <w:r w:rsidRPr="008248FD" w:rsidR="00015139">
        <w:rPr>
          <w:lang w:val="en-GB"/>
        </w:rPr>
        <w:t xml:space="preserve"> </w:t>
      </w:r>
      <w:r w:rsidRPr="008248FD" w:rsidR="00883245">
        <w:rPr>
          <w:lang w:val="en-GB"/>
        </w:rPr>
        <w:t>digital</w:t>
      </w:r>
      <w:r w:rsidRPr="008248FD" w:rsidR="009B33F1">
        <w:rPr>
          <w:lang w:val="en-GB"/>
        </w:rPr>
        <w:t xml:space="preserve"> and industrial</w:t>
      </w:r>
      <w:r w:rsidRPr="008248FD" w:rsidR="00883245">
        <w:rPr>
          <w:lang w:val="en-GB"/>
        </w:rPr>
        <w:t xml:space="preserve"> systemic transformation with integrated bottom-up and top-down measures based on</w:t>
      </w:r>
      <w:r w:rsidRPr="008248FD" w:rsidR="00C10E9D">
        <w:rPr>
          <w:lang w:val="en-GB"/>
        </w:rPr>
        <w:t xml:space="preserve"> </w:t>
      </w:r>
      <w:r w:rsidRPr="008248FD" w:rsidR="0022728B">
        <w:rPr>
          <w:lang w:val="en-GB"/>
        </w:rPr>
        <w:t>innovative multi</w:t>
      </w:r>
      <w:r w:rsidRPr="008248FD">
        <w:rPr>
          <w:lang w:val="en-GB"/>
        </w:rPr>
        <w:t>-</w:t>
      </w:r>
      <w:r w:rsidRPr="008248FD" w:rsidR="0022728B">
        <w:rPr>
          <w:lang w:val="en-GB"/>
        </w:rPr>
        <w:t xml:space="preserve">level leadership motivating </w:t>
      </w:r>
      <w:r w:rsidRPr="008248FD" w:rsidR="00725004">
        <w:rPr>
          <w:lang w:val="en-GB"/>
        </w:rPr>
        <w:t xml:space="preserve">all </w:t>
      </w:r>
      <w:r w:rsidRPr="008248FD" w:rsidR="0022728B">
        <w:rPr>
          <w:lang w:val="en-GB"/>
        </w:rPr>
        <w:t>people</w:t>
      </w:r>
      <w:r w:rsidRPr="008248FD" w:rsidR="00725004">
        <w:rPr>
          <w:lang w:val="en-GB"/>
        </w:rPr>
        <w:t xml:space="preserve"> in their roles</w:t>
      </w:r>
      <w:r w:rsidRPr="008248FD" w:rsidR="0022728B">
        <w:rPr>
          <w:lang w:val="en-GB"/>
        </w:rPr>
        <w:t xml:space="preserve"> to do their share in this collaborative transformation;</w:t>
      </w:r>
    </w:p>
    <w:p w:rsidRPr="00E912D9" w:rsidR="009B33F1" w:rsidP="008248FD" w:rsidRDefault="009B33F1" w14:paraId="179A9C2D" w14:textId="77777777">
      <w:pPr>
        <w:rPr>
          <w:rFonts w:asciiTheme="majorBidi" w:hAnsiTheme="majorBidi" w:cstheme="majorBidi"/>
          <w:lang w:val="en-GB"/>
        </w:rPr>
      </w:pPr>
    </w:p>
    <w:p w:rsidRPr="008248FD" w:rsidR="00CE063A" w:rsidP="008248FD" w:rsidRDefault="009B33F1" w14:paraId="25C0FC82" w14:textId="2BF3F784">
      <w:pPr>
        <w:pStyle w:val="Heading1"/>
        <w:rPr>
          <w:lang w:val="en-GB"/>
        </w:rPr>
      </w:pPr>
      <w:r w:rsidRPr="008248FD">
        <w:rPr>
          <w:lang w:val="en-GB"/>
        </w:rPr>
        <w:t>calls on the Commission and the Member States to implement EU climate action plans in accordance with the principle of subsidiarity; ensuring that local and regional authorities are empowered to tailor mitigation and adaptation efforts to their specific circumstances while maintaining alignment with EU-wide targets;</w:t>
      </w:r>
    </w:p>
    <w:p w:rsidRPr="00E912D9" w:rsidR="009B33F1" w:rsidP="008248FD" w:rsidRDefault="009B33F1" w14:paraId="79562541" w14:textId="77777777">
      <w:pPr>
        <w:rPr>
          <w:rFonts w:asciiTheme="majorBidi" w:hAnsiTheme="majorBidi" w:cstheme="majorBidi"/>
          <w:lang w:val="en-GB"/>
        </w:rPr>
      </w:pPr>
    </w:p>
    <w:p w:rsidRPr="00E912D9" w:rsidR="00312C23" w:rsidP="002143FF" w:rsidRDefault="00C21331" w14:paraId="5D53E797" w14:textId="5343DB79">
      <w:pPr>
        <w:keepNext/>
        <w:rPr>
          <w:rFonts w:asciiTheme="majorBidi" w:hAnsiTheme="majorBidi" w:cstheme="majorBidi"/>
          <w:b/>
          <w:bCs/>
          <w:lang w:val="en-GB"/>
        </w:rPr>
      </w:pPr>
      <w:r w:rsidRPr="00E912D9">
        <w:rPr>
          <w:rFonts w:asciiTheme="majorBidi" w:hAnsiTheme="majorBidi" w:cstheme="majorBidi"/>
          <w:b/>
          <w:bCs/>
          <w:lang w:val="en-GB"/>
        </w:rPr>
        <w:t>N</w:t>
      </w:r>
      <w:r w:rsidRPr="00E912D9" w:rsidR="00312C23">
        <w:rPr>
          <w:rFonts w:asciiTheme="majorBidi" w:hAnsiTheme="majorBidi" w:cstheme="majorBidi"/>
          <w:b/>
          <w:bCs/>
          <w:lang w:val="en-GB"/>
        </w:rPr>
        <w:t xml:space="preserve">ext five years: </w:t>
      </w:r>
      <w:r w:rsidRPr="00E912D9">
        <w:rPr>
          <w:rFonts w:asciiTheme="majorBidi" w:hAnsiTheme="majorBidi" w:cstheme="majorBidi"/>
          <w:b/>
          <w:bCs/>
          <w:lang w:val="en-GB"/>
        </w:rPr>
        <w:t>R</w:t>
      </w:r>
      <w:r w:rsidRPr="00E912D9" w:rsidR="00312C23">
        <w:rPr>
          <w:rFonts w:asciiTheme="majorBidi" w:hAnsiTheme="majorBidi" w:cstheme="majorBidi"/>
          <w:b/>
          <w:bCs/>
          <w:lang w:val="en-GB"/>
        </w:rPr>
        <w:t>eal-life practice implementation</w:t>
      </w:r>
    </w:p>
    <w:p w:rsidRPr="00E912D9" w:rsidR="00000312" w:rsidP="002143FF" w:rsidRDefault="00000312" w14:paraId="6D478805" w14:textId="77777777">
      <w:pPr>
        <w:keepNext/>
        <w:rPr>
          <w:rFonts w:asciiTheme="majorBidi" w:hAnsiTheme="majorBidi" w:cstheme="majorBidi"/>
          <w:b/>
          <w:bCs/>
          <w:lang w:val="en-GB"/>
        </w:rPr>
      </w:pPr>
    </w:p>
    <w:p w:rsidRPr="008248FD" w:rsidR="00F20C56" w:rsidP="008248FD" w:rsidRDefault="009B33F1" w14:paraId="1179ACDC" w14:textId="46A8E4EF">
      <w:pPr>
        <w:pStyle w:val="Heading1"/>
        <w:rPr>
          <w:lang w:val="en-GB"/>
        </w:rPr>
      </w:pPr>
      <w:r w:rsidRPr="008248FD">
        <w:rPr>
          <w:lang w:val="en-GB"/>
        </w:rPr>
        <w:t>stresse</w:t>
      </w:r>
      <w:r w:rsidR="00ED6C42">
        <w:rPr>
          <w:lang w:val="en-GB"/>
        </w:rPr>
        <w:t>s</w:t>
      </w:r>
      <w:r w:rsidRPr="008248FD">
        <w:rPr>
          <w:lang w:val="en-GB"/>
        </w:rPr>
        <w:t xml:space="preserve"> </w:t>
      </w:r>
      <w:r w:rsidRPr="008248FD" w:rsidR="00F65BEF">
        <w:rPr>
          <w:lang w:val="en-GB"/>
        </w:rPr>
        <w:t xml:space="preserve">the </w:t>
      </w:r>
      <w:r w:rsidRPr="008248FD">
        <w:rPr>
          <w:lang w:val="en-GB"/>
        </w:rPr>
        <w:t xml:space="preserve">need for impactful measures, based </w:t>
      </w:r>
      <w:r w:rsidRPr="008248FD" w:rsidR="00F65BEF">
        <w:rPr>
          <w:lang w:val="en-GB"/>
        </w:rPr>
        <w:t xml:space="preserve">on </w:t>
      </w:r>
      <w:r w:rsidRPr="008248FD">
        <w:rPr>
          <w:lang w:val="en-GB"/>
        </w:rPr>
        <w:t xml:space="preserve">IPCC scientific evidence, to be implemented in </w:t>
      </w:r>
      <w:r w:rsidRPr="008248FD" w:rsidR="00F65BEF">
        <w:rPr>
          <w:lang w:val="en-GB"/>
        </w:rPr>
        <w:t xml:space="preserve">the </w:t>
      </w:r>
      <w:r w:rsidRPr="008248FD">
        <w:rPr>
          <w:lang w:val="en-GB"/>
        </w:rPr>
        <w:t>2020s</w:t>
      </w:r>
      <w:r w:rsidRPr="008248FD" w:rsidDel="009B33F1">
        <w:rPr>
          <w:lang w:val="en-GB"/>
        </w:rPr>
        <w:t xml:space="preserve"> </w:t>
      </w:r>
      <w:r w:rsidRPr="008248FD" w:rsidR="00F65BEF">
        <w:rPr>
          <w:lang w:val="en-GB"/>
        </w:rPr>
        <w:t xml:space="preserve">to ensure the EU </w:t>
      </w:r>
      <w:r w:rsidRPr="008248FD">
        <w:rPr>
          <w:lang w:val="en-GB"/>
        </w:rPr>
        <w:t xml:space="preserve">is </w:t>
      </w:r>
      <w:r w:rsidRPr="008248FD" w:rsidR="00F65BEF">
        <w:rPr>
          <w:lang w:val="en-GB"/>
        </w:rPr>
        <w:t xml:space="preserve">on track to become climate neutral by 2050; </w:t>
      </w:r>
      <w:r w:rsidRPr="008248FD" w:rsidR="00725004">
        <w:rPr>
          <w:lang w:val="en-GB"/>
        </w:rPr>
        <w:t xml:space="preserve">highlights that </w:t>
      </w:r>
      <w:r w:rsidRPr="008248FD" w:rsidR="00F65BEF">
        <w:rPr>
          <w:lang w:val="en-GB"/>
        </w:rPr>
        <w:t>achiev</w:t>
      </w:r>
      <w:r w:rsidRPr="008248FD" w:rsidR="00725004">
        <w:rPr>
          <w:lang w:val="en-GB"/>
        </w:rPr>
        <w:t>ing</w:t>
      </w:r>
      <w:r w:rsidRPr="008248FD" w:rsidR="00F65BEF">
        <w:rPr>
          <w:lang w:val="en-GB"/>
        </w:rPr>
        <w:t xml:space="preserve"> </w:t>
      </w:r>
      <w:r w:rsidRPr="008248FD">
        <w:rPr>
          <w:lang w:val="en-GB"/>
        </w:rPr>
        <w:t xml:space="preserve">the </w:t>
      </w:r>
      <w:r w:rsidRPr="008248FD" w:rsidR="00F65BEF">
        <w:rPr>
          <w:lang w:val="en-GB"/>
        </w:rPr>
        <w:t xml:space="preserve">2030 targets and </w:t>
      </w:r>
      <w:r w:rsidRPr="008248FD" w:rsidR="00725004">
        <w:rPr>
          <w:lang w:val="en-GB"/>
        </w:rPr>
        <w:t xml:space="preserve">setting </w:t>
      </w:r>
      <w:r w:rsidRPr="008248FD" w:rsidR="00F65BEF">
        <w:rPr>
          <w:lang w:val="en-GB"/>
        </w:rPr>
        <w:t xml:space="preserve">an ambitious 2040 framework </w:t>
      </w:r>
      <w:r w:rsidRPr="008248FD" w:rsidR="00AA51B2">
        <w:rPr>
          <w:lang w:val="en-GB"/>
        </w:rPr>
        <w:t xml:space="preserve">are </w:t>
      </w:r>
      <w:r w:rsidRPr="008248FD">
        <w:rPr>
          <w:lang w:val="en-GB"/>
        </w:rPr>
        <w:t xml:space="preserve">crucial for phasing out fossil raw materials and reaching </w:t>
      </w:r>
      <w:r w:rsidRPr="008248FD" w:rsidR="00F65BEF">
        <w:rPr>
          <w:lang w:val="en-GB"/>
        </w:rPr>
        <w:t>climate neutrality</w:t>
      </w:r>
      <w:r w:rsidRPr="008248FD">
        <w:rPr>
          <w:lang w:val="en-GB"/>
        </w:rPr>
        <w:t>. This approach motivates all actors and stakeholder groups towards a systemic transformation, ensuring an inclusive and sustainable future for all;</w:t>
      </w:r>
      <w:r w:rsidRPr="008248FD" w:rsidR="00F65BEF">
        <w:rPr>
          <w:lang w:val="en-GB"/>
        </w:rPr>
        <w:t xml:space="preserve"> </w:t>
      </w:r>
    </w:p>
    <w:p w:rsidRPr="00E912D9" w:rsidR="00CE063A" w:rsidP="008248FD" w:rsidRDefault="00CE063A" w14:paraId="63492E81" w14:textId="77777777">
      <w:pPr>
        <w:overflowPunct w:val="0"/>
        <w:autoSpaceDE w:val="0"/>
        <w:autoSpaceDN w:val="0"/>
        <w:adjustRightInd w:val="0"/>
        <w:textAlignment w:val="baseline"/>
        <w:rPr>
          <w:rFonts w:asciiTheme="majorBidi" w:hAnsiTheme="majorBidi" w:cstheme="majorBidi"/>
          <w:lang w:val="en-GB"/>
        </w:rPr>
      </w:pPr>
    </w:p>
    <w:p w:rsidRPr="008248FD" w:rsidR="009B33F1" w:rsidP="008248FD" w:rsidRDefault="00BF5411" w14:paraId="59A1A00F" w14:textId="7DAE3E07">
      <w:pPr>
        <w:pStyle w:val="Heading1"/>
        <w:rPr>
          <w:lang w:val="en-GB"/>
        </w:rPr>
      </w:pPr>
      <w:r w:rsidRPr="008248FD">
        <w:rPr>
          <w:lang w:val="en-GB"/>
        </w:rPr>
        <w:t>emphasi</w:t>
      </w:r>
      <w:r w:rsidRPr="008248FD" w:rsidR="00D57B65">
        <w:rPr>
          <w:lang w:val="en-GB"/>
        </w:rPr>
        <w:t>s</w:t>
      </w:r>
      <w:r w:rsidRPr="008248FD">
        <w:rPr>
          <w:lang w:val="en-GB"/>
        </w:rPr>
        <w:t xml:space="preserve">es the importance of the IPCC Special Report on Climate Change and Cities, due in March 2027, which will address urban climate trends, risks and solutions; </w:t>
      </w:r>
      <w:r w:rsidRPr="008248FD" w:rsidR="005B5E49">
        <w:rPr>
          <w:lang w:val="en-GB"/>
        </w:rPr>
        <w:t xml:space="preserve">calls for </w:t>
      </w:r>
      <w:r w:rsidRPr="008248FD">
        <w:rPr>
          <w:lang w:val="en-GB"/>
        </w:rPr>
        <w:t>th</w:t>
      </w:r>
      <w:r w:rsidRPr="008248FD" w:rsidR="00725004">
        <w:rPr>
          <w:lang w:val="en-GB"/>
        </w:rPr>
        <w:t xml:space="preserve">e process </w:t>
      </w:r>
      <w:r w:rsidRPr="008248FD" w:rsidR="005B5E49">
        <w:rPr>
          <w:lang w:val="en-GB"/>
        </w:rPr>
        <w:t xml:space="preserve">of </w:t>
      </w:r>
      <w:r w:rsidRPr="008248FD" w:rsidR="00AA51B2">
        <w:rPr>
          <w:lang w:val="en-GB"/>
        </w:rPr>
        <w:t xml:space="preserve">the </w:t>
      </w:r>
      <w:r w:rsidRPr="008248FD">
        <w:rPr>
          <w:lang w:val="en-GB"/>
        </w:rPr>
        <w:t xml:space="preserve">report </w:t>
      </w:r>
      <w:r w:rsidRPr="008248FD" w:rsidR="00AA51B2">
        <w:rPr>
          <w:lang w:val="en-GB"/>
        </w:rPr>
        <w:t xml:space="preserve">to </w:t>
      </w:r>
      <w:r w:rsidRPr="008248FD">
        <w:rPr>
          <w:lang w:val="en-GB"/>
        </w:rPr>
        <w:t xml:space="preserve">significantly impact </w:t>
      </w:r>
      <w:r w:rsidRPr="008248FD" w:rsidR="00725004">
        <w:rPr>
          <w:lang w:val="en-GB"/>
        </w:rPr>
        <w:t xml:space="preserve">the </w:t>
      </w:r>
      <w:r w:rsidRPr="008248FD">
        <w:rPr>
          <w:lang w:val="en-GB"/>
        </w:rPr>
        <w:t>CoR</w:t>
      </w:r>
      <w:r w:rsidRPr="008248FD" w:rsidR="00516756">
        <w:rPr>
          <w:lang w:val="en-GB"/>
        </w:rPr>
        <w:t>’</w:t>
      </w:r>
      <w:r w:rsidRPr="008248FD" w:rsidR="00725004">
        <w:rPr>
          <w:lang w:val="en-GB"/>
        </w:rPr>
        <w:t>s</w:t>
      </w:r>
      <w:r w:rsidRPr="008248FD">
        <w:rPr>
          <w:lang w:val="en-GB"/>
        </w:rPr>
        <w:t xml:space="preserve"> strategies and actions</w:t>
      </w:r>
      <w:r w:rsidRPr="008248FD" w:rsidR="004D4B92">
        <w:rPr>
          <w:lang w:val="en-GB"/>
        </w:rPr>
        <w:t>;</w:t>
      </w:r>
    </w:p>
    <w:p w:rsidRPr="00E912D9" w:rsidR="009B33F1" w:rsidP="008248FD" w:rsidRDefault="009B33F1" w14:paraId="40AF794A" w14:textId="77777777">
      <w:pPr>
        <w:overflowPunct w:val="0"/>
        <w:autoSpaceDE w:val="0"/>
        <w:autoSpaceDN w:val="0"/>
        <w:adjustRightInd w:val="0"/>
        <w:textAlignment w:val="baseline"/>
        <w:rPr>
          <w:rFonts w:asciiTheme="majorBidi" w:hAnsiTheme="majorBidi" w:cstheme="majorBidi"/>
          <w:lang w:val="en-GB"/>
        </w:rPr>
      </w:pPr>
    </w:p>
    <w:p w:rsidRPr="008248FD" w:rsidR="00015139" w:rsidP="008248FD" w:rsidRDefault="009B33F1" w14:paraId="0A9DDA92" w14:textId="77777777">
      <w:pPr>
        <w:pStyle w:val="Heading1"/>
        <w:rPr>
          <w:lang w:val="en-GB"/>
        </w:rPr>
      </w:pPr>
      <w:r w:rsidRPr="008248FD">
        <w:rPr>
          <w:lang w:val="en-GB"/>
        </w:rPr>
        <w:t xml:space="preserve">stresses the need to prioritise real-life implementation by supporting cities and regions in: </w:t>
      </w:r>
    </w:p>
    <w:p w:rsidRPr="008248FD" w:rsidR="003E2090" w:rsidP="008248FD" w:rsidRDefault="00ED6C42" w14:paraId="0E6130D0" w14:textId="17E8836A">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s</w:t>
      </w:r>
      <w:r w:rsidRPr="008248FD" w:rsidR="009B33F1">
        <w:rPr>
          <w:rFonts w:asciiTheme="majorBidi" w:hAnsiTheme="majorBidi" w:cstheme="majorBidi"/>
          <w:lang w:val="en-GB"/>
        </w:rPr>
        <w:t xml:space="preserve">trengthening climate adaptation: </w:t>
      </w:r>
      <w:r w:rsidRPr="008248FD" w:rsidR="00015139">
        <w:rPr>
          <w:rFonts w:asciiTheme="majorBidi" w:hAnsiTheme="majorBidi" w:cstheme="majorBidi"/>
          <w:lang w:val="en-GB"/>
        </w:rPr>
        <w:t>e</w:t>
      </w:r>
      <w:r w:rsidRPr="008248FD" w:rsidR="009B33F1">
        <w:rPr>
          <w:rFonts w:asciiTheme="majorBidi" w:hAnsiTheme="majorBidi" w:cstheme="majorBidi"/>
          <w:lang w:val="en-GB"/>
        </w:rPr>
        <w:t>nhancing resilience through locally focused initiatives</w:t>
      </w:r>
      <w:r>
        <w:rPr>
          <w:rFonts w:asciiTheme="majorBidi" w:hAnsiTheme="majorBidi" w:cstheme="majorBidi"/>
          <w:lang w:val="en-GB"/>
        </w:rPr>
        <w:t>;</w:t>
      </w:r>
      <w:r w:rsidRPr="008248FD" w:rsidR="009B33F1">
        <w:rPr>
          <w:rFonts w:asciiTheme="majorBidi" w:hAnsiTheme="majorBidi" w:cstheme="majorBidi"/>
          <w:lang w:val="en-GB"/>
        </w:rPr>
        <w:t xml:space="preserve"> </w:t>
      </w:r>
    </w:p>
    <w:p w:rsidRPr="008248FD" w:rsidR="00015139" w:rsidP="008248FD" w:rsidRDefault="00ED6C42" w14:paraId="505FBAD9" w14:textId="0C3B6E39">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i</w:t>
      </w:r>
      <w:r w:rsidRPr="008248FD" w:rsidR="009B33F1">
        <w:rPr>
          <w:rFonts w:asciiTheme="majorBidi" w:hAnsiTheme="majorBidi" w:cstheme="majorBidi"/>
          <w:lang w:val="en-GB"/>
        </w:rPr>
        <w:t xml:space="preserve">mplementing systemic </w:t>
      </w:r>
      <w:r w:rsidRPr="00E912D9">
        <w:rPr>
          <w:rFonts w:asciiTheme="majorBidi" w:hAnsiTheme="majorBidi" w:cstheme="majorBidi"/>
          <w:lang w:val="en-GB"/>
        </w:rPr>
        <w:t>g</w:t>
      </w:r>
      <w:r w:rsidRPr="008248FD" w:rsidR="009B33F1">
        <w:rPr>
          <w:rFonts w:asciiTheme="majorBidi" w:hAnsiTheme="majorBidi" w:cstheme="majorBidi"/>
          <w:lang w:val="en-GB"/>
        </w:rPr>
        <w:t xml:space="preserve">reen and </w:t>
      </w:r>
      <w:r w:rsidRPr="00E912D9">
        <w:rPr>
          <w:rFonts w:asciiTheme="majorBidi" w:hAnsiTheme="majorBidi" w:cstheme="majorBidi"/>
          <w:lang w:val="en-GB"/>
        </w:rPr>
        <w:t>d</w:t>
      </w:r>
      <w:r w:rsidRPr="008248FD" w:rsidR="009B33F1">
        <w:rPr>
          <w:rFonts w:asciiTheme="majorBidi" w:hAnsiTheme="majorBidi" w:cstheme="majorBidi"/>
          <w:lang w:val="en-GB"/>
        </w:rPr>
        <w:t xml:space="preserve">igital transformation: </w:t>
      </w:r>
      <w:r w:rsidRPr="008248FD" w:rsidR="00015139">
        <w:rPr>
          <w:rFonts w:asciiTheme="majorBidi" w:hAnsiTheme="majorBidi" w:cstheme="majorBidi"/>
          <w:lang w:val="en-GB"/>
        </w:rPr>
        <w:t>p</w:t>
      </w:r>
      <w:r w:rsidRPr="008248FD" w:rsidR="009B33F1">
        <w:rPr>
          <w:rFonts w:asciiTheme="majorBidi" w:hAnsiTheme="majorBidi" w:cstheme="majorBidi"/>
          <w:lang w:val="en-GB"/>
        </w:rPr>
        <w:t>romoting collaboration at local and regional levels to meet climate targets</w:t>
      </w:r>
      <w:r>
        <w:rPr>
          <w:rFonts w:asciiTheme="majorBidi" w:hAnsiTheme="majorBidi" w:cstheme="majorBidi"/>
          <w:lang w:val="en-GB"/>
        </w:rPr>
        <w:t>;</w:t>
      </w:r>
    </w:p>
    <w:p w:rsidRPr="008248FD" w:rsidR="00015139" w:rsidP="008248FD" w:rsidRDefault="00ED6C42" w14:paraId="46DF67D3" w14:textId="256BC5EC">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i</w:t>
      </w:r>
      <w:r w:rsidRPr="008248FD" w:rsidR="009B33F1">
        <w:rPr>
          <w:rFonts w:asciiTheme="majorBidi" w:hAnsiTheme="majorBidi" w:cstheme="majorBidi"/>
          <w:lang w:val="en-GB"/>
        </w:rPr>
        <w:t>mproving skills and competencies</w:t>
      </w:r>
      <w:r w:rsidRPr="008248FD" w:rsidR="00015139">
        <w:rPr>
          <w:rFonts w:asciiTheme="majorBidi" w:hAnsiTheme="majorBidi" w:cstheme="majorBidi"/>
          <w:lang w:val="en-GB"/>
        </w:rPr>
        <w:t>: u</w:t>
      </w:r>
      <w:r w:rsidRPr="008248FD" w:rsidR="009B33F1">
        <w:rPr>
          <w:rFonts w:asciiTheme="majorBidi" w:hAnsiTheme="majorBidi" w:cstheme="majorBidi"/>
          <w:lang w:val="en-GB"/>
        </w:rPr>
        <w:t>pgrading and increasing the effectiveness of professional development concepts on all governance levels</w:t>
      </w:r>
      <w:r>
        <w:rPr>
          <w:rFonts w:asciiTheme="majorBidi" w:hAnsiTheme="majorBidi" w:cstheme="majorBidi"/>
          <w:lang w:val="en-GB"/>
        </w:rPr>
        <w:t>;</w:t>
      </w:r>
    </w:p>
    <w:p w:rsidRPr="008248FD" w:rsidR="00015139" w:rsidP="008248FD" w:rsidRDefault="00ED6C42" w14:paraId="024DA1A8" w14:textId="0CC37069">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u</w:t>
      </w:r>
      <w:r w:rsidRPr="008248FD" w:rsidR="009B33F1">
        <w:rPr>
          <w:rFonts w:asciiTheme="majorBidi" w:hAnsiTheme="majorBidi" w:cstheme="majorBidi"/>
          <w:lang w:val="en-GB"/>
        </w:rPr>
        <w:t xml:space="preserve">pdating financial instruments: </w:t>
      </w:r>
      <w:r w:rsidRPr="008248FD" w:rsidR="00015139">
        <w:rPr>
          <w:rFonts w:asciiTheme="majorBidi" w:hAnsiTheme="majorBidi" w:cstheme="majorBidi"/>
          <w:lang w:val="en-GB"/>
        </w:rPr>
        <w:t>b</w:t>
      </w:r>
      <w:r w:rsidRPr="008248FD" w:rsidR="009B33F1">
        <w:rPr>
          <w:rFonts w:asciiTheme="majorBidi" w:hAnsiTheme="majorBidi" w:cstheme="majorBidi"/>
          <w:lang w:val="en-GB"/>
        </w:rPr>
        <w:t>ridging the funding gap for the green transition and integrating climate policies into all budgets</w:t>
      </w:r>
      <w:r>
        <w:rPr>
          <w:rFonts w:asciiTheme="majorBidi" w:hAnsiTheme="majorBidi" w:cstheme="majorBidi"/>
          <w:lang w:val="en-GB"/>
        </w:rPr>
        <w:t>;</w:t>
      </w:r>
    </w:p>
    <w:p w:rsidR="00ED6C42" w:rsidP="006D1FD2" w:rsidRDefault="00ED6C42" w14:paraId="260EEC5C" w14:textId="0DD65443">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p</w:t>
      </w:r>
      <w:r w:rsidRPr="008248FD" w:rsidR="009B33F1">
        <w:rPr>
          <w:rFonts w:asciiTheme="majorBidi" w:hAnsiTheme="majorBidi" w:cstheme="majorBidi"/>
          <w:lang w:val="en-GB"/>
        </w:rPr>
        <w:t xml:space="preserve">rioritising critical measures: </w:t>
      </w:r>
      <w:r w:rsidRPr="008248FD" w:rsidR="00015139">
        <w:rPr>
          <w:rFonts w:asciiTheme="majorBidi" w:hAnsiTheme="majorBidi" w:cstheme="majorBidi"/>
          <w:lang w:val="en-GB"/>
        </w:rPr>
        <w:t>a</w:t>
      </w:r>
      <w:r w:rsidRPr="008248FD" w:rsidR="009B33F1">
        <w:rPr>
          <w:rFonts w:asciiTheme="majorBidi" w:hAnsiTheme="majorBidi" w:cstheme="majorBidi"/>
          <w:lang w:val="en-GB"/>
        </w:rPr>
        <w:t>ccelerating technological and societal RDI to meet EU targets</w:t>
      </w:r>
      <w:r>
        <w:rPr>
          <w:rFonts w:asciiTheme="majorBidi" w:hAnsiTheme="majorBidi" w:cstheme="majorBidi"/>
          <w:lang w:val="en-GB"/>
        </w:rPr>
        <w:t>;</w:t>
      </w:r>
    </w:p>
    <w:p w:rsidRPr="008248FD" w:rsidR="009B33F1" w:rsidP="008248FD" w:rsidRDefault="00ED6C42" w14:paraId="06A137D2" w14:textId="726B4AA8">
      <w:pPr>
        <w:pStyle w:val="ListParagraph"/>
        <w:numPr>
          <w:ilvl w:val="0"/>
          <w:numId w:val="41"/>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e</w:t>
      </w:r>
      <w:r w:rsidRPr="008248FD" w:rsidR="009B33F1">
        <w:rPr>
          <w:rFonts w:asciiTheme="majorBidi" w:hAnsiTheme="majorBidi" w:cstheme="majorBidi"/>
          <w:lang w:val="en-GB"/>
        </w:rPr>
        <w:t xml:space="preserve">mpowering subnational measures: </w:t>
      </w:r>
      <w:r w:rsidRPr="008248FD" w:rsidR="00015139">
        <w:rPr>
          <w:rFonts w:asciiTheme="majorBidi" w:hAnsiTheme="majorBidi" w:cstheme="majorBidi"/>
          <w:lang w:val="en-GB"/>
        </w:rPr>
        <w:t>i</w:t>
      </w:r>
      <w:r w:rsidRPr="008248FD" w:rsidR="009B33F1">
        <w:rPr>
          <w:rFonts w:asciiTheme="majorBidi" w:hAnsiTheme="majorBidi" w:cstheme="majorBidi"/>
          <w:lang w:val="en-GB"/>
        </w:rPr>
        <w:t>nvolving all stakeholders in regions and cities in co-creating and implementing climate action plans;</w:t>
      </w:r>
    </w:p>
    <w:p w:rsidRPr="00E912D9" w:rsidR="009B33F1" w:rsidP="008248FD" w:rsidRDefault="009B33F1" w14:paraId="4E873F31" w14:textId="77777777">
      <w:pPr>
        <w:overflowPunct w:val="0"/>
        <w:autoSpaceDE w:val="0"/>
        <w:autoSpaceDN w:val="0"/>
        <w:adjustRightInd w:val="0"/>
        <w:textAlignment w:val="baseline"/>
        <w:rPr>
          <w:rFonts w:asciiTheme="majorBidi" w:hAnsiTheme="majorBidi" w:cstheme="majorBidi"/>
          <w:lang w:val="en-GB"/>
        </w:rPr>
      </w:pPr>
    </w:p>
    <w:p w:rsidRPr="008248FD" w:rsidR="00063434" w:rsidP="008248FD" w:rsidRDefault="00BD4E88" w14:paraId="22E6BD04" w14:textId="65AEC80E">
      <w:pPr>
        <w:pStyle w:val="Heading1"/>
        <w:rPr>
          <w:lang w:val="en-GB"/>
        </w:rPr>
      </w:pPr>
      <w:r w:rsidRPr="008248FD">
        <w:rPr>
          <w:lang w:val="en-GB"/>
        </w:rPr>
        <w:t>h</w:t>
      </w:r>
      <w:r w:rsidRPr="008248FD" w:rsidR="00DE7B42">
        <w:rPr>
          <w:lang w:val="en-GB"/>
        </w:rPr>
        <w:t>ighlights the industry</w:t>
      </w:r>
      <w:r w:rsidRPr="008248FD" w:rsidR="00516756">
        <w:rPr>
          <w:lang w:val="en-GB"/>
        </w:rPr>
        <w:t>’</w:t>
      </w:r>
      <w:r w:rsidRPr="008248FD" w:rsidR="00DE7B42">
        <w:rPr>
          <w:lang w:val="en-GB"/>
        </w:rPr>
        <w:t xml:space="preserve">s </w:t>
      </w:r>
      <w:r w:rsidRPr="008248FD" w:rsidR="00063434">
        <w:rPr>
          <w:lang w:val="en-GB"/>
        </w:rPr>
        <w:t>pivotal</w:t>
      </w:r>
      <w:r w:rsidRPr="008248FD" w:rsidR="00DE7B42">
        <w:rPr>
          <w:lang w:val="en-GB"/>
        </w:rPr>
        <w:t xml:space="preserve"> role in driving </w:t>
      </w:r>
      <w:r w:rsidRPr="008248FD" w:rsidR="00063434">
        <w:rPr>
          <w:lang w:val="en-GB"/>
        </w:rPr>
        <w:t>decarbonisation</w:t>
      </w:r>
      <w:r w:rsidRPr="008248FD" w:rsidR="00015139">
        <w:rPr>
          <w:lang w:val="en-GB"/>
        </w:rPr>
        <w:t xml:space="preserve"> </w:t>
      </w:r>
      <w:r w:rsidRPr="008248FD" w:rsidR="00DC5A74">
        <w:rPr>
          <w:rFonts w:eastAsiaTheme="minorEastAsia"/>
          <w:lang w:val="en-GB"/>
        </w:rPr>
        <w:t xml:space="preserve">and </w:t>
      </w:r>
      <w:r w:rsidRPr="008248FD" w:rsidR="00063434">
        <w:rPr>
          <w:rFonts w:eastAsiaTheme="minorEastAsia"/>
          <w:lang w:val="en-GB"/>
        </w:rPr>
        <w:t>advancing</w:t>
      </w:r>
      <w:r w:rsidRPr="008248FD" w:rsidR="00015139">
        <w:rPr>
          <w:rFonts w:eastAsiaTheme="minorEastAsia"/>
          <w:lang w:val="en-GB"/>
        </w:rPr>
        <w:t xml:space="preserve"> </w:t>
      </w:r>
      <w:r w:rsidRPr="008248FD" w:rsidR="00DE7B42">
        <w:rPr>
          <w:lang w:val="en-GB"/>
        </w:rPr>
        <w:t xml:space="preserve">green and digital transitions </w:t>
      </w:r>
      <w:r w:rsidRPr="008248FD" w:rsidR="000B05BF">
        <w:rPr>
          <w:lang w:val="en-GB"/>
        </w:rPr>
        <w:t xml:space="preserve">for </w:t>
      </w:r>
      <w:r w:rsidRPr="008248FD" w:rsidR="00DE7B42">
        <w:rPr>
          <w:lang w:val="en-GB"/>
        </w:rPr>
        <w:t>environmental and economic sustainability</w:t>
      </w:r>
      <w:r w:rsidRPr="008248FD" w:rsidR="000B05BF">
        <w:rPr>
          <w:lang w:val="en-GB"/>
        </w:rPr>
        <w:t xml:space="preserve"> and warns against excessive regulatory requirements that are impeding industry </w:t>
      </w:r>
      <w:r w:rsidR="00A30C5C">
        <w:rPr>
          <w:lang w:val="en-GB"/>
        </w:rPr>
        <w:t>in</w:t>
      </w:r>
      <w:r w:rsidRPr="008248FD" w:rsidR="000B05BF">
        <w:rPr>
          <w:lang w:val="en-GB"/>
        </w:rPr>
        <w:t xml:space="preserve"> harness</w:t>
      </w:r>
      <w:r w:rsidR="00A30C5C">
        <w:rPr>
          <w:lang w:val="en-GB"/>
        </w:rPr>
        <w:t>ing</w:t>
      </w:r>
      <w:r w:rsidRPr="008248FD" w:rsidR="000B05BF">
        <w:rPr>
          <w:lang w:val="en-GB"/>
        </w:rPr>
        <w:t xml:space="preserve"> their potential; furthermore emphasises the critical need to scale up innovations by developing robust innovation ecosystems that facilitate co-creation, testing and prototyping, ensuring that these innovations are accessible to all and swiftly adopted</w:t>
      </w:r>
      <w:r w:rsidRPr="008248FD" w:rsidR="00DE7B42">
        <w:rPr>
          <w:lang w:val="en-GB"/>
        </w:rPr>
        <w:t>;</w:t>
      </w:r>
    </w:p>
    <w:p w:rsidRPr="00E912D9" w:rsidR="00063434" w:rsidP="008248FD" w:rsidRDefault="00063434" w14:paraId="2F8FB423" w14:textId="77777777">
      <w:pPr>
        <w:rPr>
          <w:rFonts w:asciiTheme="majorBidi" w:hAnsiTheme="majorBidi" w:cstheme="majorBidi"/>
          <w:lang w:val="en-GB"/>
        </w:rPr>
      </w:pPr>
    </w:p>
    <w:p w:rsidRPr="008248FD" w:rsidR="00DE7B42" w:rsidP="008248FD" w:rsidRDefault="00063434" w14:paraId="122D9080" w14:textId="336DFD4E">
      <w:pPr>
        <w:pStyle w:val="Heading1"/>
        <w:rPr>
          <w:lang w:val="en-GB"/>
        </w:rPr>
      </w:pPr>
      <w:r w:rsidRPr="008248FD">
        <w:rPr>
          <w:lang w:val="en-GB"/>
        </w:rPr>
        <w:t xml:space="preserve">highlights the significant </w:t>
      </w:r>
      <w:r w:rsidRPr="008248FD" w:rsidR="00DE7B42">
        <w:rPr>
          <w:lang w:val="en-GB"/>
        </w:rPr>
        <w:t xml:space="preserve">gap between technical readiness and commercial </w:t>
      </w:r>
      <w:r w:rsidRPr="008248FD">
        <w:rPr>
          <w:lang w:val="en-GB"/>
        </w:rPr>
        <w:t>viability, pointing out that</w:t>
      </w:r>
      <w:r w:rsidRPr="008248FD" w:rsidR="00DE7B42">
        <w:rPr>
          <w:lang w:val="en-GB"/>
        </w:rPr>
        <w:t xml:space="preserve"> only 10% of climate </w:t>
      </w:r>
      <w:r w:rsidRPr="008248FD">
        <w:rPr>
          <w:lang w:val="en-GB"/>
        </w:rPr>
        <w:t xml:space="preserve">technology’s </w:t>
      </w:r>
      <w:r w:rsidRPr="008248FD" w:rsidR="00DE7B42">
        <w:rPr>
          <w:lang w:val="en-GB"/>
        </w:rPr>
        <w:t xml:space="preserve">abatement potential </w:t>
      </w:r>
      <w:r w:rsidRPr="008248FD">
        <w:rPr>
          <w:lang w:val="en-GB"/>
        </w:rPr>
        <w:t xml:space="preserve">is derived </w:t>
      </w:r>
      <w:r w:rsidRPr="008248FD" w:rsidR="00DE7B42">
        <w:rPr>
          <w:lang w:val="en-GB"/>
        </w:rPr>
        <w:t xml:space="preserve">from fully mature </w:t>
      </w:r>
      <w:r w:rsidRPr="008248FD">
        <w:rPr>
          <w:lang w:val="en-GB"/>
        </w:rPr>
        <w:t xml:space="preserve">solutions. To meet the EU’s </w:t>
      </w:r>
      <w:r w:rsidRPr="008248FD" w:rsidR="00DE7B42">
        <w:rPr>
          <w:lang w:val="en-GB"/>
        </w:rPr>
        <w:t xml:space="preserve">climate </w:t>
      </w:r>
      <w:r w:rsidRPr="008248FD">
        <w:rPr>
          <w:lang w:val="en-GB"/>
        </w:rPr>
        <w:t>targets, the CoR emphasises the urgent need to accelerate RDI across products, processes and systems. Priority areas include particularly batteries,</w:t>
      </w:r>
      <w:r w:rsidRPr="008248FD" w:rsidR="003769FE">
        <w:rPr>
          <w:lang w:val="en-GB"/>
        </w:rPr>
        <w:t xml:space="preserve"> </w:t>
      </w:r>
      <w:r w:rsidRPr="008248FD" w:rsidR="00DE7B42">
        <w:rPr>
          <w:lang w:val="en-GB"/>
        </w:rPr>
        <w:t xml:space="preserve">carbon </w:t>
      </w:r>
      <w:r w:rsidRPr="008248FD">
        <w:rPr>
          <w:lang w:val="en-GB"/>
        </w:rPr>
        <w:t>capture utilisation and storage (CCUS)</w:t>
      </w:r>
      <w:r w:rsidRPr="008248FD" w:rsidR="00DE7B42">
        <w:rPr>
          <w:lang w:val="en-GB"/>
        </w:rPr>
        <w:t>, heat pumps,</w:t>
      </w:r>
      <w:r w:rsidRPr="008248FD">
        <w:rPr>
          <w:lang w:val="en-GB"/>
        </w:rPr>
        <w:t xml:space="preserve"> renewable energy sources like wind and solar, hydrogen technologies, circular economy solutions</w:t>
      </w:r>
      <w:r w:rsidRPr="008248FD" w:rsidR="00015139">
        <w:rPr>
          <w:lang w:val="en-GB"/>
        </w:rPr>
        <w:t>,</w:t>
      </w:r>
      <w:r w:rsidRPr="008248FD">
        <w:rPr>
          <w:lang w:val="en-GB"/>
        </w:rPr>
        <w:t xml:space="preserve"> and</w:t>
      </w:r>
      <w:r w:rsidRPr="008248FD" w:rsidR="00DE7B42">
        <w:rPr>
          <w:lang w:val="en-GB"/>
        </w:rPr>
        <w:t xml:space="preserve"> sustainable</w:t>
      </w:r>
      <w:r w:rsidRPr="008248FD">
        <w:rPr>
          <w:lang w:val="en-GB"/>
        </w:rPr>
        <w:t xml:space="preserve"> alternatives such as </w:t>
      </w:r>
      <w:r w:rsidRPr="008248FD" w:rsidR="00DE7B42">
        <w:rPr>
          <w:lang w:val="en-GB"/>
        </w:rPr>
        <w:t>fuels</w:t>
      </w:r>
      <w:r w:rsidRPr="008248FD" w:rsidR="00015139">
        <w:rPr>
          <w:lang w:val="en-GB"/>
        </w:rPr>
        <w:t xml:space="preserve"> </w:t>
      </w:r>
      <w:r w:rsidRPr="008248FD" w:rsidR="00DE7B42">
        <w:rPr>
          <w:lang w:val="en-GB"/>
        </w:rPr>
        <w:t>and</w:t>
      </w:r>
      <w:r w:rsidRPr="008248FD" w:rsidR="00015139">
        <w:rPr>
          <w:lang w:val="en-GB"/>
        </w:rPr>
        <w:t xml:space="preserve"> </w:t>
      </w:r>
      <w:r w:rsidRPr="008248FD" w:rsidR="00DE7B42">
        <w:rPr>
          <w:lang w:val="en-GB"/>
        </w:rPr>
        <w:t>proteins</w:t>
      </w:r>
      <w:r w:rsidRPr="008248FD">
        <w:rPr>
          <w:lang w:val="en-GB"/>
        </w:rPr>
        <w:t>. Moreover,</w:t>
      </w:r>
      <w:r w:rsidRPr="008248FD" w:rsidR="00015139">
        <w:rPr>
          <w:lang w:val="en-GB"/>
        </w:rPr>
        <w:t xml:space="preserve"> </w:t>
      </w:r>
      <w:r w:rsidRPr="008248FD">
        <w:rPr>
          <w:lang w:val="en-GB"/>
        </w:rPr>
        <w:t>advancing these technologies requires additional comprehensive scientific research, as well as active citizen engagement through open science initiatives to enhance understanding, acceptance, and application of new innovations;</w:t>
      </w:r>
    </w:p>
    <w:p w:rsidRPr="00E912D9" w:rsidR="00DE7B42" w:rsidP="008248FD" w:rsidRDefault="00DE7B42" w14:paraId="7D7E8672" w14:textId="09145334">
      <w:pPr>
        <w:rPr>
          <w:rFonts w:asciiTheme="majorBidi" w:hAnsiTheme="majorBidi" w:cstheme="majorBidi"/>
          <w:lang w:val="en-GB"/>
        </w:rPr>
      </w:pPr>
    </w:p>
    <w:p w:rsidRPr="008248FD" w:rsidR="001C051D" w:rsidP="008248FD" w:rsidRDefault="001C051D" w14:paraId="24DAD4A3" w14:textId="7A1C3D1D">
      <w:pPr>
        <w:pStyle w:val="Heading1"/>
        <w:rPr>
          <w:lang w:val="en-GB"/>
        </w:rPr>
      </w:pPr>
      <w:r w:rsidRPr="008248FD">
        <w:rPr>
          <w:lang w:val="en-GB"/>
        </w:rPr>
        <w:t>points to the renewed interest by several Member States in nuclear energy including via the ‘nuclear alliance’ led by France that recognises the key role of nuclear for decarbonisation objectives and is pleased to see the more technological neutral approach in the Commission’s Communication on the 2040 climate objective;</w:t>
      </w:r>
    </w:p>
    <w:p w:rsidRPr="00E912D9" w:rsidR="001C051D" w:rsidP="008248FD" w:rsidRDefault="001C051D" w14:paraId="0A69568A" w14:textId="77777777">
      <w:pPr>
        <w:rPr>
          <w:rFonts w:asciiTheme="majorBidi" w:hAnsiTheme="majorBidi" w:cstheme="majorBidi"/>
          <w:lang w:val="en-GB"/>
        </w:rPr>
      </w:pPr>
    </w:p>
    <w:p w:rsidRPr="00E912D9" w:rsidR="00DE7B42" w:rsidP="002143FF" w:rsidRDefault="005B5E49" w14:paraId="6915C8D8" w14:textId="26656528">
      <w:pPr>
        <w:keepNext/>
        <w:keepLines/>
        <w:rPr>
          <w:rFonts w:asciiTheme="majorBidi" w:hAnsiTheme="majorBidi" w:cstheme="majorBidi"/>
          <w:b/>
          <w:bCs/>
          <w:lang w:val="en-GB"/>
        </w:rPr>
      </w:pPr>
      <w:r w:rsidRPr="00E912D9">
        <w:rPr>
          <w:rFonts w:asciiTheme="majorBidi" w:hAnsiTheme="majorBidi" w:cstheme="majorBidi"/>
          <w:b/>
          <w:bCs/>
          <w:lang w:val="en-GB"/>
        </w:rPr>
        <w:t xml:space="preserve">Support from all </w:t>
      </w:r>
      <w:r w:rsidRPr="00E912D9" w:rsidR="00DE7B42">
        <w:rPr>
          <w:rFonts w:asciiTheme="majorBidi" w:hAnsiTheme="majorBidi" w:cstheme="majorBidi"/>
          <w:b/>
          <w:bCs/>
          <w:lang w:val="en-GB"/>
        </w:rPr>
        <w:t>governance levels: Measures for integrated systemic transformation</w:t>
      </w:r>
    </w:p>
    <w:p w:rsidRPr="00E912D9" w:rsidR="00000312" w:rsidP="002143FF" w:rsidRDefault="00000312" w14:paraId="1AE66A0E" w14:textId="77777777">
      <w:pPr>
        <w:keepNext/>
        <w:keepLines/>
        <w:rPr>
          <w:rFonts w:asciiTheme="majorBidi" w:hAnsiTheme="majorBidi" w:cstheme="majorBidi"/>
          <w:b/>
          <w:bCs/>
          <w:lang w:val="en-GB"/>
        </w:rPr>
      </w:pPr>
    </w:p>
    <w:p w:rsidRPr="008248FD" w:rsidR="00EB1316" w:rsidP="008248FD" w:rsidRDefault="007269D5" w14:paraId="0252DCE7" w14:textId="5D728083">
      <w:pPr>
        <w:pStyle w:val="Heading1"/>
        <w:rPr>
          <w:lang w:val="en-GB"/>
        </w:rPr>
      </w:pPr>
      <w:r w:rsidRPr="008248FD">
        <w:rPr>
          <w:lang w:val="en-GB"/>
        </w:rPr>
        <w:t xml:space="preserve">affirms </w:t>
      </w:r>
      <w:r w:rsidRPr="008248FD" w:rsidR="005128BA">
        <w:rPr>
          <w:lang w:val="en-GB"/>
        </w:rPr>
        <w:t xml:space="preserve">that </w:t>
      </w:r>
      <w:r w:rsidRPr="008248FD">
        <w:rPr>
          <w:lang w:val="en-GB"/>
        </w:rPr>
        <w:t xml:space="preserve">although </w:t>
      </w:r>
      <w:r w:rsidRPr="008248FD" w:rsidR="00F9357E">
        <w:rPr>
          <w:lang w:val="en-GB"/>
        </w:rPr>
        <w:t>the EU</w:t>
      </w:r>
      <w:r w:rsidRPr="008248FD" w:rsidR="00516756">
        <w:rPr>
          <w:lang w:val="en-GB"/>
        </w:rPr>
        <w:t>’</w:t>
      </w:r>
      <w:r w:rsidRPr="008248FD" w:rsidR="00F9357E">
        <w:rPr>
          <w:lang w:val="en-GB"/>
        </w:rPr>
        <w:t xml:space="preserve">s climate policy </w:t>
      </w:r>
      <w:r w:rsidRPr="008248FD">
        <w:rPr>
          <w:lang w:val="en-GB"/>
        </w:rPr>
        <w:t>is robustly supported by</w:t>
      </w:r>
      <w:r w:rsidRPr="008248FD" w:rsidDel="007269D5">
        <w:rPr>
          <w:lang w:val="en-GB"/>
        </w:rPr>
        <w:t xml:space="preserve"> </w:t>
      </w:r>
      <w:r w:rsidRPr="008248FD" w:rsidR="00F9357E">
        <w:rPr>
          <w:lang w:val="en-GB"/>
        </w:rPr>
        <w:t xml:space="preserve">the Green Deal and Fit for 55 framework, </w:t>
      </w:r>
      <w:r w:rsidRPr="008248FD">
        <w:rPr>
          <w:lang w:val="en-GB"/>
        </w:rPr>
        <w:t>its</w:t>
      </w:r>
      <w:r w:rsidRPr="008248FD" w:rsidR="00015139">
        <w:rPr>
          <w:lang w:val="en-GB"/>
        </w:rPr>
        <w:t xml:space="preserve"> </w:t>
      </w:r>
      <w:r w:rsidRPr="008248FD" w:rsidR="00F9357E">
        <w:rPr>
          <w:lang w:val="en-GB"/>
        </w:rPr>
        <w:t xml:space="preserve">implementation </w:t>
      </w:r>
      <w:r w:rsidRPr="008248FD">
        <w:rPr>
          <w:lang w:val="en-GB"/>
        </w:rPr>
        <w:t xml:space="preserve">remains insufficient </w:t>
      </w:r>
      <w:r w:rsidRPr="008248FD" w:rsidR="008B79A3">
        <w:rPr>
          <w:lang w:val="en-GB"/>
        </w:rPr>
        <w:t>or even</w:t>
      </w:r>
      <w:r w:rsidRPr="008248FD">
        <w:rPr>
          <w:lang w:val="en-GB"/>
        </w:rPr>
        <w:t xml:space="preserve"> absent. Current practices fail to effectively leverage the best global scientific and practical knowledge and solutions. European </w:t>
      </w:r>
      <w:r w:rsidRPr="008248FD" w:rsidR="008B79A3">
        <w:rPr>
          <w:lang w:val="en-GB"/>
        </w:rPr>
        <w:t>e</w:t>
      </w:r>
      <w:r w:rsidRPr="008248FD" w:rsidR="00F9357E">
        <w:rPr>
          <w:lang w:val="en-GB"/>
        </w:rPr>
        <w:t xml:space="preserve">fforts are </w:t>
      </w:r>
      <w:r w:rsidRPr="008248FD">
        <w:rPr>
          <w:lang w:val="en-GB"/>
        </w:rPr>
        <w:t xml:space="preserve">excessively </w:t>
      </w:r>
      <w:r w:rsidRPr="008248FD" w:rsidR="00F9357E">
        <w:rPr>
          <w:lang w:val="en-GB"/>
        </w:rPr>
        <w:t>fragmented</w:t>
      </w:r>
      <w:r w:rsidRPr="008248FD" w:rsidR="008B79A3">
        <w:rPr>
          <w:lang w:val="en-GB"/>
        </w:rPr>
        <w:t xml:space="preserve"> and lack synergy,</w:t>
      </w:r>
      <w:r w:rsidRPr="008248FD" w:rsidR="001C051D">
        <w:rPr>
          <w:lang w:val="en-GB"/>
        </w:rPr>
        <w:t xml:space="preserve"> exacerbating these challenges. Furthermore, regional</w:t>
      </w:r>
      <w:r w:rsidRPr="008248FD" w:rsidR="000523D3">
        <w:rPr>
          <w:lang w:val="en-GB"/>
        </w:rPr>
        <w:t xml:space="preserve"> </w:t>
      </w:r>
      <w:r w:rsidRPr="008248FD" w:rsidR="001C051D">
        <w:rPr>
          <w:lang w:val="en-GB"/>
        </w:rPr>
        <w:t>disparities in financial</w:t>
      </w:r>
      <w:r w:rsidRPr="008248FD" w:rsidR="00F9357E">
        <w:rPr>
          <w:lang w:val="en-GB"/>
        </w:rPr>
        <w:t xml:space="preserve"> and </w:t>
      </w:r>
      <w:r w:rsidRPr="008248FD" w:rsidR="001C051D">
        <w:rPr>
          <w:lang w:val="en-GB"/>
        </w:rPr>
        <w:t>skill resources significantly complicate effective implementation</w:t>
      </w:r>
      <w:r w:rsidRPr="008248FD" w:rsidR="00C21331">
        <w:rPr>
          <w:lang w:val="en-GB"/>
        </w:rPr>
        <w:t>;</w:t>
      </w:r>
    </w:p>
    <w:p w:rsidRPr="00E912D9" w:rsidR="007269D5" w:rsidP="008248FD" w:rsidRDefault="007269D5" w14:paraId="7C3A61CB" w14:textId="77777777">
      <w:pPr>
        <w:rPr>
          <w:rFonts w:asciiTheme="majorBidi" w:hAnsiTheme="majorBidi" w:cstheme="majorBidi"/>
          <w:lang w:val="en-GB"/>
        </w:rPr>
      </w:pPr>
    </w:p>
    <w:p w:rsidRPr="008248FD" w:rsidR="00CE063A" w:rsidP="008248FD" w:rsidRDefault="007269D5" w14:paraId="4EA1B85A" w14:textId="7BE02047">
      <w:pPr>
        <w:pStyle w:val="Heading1"/>
        <w:rPr>
          <w:lang w:val="en-GB"/>
        </w:rPr>
      </w:pPr>
      <w:r w:rsidRPr="008248FD">
        <w:rPr>
          <w:lang w:val="en-GB"/>
        </w:rPr>
        <w:t>emphasises that, alongside developing climate mitigation and adaptation technologies, it is imperative to focus on structural societal changes, particularly in production and consumption habits. Necessary lifestyle shifts among citizens are crucial; thus, the EU’s support to cities and regions is essential to make this transition as appealing and feasible for citizens as possible;</w:t>
      </w:r>
    </w:p>
    <w:p w:rsidRPr="00E912D9" w:rsidR="00C24D3F" w:rsidP="008248FD" w:rsidRDefault="00C24D3F" w14:paraId="0147D592" w14:textId="3BD8F178">
      <w:pPr>
        <w:rPr>
          <w:rFonts w:asciiTheme="majorBidi" w:hAnsiTheme="majorBidi" w:cstheme="majorBidi"/>
          <w:lang w:val="en-GB"/>
        </w:rPr>
      </w:pPr>
    </w:p>
    <w:p w:rsidRPr="008248FD" w:rsidR="00015139" w:rsidP="008248FD" w:rsidRDefault="00230417" w14:paraId="5C109A5E" w14:textId="0CB91AAD">
      <w:pPr>
        <w:pStyle w:val="Heading1"/>
        <w:rPr>
          <w:lang w:val="en-GB"/>
        </w:rPr>
      </w:pPr>
      <w:r w:rsidRPr="008248FD">
        <w:rPr>
          <w:lang w:val="en-GB"/>
        </w:rPr>
        <w:t>calls for EU leadership to unify national and subnational policies into a cohesive approach and emphasi</w:t>
      </w:r>
      <w:r w:rsidR="00403586">
        <w:rPr>
          <w:lang w:val="en-GB"/>
        </w:rPr>
        <w:t>s</w:t>
      </w:r>
      <w:r w:rsidRPr="008248FD">
        <w:rPr>
          <w:lang w:val="en-GB"/>
        </w:rPr>
        <w:t>es the pivotal need to accelerate the EU climate neutrality policy through a comprehensive, EU-wide systems transformation</w:t>
      </w:r>
      <w:r w:rsidRPr="008248FD" w:rsidR="007269D5">
        <w:rPr>
          <w:lang w:val="en-GB"/>
        </w:rPr>
        <w:t xml:space="preserve">, focusing on: </w:t>
      </w:r>
    </w:p>
    <w:p w:rsidRPr="008248FD" w:rsidR="00015139" w:rsidP="008248FD" w:rsidRDefault="00403586" w14:paraId="4187ABD1" w14:textId="4276A8A6">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i</w:t>
      </w:r>
      <w:r w:rsidRPr="008248FD" w:rsidR="007269D5">
        <w:rPr>
          <w:rFonts w:asciiTheme="majorBidi" w:hAnsiTheme="majorBidi" w:cstheme="majorBidi"/>
          <w:lang w:val="en-GB"/>
        </w:rPr>
        <w:t xml:space="preserve">nnovative models: </w:t>
      </w:r>
      <w:r w:rsidRPr="008248FD" w:rsidR="00015139">
        <w:rPr>
          <w:rFonts w:asciiTheme="majorBidi" w:hAnsiTheme="majorBidi" w:cstheme="majorBidi"/>
          <w:lang w:val="en-GB"/>
        </w:rPr>
        <w:t>c</w:t>
      </w:r>
      <w:r w:rsidRPr="008248FD" w:rsidR="007269D5">
        <w:rPr>
          <w:rFonts w:asciiTheme="majorBidi" w:hAnsiTheme="majorBidi" w:cstheme="majorBidi"/>
          <w:lang w:val="en-GB"/>
        </w:rPr>
        <w:t>hallenge the status quo and introduce transformative methods</w:t>
      </w:r>
      <w:r>
        <w:rPr>
          <w:rFonts w:asciiTheme="majorBidi" w:hAnsiTheme="majorBidi" w:cstheme="majorBidi"/>
          <w:lang w:val="en-GB"/>
        </w:rPr>
        <w:t>;</w:t>
      </w:r>
    </w:p>
    <w:p w:rsidRPr="008248FD" w:rsidR="00015139" w:rsidP="008248FD" w:rsidRDefault="00403586" w14:paraId="3917417D" w14:textId="3141A660">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c</w:t>
      </w:r>
      <w:r w:rsidRPr="008248FD" w:rsidR="007269D5">
        <w:rPr>
          <w:rFonts w:asciiTheme="majorBidi" w:hAnsiTheme="majorBidi" w:cstheme="majorBidi"/>
          <w:lang w:val="en-GB"/>
        </w:rPr>
        <w:t xml:space="preserve">ross-disciplinary expertise: </w:t>
      </w:r>
      <w:r w:rsidRPr="008248FD" w:rsidR="00015139">
        <w:rPr>
          <w:rFonts w:asciiTheme="majorBidi" w:hAnsiTheme="majorBidi" w:cstheme="majorBidi"/>
          <w:lang w:val="en-GB"/>
        </w:rPr>
        <w:t>f</w:t>
      </w:r>
      <w:r w:rsidRPr="008248FD" w:rsidR="007269D5">
        <w:rPr>
          <w:rFonts w:asciiTheme="majorBidi" w:hAnsiTheme="majorBidi" w:cstheme="majorBidi"/>
          <w:lang w:val="en-GB"/>
        </w:rPr>
        <w:t>oster knowledge integration and collaboration</w:t>
      </w:r>
      <w:r>
        <w:rPr>
          <w:rFonts w:asciiTheme="majorBidi" w:hAnsiTheme="majorBidi" w:cstheme="majorBidi"/>
          <w:lang w:val="en-GB"/>
        </w:rPr>
        <w:t>;</w:t>
      </w:r>
    </w:p>
    <w:p w:rsidRPr="008248FD" w:rsidR="00015139" w:rsidP="008248FD" w:rsidRDefault="00403586" w14:paraId="23A76A85" w14:textId="7B1FF665">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m</w:t>
      </w:r>
      <w:r w:rsidRPr="008248FD" w:rsidR="007269D5">
        <w:rPr>
          <w:rFonts w:asciiTheme="majorBidi" w:hAnsiTheme="majorBidi" w:cstheme="majorBidi"/>
          <w:lang w:val="en-GB"/>
        </w:rPr>
        <w:t xml:space="preserve">ulti-level engagement: </w:t>
      </w:r>
      <w:r w:rsidRPr="008248FD" w:rsidR="00015139">
        <w:rPr>
          <w:rFonts w:asciiTheme="majorBidi" w:hAnsiTheme="majorBidi" w:cstheme="majorBidi"/>
          <w:lang w:val="en-GB"/>
        </w:rPr>
        <w:t>e</w:t>
      </w:r>
      <w:r w:rsidRPr="008248FD" w:rsidR="007269D5">
        <w:rPr>
          <w:rFonts w:asciiTheme="majorBidi" w:hAnsiTheme="majorBidi" w:cstheme="majorBidi"/>
          <w:lang w:val="en-GB"/>
        </w:rPr>
        <w:t>nsure broad stakeholder participation</w:t>
      </w:r>
      <w:r>
        <w:rPr>
          <w:rFonts w:asciiTheme="majorBidi" w:hAnsiTheme="majorBidi" w:cstheme="majorBidi"/>
          <w:lang w:val="en-GB"/>
        </w:rPr>
        <w:t>;</w:t>
      </w:r>
    </w:p>
    <w:p w:rsidRPr="008248FD" w:rsidR="00015139" w:rsidP="008248FD" w:rsidRDefault="00403586" w14:paraId="7BA89407" w14:textId="6D16065F">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g</w:t>
      </w:r>
      <w:r w:rsidRPr="008248FD" w:rsidR="007269D5">
        <w:rPr>
          <w:rFonts w:asciiTheme="majorBidi" w:hAnsiTheme="majorBidi" w:cstheme="majorBidi"/>
          <w:lang w:val="en-GB"/>
        </w:rPr>
        <w:t>lobal and local insights: Incorporate diverse perspectives and practices</w:t>
      </w:r>
      <w:r>
        <w:rPr>
          <w:rFonts w:asciiTheme="majorBidi" w:hAnsiTheme="majorBidi" w:cstheme="majorBidi"/>
          <w:lang w:val="en-GB"/>
        </w:rPr>
        <w:t>;</w:t>
      </w:r>
    </w:p>
    <w:p w:rsidRPr="008248FD" w:rsidR="00015139" w:rsidP="008248FD" w:rsidRDefault="00403586" w14:paraId="7BC0772C" w14:textId="5F663A67">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p</w:t>
      </w:r>
      <w:r w:rsidRPr="008248FD" w:rsidR="007269D5">
        <w:rPr>
          <w:rFonts w:asciiTheme="majorBidi" w:hAnsiTheme="majorBidi" w:cstheme="majorBidi"/>
          <w:lang w:val="en-GB"/>
        </w:rPr>
        <w:t xml:space="preserve">ractical policy advice: </w:t>
      </w:r>
      <w:r w:rsidRPr="008248FD" w:rsidR="00015139">
        <w:rPr>
          <w:rFonts w:asciiTheme="majorBidi" w:hAnsiTheme="majorBidi" w:cstheme="majorBidi"/>
          <w:lang w:val="en-GB"/>
        </w:rPr>
        <w:t>u</w:t>
      </w:r>
      <w:r w:rsidRPr="008248FD" w:rsidR="007269D5">
        <w:rPr>
          <w:rFonts w:asciiTheme="majorBidi" w:hAnsiTheme="majorBidi" w:cstheme="majorBidi"/>
          <w:lang w:val="en-GB"/>
        </w:rPr>
        <w:t>se real-world experience for effective change</w:t>
      </w:r>
      <w:r>
        <w:rPr>
          <w:rFonts w:asciiTheme="majorBidi" w:hAnsiTheme="majorBidi" w:cstheme="majorBidi"/>
          <w:lang w:val="en-GB"/>
        </w:rPr>
        <w:t>;</w:t>
      </w:r>
    </w:p>
    <w:p w:rsidRPr="008248FD" w:rsidR="00015139" w:rsidP="008248FD" w:rsidRDefault="00403586" w14:paraId="6108F4CE" w14:textId="51DABB7A">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e</w:t>
      </w:r>
      <w:r w:rsidRPr="008248FD" w:rsidR="007269D5">
        <w:rPr>
          <w:rFonts w:asciiTheme="majorBidi" w:hAnsiTheme="majorBidi" w:cstheme="majorBidi"/>
          <w:lang w:val="en-GB"/>
        </w:rPr>
        <w:t xml:space="preserve">xperimentation spaces: </w:t>
      </w:r>
      <w:r w:rsidRPr="008248FD" w:rsidR="00015139">
        <w:rPr>
          <w:rFonts w:asciiTheme="majorBidi" w:hAnsiTheme="majorBidi" w:cstheme="majorBidi"/>
          <w:lang w:val="en-GB"/>
        </w:rPr>
        <w:t>t</w:t>
      </w:r>
      <w:r w:rsidRPr="008248FD" w:rsidR="007269D5">
        <w:rPr>
          <w:rFonts w:asciiTheme="majorBidi" w:hAnsiTheme="majorBidi" w:cstheme="majorBidi"/>
          <w:lang w:val="en-GB"/>
        </w:rPr>
        <w:t>est and refine new policy ideas</w:t>
      </w:r>
      <w:r>
        <w:rPr>
          <w:rFonts w:asciiTheme="majorBidi" w:hAnsiTheme="majorBidi" w:cstheme="majorBidi"/>
          <w:lang w:val="en-GB"/>
        </w:rPr>
        <w:t>;</w:t>
      </w:r>
    </w:p>
    <w:p w:rsidRPr="008248FD" w:rsidR="00230417" w:rsidP="008248FD" w:rsidRDefault="00403586" w14:paraId="70DA8F45" w14:textId="4F57138E">
      <w:pPr>
        <w:pStyle w:val="ListParagraph"/>
        <w:numPr>
          <w:ilvl w:val="0"/>
          <w:numId w:val="43"/>
        </w:numPr>
        <w:overflowPunct w:val="0"/>
        <w:autoSpaceDE w:val="0"/>
        <w:autoSpaceDN w:val="0"/>
        <w:adjustRightInd w:val="0"/>
        <w:ind w:left="924" w:hanging="357"/>
        <w:textAlignment w:val="baseline"/>
        <w:rPr>
          <w:rFonts w:asciiTheme="majorBidi" w:hAnsiTheme="majorBidi" w:cstheme="majorBidi"/>
          <w:lang w:val="en-GB"/>
        </w:rPr>
      </w:pPr>
      <w:r w:rsidRPr="00E912D9">
        <w:rPr>
          <w:rFonts w:asciiTheme="majorBidi" w:hAnsiTheme="majorBidi" w:cstheme="majorBidi"/>
          <w:lang w:val="en-GB"/>
        </w:rPr>
        <w:t>e</w:t>
      </w:r>
      <w:r w:rsidRPr="008248FD" w:rsidR="007269D5">
        <w:rPr>
          <w:rFonts w:asciiTheme="majorBidi" w:hAnsiTheme="majorBidi" w:cstheme="majorBidi"/>
          <w:lang w:val="en-GB"/>
        </w:rPr>
        <w:t xml:space="preserve">ffective communication: </w:t>
      </w:r>
      <w:r w:rsidRPr="008248FD" w:rsidR="00015139">
        <w:rPr>
          <w:rFonts w:asciiTheme="majorBidi" w:hAnsiTheme="majorBidi" w:cstheme="majorBidi"/>
          <w:lang w:val="en-GB"/>
        </w:rPr>
        <w:t>c</w:t>
      </w:r>
      <w:r w:rsidRPr="008248FD" w:rsidR="007269D5">
        <w:rPr>
          <w:rFonts w:asciiTheme="majorBidi" w:hAnsiTheme="majorBidi" w:cstheme="majorBidi"/>
          <w:lang w:val="en-GB"/>
        </w:rPr>
        <w:t>raft narratives to build support for complex changes</w:t>
      </w:r>
      <w:r w:rsidRPr="008248FD" w:rsidR="00230417">
        <w:rPr>
          <w:rFonts w:asciiTheme="majorBidi" w:hAnsiTheme="majorBidi" w:cstheme="majorBidi"/>
          <w:lang w:val="en-GB"/>
        </w:rPr>
        <w:t>;</w:t>
      </w:r>
    </w:p>
    <w:p w:rsidRPr="00E912D9" w:rsidR="00CE063A" w:rsidP="008248FD" w:rsidRDefault="00CE063A" w14:paraId="49DA2651" w14:textId="77777777">
      <w:pPr>
        <w:overflowPunct w:val="0"/>
        <w:autoSpaceDE w:val="0"/>
        <w:autoSpaceDN w:val="0"/>
        <w:adjustRightInd w:val="0"/>
        <w:textAlignment w:val="baseline"/>
        <w:rPr>
          <w:rFonts w:asciiTheme="majorBidi" w:hAnsiTheme="majorBidi" w:cstheme="majorBidi"/>
          <w:lang w:val="en-GB"/>
        </w:rPr>
      </w:pPr>
    </w:p>
    <w:p w:rsidRPr="008248FD" w:rsidR="00AE5E63" w:rsidP="008248FD" w:rsidRDefault="00AE5E63" w14:paraId="3FF12E8F" w14:textId="50FCC4AC">
      <w:pPr>
        <w:pStyle w:val="Heading1"/>
        <w:rPr>
          <w:lang w:val="en-GB"/>
        </w:rPr>
      </w:pPr>
      <w:r w:rsidRPr="008248FD">
        <w:rPr>
          <w:lang w:val="en-GB"/>
        </w:rPr>
        <w:t>welcomes the explicit reference to the role of climate resilience in ensuring societal functions, competitiveness, financial stability and security</w:t>
      </w:r>
      <w:r w:rsidRPr="008248FD">
        <w:rPr>
          <w:sz w:val="24"/>
          <w:szCs w:val="24"/>
          <w:vertAlign w:val="superscript"/>
          <w:lang w:val="en-GB"/>
        </w:rPr>
        <w:footnoteReference w:id="3"/>
      </w:r>
      <w:r w:rsidRPr="008248FD" w:rsidR="00162B83">
        <w:rPr>
          <w:lang w:val="en-GB"/>
        </w:rPr>
        <w:t>;</w:t>
      </w:r>
      <w:r w:rsidRPr="008248FD">
        <w:rPr>
          <w:lang w:val="en-GB"/>
        </w:rPr>
        <w:t xml:space="preserve"> calls for more robust mechanisms to enforce and monitor systematic climate mainstreaming in all relevant EU, national and subnational policies;</w:t>
      </w:r>
    </w:p>
    <w:p w:rsidRPr="00E912D9" w:rsidR="00E62B54" w:rsidP="008248FD" w:rsidRDefault="00E62B54" w14:paraId="4DB52772" w14:textId="77777777">
      <w:pPr>
        <w:tabs>
          <w:tab w:val="left" w:pos="1088"/>
        </w:tabs>
        <w:overflowPunct w:val="0"/>
        <w:autoSpaceDE w:val="0"/>
        <w:autoSpaceDN w:val="0"/>
        <w:adjustRightInd w:val="0"/>
        <w:textAlignment w:val="baseline"/>
        <w:rPr>
          <w:rFonts w:asciiTheme="majorBidi" w:hAnsiTheme="majorBidi" w:cstheme="majorBidi"/>
          <w:lang w:val="en-GB"/>
        </w:rPr>
      </w:pPr>
    </w:p>
    <w:p w:rsidRPr="008248FD" w:rsidR="007269D5" w:rsidP="008248FD" w:rsidRDefault="007269D5" w14:paraId="2F51F1EB" w14:textId="77777777">
      <w:pPr>
        <w:pStyle w:val="Heading1"/>
        <w:rPr>
          <w:lang w:val="en-GB"/>
        </w:rPr>
      </w:pPr>
      <w:r w:rsidRPr="008248FD">
        <w:rPr>
          <w:lang w:val="en-GB"/>
        </w:rPr>
        <w:t>underlines the critical role of clean electrification and the need to develop a sustainable energy system with flexible demand, supply and energy storage reflecting intermittent renewable energy production;</w:t>
      </w:r>
    </w:p>
    <w:p w:rsidRPr="00E912D9" w:rsidR="007269D5" w:rsidP="008248FD" w:rsidRDefault="007269D5" w14:paraId="48DCF3BF" w14:textId="77777777">
      <w:pPr>
        <w:tabs>
          <w:tab w:val="left" w:pos="1088"/>
        </w:tabs>
        <w:overflowPunct w:val="0"/>
        <w:autoSpaceDE w:val="0"/>
        <w:autoSpaceDN w:val="0"/>
        <w:adjustRightInd w:val="0"/>
        <w:textAlignment w:val="baseline"/>
        <w:rPr>
          <w:rFonts w:asciiTheme="majorBidi" w:hAnsiTheme="majorBidi" w:cstheme="majorBidi"/>
          <w:lang w:val="en-GB"/>
        </w:rPr>
      </w:pPr>
    </w:p>
    <w:p w:rsidRPr="00E912D9" w:rsidR="00312C23" w:rsidP="002143FF" w:rsidRDefault="00312C23" w14:paraId="6BE8824B" w14:textId="004A5A9F">
      <w:pPr>
        <w:keepNext/>
        <w:keepLines/>
        <w:rPr>
          <w:rFonts w:asciiTheme="majorBidi" w:hAnsiTheme="majorBidi" w:cstheme="majorBidi"/>
          <w:b/>
          <w:bCs/>
          <w:lang w:val="en-GB"/>
        </w:rPr>
      </w:pPr>
      <w:r w:rsidRPr="00E912D9">
        <w:rPr>
          <w:rFonts w:asciiTheme="majorBidi" w:hAnsiTheme="majorBidi" w:cstheme="majorBidi"/>
          <w:b/>
          <w:bCs/>
          <w:lang w:val="en-GB"/>
        </w:rPr>
        <w:t xml:space="preserve">Facts and evidence: </w:t>
      </w:r>
      <w:r w:rsidRPr="00E912D9" w:rsidR="00985789">
        <w:rPr>
          <w:rFonts w:asciiTheme="majorBidi" w:hAnsiTheme="majorBidi" w:cstheme="majorBidi"/>
          <w:b/>
          <w:bCs/>
          <w:lang w:val="en-GB"/>
        </w:rPr>
        <w:t>A</w:t>
      </w:r>
      <w:r w:rsidRPr="00E912D9">
        <w:rPr>
          <w:rFonts w:asciiTheme="majorBidi" w:hAnsiTheme="majorBidi" w:cstheme="majorBidi"/>
          <w:b/>
          <w:bCs/>
          <w:lang w:val="en-GB"/>
        </w:rPr>
        <w:t>n integrated EU climate policy</w:t>
      </w:r>
      <w:r w:rsidRPr="00E912D9" w:rsidR="00162B83">
        <w:rPr>
          <w:rFonts w:asciiTheme="majorBidi" w:hAnsiTheme="majorBidi" w:cstheme="majorBidi"/>
          <w:b/>
          <w:bCs/>
          <w:lang w:val="en-GB"/>
        </w:rPr>
        <w:t xml:space="preserve"> –</w:t>
      </w:r>
      <w:r w:rsidRPr="00E912D9" w:rsidR="00985789">
        <w:rPr>
          <w:rFonts w:asciiTheme="majorBidi" w:hAnsiTheme="majorBidi" w:cstheme="majorBidi"/>
          <w:b/>
          <w:bCs/>
          <w:lang w:val="en-GB"/>
        </w:rPr>
        <w:t xml:space="preserve"> the only option</w:t>
      </w:r>
    </w:p>
    <w:p w:rsidRPr="008248FD" w:rsidR="00CE063A" w:rsidP="002143FF" w:rsidRDefault="00CE063A" w14:paraId="3F833917" w14:textId="77777777">
      <w:pPr>
        <w:keepNext/>
        <w:keepLines/>
        <w:rPr>
          <w:rFonts w:asciiTheme="majorBidi" w:hAnsiTheme="majorBidi" w:cstheme="majorBidi"/>
          <w:lang w:val="en-GB"/>
        </w:rPr>
      </w:pPr>
    </w:p>
    <w:p w:rsidRPr="008248FD" w:rsidR="006E113A" w:rsidP="008248FD" w:rsidRDefault="002921F7" w14:paraId="2C82B315" w14:textId="222A0A32">
      <w:pPr>
        <w:pStyle w:val="Heading1"/>
        <w:rPr>
          <w:lang w:val="en-GB"/>
        </w:rPr>
      </w:pPr>
      <w:r w:rsidRPr="008248FD">
        <w:rPr>
          <w:lang w:val="en-GB"/>
        </w:rPr>
        <w:t xml:space="preserve">recalls that </w:t>
      </w:r>
      <w:r w:rsidRPr="008248FD" w:rsidR="00AC3501">
        <w:rPr>
          <w:lang w:val="en-GB"/>
        </w:rPr>
        <w:t xml:space="preserve">according to the </w:t>
      </w:r>
      <w:r w:rsidRPr="008248FD" w:rsidR="00162B83">
        <w:rPr>
          <w:lang w:val="en-GB"/>
        </w:rPr>
        <w:t xml:space="preserve">Commission </w:t>
      </w:r>
      <w:r w:rsidRPr="008248FD" w:rsidR="00AC3501">
        <w:rPr>
          <w:lang w:val="en-GB"/>
        </w:rPr>
        <w:t xml:space="preserve">Communication </w:t>
      </w:r>
      <w:r w:rsidRPr="008248FD">
        <w:rPr>
          <w:lang w:val="en-GB"/>
        </w:rPr>
        <w:t>the cost of inaction is estimated over the period 2031-2050 to be up to 2.4 trillion euro</w:t>
      </w:r>
      <w:r w:rsidRPr="008248FD" w:rsidR="00B51617">
        <w:rPr>
          <w:iCs/>
          <w:lang w:val="en-GB"/>
        </w:rPr>
        <w:t>; stresses that inaction also has social and environmental costs, worsening inequalities, public health, and the vulnerability of marginalised communities;</w:t>
      </w:r>
      <w:r w:rsidRPr="008248FD" w:rsidR="00B51617">
        <w:rPr>
          <w:lang w:val="en-GB"/>
        </w:rPr>
        <w:t xml:space="preserve"> </w:t>
      </w:r>
      <w:r w:rsidRPr="008248FD">
        <w:rPr>
          <w:lang w:val="en-GB"/>
        </w:rPr>
        <w:t>on the other</w:t>
      </w:r>
      <w:r w:rsidRPr="008248FD" w:rsidR="00B51617">
        <w:rPr>
          <w:lang w:val="en-GB"/>
        </w:rPr>
        <w:t xml:space="preserve"> hand</w:t>
      </w:r>
      <w:r w:rsidRPr="008248FD">
        <w:rPr>
          <w:lang w:val="en-GB"/>
        </w:rPr>
        <w:t xml:space="preserve">, the co-benefits of keeping the 90% target would be significant, for example, </w:t>
      </w:r>
      <w:r w:rsidRPr="008248FD" w:rsidR="00162B83">
        <w:rPr>
          <w:lang w:val="en-GB"/>
        </w:rPr>
        <w:t xml:space="preserve">by </w:t>
      </w:r>
      <w:r w:rsidRPr="008248FD">
        <w:rPr>
          <w:lang w:val="en-GB"/>
        </w:rPr>
        <w:t>reducing air</w:t>
      </w:r>
      <w:r w:rsidRPr="008248FD" w:rsidR="005B5E49">
        <w:rPr>
          <w:lang w:val="en-GB"/>
        </w:rPr>
        <w:t>-</w:t>
      </w:r>
      <w:r w:rsidRPr="008248FD">
        <w:rPr>
          <w:lang w:val="en-GB"/>
        </w:rPr>
        <w:t>pollution-related premature deaths from the 466</w:t>
      </w:r>
      <w:r w:rsidRPr="008248FD" w:rsidR="00162B83">
        <w:rPr>
          <w:lang w:val="en-GB"/>
        </w:rPr>
        <w:t> </w:t>
      </w:r>
      <w:r w:rsidRPr="008248FD">
        <w:rPr>
          <w:lang w:val="en-GB"/>
        </w:rPr>
        <w:t>000/year in 2015 to 196</w:t>
      </w:r>
      <w:r w:rsidRPr="008248FD" w:rsidR="00162B83">
        <w:rPr>
          <w:lang w:val="en-GB"/>
        </w:rPr>
        <w:t> </w:t>
      </w:r>
      <w:r w:rsidRPr="008248FD">
        <w:rPr>
          <w:lang w:val="en-GB"/>
        </w:rPr>
        <w:t>000/year in 2040</w:t>
      </w:r>
      <w:r w:rsidRPr="008248FD" w:rsidR="00326730">
        <w:rPr>
          <w:lang w:val="en-GB"/>
        </w:rPr>
        <w:t>;</w:t>
      </w:r>
    </w:p>
    <w:p w:rsidRPr="008248FD" w:rsidR="00B51617" w:rsidP="008248FD" w:rsidRDefault="00B51617" w14:paraId="558E0854" w14:textId="77777777">
      <w:pPr>
        <w:rPr>
          <w:rFonts w:asciiTheme="majorBidi" w:hAnsiTheme="majorBidi" w:cstheme="majorBidi"/>
          <w:lang w:val="en-GB"/>
        </w:rPr>
      </w:pPr>
    </w:p>
    <w:p w:rsidRPr="008248FD" w:rsidR="00CE063A" w:rsidP="008248FD" w:rsidRDefault="00B51617" w14:paraId="1E14C160" w14:textId="41D5DA4F">
      <w:pPr>
        <w:pStyle w:val="Heading1"/>
        <w:rPr>
          <w:i/>
          <w:lang w:val="en-GB"/>
        </w:rPr>
      </w:pPr>
      <w:r w:rsidRPr="008248FD">
        <w:rPr>
          <w:lang w:val="en-GB"/>
        </w:rPr>
        <w:t>emphasising that investments in energy and electricity infrastructure to advance climate neutrality are most effective when utilizing existing forefront technology-assisted solutions and targeted to integrate regional, national and European grids for the benefit for all. This coordination should foster the co-creation of incentives, synchronising the plans of all relevant stakeholders and leading to a strategic, comprehensive energy blueprint for urgent enhancements in decentralised use across local energy and electricity sectors;</w:t>
      </w:r>
    </w:p>
    <w:p w:rsidRPr="008248FD" w:rsidR="00B51617" w:rsidP="008248FD" w:rsidRDefault="00B51617" w14:paraId="6B62BD68" w14:textId="77777777">
      <w:pPr>
        <w:rPr>
          <w:rFonts w:asciiTheme="majorBidi" w:hAnsiTheme="majorBidi" w:cstheme="majorBidi"/>
          <w:lang w:val="en-GB"/>
        </w:rPr>
      </w:pPr>
    </w:p>
    <w:p w:rsidRPr="008248FD" w:rsidR="0021487F" w:rsidP="008248FD" w:rsidRDefault="0021487F" w14:paraId="5E9B7729" w14:textId="282F8BB5">
      <w:pPr>
        <w:pStyle w:val="Heading1"/>
        <w:rPr>
          <w:lang w:val="en-GB"/>
        </w:rPr>
      </w:pPr>
      <w:r w:rsidRPr="008248FD">
        <w:rPr>
          <w:lang w:val="en-GB"/>
        </w:rPr>
        <w:t>recalls the European Climate Risk Assessment (EUCRA)</w:t>
      </w:r>
      <w:r w:rsidRPr="008248FD">
        <w:rPr>
          <w:sz w:val="24"/>
          <w:szCs w:val="24"/>
          <w:vertAlign w:val="superscript"/>
          <w:lang w:val="en-GB"/>
        </w:rPr>
        <w:footnoteReference w:id="4"/>
      </w:r>
      <w:r w:rsidRPr="008248FD">
        <w:rPr>
          <w:lang w:val="en-GB"/>
        </w:rPr>
        <w:t xml:space="preserve"> findings, which show that Europe is the fastest-warming continent, warming more than twice as fast as the global average over the past 30 years. Without further policy action, economic damages from coastal floods alone could exceed EUR </w:t>
      </w:r>
      <w:r w:rsidRPr="008248FD" w:rsidR="00162B83">
        <w:rPr>
          <w:lang w:val="en-GB"/>
        </w:rPr>
        <w:t>one</w:t>
      </w:r>
      <w:r w:rsidRPr="008248FD">
        <w:rPr>
          <w:lang w:val="en-GB"/>
        </w:rPr>
        <w:t xml:space="preserve"> trillion per year in the EU by the end of the century</w:t>
      </w:r>
      <w:r w:rsidRPr="008248FD" w:rsidR="008B79A3">
        <w:rPr>
          <w:lang w:val="en-GB"/>
        </w:rPr>
        <w:t>;</w:t>
      </w:r>
    </w:p>
    <w:p w:rsidRPr="00E912D9" w:rsidR="00000312" w:rsidP="008248FD" w:rsidRDefault="00000312" w14:paraId="430F6B68" w14:textId="77777777">
      <w:pPr>
        <w:rPr>
          <w:rFonts w:asciiTheme="majorBidi" w:hAnsiTheme="majorBidi" w:cstheme="majorBidi"/>
          <w:lang w:val="en-GB"/>
        </w:rPr>
      </w:pPr>
    </w:p>
    <w:p w:rsidRPr="008248FD" w:rsidR="0021487F" w:rsidP="008248FD" w:rsidRDefault="00B51617" w14:paraId="0D375862" w14:textId="55CE9CE8">
      <w:pPr>
        <w:pStyle w:val="Heading1"/>
        <w:rPr>
          <w:lang w:val="en-GB"/>
        </w:rPr>
      </w:pPr>
      <w:r w:rsidRPr="008248FD">
        <w:rPr>
          <w:lang w:val="en-GB"/>
        </w:rPr>
        <w:t xml:space="preserve">notes – with great concern – the findings of </w:t>
      </w:r>
      <w:r w:rsidRPr="008248FD" w:rsidR="0021487F">
        <w:rPr>
          <w:lang w:val="en-GB"/>
        </w:rPr>
        <w:t xml:space="preserve">the </w:t>
      </w:r>
      <w:r w:rsidRPr="008248FD" w:rsidR="005B5E49">
        <w:rPr>
          <w:lang w:val="en-GB"/>
        </w:rPr>
        <w:t xml:space="preserve">scientific </w:t>
      </w:r>
      <w:r w:rsidRPr="008248FD" w:rsidR="0021487F">
        <w:rPr>
          <w:lang w:val="en-GB"/>
        </w:rPr>
        <w:t>fact-based EUCRA report, which highlights the broad risks of climate change that extend beyond the environment, impacting the economy,</w:t>
      </w:r>
      <w:r w:rsidRPr="008248FD" w:rsidR="00000312">
        <w:rPr>
          <w:lang w:val="en-GB"/>
        </w:rPr>
        <w:t xml:space="preserve"> </w:t>
      </w:r>
      <w:r w:rsidRPr="008248FD">
        <w:rPr>
          <w:lang w:val="en-GB"/>
        </w:rPr>
        <w:t xml:space="preserve">local tourism, </w:t>
      </w:r>
      <w:r w:rsidRPr="008248FD" w:rsidR="0021487F">
        <w:rPr>
          <w:lang w:val="en-GB"/>
        </w:rPr>
        <w:t xml:space="preserve">health, infrastructure </w:t>
      </w:r>
      <w:r w:rsidRPr="008248FD">
        <w:rPr>
          <w:lang w:val="en-GB"/>
        </w:rPr>
        <w:t xml:space="preserve">(particularly critical infrastructure) </w:t>
      </w:r>
      <w:r w:rsidRPr="008248FD" w:rsidR="0021487F">
        <w:rPr>
          <w:lang w:val="en-GB"/>
        </w:rPr>
        <w:t>and food systems</w:t>
      </w:r>
      <w:r w:rsidRPr="008248FD">
        <w:rPr>
          <w:lang w:val="en-GB"/>
        </w:rPr>
        <w:t>, sometimes even threatening the cultural heritage of our local areas</w:t>
      </w:r>
      <w:r w:rsidRPr="008248FD" w:rsidR="008F2067">
        <w:rPr>
          <w:lang w:val="en-GB"/>
        </w:rPr>
        <w:t>; e</w:t>
      </w:r>
      <w:r w:rsidRPr="008248FD" w:rsidR="0021487F">
        <w:rPr>
          <w:lang w:val="en-GB"/>
        </w:rPr>
        <w:t>mphasi</w:t>
      </w:r>
      <w:r w:rsidRPr="008248FD" w:rsidR="00D57B65">
        <w:rPr>
          <w:lang w:val="en-GB"/>
        </w:rPr>
        <w:t>s</w:t>
      </w:r>
      <w:r w:rsidRPr="008248FD" w:rsidR="0021487F">
        <w:rPr>
          <w:lang w:val="en-GB"/>
        </w:rPr>
        <w:t>es the need for climate change to be a crosscutting priority, not just a thematic policy</w:t>
      </w:r>
      <w:r w:rsidRPr="008248FD" w:rsidR="008B79A3">
        <w:rPr>
          <w:lang w:val="en-GB"/>
        </w:rPr>
        <w:t>;</w:t>
      </w:r>
    </w:p>
    <w:p w:rsidRPr="00E912D9" w:rsidR="00CE063A" w:rsidP="008248FD" w:rsidRDefault="00CE063A" w14:paraId="7FE88DD8" w14:textId="77777777">
      <w:pPr>
        <w:rPr>
          <w:rFonts w:asciiTheme="majorBidi" w:hAnsiTheme="majorBidi" w:cstheme="majorBidi"/>
          <w:lang w:val="en-GB"/>
        </w:rPr>
      </w:pPr>
    </w:p>
    <w:p w:rsidRPr="008248FD" w:rsidR="0021487F" w:rsidP="008248FD" w:rsidRDefault="0021487F" w14:paraId="1F465E14" w14:textId="0FA61E98">
      <w:pPr>
        <w:pStyle w:val="Heading1"/>
        <w:rPr>
          <w:lang w:val="en-GB"/>
        </w:rPr>
      </w:pPr>
      <w:r w:rsidRPr="008248FD">
        <w:rPr>
          <w:lang w:val="en-GB"/>
        </w:rPr>
        <w:t>stresses that the EUCRA findings underscore the urgent need for adaptation, regardless of the success of mitigation efforts</w:t>
      </w:r>
      <w:r w:rsidRPr="008248FD" w:rsidR="008F2067">
        <w:rPr>
          <w:lang w:val="en-GB"/>
        </w:rPr>
        <w:t>; c</w:t>
      </w:r>
      <w:r w:rsidRPr="008248FD">
        <w:rPr>
          <w:lang w:val="en-GB"/>
        </w:rPr>
        <w:t>alls for mitigation and adaptation policies to be more integrated, with specific adaptation targets established according to the precautionary principle tailored to the unique vulnerabilities of different regions</w:t>
      </w:r>
      <w:r w:rsidRPr="008248FD" w:rsidR="008F2067">
        <w:rPr>
          <w:lang w:val="en-GB"/>
        </w:rPr>
        <w:t>;</w:t>
      </w:r>
    </w:p>
    <w:p w:rsidRPr="00E912D9" w:rsidR="00000312" w:rsidP="008248FD" w:rsidRDefault="00000312" w14:paraId="72F07346" w14:textId="77777777">
      <w:pPr>
        <w:rPr>
          <w:rFonts w:asciiTheme="majorBidi" w:hAnsiTheme="majorBidi" w:cstheme="majorBidi"/>
          <w:lang w:val="en-GB"/>
        </w:rPr>
      </w:pPr>
    </w:p>
    <w:p w:rsidRPr="008248FD" w:rsidR="00732955" w:rsidP="008248FD" w:rsidRDefault="002921F7" w14:paraId="45753B7C" w14:textId="7EF877AA">
      <w:pPr>
        <w:pStyle w:val="Heading1"/>
        <w:rPr>
          <w:lang w:val="en-GB"/>
        </w:rPr>
      </w:pPr>
      <w:r w:rsidRPr="008248FD">
        <w:rPr>
          <w:lang w:val="en-GB"/>
        </w:rPr>
        <w:t>stresses that climate-related damages can no longer be considered the result of unfortunate, unforeseen natural disasters</w:t>
      </w:r>
      <w:r w:rsidRPr="008248FD" w:rsidR="00B51617">
        <w:rPr>
          <w:lang w:val="en-GB"/>
        </w:rPr>
        <w:t xml:space="preserve"> such as drought, forest fires and floods</w:t>
      </w:r>
      <w:r w:rsidRPr="008248FD">
        <w:rPr>
          <w:lang w:val="en-GB"/>
        </w:rPr>
        <w:t xml:space="preserve">; reiterates that cities and regions play a first-line role in designing such policies and must be empowered and equipped </w:t>
      </w:r>
      <w:r w:rsidRPr="008248FD" w:rsidR="00D70ECC">
        <w:rPr>
          <w:lang w:val="en-GB"/>
        </w:rPr>
        <w:t>to</w:t>
      </w:r>
      <w:r w:rsidRPr="008248FD">
        <w:rPr>
          <w:lang w:val="en-GB"/>
        </w:rPr>
        <w:t xml:space="preserve"> protect citizens</w:t>
      </w:r>
      <w:r w:rsidRPr="008248FD" w:rsidR="00516756">
        <w:rPr>
          <w:lang w:val="en-GB"/>
        </w:rPr>
        <w:t>’</w:t>
      </w:r>
      <w:r w:rsidRPr="008248FD">
        <w:rPr>
          <w:lang w:val="en-GB"/>
        </w:rPr>
        <w:t xml:space="preserve"> health, safety and well</w:t>
      </w:r>
      <w:r w:rsidRPr="008248FD" w:rsidR="00162B83">
        <w:rPr>
          <w:lang w:val="en-GB"/>
        </w:rPr>
        <w:t>-</w:t>
      </w:r>
      <w:r w:rsidRPr="008248FD">
        <w:rPr>
          <w:lang w:val="en-GB"/>
        </w:rPr>
        <w:t>being;</w:t>
      </w:r>
    </w:p>
    <w:p w:rsidRPr="008248FD" w:rsidR="00000312" w:rsidP="008248FD" w:rsidRDefault="00000312" w14:paraId="1D13A11B" w14:textId="77777777">
      <w:pPr>
        <w:rPr>
          <w:rFonts w:asciiTheme="majorBidi" w:hAnsiTheme="majorBidi" w:cstheme="majorBidi"/>
          <w:lang w:val="en-GB"/>
        </w:rPr>
      </w:pPr>
    </w:p>
    <w:p w:rsidRPr="008248FD" w:rsidR="00CE063A" w:rsidP="008248FD" w:rsidRDefault="00B51617" w14:paraId="08ACE22A" w14:textId="0FCE8CE7">
      <w:pPr>
        <w:pStyle w:val="Heading1"/>
        <w:rPr>
          <w:lang w:val="en-GB"/>
        </w:rPr>
      </w:pPr>
      <w:r w:rsidRPr="008248FD">
        <w:rPr>
          <w:lang w:val="en-GB"/>
        </w:rPr>
        <w:t>believes that developing an ‘index’ and territorial vulnerability scoreboard is crucial in order to start a policy debate on how to use future cohesion policy to respond to such vulnerabilities;</w:t>
      </w:r>
    </w:p>
    <w:p w:rsidRPr="008248FD" w:rsidR="00C24D3F" w:rsidP="008248FD" w:rsidRDefault="00C24D3F" w14:paraId="45207F16" w14:textId="77777777">
      <w:pPr>
        <w:rPr>
          <w:rFonts w:asciiTheme="majorBidi" w:hAnsiTheme="majorBidi" w:cstheme="majorBidi"/>
          <w:lang w:val="en-GB"/>
        </w:rPr>
      </w:pPr>
    </w:p>
    <w:p w:rsidRPr="008248FD" w:rsidR="00732955" w:rsidP="008248FD" w:rsidRDefault="002921F7" w14:paraId="3D77CD7A" w14:textId="6B6D2D90">
      <w:pPr>
        <w:pStyle w:val="Heading1"/>
        <w:rPr>
          <w:b/>
          <w:bCs/>
          <w:lang w:val="en-GB"/>
        </w:rPr>
      </w:pPr>
      <w:r w:rsidRPr="008248FD">
        <w:rPr>
          <w:lang w:val="en-GB"/>
        </w:rPr>
        <w:t xml:space="preserve">welcomes the proposal </w:t>
      </w:r>
      <w:r w:rsidRPr="008248FD" w:rsidR="00162B83">
        <w:rPr>
          <w:lang w:val="en-GB"/>
        </w:rPr>
        <w:t>to include</w:t>
      </w:r>
      <w:r w:rsidRPr="008248FD">
        <w:rPr>
          <w:lang w:val="en-GB"/>
        </w:rPr>
        <w:t xml:space="preserve"> natural capital in the assessment of wealth and economic activities and calls on the Commission to put forward a proposal;</w:t>
      </w:r>
    </w:p>
    <w:p w:rsidRPr="008248FD" w:rsidR="00B51617" w:rsidP="008248FD" w:rsidRDefault="00B51617" w14:paraId="6BF44E28" w14:textId="77777777">
      <w:pPr>
        <w:rPr>
          <w:bCs/>
          <w:iCs/>
          <w:lang w:val="en-GB"/>
        </w:rPr>
      </w:pPr>
    </w:p>
    <w:p w:rsidRPr="008248FD" w:rsidR="00B51617" w:rsidP="008248FD" w:rsidRDefault="00B51617" w14:paraId="3935CDA5" w14:textId="4480EEC6">
      <w:pPr>
        <w:pStyle w:val="Heading1"/>
        <w:rPr>
          <w:lang w:val="en-GB"/>
        </w:rPr>
      </w:pPr>
      <w:r w:rsidRPr="008248FD">
        <w:rPr>
          <w:lang w:val="en-GB"/>
        </w:rPr>
        <w:t>stresses, furthermore, that natural disasters constitute an ever</w:t>
      </w:r>
      <w:r w:rsidRPr="008248FD" w:rsidR="00015139">
        <w:rPr>
          <w:lang w:val="en-GB"/>
        </w:rPr>
        <w:t>-</w:t>
      </w:r>
      <w:r w:rsidRPr="008248FD">
        <w:rPr>
          <w:lang w:val="en-GB"/>
        </w:rPr>
        <w:t>increasing threat to the EU’s economic, social and territorial cohesion, hindering the implementation of EU cohesion policy and exacerbating the disparities and inequality between regions and social groups, with the most vulnerable being hardest hit;</w:t>
      </w:r>
    </w:p>
    <w:p w:rsidRPr="008248FD" w:rsidR="00B51617" w:rsidP="008248FD" w:rsidRDefault="00B51617" w14:paraId="25D2F799" w14:textId="77777777">
      <w:pPr>
        <w:rPr>
          <w:rFonts w:asciiTheme="majorBidi" w:hAnsiTheme="majorBidi" w:cstheme="majorBidi"/>
          <w:lang w:val="en-GB"/>
        </w:rPr>
      </w:pPr>
    </w:p>
    <w:p w:rsidRPr="008248FD" w:rsidR="006F3A3D" w:rsidP="008248FD" w:rsidRDefault="008D29F5" w14:paraId="38129B76" w14:textId="7274AFA3">
      <w:pPr>
        <w:pStyle w:val="Heading1"/>
        <w:rPr>
          <w:lang w:val="en-GB"/>
        </w:rPr>
      </w:pPr>
      <w:r w:rsidRPr="008248FD">
        <w:rPr>
          <w:lang w:val="en-GB"/>
        </w:rPr>
        <w:t xml:space="preserve">recalls </w:t>
      </w:r>
      <w:r w:rsidRPr="008248FD" w:rsidR="003977A8">
        <w:rPr>
          <w:lang w:val="en-GB"/>
        </w:rPr>
        <w:t xml:space="preserve">the need for </w:t>
      </w:r>
      <w:r w:rsidRPr="008248FD" w:rsidR="008F2067">
        <w:rPr>
          <w:lang w:val="en-GB"/>
        </w:rPr>
        <w:t xml:space="preserve">new mechanisms to engage the private sector in climate action; as a reference, </w:t>
      </w:r>
      <w:r w:rsidRPr="008248FD" w:rsidR="003977A8">
        <w:rPr>
          <w:lang w:val="en-GB"/>
        </w:rPr>
        <w:t xml:space="preserve">the EU Cities Mission </w:t>
      </w:r>
      <w:r w:rsidRPr="008248FD" w:rsidR="008F2067">
        <w:rPr>
          <w:lang w:val="en-GB"/>
        </w:rPr>
        <w:t xml:space="preserve">Platform </w:t>
      </w:r>
      <w:r w:rsidRPr="008248FD" w:rsidR="003977A8">
        <w:rPr>
          <w:lang w:val="en-GB"/>
        </w:rPr>
        <w:t>estimat</w:t>
      </w:r>
      <w:r w:rsidRPr="008248FD" w:rsidR="008F2067">
        <w:rPr>
          <w:lang w:val="en-GB"/>
        </w:rPr>
        <w:t>ed</w:t>
      </w:r>
      <w:r w:rsidRPr="008248FD" w:rsidR="003977A8">
        <w:rPr>
          <w:lang w:val="en-GB"/>
        </w:rPr>
        <w:t xml:space="preserve"> </w:t>
      </w:r>
      <w:r w:rsidRPr="008248FD" w:rsidR="005B5E49">
        <w:rPr>
          <w:lang w:val="en-GB"/>
        </w:rPr>
        <w:t xml:space="preserve">that </w:t>
      </w:r>
      <w:r w:rsidRPr="008248FD" w:rsidR="003977A8">
        <w:rPr>
          <w:lang w:val="en-GB"/>
        </w:rPr>
        <w:t xml:space="preserve">650 billion </w:t>
      </w:r>
      <w:r w:rsidRPr="008248FD" w:rsidR="005B5E49">
        <w:rPr>
          <w:lang w:val="en-GB"/>
        </w:rPr>
        <w:t xml:space="preserve">euro are </w:t>
      </w:r>
      <w:r w:rsidRPr="008248FD" w:rsidR="003977A8">
        <w:rPr>
          <w:lang w:val="en-GB"/>
        </w:rPr>
        <w:t>needed for 100 cities to reach carbon neutrality by 2030, 80% of which should come from the private sector</w:t>
      </w:r>
      <w:r w:rsidRPr="008248FD">
        <w:rPr>
          <w:lang w:val="en-GB"/>
        </w:rPr>
        <w:t>;</w:t>
      </w:r>
    </w:p>
    <w:p w:rsidRPr="008248FD" w:rsidR="00CE063A" w:rsidP="008248FD" w:rsidRDefault="00CE063A" w14:paraId="018304C4" w14:textId="77777777">
      <w:pPr>
        <w:rPr>
          <w:rFonts w:asciiTheme="majorBidi" w:hAnsiTheme="majorBidi" w:cstheme="majorBidi"/>
          <w:lang w:val="en-GB"/>
        </w:rPr>
      </w:pPr>
    </w:p>
    <w:p w:rsidRPr="00E912D9" w:rsidR="00381096" w:rsidP="002143FF" w:rsidRDefault="00985789" w14:paraId="0824323A" w14:textId="5324535A">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P</w:t>
      </w:r>
      <w:r w:rsidRPr="00E912D9" w:rsidR="00381096">
        <w:rPr>
          <w:rFonts w:asciiTheme="majorBidi" w:hAnsiTheme="majorBidi" w:cstheme="majorBidi"/>
          <w:b/>
          <w:bCs/>
          <w:lang w:val="en-GB"/>
        </w:rPr>
        <w:t>ublic-private investments: RDI</w:t>
      </w:r>
      <w:r w:rsidRPr="00E912D9">
        <w:rPr>
          <w:rFonts w:asciiTheme="majorBidi" w:hAnsiTheme="majorBidi" w:cstheme="majorBidi"/>
          <w:b/>
          <w:bCs/>
          <w:lang w:val="en-GB"/>
        </w:rPr>
        <w:t xml:space="preserve">, </w:t>
      </w:r>
      <w:r w:rsidRPr="00E912D9" w:rsidR="00381096">
        <w:rPr>
          <w:rFonts w:asciiTheme="majorBidi" w:hAnsiTheme="majorBidi" w:cstheme="majorBidi"/>
          <w:b/>
          <w:bCs/>
          <w:lang w:val="en-GB"/>
        </w:rPr>
        <w:t>education and professional development</w:t>
      </w:r>
    </w:p>
    <w:p w:rsidRPr="00E912D9" w:rsidR="00C24D3F" w:rsidP="002143FF" w:rsidRDefault="00C24D3F" w14:paraId="339E7D9C"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6F3A3D" w:rsidP="008248FD" w:rsidRDefault="009F58FE" w14:paraId="62AE4CA0" w14:textId="36ECD4E2">
      <w:pPr>
        <w:pStyle w:val="Heading1"/>
        <w:rPr>
          <w:lang w:val="en-GB"/>
        </w:rPr>
      </w:pPr>
      <w:r w:rsidRPr="008248FD">
        <w:rPr>
          <w:lang w:val="en-GB"/>
        </w:rPr>
        <w:t>stresses</w:t>
      </w:r>
      <w:r w:rsidRPr="008248FD" w:rsidR="00015139">
        <w:rPr>
          <w:lang w:val="en-GB"/>
        </w:rPr>
        <w:t xml:space="preserve"> </w:t>
      </w:r>
      <w:r w:rsidRPr="008248FD" w:rsidR="00BB7102">
        <w:rPr>
          <w:lang w:val="en-GB"/>
        </w:rPr>
        <w:t>the</w:t>
      </w:r>
      <w:r w:rsidRPr="008248FD">
        <w:rPr>
          <w:lang w:val="en-GB"/>
        </w:rPr>
        <w:t xml:space="preserve"> critical </w:t>
      </w:r>
      <w:r w:rsidRPr="008248FD" w:rsidR="00BB7102">
        <w:rPr>
          <w:lang w:val="en-GB"/>
        </w:rPr>
        <w:t xml:space="preserve">need </w:t>
      </w:r>
      <w:r w:rsidRPr="008248FD">
        <w:rPr>
          <w:lang w:val="en-GB"/>
        </w:rPr>
        <w:t xml:space="preserve">to scale up the use of existing </w:t>
      </w:r>
      <w:r w:rsidRPr="008248FD" w:rsidR="00BB7102">
        <w:rPr>
          <w:lang w:val="en-GB"/>
        </w:rPr>
        <w:t xml:space="preserve">technologies </w:t>
      </w:r>
      <w:r w:rsidRPr="008248FD">
        <w:rPr>
          <w:lang w:val="en-GB"/>
        </w:rPr>
        <w:t xml:space="preserve">to implement existing </w:t>
      </w:r>
      <w:r w:rsidRPr="008248FD" w:rsidR="00BB7102">
        <w:rPr>
          <w:lang w:val="en-GB"/>
        </w:rPr>
        <w:t>solutions</w:t>
      </w:r>
      <w:r w:rsidRPr="008248FD">
        <w:rPr>
          <w:lang w:val="en-GB"/>
        </w:rPr>
        <w:t xml:space="preserve"> and develop new ones</w:t>
      </w:r>
      <w:r w:rsidRPr="008248FD" w:rsidR="00BB7102">
        <w:rPr>
          <w:lang w:val="en-GB"/>
        </w:rPr>
        <w:t xml:space="preserve"> for </w:t>
      </w:r>
      <w:r w:rsidRPr="008248FD">
        <w:rPr>
          <w:lang w:val="en-GB"/>
        </w:rPr>
        <w:t xml:space="preserve">achieving </w:t>
      </w:r>
      <w:r w:rsidRPr="008248FD" w:rsidR="00BB7102">
        <w:rPr>
          <w:lang w:val="en-GB"/>
        </w:rPr>
        <w:t>climate neutrality</w:t>
      </w:r>
      <w:r w:rsidRPr="008248FD">
        <w:rPr>
          <w:lang w:val="en-GB"/>
        </w:rPr>
        <w:t>, highlighting</w:t>
      </w:r>
      <w:r w:rsidRPr="008248FD" w:rsidR="00BB7102">
        <w:rPr>
          <w:lang w:val="en-GB"/>
        </w:rPr>
        <w:t xml:space="preserve"> public-private RDI collaboration</w:t>
      </w:r>
      <w:r w:rsidRPr="008248FD">
        <w:rPr>
          <w:lang w:val="en-GB"/>
        </w:rPr>
        <w:t xml:space="preserve"> to improve both technology-based and nature-based advancements</w:t>
      </w:r>
      <w:r w:rsidRPr="008248FD" w:rsidR="00BB7102">
        <w:rPr>
          <w:lang w:val="en-GB"/>
        </w:rPr>
        <w:t xml:space="preserve">; </w:t>
      </w:r>
      <w:r w:rsidRPr="008248FD">
        <w:rPr>
          <w:lang w:val="en-GB"/>
        </w:rPr>
        <w:t>endorses</w:t>
      </w:r>
      <w:r w:rsidRPr="008248FD" w:rsidDel="000B4E79">
        <w:rPr>
          <w:lang w:val="en-GB"/>
        </w:rPr>
        <w:t xml:space="preserve"> </w:t>
      </w:r>
      <w:r w:rsidRPr="008248FD" w:rsidR="00BB7102">
        <w:rPr>
          <w:lang w:val="en-GB"/>
        </w:rPr>
        <w:t xml:space="preserve">industrial RDI </w:t>
      </w:r>
      <w:r w:rsidRPr="008248FD">
        <w:rPr>
          <w:lang w:val="en-GB"/>
        </w:rPr>
        <w:t xml:space="preserve">efforts </w:t>
      </w:r>
      <w:r w:rsidRPr="008248FD" w:rsidR="00BB7102">
        <w:rPr>
          <w:lang w:val="en-GB"/>
        </w:rPr>
        <w:t>for products and systems</w:t>
      </w:r>
      <w:r w:rsidRPr="008248FD">
        <w:rPr>
          <w:lang w:val="en-GB"/>
        </w:rPr>
        <w:t xml:space="preserve"> with a positive carbon handprint, provided they incorporate robust environmental and social safeguards</w:t>
      </w:r>
      <w:r w:rsidRPr="008248FD" w:rsidR="00BB7102">
        <w:rPr>
          <w:lang w:val="en-GB"/>
        </w:rPr>
        <w:t xml:space="preserve">; </w:t>
      </w:r>
      <w:r w:rsidRPr="008248FD">
        <w:rPr>
          <w:lang w:val="en-GB"/>
        </w:rPr>
        <w:t>while</w:t>
      </w:r>
      <w:r w:rsidRPr="008248FD" w:rsidDel="009F58FE">
        <w:rPr>
          <w:lang w:val="en-GB"/>
        </w:rPr>
        <w:t xml:space="preserve"> </w:t>
      </w:r>
      <w:r w:rsidRPr="008248FD" w:rsidR="00BB7102">
        <w:rPr>
          <w:lang w:val="en-GB"/>
        </w:rPr>
        <w:t>innovation is</w:t>
      </w:r>
      <w:r w:rsidRPr="008248FD">
        <w:rPr>
          <w:lang w:val="en-GB"/>
        </w:rPr>
        <w:t xml:space="preserve"> essential, immediate action utilising current technologies - such as transitioning</w:t>
      </w:r>
      <w:r w:rsidRPr="008248FD" w:rsidR="00BB7102">
        <w:rPr>
          <w:lang w:val="en-GB"/>
        </w:rPr>
        <w:t xml:space="preserve"> to</w:t>
      </w:r>
      <w:r w:rsidRPr="008248FD">
        <w:rPr>
          <w:lang w:val="en-GB"/>
        </w:rPr>
        <w:t xml:space="preserve"> renewable energy, enhancing energy efficiency, and swiftly replacing carbon-intensive products with renewable alternatives - cannot be postponed</w:t>
      </w:r>
      <w:r w:rsidRPr="008248FD" w:rsidR="00BB7102">
        <w:rPr>
          <w:lang w:val="en-GB"/>
        </w:rPr>
        <w:t xml:space="preserve">; </w:t>
      </w:r>
    </w:p>
    <w:p w:rsidRPr="008248FD" w:rsidR="00CE063A" w:rsidP="008248FD" w:rsidRDefault="00CE063A" w14:paraId="61C90ACE" w14:textId="77777777">
      <w:pPr>
        <w:overflowPunct w:val="0"/>
        <w:autoSpaceDE w:val="0"/>
        <w:autoSpaceDN w:val="0"/>
        <w:adjustRightInd w:val="0"/>
        <w:textAlignment w:val="baseline"/>
        <w:rPr>
          <w:rFonts w:asciiTheme="majorBidi" w:hAnsiTheme="majorBidi" w:cstheme="majorBidi"/>
          <w:lang w:val="en-GB"/>
        </w:rPr>
      </w:pPr>
    </w:p>
    <w:p w:rsidRPr="008248FD" w:rsidR="00732955" w:rsidP="008248FD" w:rsidRDefault="006F3A3D" w14:paraId="53BE8C36" w14:textId="1F13B528">
      <w:pPr>
        <w:pStyle w:val="Heading1"/>
        <w:rPr>
          <w:lang w:val="en-GB"/>
        </w:rPr>
      </w:pPr>
      <w:r w:rsidRPr="008248FD">
        <w:rPr>
          <w:lang w:val="en-GB"/>
        </w:rPr>
        <w:t>proposes that since the required technology does not exist yet</w:t>
      </w:r>
      <w:r w:rsidRPr="008248FD">
        <w:rPr>
          <w:rStyle w:val="FootnoteReference"/>
          <w:rFonts w:asciiTheme="majorBidi" w:hAnsiTheme="majorBidi" w:cstheme="majorBidi"/>
          <w:szCs w:val="24"/>
          <w:lang w:val="en-GB"/>
        </w:rPr>
        <w:footnoteReference w:id="5"/>
      </w:r>
      <w:r w:rsidRPr="008248FD">
        <w:rPr>
          <w:lang w:val="en-GB"/>
        </w:rPr>
        <w:t>, the EU needs to define technology roadmaps and action plans with industr</w:t>
      </w:r>
      <w:r w:rsidRPr="008248FD" w:rsidR="008F2067">
        <w:rPr>
          <w:lang w:val="en-GB"/>
        </w:rPr>
        <w:t>y</w:t>
      </w:r>
      <w:r w:rsidRPr="008248FD">
        <w:rPr>
          <w:lang w:val="en-GB"/>
        </w:rPr>
        <w:t xml:space="preserve"> and other </w:t>
      </w:r>
      <w:r w:rsidRPr="008248FD" w:rsidR="008F2067">
        <w:rPr>
          <w:lang w:val="en-GB"/>
        </w:rPr>
        <w:t>research</w:t>
      </w:r>
      <w:r w:rsidRPr="008248FD">
        <w:rPr>
          <w:lang w:val="en-GB"/>
        </w:rPr>
        <w:t xml:space="preserve"> experts to reach the necessary </w:t>
      </w:r>
      <w:r w:rsidRPr="008248FD" w:rsidR="005B5E49">
        <w:rPr>
          <w:lang w:val="en-GB"/>
        </w:rPr>
        <w:t xml:space="preserve">levels of </w:t>
      </w:r>
      <w:r w:rsidRPr="008248FD">
        <w:rPr>
          <w:lang w:val="en-GB"/>
        </w:rPr>
        <w:t>technology</w:t>
      </w:r>
      <w:r w:rsidRPr="008248FD" w:rsidR="008F2067">
        <w:rPr>
          <w:lang w:val="en-GB"/>
        </w:rPr>
        <w:t>, emphasi</w:t>
      </w:r>
      <w:r w:rsidRPr="008248FD" w:rsidR="00D57B65">
        <w:rPr>
          <w:lang w:val="en-GB"/>
        </w:rPr>
        <w:t>s</w:t>
      </w:r>
      <w:r w:rsidRPr="008248FD" w:rsidR="008F2067">
        <w:rPr>
          <w:lang w:val="en-GB"/>
        </w:rPr>
        <w:t>ing</w:t>
      </w:r>
      <w:r w:rsidRPr="008248FD">
        <w:rPr>
          <w:lang w:val="en-GB"/>
        </w:rPr>
        <w:t xml:space="preserve"> bridging the gaps between basic research, commerciali</w:t>
      </w:r>
      <w:r w:rsidRPr="008248FD" w:rsidR="00D57B65">
        <w:rPr>
          <w:lang w:val="en-GB"/>
        </w:rPr>
        <w:t>s</w:t>
      </w:r>
      <w:r w:rsidRPr="008248FD">
        <w:rPr>
          <w:lang w:val="en-GB"/>
        </w:rPr>
        <w:t>ation</w:t>
      </w:r>
      <w:r w:rsidRPr="008248FD">
        <w:rPr>
          <w:color w:val="212121"/>
          <w:lang w:val="en-GB" w:eastAsia="zh-CN"/>
        </w:rPr>
        <w:t xml:space="preserve"> and real-life practice;</w:t>
      </w:r>
    </w:p>
    <w:p w:rsidRPr="00E912D9" w:rsidR="00000312" w:rsidP="008248FD" w:rsidRDefault="00000312" w14:paraId="52199147" w14:textId="77777777">
      <w:pPr>
        <w:overflowPunct w:val="0"/>
        <w:autoSpaceDE w:val="0"/>
        <w:autoSpaceDN w:val="0"/>
        <w:adjustRightInd w:val="0"/>
        <w:textAlignment w:val="baseline"/>
        <w:rPr>
          <w:rFonts w:asciiTheme="majorBidi" w:hAnsiTheme="majorBidi" w:cstheme="majorBidi"/>
          <w:lang w:val="en-GB"/>
        </w:rPr>
      </w:pPr>
    </w:p>
    <w:p w:rsidRPr="008248FD" w:rsidR="000B4E79" w:rsidP="008248FD" w:rsidRDefault="000B4E79" w14:paraId="50F67A50" w14:textId="4CB4E2C4">
      <w:pPr>
        <w:pStyle w:val="Heading1"/>
        <w:rPr>
          <w:lang w:val="en-GB"/>
        </w:rPr>
      </w:pPr>
      <w:r w:rsidRPr="008248FD">
        <w:rPr>
          <w:lang w:val="en-GB"/>
        </w:rPr>
        <w:t>calls for enhanced scientific and financial strategic research and innovation to address climate risk management and improve resilience in diverse sectors and regions throughout Europe, including urban, rural, and coastal areas; calls for a thorough understanding of scientific and technological advancements, emphasising how RDI can prioritise both short- and long-term measures that offer the most significant societal benefits and address the diverse regional challenges across Europe, as highlighted by the Letta and Draghi reports; stresses the need for increased RDI financing, enhanced knowledge circulation, and the translation of innovation into commercial success</w:t>
      </w:r>
      <w:r w:rsidR="00045CB1">
        <w:rPr>
          <w:lang w:val="en-GB"/>
        </w:rPr>
        <w:t>,</w:t>
      </w:r>
      <w:r w:rsidRPr="008248FD">
        <w:rPr>
          <w:lang w:val="en-GB"/>
        </w:rPr>
        <w:t xml:space="preserve"> key aspects underscored in these reports as critical for achieving green and digital transformation goals;</w:t>
      </w:r>
    </w:p>
    <w:p w:rsidRPr="00E912D9" w:rsidR="000B4E79" w:rsidP="008248FD" w:rsidRDefault="000B4E79" w14:paraId="33826CBA" w14:textId="77777777">
      <w:pPr>
        <w:overflowPunct w:val="0"/>
        <w:autoSpaceDE w:val="0"/>
        <w:autoSpaceDN w:val="0"/>
        <w:adjustRightInd w:val="0"/>
        <w:textAlignment w:val="baseline"/>
        <w:rPr>
          <w:rFonts w:asciiTheme="majorBidi" w:hAnsiTheme="majorBidi" w:cstheme="majorBidi"/>
          <w:lang w:val="en-GB"/>
        </w:rPr>
      </w:pPr>
    </w:p>
    <w:p w:rsidRPr="008248FD" w:rsidR="00732955" w:rsidP="008248FD" w:rsidRDefault="006F3A3D" w14:paraId="5015D7A5" w14:textId="39E73127">
      <w:pPr>
        <w:pStyle w:val="Heading1"/>
        <w:rPr>
          <w:lang w:val="en-GB"/>
        </w:rPr>
      </w:pPr>
      <w:r w:rsidRPr="008248FD">
        <w:rPr>
          <w:lang w:val="en-GB"/>
        </w:rPr>
        <w:t>supports</w:t>
      </w:r>
      <w:r w:rsidRPr="008248FD">
        <w:rPr>
          <w:rStyle w:val="FootnoteReference"/>
          <w:rFonts w:asciiTheme="majorBidi" w:hAnsiTheme="majorBidi" w:cstheme="majorBidi"/>
          <w:szCs w:val="24"/>
          <w:lang w:val="en-GB"/>
        </w:rPr>
        <w:footnoteReference w:id="6"/>
      </w:r>
      <w:r w:rsidRPr="008248FD">
        <w:rPr>
          <w:lang w:val="en-GB"/>
        </w:rPr>
        <w:t xml:space="preserve"> the Net Zero Industry Act, reiterates the need to upgrade the role of innovation throughout the EU particularly</w:t>
      </w:r>
      <w:r w:rsidRPr="008248FD" w:rsidR="000E1EC7">
        <w:rPr>
          <w:lang w:val="en-GB"/>
        </w:rPr>
        <w:t xml:space="preserve"> by</w:t>
      </w:r>
      <w:r w:rsidRPr="008248FD">
        <w:rPr>
          <w:lang w:val="en-GB"/>
        </w:rPr>
        <w:t xml:space="preserve"> increasing public-private partnerships and insists on support for SMEs in bridging the innovation gap and completing the transition to net-zero technologies;</w:t>
      </w:r>
    </w:p>
    <w:p w:rsidRPr="00E912D9" w:rsidR="00000312" w:rsidP="008248FD" w:rsidRDefault="00000312" w14:paraId="75556F45" w14:textId="77777777">
      <w:pPr>
        <w:overflowPunct w:val="0"/>
        <w:autoSpaceDE w:val="0"/>
        <w:autoSpaceDN w:val="0"/>
        <w:adjustRightInd w:val="0"/>
        <w:textAlignment w:val="baseline"/>
        <w:rPr>
          <w:rFonts w:asciiTheme="majorBidi" w:hAnsiTheme="majorBidi" w:cstheme="majorBidi"/>
          <w:lang w:val="en-GB"/>
        </w:rPr>
      </w:pPr>
    </w:p>
    <w:p w:rsidRPr="008248FD" w:rsidR="00CE063A" w:rsidP="008248FD" w:rsidRDefault="000B4E79" w14:paraId="43048A5A" w14:textId="29E62345">
      <w:pPr>
        <w:pStyle w:val="Heading1"/>
        <w:rPr>
          <w:lang w:val="en-GB"/>
        </w:rPr>
      </w:pPr>
      <w:r w:rsidRPr="008248FD">
        <w:rPr>
          <w:lang w:val="en-GB"/>
        </w:rPr>
        <w:t>considers it essential to bolster public-private partnerships to expedite research, technological development, and system and organisational innovation, thereby enabling the EU to advance its competitive solutions - including know-how, products, and services - in the expanding global market focused on investment in mitigation, adaptation, and resilience;</w:t>
      </w:r>
    </w:p>
    <w:p w:rsidRPr="00E912D9" w:rsidR="000B4E79" w:rsidP="008248FD" w:rsidRDefault="000B4E79" w14:paraId="7CE3CEE0" w14:textId="77777777">
      <w:pPr>
        <w:overflowPunct w:val="0"/>
        <w:autoSpaceDE w:val="0"/>
        <w:autoSpaceDN w:val="0"/>
        <w:adjustRightInd w:val="0"/>
        <w:textAlignment w:val="baseline"/>
        <w:rPr>
          <w:rFonts w:asciiTheme="majorBidi" w:hAnsiTheme="majorBidi" w:cstheme="majorBidi"/>
          <w:lang w:val="en-GB"/>
        </w:rPr>
      </w:pPr>
    </w:p>
    <w:p w:rsidRPr="008248FD" w:rsidR="00732955" w:rsidP="008248FD" w:rsidRDefault="000E1EC7" w14:paraId="70FEC196" w14:textId="0AF2E1B8">
      <w:pPr>
        <w:pStyle w:val="Heading1"/>
        <w:rPr>
          <w:lang w:val="en-GB"/>
        </w:rPr>
      </w:pPr>
      <w:r w:rsidRPr="008248FD">
        <w:rPr>
          <w:lang w:val="en-GB" w:eastAsia="zh-CN"/>
        </w:rPr>
        <w:t>reiterates</w:t>
      </w:r>
      <w:r w:rsidRPr="008248FD" w:rsidR="006F3A3D">
        <w:rPr>
          <w:lang w:val="en-GB" w:eastAsia="zh-CN"/>
        </w:rPr>
        <w:t xml:space="preserve"> the need to </w:t>
      </w:r>
      <w:r w:rsidRPr="008248FD" w:rsidR="000B4E79">
        <w:rPr>
          <w:lang w:val="en-GB" w:eastAsia="zh-CN"/>
        </w:rPr>
        <w:t xml:space="preserve">realign EU </w:t>
      </w:r>
      <w:r w:rsidRPr="008248FD" w:rsidR="006F3A3D">
        <w:rPr>
          <w:lang w:val="en-GB" w:eastAsia="zh-CN"/>
        </w:rPr>
        <w:t>financial instruments to</w:t>
      </w:r>
      <w:r w:rsidRPr="008248FD">
        <w:rPr>
          <w:lang w:val="en-GB" w:eastAsia="zh-CN"/>
        </w:rPr>
        <w:t xml:space="preserve"> </w:t>
      </w:r>
      <w:r w:rsidRPr="008248FD" w:rsidR="000B4E79">
        <w:rPr>
          <w:lang w:val="en-GB" w:eastAsia="zh-CN"/>
        </w:rPr>
        <w:t xml:space="preserve">connect </w:t>
      </w:r>
      <w:r w:rsidRPr="008248FD" w:rsidR="006F3A3D">
        <w:rPr>
          <w:lang w:val="en-GB" w:eastAsia="zh-CN"/>
        </w:rPr>
        <w:t>STEM education</w:t>
      </w:r>
      <w:r w:rsidRPr="008248FD" w:rsidR="000B4E79">
        <w:rPr>
          <w:lang w:val="en-GB" w:eastAsia="zh-CN"/>
        </w:rPr>
        <w:t xml:space="preserve"> with</w:t>
      </w:r>
      <w:r w:rsidRPr="008248FD" w:rsidR="006F3A3D">
        <w:rPr>
          <w:lang w:val="en-GB" w:eastAsia="zh-CN"/>
        </w:rPr>
        <w:t xml:space="preserve"> </w:t>
      </w:r>
      <w:r w:rsidRPr="008248FD">
        <w:rPr>
          <w:lang w:val="en-GB" w:eastAsia="zh-CN"/>
        </w:rPr>
        <w:t>the</w:t>
      </w:r>
      <w:r w:rsidRPr="008248FD" w:rsidR="006F3A3D">
        <w:rPr>
          <w:lang w:val="en-GB" w:eastAsia="zh-CN"/>
        </w:rPr>
        <w:t xml:space="preserve"> green and digital transition</w:t>
      </w:r>
      <w:r w:rsidRPr="008248FD">
        <w:rPr>
          <w:lang w:val="en-GB" w:eastAsia="zh-CN"/>
        </w:rPr>
        <w:t>s</w:t>
      </w:r>
      <w:r w:rsidRPr="008248FD" w:rsidR="006F3A3D">
        <w:rPr>
          <w:lang w:val="en-GB" w:eastAsia="zh-CN"/>
        </w:rPr>
        <w:t xml:space="preserve">, </w:t>
      </w:r>
      <w:r w:rsidRPr="008248FD" w:rsidR="000B4E79">
        <w:rPr>
          <w:lang w:val="en-GB" w:eastAsia="zh-CN"/>
        </w:rPr>
        <w:t>addressing professional</w:t>
      </w:r>
      <w:r w:rsidRPr="008248FD" w:rsidR="00015139">
        <w:rPr>
          <w:lang w:val="en-GB" w:eastAsia="zh-CN"/>
        </w:rPr>
        <w:t xml:space="preserve"> </w:t>
      </w:r>
      <w:r w:rsidRPr="008248FD" w:rsidR="006F3A3D">
        <w:rPr>
          <w:lang w:val="en-GB" w:eastAsia="zh-CN"/>
        </w:rPr>
        <w:t xml:space="preserve">shortages </w:t>
      </w:r>
      <w:r w:rsidRPr="008248FD" w:rsidR="000B4E79">
        <w:rPr>
          <w:lang w:val="en-GB" w:eastAsia="zh-CN"/>
        </w:rPr>
        <w:t>across Member States and increasing efforts</w:t>
      </w:r>
      <w:r w:rsidRPr="008248FD" w:rsidDel="000B4E79" w:rsidR="000B4E79">
        <w:rPr>
          <w:lang w:val="en-GB" w:eastAsia="zh-CN"/>
        </w:rPr>
        <w:t xml:space="preserve"> </w:t>
      </w:r>
      <w:r w:rsidRPr="008248FD" w:rsidR="006F3A3D">
        <w:rPr>
          <w:lang w:val="en-GB" w:eastAsia="zh-CN"/>
        </w:rPr>
        <w:t xml:space="preserve">to </w:t>
      </w:r>
      <w:r w:rsidRPr="008248FD" w:rsidR="000B4E79">
        <w:rPr>
          <w:lang w:val="en-GB" w:eastAsia="zh-CN"/>
        </w:rPr>
        <w:t xml:space="preserve">tackle gender imbalances and broaden participation in STEM fields. Measures should promote inclusiveness and equal opportunities, making STEM education accessible and appealing </w:t>
      </w:r>
      <w:r w:rsidRPr="008248FD" w:rsidR="006F3A3D">
        <w:rPr>
          <w:lang w:val="en-GB" w:eastAsia="zh-CN"/>
        </w:rPr>
        <w:t>to</w:t>
      </w:r>
      <w:r w:rsidRPr="008248FD" w:rsidR="000B4E79">
        <w:rPr>
          <w:lang w:val="en-GB"/>
        </w:rPr>
        <w:t xml:space="preserve"> </w:t>
      </w:r>
      <w:r w:rsidRPr="008248FD" w:rsidR="000B4E79">
        <w:rPr>
          <w:lang w:val="en-GB" w:eastAsia="zh-CN"/>
        </w:rPr>
        <w:t>all, especially girls</w:t>
      </w:r>
      <w:r w:rsidRPr="008248FD" w:rsidR="006F3A3D">
        <w:rPr>
          <w:lang w:val="en-GB" w:eastAsia="zh-CN"/>
        </w:rPr>
        <w:t>;</w:t>
      </w:r>
    </w:p>
    <w:p w:rsidRPr="00E912D9" w:rsidR="00CE063A" w:rsidP="008248FD" w:rsidRDefault="00CE063A" w14:paraId="4C19A3BB" w14:textId="77777777">
      <w:pPr>
        <w:overflowPunct w:val="0"/>
        <w:autoSpaceDE w:val="0"/>
        <w:autoSpaceDN w:val="0"/>
        <w:adjustRightInd w:val="0"/>
        <w:textAlignment w:val="baseline"/>
        <w:rPr>
          <w:rFonts w:asciiTheme="majorBidi" w:hAnsiTheme="majorBidi" w:cstheme="majorBidi"/>
          <w:lang w:val="en-GB"/>
        </w:rPr>
      </w:pPr>
    </w:p>
    <w:p w:rsidRPr="008248FD" w:rsidR="00FE3ADC" w:rsidP="008248FD" w:rsidRDefault="00BB7102" w14:paraId="78557FDD" w14:textId="0EAB2DDB">
      <w:pPr>
        <w:pStyle w:val="Heading1"/>
        <w:rPr>
          <w:lang w:val="en-GB"/>
        </w:rPr>
      </w:pPr>
      <w:r w:rsidRPr="008248FD">
        <w:rPr>
          <w:lang w:val="en-GB" w:eastAsia="zh-CN"/>
        </w:rPr>
        <w:t xml:space="preserve">points out the need to align EU industrial and climate policies, promote industry RDI investment, remove </w:t>
      </w:r>
      <w:r w:rsidRPr="008248FD" w:rsidR="005B5E49">
        <w:rPr>
          <w:lang w:val="en-GB" w:eastAsia="zh-CN"/>
        </w:rPr>
        <w:t>S</w:t>
      </w:r>
      <w:r w:rsidRPr="008248FD">
        <w:rPr>
          <w:lang w:val="en-GB" w:eastAsia="zh-CN"/>
        </w:rPr>
        <w:t>tate-aid competition and foster open innovation through technology neutrality and strategic collaboration to meet the EU</w:t>
      </w:r>
      <w:r w:rsidRPr="008248FD" w:rsidR="00516756">
        <w:rPr>
          <w:lang w:val="en-GB" w:eastAsia="zh-CN"/>
        </w:rPr>
        <w:t>’</w:t>
      </w:r>
      <w:r w:rsidRPr="008248FD">
        <w:rPr>
          <w:lang w:val="en-GB" w:eastAsia="zh-CN"/>
        </w:rPr>
        <w:t>s 2030, 2040 and 2050 targets</w:t>
      </w:r>
      <w:r w:rsidRPr="008248FD" w:rsidR="006F3A3D">
        <w:rPr>
          <w:lang w:val="en-GB" w:eastAsia="zh-CN"/>
        </w:rPr>
        <w:t>;</w:t>
      </w:r>
    </w:p>
    <w:p w:rsidRPr="00E912D9" w:rsidR="00CE063A" w:rsidP="008248FD" w:rsidRDefault="00CE063A" w14:paraId="580AD3C5" w14:textId="77777777">
      <w:pPr>
        <w:overflowPunct w:val="0"/>
        <w:autoSpaceDE w:val="0"/>
        <w:autoSpaceDN w:val="0"/>
        <w:adjustRightInd w:val="0"/>
        <w:textAlignment w:val="baseline"/>
        <w:rPr>
          <w:rFonts w:asciiTheme="majorBidi" w:hAnsiTheme="majorBidi" w:cstheme="majorBidi"/>
          <w:lang w:val="en-GB"/>
        </w:rPr>
      </w:pPr>
    </w:p>
    <w:p w:rsidRPr="00E912D9" w:rsidR="00381096" w:rsidP="002143FF" w:rsidRDefault="00381096" w14:paraId="6BD321B3" w14:textId="326B02A9">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EU Missions: Crucial for advancing EU climate policy</w:t>
      </w:r>
    </w:p>
    <w:p w:rsidRPr="00E912D9" w:rsidR="00CE063A" w:rsidP="002143FF" w:rsidRDefault="00CE063A" w14:paraId="4E51DBEB"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FE4DCF" w:rsidP="008248FD" w:rsidRDefault="00FE4DCF" w14:paraId="2E606859" w14:textId="356EADFF">
      <w:pPr>
        <w:pStyle w:val="Heading1"/>
        <w:rPr>
          <w:rFonts w:asciiTheme="majorBidi" w:hAnsiTheme="majorBidi" w:cstheme="majorBidi"/>
          <w:lang w:val="en-GB"/>
        </w:rPr>
      </w:pPr>
      <w:r w:rsidRPr="008248FD">
        <w:rPr>
          <w:color w:val="000000" w:themeColor="text1"/>
          <w:lang w:val="en-GB"/>
        </w:rPr>
        <w:t>has recogni</w:t>
      </w:r>
      <w:r w:rsidRPr="008248FD" w:rsidR="00D57B65">
        <w:rPr>
          <w:color w:val="000000" w:themeColor="text1"/>
          <w:lang w:val="en-GB"/>
        </w:rPr>
        <w:t>s</w:t>
      </w:r>
      <w:r w:rsidRPr="008248FD">
        <w:rPr>
          <w:color w:val="000000" w:themeColor="text1"/>
          <w:lang w:val="en-GB"/>
        </w:rPr>
        <w:t xml:space="preserve">ed that the EU Missions have taken necessary steps </w:t>
      </w:r>
      <w:r w:rsidRPr="008248FD">
        <w:rPr>
          <w:lang w:val="en-GB"/>
        </w:rPr>
        <w:t>to meet ambitious societal challenges</w:t>
      </w:r>
      <w:r w:rsidRPr="008248FD" w:rsidR="00401CDC">
        <w:rPr>
          <w:lang w:val="en-GB"/>
        </w:rPr>
        <w:t>; calls for l</w:t>
      </w:r>
      <w:r w:rsidRPr="008248FD">
        <w:rPr>
          <w:lang w:val="en-GB"/>
        </w:rPr>
        <w:t>everaging this success</w:t>
      </w:r>
      <w:r w:rsidRPr="008248FD" w:rsidR="000E1EC7">
        <w:rPr>
          <w:lang w:val="en-GB"/>
        </w:rPr>
        <w:t>,</w:t>
      </w:r>
      <w:r w:rsidRPr="008248FD" w:rsidR="00401CDC">
        <w:rPr>
          <w:lang w:val="en-GB"/>
        </w:rPr>
        <w:t xml:space="preserve"> requiring</w:t>
      </w:r>
      <w:r w:rsidRPr="008248FD">
        <w:rPr>
          <w:lang w:val="en-GB"/>
        </w:rPr>
        <w:t xml:space="preserve"> </w:t>
      </w:r>
      <w:r w:rsidRPr="008248FD" w:rsidR="00401CDC">
        <w:rPr>
          <w:lang w:val="en-GB"/>
        </w:rPr>
        <w:t xml:space="preserve">an </w:t>
      </w:r>
      <w:r w:rsidRPr="008248FD">
        <w:rPr>
          <w:lang w:val="en-GB"/>
        </w:rPr>
        <w:t xml:space="preserve">upgrade </w:t>
      </w:r>
      <w:r w:rsidRPr="008248FD" w:rsidR="00401CDC">
        <w:rPr>
          <w:lang w:val="en-GB"/>
        </w:rPr>
        <w:t xml:space="preserve">in </w:t>
      </w:r>
      <w:r w:rsidRPr="008248FD">
        <w:rPr>
          <w:lang w:val="en-GB"/>
        </w:rPr>
        <w:t xml:space="preserve">co-financing </w:t>
      </w:r>
      <w:r w:rsidRPr="008248FD" w:rsidR="000E1EC7">
        <w:rPr>
          <w:lang w:val="en-GB"/>
        </w:rPr>
        <w:t xml:space="preserve">for </w:t>
      </w:r>
      <w:r w:rsidRPr="008248FD">
        <w:rPr>
          <w:lang w:val="en-GB"/>
        </w:rPr>
        <w:t xml:space="preserve">potential breakthrough measures essential to showcase and </w:t>
      </w:r>
      <w:r w:rsidRPr="008248FD" w:rsidR="000E1EC7">
        <w:rPr>
          <w:lang w:val="en-GB"/>
        </w:rPr>
        <w:t xml:space="preserve">help </w:t>
      </w:r>
      <w:r w:rsidRPr="008248FD">
        <w:rPr>
          <w:lang w:val="en-GB"/>
        </w:rPr>
        <w:t>others reach the 2030 targets;</w:t>
      </w:r>
    </w:p>
    <w:p w:rsidRPr="00E912D9" w:rsidR="00CE063A" w:rsidP="008248FD" w:rsidRDefault="00CE063A" w14:paraId="7215F17E" w14:textId="77777777">
      <w:pPr>
        <w:overflowPunct w:val="0"/>
        <w:autoSpaceDE w:val="0"/>
        <w:autoSpaceDN w:val="0"/>
        <w:adjustRightInd w:val="0"/>
        <w:textAlignment w:val="baseline"/>
        <w:rPr>
          <w:rFonts w:asciiTheme="majorBidi" w:hAnsiTheme="majorBidi" w:cstheme="majorBidi"/>
          <w:lang w:val="en-GB"/>
        </w:rPr>
      </w:pPr>
    </w:p>
    <w:p w:rsidRPr="008248FD" w:rsidR="00F472B1" w:rsidP="008248FD" w:rsidRDefault="00FE4DCF" w14:paraId="5C194413" w14:textId="4EDE5127">
      <w:pPr>
        <w:pStyle w:val="Heading1"/>
        <w:rPr>
          <w:lang w:val="en-GB"/>
        </w:rPr>
      </w:pPr>
      <w:r w:rsidRPr="008248FD">
        <w:rPr>
          <w:lang w:val="en-GB"/>
        </w:rPr>
        <w:t>calls for all the EU Missions to increase their mutual learning</w:t>
      </w:r>
      <w:r w:rsidRPr="008248FD" w:rsidR="00381096">
        <w:rPr>
          <w:lang w:val="en-GB"/>
        </w:rPr>
        <w:t xml:space="preserve"> and</w:t>
      </w:r>
      <w:r w:rsidRPr="008248FD">
        <w:rPr>
          <w:lang w:val="en-GB"/>
        </w:rPr>
        <w:t xml:space="preserve"> collaboration</w:t>
      </w:r>
      <w:r w:rsidRPr="008248FD" w:rsidR="00381096">
        <w:rPr>
          <w:lang w:val="en-GB"/>
        </w:rPr>
        <w:t>,</w:t>
      </w:r>
      <w:r w:rsidRPr="008248FD">
        <w:rPr>
          <w:lang w:val="en-GB"/>
        </w:rPr>
        <w:t xml:space="preserve"> </w:t>
      </w:r>
      <w:r w:rsidRPr="008248FD" w:rsidR="00381096">
        <w:rPr>
          <w:lang w:val="en-GB"/>
        </w:rPr>
        <w:t>as well as</w:t>
      </w:r>
      <w:r w:rsidRPr="008248FD">
        <w:rPr>
          <w:lang w:val="en-GB"/>
        </w:rPr>
        <w:t xml:space="preserve"> visibility at the local and regional levels;</w:t>
      </w:r>
    </w:p>
    <w:p w:rsidRPr="00E912D9" w:rsidR="00CE063A" w:rsidP="008248FD" w:rsidRDefault="00CE063A" w14:paraId="41DC320A" w14:textId="77777777">
      <w:pPr>
        <w:overflowPunct w:val="0"/>
        <w:autoSpaceDE w:val="0"/>
        <w:autoSpaceDN w:val="0"/>
        <w:adjustRightInd w:val="0"/>
        <w:textAlignment w:val="baseline"/>
        <w:rPr>
          <w:rFonts w:asciiTheme="majorBidi" w:hAnsiTheme="majorBidi" w:cstheme="majorBidi"/>
          <w:lang w:val="en-GB"/>
        </w:rPr>
      </w:pPr>
    </w:p>
    <w:p w:rsidRPr="008248FD" w:rsidR="00BB7102" w:rsidP="008248FD" w:rsidRDefault="00BB7102" w14:paraId="6983B919" w14:textId="3778808D">
      <w:pPr>
        <w:pStyle w:val="Heading1"/>
        <w:rPr>
          <w:lang w:val="en-GB"/>
        </w:rPr>
      </w:pPr>
      <w:r w:rsidRPr="008248FD">
        <w:rPr>
          <w:lang w:val="en-GB"/>
        </w:rPr>
        <w:t>calls for a robust support package to enhance the impact of successful EU Missions on Adaptation and Climate</w:t>
      </w:r>
      <w:r w:rsidRPr="008248FD" w:rsidR="003D16E4">
        <w:rPr>
          <w:lang w:val="en-GB"/>
        </w:rPr>
        <w:t>-</w:t>
      </w:r>
      <w:r w:rsidRPr="008248FD">
        <w:rPr>
          <w:lang w:val="en-GB"/>
        </w:rPr>
        <w:t>Neutral Cities, starting with upgrading Climate City Contracts and replicating experiences through the Covenant of Mayors to support the Fit for 55 package; sees the EU Missions on Adaptation and Climate</w:t>
      </w:r>
      <w:r w:rsidRPr="008248FD" w:rsidR="003D16E4">
        <w:rPr>
          <w:lang w:val="en-GB"/>
        </w:rPr>
        <w:t>-</w:t>
      </w:r>
      <w:r w:rsidRPr="008248FD">
        <w:rPr>
          <w:lang w:val="en-GB"/>
        </w:rPr>
        <w:t xml:space="preserve">Neutral Cities </w:t>
      </w:r>
      <w:r w:rsidRPr="008248FD" w:rsidR="00D56CA0">
        <w:rPr>
          <w:lang w:val="en-GB"/>
        </w:rPr>
        <w:t>as</w:t>
      </w:r>
      <w:r w:rsidRPr="008248FD">
        <w:rPr>
          <w:lang w:val="en-GB"/>
        </w:rPr>
        <w:t xml:space="preserve"> crucial for accelerating climate actions, promoting innovation and strengthening replication mechanisms;</w:t>
      </w:r>
    </w:p>
    <w:p w:rsidRPr="00E912D9" w:rsidR="00CE063A" w:rsidP="008248FD" w:rsidRDefault="00CE063A" w14:paraId="24E86FAD" w14:textId="77777777">
      <w:pPr>
        <w:overflowPunct w:val="0"/>
        <w:autoSpaceDE w:val="0"/>
        <w:autoSpaceDN w:val="0"/>
        <w:adjustRightInd w:val="0"/>
        <w:textAlignment w:val="baseline"/>
        <w:rPr>
          <w:rFonts w:asciiTheme="majorBidi" w:hAnsiTheme="majorBidi" w:cstheme="majorBidi"/>
          <w:lang w:val="en-GB"/>
        </w:rPr>
      </w:pPr>
    </w:p>
    <w:p w:rsidRPr="00E912D9" w:rsidR="000B4F3D" w:rsidP="006D1FD2" w:rsidRDefault="00636E22" w14:paraId="784C07C3" w14:textId="4496A07E">
      <w:pPr>
        <w:pStyle w:val="Heading1"/>
        <w:rPr>
          <w:lang w:val="en-GB"/>
        </w:rPr>
      </w:pPr>
      <w:r w:rsidRPr="00E912D9">
        <w:rPr>
          <w:lang w:val="en-GB"/>
        </w:rPr>
        <w:t>stands ready to contribute via its Green Deal Going Local campaign</w:t>
      </w:r>
      <w:r w:rsidRPr="00E912D9" w:rsidR="003D16E4">
        <w:rPr>
          <w:lang w:val="en-GB"/>
        </w:rPr>
        <w:t xml:space="preserve"> to</w:t>
      </w:r>
      <w:r w:rsidRPr="00E912D9">
        <w:rPr>
          <w:lang w:val="en-GB"/>
        </w:rPr>
        <w:t xml:space="preserve"> </w:t>
      </w:r>
      <w:r w:rsidRPr="00E912D9" w:rsidR="00FE4DCF">
        <w:rPr>
          <w:lang w:val="en-GB"/>
        </w:rPr>
        <w:t>the proposal to promote the uptake of best practices focusing on territorial and maritime planning, cohesion, transport, fisheries, finance and agriculture policies;</w:t>
      </w:r>
    </w:p>
    <w:p w:rsidRPr="00E912D9" w:rsidR="006E074B" w:rsidP="008248FD" w:rsidRDefault="006E074B" w14:paraId="6197D2C5" w14:textId="77777777">
      <w:pPr>
        <w:rPr>
          <w:lang w:val="en-GB"/>
        </w:rPr>
      </w:pPr>
    </w:p>
    <w:p w:rsidRPr="008248FD" w:rsidR="00D44AD1" w:rsidP="008248FD" w:rsidRDefault="00D44AD1" w14:paraId="108D3D97" w14:textId="28B21B0E">
      <w:pPr>
        <w:pStyle w:val="Heading1"/>
        <w:rPr>
          <w:lang w:val="en-GB"/>
        </w:rPr>
      </w:pPr>
      <w:r w:rsidRPr="008248FD">
        <w:rPr>
          <w:lang w:val="en-GB"/>
        </w:rPr>
        <w:t>calls for improved predictability and collaboration to accelerate investments toward EU Mission targets</w:t>
      </w:r>
      <w:r w:rsidRPr="008248FD" w:rsidR="00890E1C">
        <w:rPr>
          <w:lang w:val="en-GB"/>
        </w:rPr>
        <w:t>;</w:t>
      </w:r>
      <w:r w:rsidRPr="008248FD" w:rsidR="000B4E79">
        <w:rPr>
          <w:lang w:val="en-GB"/>
        </w:rPr>
        <w:t xml:space="preserve"> stressing the importance of integrating EU Missions’ objectives into future legislation, such as carbon pricing and the Fit for 55 package, to enhance the EU’s multilevel governance system; highlights the mission-oriented policy enhancing the bottom-up dimension within the EU’s multilevel governance system;</w:t>
      </w:r>
    </w:p>
    <w:p w:rsidRPr="00E912D9" w:rsidR="000B4E79" w:rsidP="008248FD" w:rsidRDefault="000B4E79" w14:paraId="1BD8F4AE" w14:textId="77777777">
      <w:pPr>
        <w:overflowPunct w:val="0"/>
        <w:autoSpaceDE w:val="0"/>
        <w:autoSpaceDN w:val="0"/>
        <w:adjustRightInd w:val="0"/>
        <w:textAlignment w:val="baseline"/>
        <w:rPr>
          <w:rFonts w:asciiTheme="majorBidi" w:hAnsiTheme="majorBidi" w:cstheme="majorBidi"/>
          <w:lang w:val="en-GB"/>
        </w:rPr>
      </w:pPr>
    </w:p>
    <w:p w:rsidRPr="008248FD" w:rsidR="000B4E79" w:rsidP="008248FD" w:rsidRDefault="000B4E79" w14:paraId="74AFA083" w14:textId="5926E839">
      <w:pPr>
        <w:pStyle w:val="Heading1"/>
        <w:rPr>
          <w:lang w:val="en-GB"/>
        </w:rPr>
      </w:pPr>
      <w:r w:rsidRPr="008248FD">
        <w:rPr>
          <w:lang w:val="en-GB"/>
        </w:rPr>
        <w:t>recalls that successful climate transition requires full citizen engagement, necessitating better communication about climate risks and benefits while addressing disinformation; reaffirms that the CoR, alongside local and regional politicians, will continue supporting the Green Deal Going Local campaign and the Climate Pact initiative;</w:t>
      </w:r>
    </w:p>
    <w:p w:rsidRPr="00E912D9" w:rsidR="000B4E79" w:rsidP="008248FD" w:rsidRDefault="000B4E79" w14:paraId="71D13E71" w14:textId="77777777">
      <w:pPr>
        <w:overflowPunct w:val="0"/>
        <w:autoSpaceDE w:val="0"/>
        <w:autoSpaceDN w:val="0"/>
        <w:adjustRightInd w:val="0"/>
        <w:textAlignment w:val="baseline"/>
        <w:rPr>
          <w:rFonts w:asciiTheme="majorBidi" w:hAnsiTheme="majorBidi" w:cstheme="majorBidi"/>
          <w:lang w:val="en-GB"/>
        </w:rPr>
      </w:pPr>
    </w:p>
    <w:p w:rsidRPr="00E912D9" w:rsidR="00636E22" w:rsidP="002143FF" w:rsidRDefault="00636E22" w14:paraId="325D8192" w14:textId="4581F555">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Citizens on board: Essential awareness to implement climate policy</w:t>
      </w:r>
    </w:p>
    <w:p w:rsidRPr="00E912D9" w:rsidR="00CE063A" w:rsidP="002143FF" w:rsidRDefault="00CE063A" w14:paraId="25AD897C"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FE4DCF" w:rsidP="008248FD" w:rsidRDefault="00FE4DCF" w14:paraId="4D1DCF3C" w14:textId="64B0B88F">
      <w:pPr>
        <w:pStyle w:val="Heading1"/>
        <w:rPr>
          <w:lang w:val="en-GB"/>
        </w:rPr>
      </w:pPr>
      <w:r w:rsidRPr="008248FD">
        <w:rPr>
          <w:lang w:val="en-GB"/>
        </w:rPr>
        <w:t xml:space="preserve">notes that the EUCRA report shows significant </w:t>
      </w:r>
      <w:r w:rsidRPr="008248FD" w:rsidR="003D16E4">
        <w:rPr>
          <w:lang w:val="en-GB"/>
        </w:rPr>
        <w:t xml:space="preserve">imbalances </w:t>
      </w:r>
      <w:r w:rsidRPr="008248FD">
        <w:rPr>
          <w:lang w:val="en-GB"/>
        </w:rPr>
        <w:t xml:space="preserve">and divides in climate change across European regions; calls for cohesion funds and other instruments to ensure that </w:t>
      </w:r>
      <w:r w:rsidRPr="008248FD" w:rsidR="0067644F">
        <w:rPr>
          <w:lang w:val="en-GB"/>
        </w:rPr>
        <w:t>the EU adequately supports short-term and long-term climate-vulnerable regions</w:t>
      </w:r>
      <w:r w:rsidRPr="008248FD">
        <w:rPr>
          <w:lang w:val="en-GB"/>
        </w:rPr>
        <w:t>;</w:t>
      </w:r>
    </w:p>
    <w:p w:rsidRPr="00E912D9" w:rsidR="000B4E79" w:rsidP="008248FD" w:rsidRDefault="000B4E79" w14:paraId="6AA5210F" w14:textId="77777777">
      <w:pPr>
        <w:overflowPunct w:val="0"/>
        <w:autoSpaceDE w:val="0"/>
        <w:autoSpaceDN w:val="0"/>
        <w:adjustRightInd w:val="0"/>
        <w:textAlignment w:val="baseline"/>
        <w:rPr>
          <w:rFonts w:asciiTheme="majorBidi" w:hAnsiTheme="majorBidi" w:cstheme="majorBidi"/>
          <w:lang w:val="en-GB"/>
        </w:rPr>
      </w:pPr>
    </w:p>
    <w:p w:rsidRPr="008248FD" w:rsidR="000B4F3D" w:rsidP="008248FD" w:rsidRDefault="000B4F3D" w14:paraId="0BA41428" w14:textId="72361899">
      <w:pPr>
        <w:pStyle w:val="Heading1"/>
        <w:rPr>
          <w:lang w:val="en-GB"/>
        </w:rPr>
      </w:pPr>
      <w:r w:rsidRPr="008248FD">
        <w:rPr>
          <w:lang w:val="en-GB"/>
        </w:rPr>
        <w:t xml:space="preserve">considers that the cost of </w:t>
      </w:r>
      <w:r w:rsidRPr="008248FD" w:rsidR="000B4E79">
        <w:rPr>
          <w:lang w:val="en-GB"/>
        </w:rPr>
        <w:t xml:space="preserve">inaction </w:t>
      </w:r>
      <w:r w:rsidRPr="008248FD">
        <w:rPr>
          <w:lang w:val="en-GB"/>
        </w:rPr>
        <w:t xml:space="preserve">and the quantification of co-benefits should be estimated using </w:t>
      </w:r>
      <w:r w:rsidRPr="008248FD" w:rsidR="000B4E79">
        <w:rPr>
          <w:lang w:val="en-GB"/>
        </w:rPr>
        <w:t xml:space="preserve">a </w:t>
      </w:r>
      <w:r w:rsidRPr="008248FD">
        <w:rPr>
          <w:lang w:val="en-GB"/>
        </w:rPr>
        <w:t xml:space="preserve">scientifically developed </w:t>
      </w:r>
      <w:r w:rsidRPr="008248FD" w:rsidR="000B4E79">
        <w:rPr>
          <w:lang w:val="en-GB"/>
        </w:rPr>
        <w:t xml:space="preserve">measurement </w:t>
      </w:r>
      <w:r w:rsidRPr="008248FD">
        <w:rPr>
          <w:lang w:val="en-GB"/>
        </w:rPr>
        <w:t>frame</w:t>
      </w:r>
      <w:r w:rsidRPr="008248FD" w:rsidR="003D16E4">
        <w:rPr>
          <w:lang w:val="en-GB"/>
        </w:rPr>
        <w:t>work</w:t>
      </w:r>
      <w:r w:rsidRPr="008248FD">
        <w:rPr>
          <w:lang w:val="en-GB"/>
        </w:rPr>
        <w:t xml:space="preserve"> at the subnational level and openly communicated to citizens and stakeholders; </w:t>
      </w:r>
      <w:r w:rsidRPr="008248FD" w:rsidR="000B4E79">
        <w:rPr>
          <w:lang w:val="en-GB"/>
        </w:rPr>
        <w:t>calls on local and regional authorities to actively involve citizens in decision-making processes, ensuring that climate policies are co-created and implemented with the entire community;</w:t>
      </w:r>
    </w:p>
    <w:p w:rsidRPr="008248FD" w:rsidR="00CE063A" w:rsidP="008248FD" w:rsidRDefault="00CE063A" w14:paraId="73510C98" w14:textId="77777777">
      <w:pPr>
        <w:rPr>
          <w:rFonts w:asciiTheme="majorBidi" w:hAnsiTheme="majorBidi" w:cstheme="majorBidi"/>
          <w:lang w:val="en-GB"/>
        </w:rPr>
      </w:pPr>
    </w:p>
    <w:p w:rsidRPr="008248FD" w:rsidR="00FE4DCF" w:rsidP="008248FD" w:rsidRDefault="0067644F" w14:paraId="30A5F077" w14:textId="5CC44AB0">
      <w:pPr>
        <w:pStyle w:val="Heading1"/>
        <w:rPr>
          <w:lang w:val="en-GB"/>
        </w:rPr>
      </w:pPr>
      <w:r w:rsidRPr="008248FD">
        <w:rPr>
          <w:lang w:val="en-GB"/>
        </w:rPr>
        <w:t>emphasi</w:t>
      </w:r>
      <w:r w:rsidRPr="008248FD" w:rsidR="00D57B65">
        <w:rPr>
          <w:lang w:val="en-GB"/>
        </w:rPr>
        <w:t>s</w:t>
      </w:r>
      <w:r w:rsidRPr="008248FD" w:rsidR="00890E1C">
        <w:rPr>
          <w:lang w:val="en-GB"/>
        </w:rPr>
        <w:t>es</w:t>
      </w:r>
      <w:r w:rsidRPr="008248FD" w:rsidR="00BB7102">
        <w:rPr>
          <w:lang w:val="en-GB"/>
        </w:rPr>
        <w:t xml:space="preserve"> the importance of cross-border climate adaptation and risk preparedness, urging support for subnational authorities to promote joint actions for preventing climate disasters</w:t>
      </w:r>
      <w:r w:rsidRPr="008248FD" w:rsidR="00FE4DCF">
        <w:rPr>
          <w:lang w:val="en-GB"/>
        </w:rPr>
        <w:t>;</w:t>
      </w:r>
    </w:p>
    <w:p w:rsidRPr="00E912D9" w:rsidR="00CE063A" w:rsidP="008248FD" w:rsidRDefault="00CE063A" w14:paraId="71722B82" w14:textId="77777777">
      <w:pPr>
        <w:overflowPunct w:val="0"/>
        <w:autoSpaceDE w:val="0"/>
        <w:autoSpaceDN w:val="0"/>
        <w:adjustRightInd w:val="0"/>
        <w:textAlignment w:val="baseline"/>
        <w:rPr>
          <w:rFonts w:asciiTheme="majorBidi" w:hAnsiTheme="majorBidi" w:cstheme="majorBidi"/>
          <w:lang w:val="en-GB"/>
        </w:rPr>
      </w:pPr>
    </w:p>
    <w:p w:rsidRPr="00E912D9" w:rsidR="007D3C47" w:rsidP="002143FF" w:rsidRDefault="00985789" w14:paraId="07DA2B54" w14:textId="43FC17CE">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U</w:t>
      </w:r>
      <w:r w:rsidRPr="00E912D9" w:rsidR="004D4B92">
        <w:rPr>
          <w:rFonts w:asciiTheme="majorBidi" w:hAnsiTheme="majorBidi" w:cstheme="majorBidi"/>
          <w:b/>
          <w:bCs/>
          <w:lang w:val="en-GB"/>
        </w:rPr>
        <w:t xml:space="preserve">nified approach: </w:t>
      </w:r>
      <w:r w:rsidRPr="00E912D9" w:rsidR="007D3C47">
        <w:rPr>
          <w:rFonts w:asciiTheme="majorBidi" w:hAnsiTheme="majorBidi" w:cstheme="majorBidi"/>
          <w:b/>
          <w:bCs/>
          <w:lang w:val="en-GB"/>
        </w:rPr>
        <w:t>Integrati</w:t>
      </w:r>
      <w:r w:rsidRPr="00E912D9" w:rsidR="00C21331">
        <w:rPr>
          <w:rFonts w:asciiTheme="majorBidi" w:hAnsiTheme="majorBidi" w:cstheme="majorBidi"/>
          <w:b/>
          <w:bCs/>
          <w:lang w:val="en-GB"/>
        </w:rPr>
        <w:t>on of</w:t>
      </w:r>
      <w:r w:rsidRPr="00E912D9" w:rsidR="007D3C47">
        <w:rPr>
          <w:rFonts w:asciiTheme="majorBidi" w:hAnsiTheme="majorBidi" w:cstheme="majorBidi"/>
          <w:b/>
          <w:bCs/>
          <w:lang w:val="en-GB"/>
        </w:rPr>
        <w:t xml:space="preserve"> climate, biodiversity, soil, waters</w:t>
      </w:r>
      <w:r w:rsidRPr="00E912D9" w:rsidR="00726A69">
        <w:rPr>
          <w:rFonts w:asciiTheme="majorBidi" w:hAnsiTheme="majorBidi" w:cstheme="majorBidi"/>
          <w:b/>
          <w:bCs/>
          <w:lang w:val="en-GB"/>
        </w:rPr>
        <w:t xml:space="preserve">, </w:t>
      </w:r>
      <w:r w:rsidRPr="00E912D9" w:rsidR="007D3C47">
        <w:rPr>
          <w:rFonts w:asciiTheme="majorBidi" w:hAnsiTheme="majorBidi" w:cstheme="majorBidi"/>
          <w:b/>
          <w:bCs/>
          <w:lang w:val="en-GB"/>
        </w:rPr>
        <w:t>health</w:t>
      </w:r>
      <w:r w:rsidRPr="00E912D9" w:rsidR="00726A69">
        <w:rPr>
          <w:rFonts w:asciiTheme="majorBidi" w:hAnsiTheme="majorBidi" w:cstheme="majorBidi"/>
          <w:b/>
          <w:bCs/>
          <w:lang w:val="en-GB"/>
        </w:rPr>
        <w:t xml:space="preserve"> and land-use</w:t>
      </w:r>
    </w:p>
    <w:p w:rsidRPr="00E912D9" w:rsidR="00CE063A" w:rsidP="002143FF" w:rsidRDefault="00CE063A" w14:paraId="392A2429"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FE4DCF" w:rsidP="008248FD" w:rsidRDefault="00FE4DCF" w14:paraId="43E59289" w14:textId="20BA0912">
      <w:pPr>
        <w:pStyle w:val="Heading1"/>
        <w:rPr>
          <w:lang w:val="en-GB"/>
        </w:rPr>
      </w:pPr>
      <w:r w:rsidRPr="008248FD">
        <w:rPr>
          <w:lang w:val="en-GB"/>
        </w:rPr>
        <w:t>welcomes the need to encourage synergies between climate neutrality, biodiversity and zero-pollution objectives and calls on the Commission to create stronger connections between the frameworks and funding mechanisms;</w:t>
      </w:r>
    </w:p>
    <w:p w:rsidRPr="00E912D9" w:rsidR="00CE063A" w:rsidP="008248FD" w:rsidRDefault="00CE063A" w14:paraId="1BFAB8A7" w14:textId="77777777">
      <w:pPr>
        <w:overflowPunct w:val="0"/>
        <w:autoSpaceDE w:val="0"/>
        <w:autoSpaceDN w:val="0"/>
        <w:adjustRightInd w:val="0"/>
        <w:textAlignment w:val="baseline"/>
        <w:rPr>
          <w:rFonts w:asciiTheme="majorBidi" w:hAnsiTheme="majorBidi" w:cstheme="majorBidi"/>
          <w:lang w:val="en-GB"/>
        </w:rPr>
      </w:pPr>
    </w:p>
    <w:p w:rsidRPr="008248FD" w:rsidR="00FE4DCF" w:rsidP="008248FD" w:rsidRDefault="00FE4DCF" w14:paraId="59336AA2" w14:textId="728A21FD">
      <w:pPr>
        <w:pStyle w:val="Heading1"/>
        <w:rPr>
          <w:lang w:val="en-GB"/>
        </w:rPr>
      </w:pPr>
      <w:r w:rsidRPr="008248FD">
        <w:rPr>
          <w:lang w:val="en-GB"/>
        </w:rPr>
        <w:t xml:space="preserve">requires NECPs </w:t>
      </w:r>
      <w:r w:rsidRPr="008248FD" w:rsidR="00CF3B3C">
        <w:rPr>
          <w:lang w:val="en-GB"/>
        </w:rPr>
        <w:t xml:space="preserve">to be connected </w:t>
      </w:r>
      <w:r w:rsidRPr="008248FD">
        <w:rPr>
          <w:lang w:val="en-GB"/>
        </w:rPr>
        <w:t>with subnational mitigation and adaptation policies to have a more consistent influence on climate actions;</w:t>
      </w:r>
    </w:p>
    <w:p w:rsidRPr="00E912D9" w:rsidR="00000312" w:rsidP="008248FD" w:rsidRDefault="00000312" w14:paraId="3846DF52" w14:textId="77777777">
      <w:pPr>
        <w:overflowPunct w:val="0"/>
        <w:autoSpaceDE w:val="0"/>
        <w:autoSpaceDN w:val="0"/>
        <w:adjustRightInd w:val="0"/>
        <w:textAlignment w:val="baseline"/>
        <w:rPr>
          <w:rFonts w:asciiTheme="majorBidi" w:hAnsiTheme="majorBidi" w:cstheme="majorBidi"/>
          <w:lang w:val="en-GB"/>
        </w:rPr>
      </w:pPr>
    </w:p>
    <w:p w:rsidRPr="008248FD" w:rsidR="00DC5A74" w:rsidP="008248FD" w:rsidRDefault="00FE4DCF" w14:paraId="19B1E09D" w14:textId="739A2B93">
      <w:pPr>
        <w:pStyle w:val="Heading1"/>
        <w:rPr>
          <w:lang w:val="en-GB"/>
        </w:rPr>
      </w:pPr>
      <w:r w:rsidRPr="008248FD">
        <w:rPr>
          <w:lang w:val="en-GB"/>
        </w:rPr>
        <w:t>highlights the vital role of</w:t>
      </w:r>
      <w:r w:rsidRPr="008248FD" w:rsidR="00B648CA">
        <w:rPr>
          <w:lang w:val="en-GB"/>
        </w:rPr>
        <w:t xml:space="preserve"> nature-based solutions</w:t>
      </w:r>
      <w:r w:rsidRPr="008248FD">
        <w:rPr>
          <w:lang w:val="en-GB"/>
        </w:rPr>
        <w:t xml:space="preserve"> in the systemic transformation</w:t>
      </w:r>
      <w:r w:rsidRPr="008248FD" w:rsidR="00B648CA">
        <w:rPr>
          <w:lang w:val="en-GB"/>
        </w:rPr>
        <w:t xml:space="preserve"> of the urban environment</w:t>
      </w:r>
      <w:r w:rsidRPr="008248FD" w:rsidR="001A29CC">
        <w:rPr>
          <w:lang w:val="en-GB"/>
        </w:rPr>
        <w:t>,</w:t>
      </w:r>
      <w:r w:rsidRPr="008248FD">
        <w:rPr>
          <w:lang w:val="en-GB"/>
        </w:rPr>
        <w:t xml:space="preserve"> using a cross-sectoral and interdisciplinary approach as a multifaceted instrument for supporting climate change mitigation, adaptation, biodiversity and health</w:t>
      </w:r>
      <w:r w:rsidRPr="008248FD" w:rsidR="00C21331">
        <w:rPr>
          <w:lang w:val="en-GB"/>
        </w:rPr>
        <w:t>;</w:t>
      </w:r>
    </w:p>
    <w:p w:rsidRPr="00E912D9" w:rsidR="00000312" w:rsidP="008248FD" w:rsidRDefault="00000312" w14:paraId="112B46E3" w14:textId="77777777">
      <w:pPr>
        <w:overflowPunct w:val="0"/>
        <w:autoSpaceDE w:val="0"/>
        <w:autoSpaceDN w:val="0"/>
        <w:adjustRightInd w:val="0"/>
        <w:textAlignment w:val="baseline"/>
        <w:rPr>
          <w:rFonts w:asciiTheme="majorBidi" w:hAnsiTheme="majorBidi" w:cstheme="majorBidi"/>
          <w:lang w:val="en-GB"/>
        </w:rPr>
      </w:pPr>
    </w:p>
    <w:p w:rsidRPr="008248FD" w:rsidR="00DC5A74" w:rsidP="008248FD" w:rsidRDefault="00B648CA" w14:paraId="53B1F949" w14:textId="678A55BB">
      <w:pPr>
        <w:pStyle w:val="Heading1"/>
        <w:rPr>
          <w:rFonts w:asciiTheme="majorBidi" w:hAnsiTheme="majorBidi" w:cstheme="majorBidi"/>
          <w:lang w:val="en-GB"/>
        </w:rPr>
      </w:pPr>
      <w:r w:rsidRPr="008248FD">
        <w:rPr>
          <w:lang w:val="en-GB"/>
        </w:rPr>
        <w:t xml:space="preserve">calls for aligning </w:t>
      </w:r>
      <w:r w:rsidRPr="008248FD" w:rsidR="00DC5A74">
        <w:rPr>
          <w:lang w:val="en-GB"/>
        </w:rPr>
        <w:t>climate</w:t>
      </w:r>
      <w:r w:rsidRPr="008248FD">
        <w:rPr>
          <w:lang w:val="en-GB"/>
        </w:rPr>
        <w:t xml:space="preserve"> and industrial</w:t>
      </w:r>
      <w:r w:rsidRPr="008248FD" w:rsidR="00DC5A74">
        <w:rPr>
          <w:lang w:val="en-GB"/>
        </w:rPr>
        <w:t xml:space="preserve"> policy </w:t>
      </w:r>
      <w:r w:rsidRPr="008248FD">
        <w:rPr>
          <w:lang w:val="en-GB"/>
        </w:rPr>
        <w:t>within</w:t>
      </w:r>
      <w:r w:rsidRPr="008248FD" w:rsidR="00015139">
        <w:rPr>
          <w:lang w:val="en-GB"/>
        </w:rPr>
        <w:t xml:space="preserve"> </w:t>
      </w:r>
      <w:r w:rsidRPr="008248FD" w:rsidR="00DC5A74">
        <w:rPr>
          <w:lang w:val="en-GB"/>
        </w:rPr>
        <w:t xml:space="preserve">the bioeconomy, </w:t>
      </w:r>
      <w:r w:rsidRPr="008248FD">
        <w:rPr>
          <w:lang w:val="en-GB"/>
        </w:rPr>
        <w:t>focusing on</w:t>
      </w:r>
      <w:r w:rsidRPr="008248FD" w:rsidR="00015139">
        <w:rPr>
          <w:lang w:val="en-GB"/>
        </w:rPr>
        <w:t xml:space="preserve"> </w:t>
      </w:r>
      <w:r w:rsidRPr="008248FD" w:rsidR="00DC5A74">
        <w:rPr>
          <w:lang w:val="en-GB"/>
        </w:rPr>
        <w:t>CO₂</w:t>
      </w:r>
      <w:r w:rsidRPr="008248FD" w:rsidR="00EC3563">
        <w:rPr>
          <w:lang w:val="en-GB"/>
        </w:rPr>
        <w:t>-</w:t>
      </w:r>
      <w:r w:rsidRPr="008248FD" w:rsidR="009E2807">
        <w:rPr>
          <w:lang w:val="en-GB"/>
        </w:rPr>
        <w:t>neutral</w:t>
      </w:r>
      <w:r w:rsidRPr="008248FD">
        <w:rPr>
          <w:lang w:val="en-GB"/>
        </w:rPr>
        <w:t xml:space="preserve"> and circular</w:t>
      </w:r>
      <w:r w:rsidRPr="008248FD" w:rsidR="00DC5A74">
        <w:rPr>
          <w:lang w:val="en-GB"/>
        </w:rPr>
        <w:t xml:space="preserve"> economy</w:t>
      </w:r>
      <w:r w:rsidRPr="008248FD">
        <w:rPr>
          <w:lang w:val="en-GB"/>
        </w:rPr>
        <w:t xml:space="preserve"> development,</w:t>
      </w:r>
      <w:r w:rsidRPr="008248FD" w:rsidR="00DC5A74">
        <w:rPr>
          <w:lang w:val="en-GB"/>
        </w:rPr>
        <w:t xml:space="preserve"> resource efficiency and active sustainable forestry practices</w:t>
      </w:r>
      <w:r w:rsidRPr="008248FD">
        <w:rPr>
          <w:lang w:val="en-GB"/>
        </w:rPr>
        <w:t>. These practices should</w:t>
      </w:r>
      <w:r w:rsidRPr="008248FD" w:rsidR="00DC5A74">
        <w:rPr>
          <w:lang w:val="en-GB"/>
        </w:rPr>
        <w:t xml:space="preserve"> maintain the crucial vitality of </w:t>
      </w:r>
      <w:r w:rsidRPr="008248FD">
        <w:rPr>
          <w:lang w:val="en-GB"/>
        </w:rPr>
        <w:t xml:space="preserve">forests, protect endangered species, and enhance biodiversity and ecosystem resilience in </w:t>
      </w:r>
      <w:r w:rsidRPr="008248FD" w:rsidR="00DC5A74">
        <w:rPr>
          <w:lang w:val="en-GB"/>
        </w:rPr>
        <w:t>forests</w:t>
      </w:r>
      <w:r w:rsidRPr="008248FD">
        <w:rPr>
          <w:lang w:val="en-GB"/>
        </w:rPr>
        <w:t xml:space="preserve"> and surrounding water bodies</w:t>
      </w:r>
      <w:r w:rsidRPr="008248FD" w:rsidR="00DC5A74">
        <w:rPr>
          <w:lang w:val="en-GB"/>
        </w:rPr>
        <w:t>;</w:t>
      </w:r>
    </w:p>
    <w:p w:rsidRPr="00E912D9" w:rsidR="00000312" w:rsidP="008248FD" w:rsidRDefault="00000312" w14:paraId="1884DFF4" w14:textId="77777777">
      <w:pPr>
        <w:overflowPunct w:val="0"/>
        <w:autoSpaceDE w:val="0"/>
        <w:autoSpaceDN w:val="0"/>
        <w:adjustRightInd w:val="0"/>
        <w:textAlignment w:val="baseline"/>
        <w:rPr>
          <w:rFonts w:asciiTheme="majorBidi" w:hAnsiTheme="majorBidi" w:cstheme="majorBidi"/>
          <w:lang w:val="en-GB"/>
        </w:rPr>
      </w:pPr>
    </w:p>
    <w:p w:rsidRPr="008248FD" w:rsidR="00DC5A74" w:rsidP="008248FD" w:rsidRDefault="00DC5A74" w14:paraId="4BA78D24" w14:textId="60C9ADD9">
      <w:pPr>
        <w:pStyle w:val="Heading1"/>
        <w:rPr>
          <w:rFonts w:asciiTheme="majorBidi" w:hAnsiTheme="majorBidi" w:cstheme="majorBidi"/>
          <w:lang w:val="en-GB"/>
        </w:rPr>
      </w:pPr>
      <w:r w:rsidRPr="008248FD">
        <w:rPr>
          <w:lang w:val="en-GB"/>
        </w:rPr>
        <w:t xml:space="preserve">highlights the </w:t>
      </w:r>
      <w:r w:rsidRPr="008248FD" w:rsidR="00B648CA">
        <w:rPr>
          <w:lang w:val="en-GB"/>
        </w:rPr>
        <w:t xml:space="preserve">potential </w:t>
      </w:r>
      <w:r w:rsidRPr="008248FD">
        <w:rPr>
          <w:lang w:val="en-GB"/>
        </w:rPr>
        <w:t xml:space="preserve">of </w:t>
      </w:r>
      <w:r w:rsidRPr="008248FD" w:rsidR="00B648CA">
        <w:rPr>
          <w:lang w:val="en-GB"/>
        </w:rPr>
        <w:t xml:space="preserve">sustainably sourced </w:t>
      </w:r>
      <w:r w:rsidRPr="008248FD">
        <w:rPr>
          <w:lang w:val="en-GB"/>
        </w:rPr>
        <w:t xml:space="preserve">biobased CO₂ as a </w:t>
      </w:r>
      <w:r w:rsidRPr="008248FD" w:rsidR="00B648CA">
        <w:rPr>
          <w:lang w:val="en-GB"/>
        </w:rPr>
        <w:t xml:space="preserve">renewable </w:t>
      </w:r>
      <w:r w:rsidRPr="008248FD">
        <w:rPr>
          <w:lang w:val="en-GB"/>
        </w:rPr>
        <w:t xml:space="preserve">raw material and </w:t>
      </w:r>
      <w:r w:rsidRPr="008248FD" w:rsidR="00B648CA">
        <w:rPr>
          <w:lang w:val="en-GB"/>
        </w:rPr>
        <w:t xml:space="preserve">carbon storage </w:t>
      </w:r>
      <w:r w:rsidRPr="008248FD">
        <w:rPr>
          <w:lang w:val="en-GB"/>
        </w:rPr>
        <w:t>product</w:t>
      </w:r>
      <w:r w:rsidRPr="008248FD" w:rsidR="00B648CA">
        <w:rPr>
          <w:lang w:val="en-GB"/>
        </w:rPr>
        <w:t>;</w:t>
      </w:r>
      <w:r w:rsidRPr="008248FD">
        <w:rPr>
          <w:lang w:val="en-GB"/>
        </w:rPr>
        <w:t xml:space="preserve"> </w:t>
      </w:r>
      <w:r w:rsidRPr="008248FD" w:rsidR="00B648CA">
        <w:rPr>
          <w:lang w:val="en-GB"/>
        </w:rPr>
        <w:t xml:space="preserve">stresses that biobased solutions should complement, not replace, deep emission cuts and the rapid phase-out of fossil fuels; </w:t>
      </w:r>
      <w:r w:rsidR="00045CB1">
        <w:rPr>
          <w:lang w:val="en-GB"/>
        </w:rPr>
        <w:t xml:space="preserve">points out </w:t>
      </w:r>
      <w:r w:rsidRPr="008248FD" w:rsidR="00B648CA">
        <w:rPr>
          <w:lang w:val="en-GB"/>
        </w:rPr>
        <w:t xml:space="preserve">the importance of </w:t>
      </w:r>
      <w:r w:rsidRPr="008248FD">
        <w:rPr>
          <w:lang w:val="en-GB"/>
        </w:rPr>
        <w:t>material and energy self-sufficiency</w:t>
      </w:r>
      <w:r w:rsidRPr="008248FD" w:rsidR="00B648CA">
        <w:rPr>
          <w:lang w:val="en-GB"/>
        </w:rPr>
        <w:t>, ensuring that biobased</w:t>
      </w:r>
      <w:r w:rsidRPr="008248FD">
        <w:rPr>
          <w:lang w:val="en-GB"/>
        </w:rPr>
        <w:t xml:space="preserve"> and </w:t>
      </w:r>
      <w:r w:rsidRPr="008248FD" w:rsidR="00B648CA">
        <w:rPr>
          <w:lang w:val="en-GB"/>
        </w:rPr>
        <w:t xml:space="preserve">renewable </w:t>
      </w:r>
      <w:r w:rsidRPr="008248FD">
        <w:rPr>
          <w:lang w:val="en-GB"/>
        </w:rPr>
        <w:t>hydrogen</w:t>
      </w:r>
      <w:r w:rsidRPr="008248FD" w:rsidR="00B648CA">
        <w:rPr>
          <w:lang w:val="en-GB"/>
        </w:rPr>
        <w:t xml:space="preserve"> solutions are part of a just and sustainable transition</w:t>
      </w:r>
      <w:r w:rsidRPr="008248FD">
        <w:rPr>
          <w:lang w:val="en-GB"/>
        </w:rPr>
        <w:t>;</w:t>
      </w:r>
    </w:p>
    <w:p w:rsidRPr="00E912D9" w:rsidR="00000312" w:rsidP="008248FD" w:rsidRDefault="00000312" w14:paraId="6709E79C" w14:textId="77777777">
      <w:pPr>
        <w:overflowPunct w:val="0"/>
        <w:autoSpaceDE w:val="0"/>
        <w:autoSpaceDN w:val="0"/>
        <w:adjustRightInd w:val="0"/>
        <w:textAlignment w:val="baseline"/>
        <w:rPr>
          <w:rFonts w:asciiTheme="majorBidi" w:hAnsiTheme="majorBidi" w:cstheme="majorBidi"/>
          <w:lang w:val="en-GB"/>
        </w:rPr>
      </w:pPr>
    </w:p>
    <w:p w:rsidRPr="008248FD" w:rsidR="00DC5A74" w:rsidP="008248FD" w:rsidRDefault="00DC5A74" w14:paraId="6A6644BE" w14:textId="599DA918">
      <w:pPr>
        <w:pStyle w:val="Heading1"/>
        <w:rPr>
          <w:rFonts w:asciiTheme="majorBidi" w:hAnsiTheme="majorBidi" w:cstheme="majorBidi"/>
          <w:lang w:val="en-GB"/>
        </w:rPr>
      </w:pPr>
      <w:r w:rsidRPr="008248FD">
        <w:rPr>
          <w:lang w:val="en-GB"/>
        </w:rPr>
        <w:t>stresses the</w:t>
      </w:r>
      <w:r w:rsidRPr="008248FD" w:rsidR="00B648CA">
        <w:rPr>
          <w:lang w:val="en-GB"/>
        </w:rPr>
        <w:t xml:space="preserve"> vulnerability and long-term carbon sequestration potential of the land-use sector, as well as the</w:t>
      </w:r>
      <w:r w:rsidRPr="008248FD">
        <w:rPr>
          <w:lang w:val="en-GB"/>
        </w:rPr>
        <w:t xml:space="preserve"> significant emission reduction potential in the agriculture</w:t>
      </w:r>
      <w:r w:rsidRPr="008248FD" w:rsidR="00B648CA">
        <w:rPr>
          <w:lang w:val="en-GB"/>
        </w:rPr>
        <w:t xml:space="preserve"> sector</w:t>
      </w:r>
      <w:r w:rsidRPr="008248FD">
        <w:rPr>
          <w:lang w:val="en-GB"/>
        </w:rPr>
        <w:t xml:space="preserve">, with </w:t>
      </w:r>
      <w:r w:rsidRPr="008248FD" w:rsidR="00B648CA">
        <w:rPr>
          <w:lang w:val="en-GB"/>
        </w:rPr>
        <w:t>active CAP policy</w:t>
      </w:r>
      <w:r w:rsidRPr="008248FD" w:rsidDel="00B648CA" w:rsidR="00B648CA">
        <w:rPr>
          <w:lang w:val="en-GB"/>
        </w:rPr>
        <w:t xml:space="preserve"> </w:t>
      </w:r>
      <w:r w:rsidRPr="008248FD">
        <w:rPr>
          <w:lang w:val="en-GB"/>
        </w:rPr>
        <w:t xml:space="preserve">support </w:t>
      </w:r>
      <w:r w:rsidRPr="008248FD" w:rsidR="00B648CA">
        <w:rPr>
          <w:lang w:val="en-GB"/>
        </w:rPr>
        <w:t>and voluntary commitment needed</w:t>
      </w:r>
      <w:r w:rsidRPr="008248FD" w:rsidDel="00B648CA" w:rsidR="00B648CA">
        <w:rPr>
          <w:lang w:val="en-GB"/>
        </w:rPr>
        <w:t xml:space="preserve"> </w:t>
      </w:r>
      <w:r w:rsidRPr="008248FD">
        <w:rPr>
          <w:lang w:val="en-GB"/>
        </w:rPr>
        <w:t xml:space="preserve">for </w:t>
      </w:r>
      <w:r w:rsidRPr="008248FD" w:rsidR="00B648CA">
        <w:rPr>
          <w:lang w:val="en-GB"/>
        </w:rPr>
        <w:t xml:space="preserve">impactful </w:t>
      </w:r>
      <w:r w:rsidRPr="008248FD">
        <w:rPr>
          <w:lang w:val="en-GB"/>
        </w:rPr>
        <w:t>climate actions;</w:t>
      </w:r>
      <w:r w:rsidRPr="008248FD" w:rsidR="00B648CA">
        <w:rPr>
          <w:lang w:val="en-GB"/>
        </w:rPr>
        <w:t xml:space="preserve"> highlights the need for agroecological practices, particularly using the outcomes of the EU Mission on Soil and the EU Climate Adaptation Mission, to align agricultural policies with the Green Deal objectives and promote resilient ecosystems and carbon sequestration;</w:t>
      </w:r>
    </w:p>
    <w:p w:rsidRPr="00E912D9" w:rsidR="00B648CA" w:rsidP="008248FD" w:rsidRDefault="00B648CA" w14:paraId="592C3734" w14:textId="77777777">
      <w:pPr>
        <w:overflowPunct w:val="0"/>
        <w:autoSpaceDE w:val="0"/>
        <w:autoSpaceDN w:val="0"/>
        <w:adjustRightInd w:val="0"/>
        <w:textAlignment w:val="baseline"/>
        <w:rPr>
          <w:rFonts w:asciiTheme="majorBidi" w:hAnsiTheme="majorBidi" w:cstheme="majorBidi"/>
          <w:lang w:val="en-GB"/>
        </w:rPr>
      </w:pPr>
    </w:p>
    <w:p w:rsidRPr="008248FD" w:rsidR="00C24D3F" w:rsidP="008248FD" w:rsidRDefault="00B648CA" w14:paraId="0D9482B0" w14:textId="789F7A2B">
      <w:pPr>
        <w:pStyle w:val="Heading1"/>
        <w:rPr>
          <w:rFonts w:asciiTheme="majorBidi" w:hAnsiTheme="majorBidi" w:cstheme="majorBidi"/>
          <w:lang w:val="en-GB"/>
        </w:rPr>
      </w:pPr>
      <w:r w:rsidRPr="008248FD">
        <w:rPr>
          <w:lang w:val="en-GB"/>
        </w:rPr>
        <w:t>emphasises the need to include in the overall climate policy architecture and 2040 framework clear, predictable and transparent incentives to invest in biobased CO₂ usage and storage;</w:t>
      </w:r>
    </w:p>
    <w:p w:rsidRPr="00E912D9" w:rsidR="00B648CA" w:rsidP="008248FD" w:rsidRDefault="00B648CA" w14:paraId="191EB12B" w14:textId="77777777">
      <w:pPr>
        <w:overflowPunct w:val="0"/>
        <w:autoSpaceDE w:val="0"/>
        <w:autoSpaceDN w:val="0"/>
        <w:adjustRightInd w:val="0"/>
        <w:textAlignment w:val="baseline"/>
        <w:rPr>
          <w:rFonts w:asciiTheme="majorBidi" w:hAnsiTheme="majorBidi" w:cstheme="majorBidi"/>
          <w:lang w:val="en-GB"/>
        </w:rPr>
      </w:pPr>
    </w:p>
    <w:p w:rsidRPr="008248FD" w:rsidR="00DC5A74" w:rsidP="008248FD" w:rsidRDefault="00DC5A74" w14:paraId="165E42C2" w14:textId="0D4D6188">
      <w:pPr>
        <w:pStyle w:val="Heading1"/>
        <w:rPr>
          <w:rFonts w:asciiTheme="majorBidi" w:hAnsiTheme="majorBidi" w:cstheme="majorBidi"/>
          <w:lang w:val="en-GB"/>
        </w:rPr>
      </w:pPr>
      <w:r w:rsidRPr="008248FD">
        <w:rPr>
          <w:lang w:val="en-GB"/>
        </w:rPr>
        <w:t>underlines</w:t>
      </w:r>
      <w:r w:rsidRPr="008248FD" w:rsidR="00A54F0C">
        <w:rPr>
          <w:lang w:val="en-GB"/>
        </w:rPr>
        <w:t xml:space="preserve"> that land use strategies should prioritise the positive effects of</w:t>
      </w:r>
      <w:r w:rsidRPr="008248FD">
        <w:rPr>
          <w:lang w:val="en-GB"/>
        </w:rPr>
        <w:t xml:space="preserve"> soil, wind, </w:t>
      </w:r>
      <w:r w:rsidRPr="008248FD" w:rsidR="00A54F0C">
        <w:rPr>
          <w:lang w:val="en-GB"/>
        </w:rPr>
        <w:t>water,</w:t>
      </w:r>
      <w:r w:rsidRPr="008248FD" w:rsidR="00B648CA">
        <w:rPr>
          <w:lang w:val="en-GB"/>
        </w:rPr>
        <w:t xml:space="preserve"> </w:t>
      </w:r>
      <w:r w:rsidRPr="008248FD">
        <w:rPr>
          <w:lang w:val="en-GB"/>
        </w:rPr>
        <w:t xml:space="preserve">forests and wetlands in </w:t>
      </w:r>
      <w:r w:rsidRPr="008248FD" w:rsidR="00B648CA">
        <w:rPr>
          <w:lang w:val="en-GB"/>
        </w:rPr>
        <w:t>the transition</w:t>
      </w:r>
      <w:r w:rsidRPr="008248FD" w:rsidR="00015139">
        <w:rPr>
          <w:lang w:val="en-GB"/>
        </w:rPr>
        <w:t xml:space="preserve"> </w:t>
      </w:r>
      <w:r w:rsidRPr="008248FD">
        <w:rPr>
          <w:lang w:val="en-GB"/>
        </w:rPr>
        <w:t>to a climate-neutral society;</w:t>
      </w:r>
      <w:r w:rsidRPr="008248FD" w:rsidR="00B648CA">
        <w:rPr>
          <w:lang w:val="en-GB"/>
        </w:rPr>
        <w:t xml:space="preserve"> calls for recognising ecosystems’ roles in carbon sequestration, biodiversity, and climate resilience to ensure long-term sustainability, alongside the national, regional and local implementation of the EU Nature Restoration Law;</w:t>
      </w:r>
    </w:p>
    <w:p w:rsidRPr="00E912D9" w:rsidR="00A54F0C" w:rsidP="008248FD" w:rsidRDefault="00A54F0C" w14:paraId="464BE290" w14:textId="77777777">
      <w:pPr>
        <w:overflowPunct w:val="0"/>
        <w:autoSpaceDE w:val="0"/>
        <w:autoSpaceDN w:val="0"/>
        <w:adjustRightInd w:val="0"/>
        <w:textAlignment w:val="baseline"/>
        <w:rPr>
          <w:rFonts w:asciiTheme="majorBidi" w:hAnsiTheme="majorBidi" w:cstheme="majorBidi"/>
          <w:lang w:val="en-GB"/>
        </w:rPr>
      </w:pPr>
    </w:p>
    <w:p w:rsidRPr="008248FD" w:rsidR="00A54F0C" w:rsidP="008248FD" w:rsidRDefault="00A54F0C" w14:paraId="6D33DB58" w14:textId="54331909">
      <w:pPr>
        <w:pStyle w:val="Heading1"/>
        <w:rPr>
          <w:b/>
          <w:bCs/>
          <w:lang w:val="en-GB"/>
        </w:rPr>
      </w:pPr>
      <w:r w:rsidRPr="008248FD">
        <w:rPr>
          <w:lang w:val="en-GB"/>
        </w:rPr>
        <w:t>stresses the significant potential of the mobility and transport sector to reduce CO</w:t>
      </w:r>
      <w:r w:rsidRPr="008248FD">
        <w:rPr>
          <w:vertAlign w:val="subscript"/>
          <w:lang w:val="en-GB"/>
        </w:rPr>
        <w:t>2</w:t>
      </w:r>
      <w:r w:rsidRPr="008248FD">
        <w:rPr>
          <w:lang w:val="en-GB"/>
        </w:rPr>
        <w:t xml:space="preserve"> emissions; calls for accelerated innovative development of the transition to electric and other low-emission vehicles for different user needs with particular emphasis on comprehensive and reliable public transport, ensuring mobility for all with a specific focus on accessibility;</w:t>
      </w:r>
    </w:p>
    <w:p w:rsidRPr="00E912D9" w:rsidR="00A54F0C" w:rsidP="008248FD" w:rsidRDefault="00A54F0C" w14:paraId="4754505A" w14:textId="77777777">
      <w:pPr>
        <w:overflowPunct w:val="0"/>
        <w:autoSpaceDE w:val="0"/>
        <w:autoSpaceDN w:val="0"/>
        <w:adjustRightInd w:val="0"/>
        <w:textAlignment w:val="baseline"/>
        <w:rPr>
          <w:rFonts w:asciiTheme="majorBidi" w:hAnsiTheme="majorBidi" w:cstheme="majorBidi"/>
          <w:lang w:val="en-GB"/>
        </w:rPr>
      </w:pPr>
    </w:p>
    <w:p w:rsidRPr="00E912D9" w:rsidR="00CE063A" w:rsidP="002143FF" w:rsidRDefault="00C21331" w14:paraId="3CE92410" w14:textId="03546C34">
      <w:pPr>
        <w:keepNext/>
        <w:keepLines/>
        <w:rPr>
          <w:rFonts w:asciiTheme="majorBidi" w:hAnsiTheme="majorBidi" w:cstheme="majorBidi"/>
          <w:b/>
          <w:bCs/>
          <w:lang w:val="en-GB"/>
        </w:rPr>
      </w:pPr>
      <w:r w:rsidRPr="00E912D9">
        <w:rPr>
          <w:rFonts w:asciiTheme="majorBidi" w:hAnsiTheme="majorBidi" w:cstheme="majorBidi"/>
          <w:b/>
          <w:bCs/>
          <w:lang w:val="en-GB"/>
        </w:rPr>
        <w:t xml:space="preserve">Market-based mechanisms: </w:t>
      </w:r>
      <w:r w:rsidRPr="00E912D9" w:rsidR="007918BB">
        <w:rPr>
          <w:rFonts w:asciiTheme="majorBidi" w:hAnsiTheme="majorBidi" w:cstheme="majorBidi"/>
          <w:b/>
          <w:bCs/>
          <w:lang w:val="en-GB"/>
        </w:rPr>
        <w:t>Accelerating the transformation</w:t>
      </w:r>
    </w:p>
    <w:p w:rsidRPr="00E912D9" w:rsidR="00CE063A" w:rsidP="002143FF" w:rsidRDefault="00CE063A" w14:paraId="58C7BDD0" w14:textId="77777777">
      <w:pPr>
        <w:keepNext/>
        <w:keepLines/>
        <w:rPr>
          <w:rFonts w:asciiTheme="majorBidi" w:hAnsiTheme="majorBidi" w:cstheme="majorBidi"/>
          <w:b/>
          <w:bCs/>
          <w:lang w:val="en-GB"/>
        </w:rPr>
      </w:pPr>
    </w:p>
    <w:p w:rsidRPr="008248FD" w:rsidR="00FE4DCF" w:rsidP="008248FD" w:rsidRDefault="00FE4DCF" w14:paraId="16F42304" w14:textId="12DEDE21">
      <w:pPr>
        <w:pStyle w:val="Heading1"/>
        <w:rPr>
          <w:lang w:val="en-GB"/>
        </w:rPr>
      </w:pPr>
      <w:r w:rsidRPr="008248FD">
        <w:rPr>
          <w:rFonts w:hAnsi="Symbol"/>
          <w:lang w:val="en-GB"/>
        </w:rPr>
        <w:t>e</w:t>
      </w:r>
      <w:r w:rsidRPr="008248FD">
        <w:rPr>
          <w:lang w:val="en-GB"/>
        </w:rPr>
        <w:t>mphasi</w:t>
      </w:r>
      <w:r w:rsidRPr="008248FD" w:rsidR="00D57B65">
        <w:rPr>
          <w:lang w:val="en-GB"/>
        </w:rPr>
        <w:t>s</w:t>
      </w:r>
      <w:r w:rsidRPr="008248FD">
        <w:rPr>
          <w:lang w:val="en-GB"/>
        </w:rPr>
        <w:t>es the crucial role of market-based mechanisms in rapidly bolstering emission reduction initiatives;</w:t>
      </w:r>
    </w:p>
    <w:p w:rsidRPr="00E912D9" w:rsidR="00000312" w:rsidP="008248FD" w:rsidRDefault="00000312" w14:paraId="0AFC4DCA" w14:textId="77777777">
      <w:pPr>
        <w:overflowPunct w:val="0"/>
        <w:autoSpaceDE w:val="0"/>
        <w:autoSpaceDN w:val="0"/>
        <w:adjustRightInd w:val="0"/>
        <w:textAlignment w:val="baseline"/>
        <w:rPr>
          <w:lang w:val="en-GB"/>
        </w:rPr>
      </w:pPr>
    </w:p>
    <w:p w:rsidRPr="008248FD" w:rsidR="00FE4DCF" w:rsidP="008248FD" w:rsidRDefault="001B0ADD" w14:paraId="2EEFFD43" w14:textId="2ADC8695">
      <w:pPr>
        <w:pStyle w:val="Heading1"/>
        <w:rPr>
          <w:lang w:val="en-GB"/>
        </w:rPr>
      </w:pPr>
      <w:r w:rsidRPr="008248FD">
        <w:rPr>
          <w:lang w:val="en-GB"/>
        </w:rPr>
        <w:t>stresses the need for a reliable and effective CO</w:t>
      </w:r>
      <w:r w:rsidRPr="008248FD">
        <w:rPr>
          <w:vertAlign w:val="subscript"/>
          <w:lang w:val="en-GB"/>
        </w:rPr>
        <w:t>2</w:t>
      </w:r>
      <w:r w:rsidRPr="008248FD">
        <w:rPr>
          <w:lang w:val="en-GB"/>
        </w:rPr>
        <w:t xml:space="preserve"> pricing system, including a</w:t>
      </w:r>
      <w:r w:rsidRPr="008248FD" w:rsidR="00A54F0C">
        <w:rPr>
          <w:lang w:val="en-GB"/>
        </w:rPr>
        <w:t xml:space="preserve"> socially just</w:t>
      </w:r>
      <w:r w:rsidRPr="008248FD">
        <w:rPr>
          <w:lang w:val="en-GB"/>
        </w:rPr>
        <w:t xml:space="preserve"> carbon border adjustment mechanism, to </w:t>
      </w:r>
      <w:r w:rsidRPr="008248FD" w:rsidR="00A54F0C">
        <w:rPr>
          <w:lang w:val="en-GB"/>
        </w:rPr>
        <w:t>incentivise decarbonisation across all</w:t>
      </w:r>
      <w:r w:rsidRPr="008248FD" w:rsidDel="00A54F0C" w:rsidR="00A54F0C">
        <w:rPr>
          <w:lang w:val="en-GB"/>
        </w:rPr>
        <w:t xml:space="preserve"> </w:t>
      </w:r>
      <w:r w:rsidRPr="008248FD">
        <w:rPr>
          <w:lang w:val="en-GB"/>
        </w:rPr>
        <w:t xml:space="preserve">sectors and </w:t>
      </w:r>
      <w:r w:rsidRPr="008248FD" w:rsidR="00A54F0C">
        <w:rPr>
          <w:lang w:val="en-GB"/>
        </w:rPr>
        <w:t xml:space="preserve">promote </w:t>
      </w:r>
      <w:r w:rsidRPr="008248FD">
        <w:rPr>
          <w:lang w:val="en-GB"/>
        </w:rPr>
        <w:t xml:space="preserve">carbon-neutral solutions; urges the European Commission to </w:t>
      </w:r>
      <w:r w:rsidRPr="008248FD" w:rsidR="00A54F0C">
        <w:rPr>
          <w:lang w:val="en-GB"/>
        </w:rPr>
        <w:t xml:space="preserve">refine </w:t>
      </w:r>
      <w:r w:rsidRPr="008248FD">
        <w:rPr>
          <w:lang w:val="en-GB"/>
        </w:rPr>
        <w:t>the CO</w:t>
      </w:r>
      <w:r w:rsidRPr="008248FD">
        <w:rPr>
          <w:vertAlign w:val="subscript"/>
          <w:lang w:val="en-GB"/>
        </w:rPr>
        <w:t>2</w:t>
      </w:r>
      <w:r w:rsidRPr="008248FD">
        <w:rPr>
          <w:lang w:val="en-GB"/>
        </w:rPr>
        <w:t xml:space="preserve"> pricing system </w:t>
      </w:r>
      <w:r w:rsidRPr="008248FD" w:rsidR="00A54F0C">
        <w:rPr>
          <w:iCs/>
          <w:lang w:val="en-GB"/>
        </w:rPr>
        <w:t>and champion its global integration to meet the Paris Agreement’s 1.5°C target, ensuring that revenues generated are reinvested in climate action. Furthermore, emphasises that a well-designed CO</w:t>
      </w:r>
      <w:r w:rsidRPr="008248FD" w:rsidR="00A54F0C">
        <w:rPr>
          <w:iCs/>
          <w:vertAlign w:val="subscript"/>
          <w:lang w:val="en-GB"/>
        </w:rPr>
        <w:t>2</w:t>
      </w:r>
      <w:r w:rsidRPr="008248FD" w:rsidR="00A54F0C">
        <w:rPr>
          <w:iCs/>
          <w:lang w:val="en-GB"/>
        </w:rPr>
        <w:t xml:space="preserve"> pricing system is crucial for boosting</w:t>
      </w:r>
      <w:r w:rsidRPr="008248FD" w:rsidR="00A54F0C">
        <w:rPr>
          <w:lang w:val="en-GB"/>
        </w:rPr>
        <w:t xml:space="preserve"> </w:t>
      </w:r>
      <w:r w:rsidRPr="008248FD">
        <w:rPr>
          <w:lang w:val="en-GB"/>
        </w:rPr>
        <w:t>private sector investment in climate adaptation and mitigation;</w:t>
      </w:r>
    </w:p>
    <w:p w:rsidRPr="00E912D9" w:rsidR="00A54F0C" w:rsidP="008248FD" w:rsidRDefault="00A54F0C" w14:paraId="3F0A4846" w14:textId="77777777">
      <w:pPr>
        <w:overflowPunct w:val="0"/>
        <w:autoSpaceDE w:val="0"/>
        <w:autoSpaceDN w:val="0"/>
        <w:adjustRightInd w:val="0"/>
        <w:textAlignment w:val="baseline"/>
        <w:rPr>
          <w:lang w:val="en-GB"/>
        </w:rPr>
      </w:pPr>
    </w:p>
    <w:p w:rsidRPr="008248FD" w:rsidR="00CE063A" w:rsidP="008248FD" w:rsidRDefault="00A54F0C" w14:paraId="3F5B3245" w14:textId="3D4290D3">
      <w:pPr>
        <w:pStyle w:val="Heading1"/>
        <w:rPr>
          <w:lang w:val="en-GB"/>
        </w:rPr>
      </w:pPr>
      <w:r w:rsidRPr="008248FD">
        <w:rPr>
          <w:lang w:val="en-GB"/>
        </w:rPr>
        <w:t>encourages the elimination of environmentally harmful subsidies, particularly those linked to fossil fuels and unsustainable agricultural practices, while supporting penalties for businesses that cause environmental damage; highlights the importance of redirecting subsidies from entities that violate environmental standards to ensure that public funds are aligned with the EU’s climate and biodiversity objectives;</w:t>
      </w:r>
    </w:p>
    <w:p w:rsidRPr="00E912D9" w:rsidR="00C24D3F" w:rsidP="008248FD" w:rsidRDefault="00C24D3F" w14:paraId="3F9CE93D" w14:textId="01AC93DE">
      <w:pPr>
        <w:overflowPunct w:val="0"/>
        <w:autoSpaceDE w:val="0"/>
        <w:autoSpaceDN w:val="0"/>
        <w:adjustRightInd w:val="0"/>
        <w:textAlignment w:val="baseline"/>
        <w:rPr>
          <w:lang w:val="en-GB"/>
        </w:rPr>
      </w:pPr>
    </w:p>
    <w:p w:rsidRPr="008248FD" w:rsidR="00FE4DCF" w:rsidP="008248FD" w:rsidRDefault="00A54F0C" w14:paraId="47D3BEA5" w14:textId="6DD46611">
      <w:pPr>
        <w:pStyle w:val="Heading1"/>
        <w:rPr>
          <w:lang w:val="en-GB"/>
        </w:rPr>
      </w:pPr>
      <w:r w:rsidRPr="008248FD">
        <w:rPr>
          <w:lang w:val="en-GB"/>
        </w:rPr>
        <w:t xml:space="preserve">urges </w:t>
      </w:r>
      <w:r w:rsidRPr="008248FD" w:rsidR="00FE4DCF">
        <w:rPr>
          <w:lang w:val="en-GB"/>
        </w:rPr>
        <w:t>the EU to lead globally</w:t>
      </w:r>
      <w:r w:rsidRPr="008248FD">
        <w:rPr>
          <w:lang w:val="en-GB"/>
        </w:rPr>
        <w:t xml:space="preserve"> in developing</w:t>
      </w:r>
      <w:r w:rsidRPr="008248FD" w:rsidR="00FE4DCF">
        <w:rPr>
          <w:lang w:val="en-GB"/>
        </w:rPr>
        <w:t xml:space="preserve"> necessary CO</w:t>
      </w:r>
      <w:r w:rsidRPr="008248FD" w:rsidR="00FE4DCF">
        <w:rPr>
          <w:vertAlign w:val="subscript"/>
          <w:lang w:val="en-GB"/>
        </w:rPr>
        <w:t>2</w:t>
      </w:r>
      <w:r w:rsidRPr="008248FD" w:rsidR="00FE4DCF">
        <w:rPr>
          <w:lang w:val="en-GB"/>
        </w:rPr>
        <w:t xml:space="preserve"> pricing and budgeting systems and </w:t>
      </w:r>
      <w:r w:rsidRPr="008248FD">
        <w:rPr>
          <w:lang w:val="en-GB"/>
        </w:rPr>
        <w:t xml:space="preserve">to </w:t>
      </w:r>
      <w:r w:rsidRPr="008248FD" w:rsidR="00FE4DCF">
        <w:rPr>
          <w:lang w:val="en-GB"/>
        </w:rPr>
        <w:t xml:space="preserve">negotiate similar </w:t>
      </w:r>
      <w:r w:rsidRPr="008248FD">
        <w:rPr>
          <w:lang w:val="en-GB"/>
        </w:rPr>
        <w:t>frameworks</w:t>
      </w:r>
      <w:r w:rsidRPr="008248FD" w:rsidR="00015139">
        <w:rPr>
          <w:lang w:val="en-GB"/>
        </w:rPr>
        <w:t xml:space="preserve"> </w:t>
      </w:r>
      <w:r w:rsidRPr="008248FD" w:rsidR="00FE4DCF">
        <w:rPr>
          <w:lang w:val="en-GB"/>
        </w:rPr>
        <w:t>with its trading partners;</w:t>
      </w:r>
      <w:r w:rsidRPr="008248FD">
        <w:rPr>
          <w:lang w:val="en-GB"/>
        </w:rPr>
        <w:t xml:space="preserve"> stresses the importance of preventing carbon leakage and ensuring the cost competitiveness of European industry;</w:t>
      </w:r>
    </w:p>
    <w:p w:rsidRPr="00E912D9" w:rsidR="00CE063A" w:rsidP="008248FD" w:rsidRDefault="00CE063A" w14:paraId="45CCF61B" w14:textId="77777777">
      <w:pPr>
        <w:overflowPunct w:val="0"/>
        <w:autoSpaceDE w:val="0"/>
        <w:autoSpaceDN w:val="0"/>
        <w:adjustRightInd w:val="0"/>
        <w:textAlignment w:val="baseline"/>
        <w:rPr>
          <w:lang w:val="en-GB"/>
        </w:rPr>
      </w:pPr>
    </w:p>
    <w:p w:rsidRPr="008248FD" w:rsidR="00FE4DCF" w:rsidP="008248FD" w:rsidRDefault="001B0ADD" w14:paraId="21458879" w14:textId="557ECC98">
      <w:pPr>
        <w:pStyle w:val="Heading1"/>
        <w:rPr>
          <w:lang w:val="en-GB"/>
        </w:rPr>
      </w:pPr>
      <w:r w:rsidRPr="008248FD">
        <w:rPr>
          <w:lang w:val="en-GB"/>
        </w:rPr>
        <w:t>urges EU and national governments to ensure stable, systematic public funding for essential services such as utilities, emergency response and healthcare while integrating climate adaptation and mitigation into broader sustainability investments;</w:t>
      </w:r>
    </w:p>
    <w:p w:rsidRPr="00E912D9" w:rsidR="00000312" w:rsidP="008248FD" w:rsidRDefault="00000312" w14:paraId="7C7BBBDC" w14:textId="77777777">
      <w:pPr>
        <w:overflowPunct w:val="0"/>
        <w:autoSpaceDE w:val="0"/>
        <w:autoSpaceDN w:val="0"/>
        <w:adjustRightInd w:val="0"/>
        <w:textAlignment w:val="baseline"/>
        <w:rPr>
          <w:lang w:val="en-GB"/>
        </w:rPr>
      </w:pPr>
    </w:p>
    <w:p w:rsidRPr="008248FD" w:rsidR="00FE4DCF" w:rsidP="008248FD" w:rsidRDefault="00FA5786" w14:paraId="03915D35" w14:textId="00DCF207">
      <w:pPr>
        <w:pStyle w:val="Heading1"/>
        <w:rPr>
          <w:iCs/>
          <w:lang w:val="en-GB"/>
        </w:rPr>
      </w:pPr>
      <w:r w:rsidRPr="008248FD">
        <w:rPr>
          <w:lang w:val="en-GB"/>
        </w:rPr>
        <w:t xml:space="preserve">stresses </w:t>
      </w:r>
      <w:r w:rsidRPr="008248FD" w:rsidR="00FE4DCF">
        <w:rPr>
          <w:lang w:val="en-GB"/>
        </w:rPr>
        <w:t xml:space="preserve">that public </w:t>
      </w:r>
      <w:r w:rsidRPr="008248FD" w:rsidR="00A54F0C">
        <w:rPr>
          <w:lang w:val="en-GB"/>
        </w:rPr>
        <w:t xml:space="preserve">funding </w:t>
      </w:r>
      <w:r w:rsidRPr="008248FD" w:rsidR="00FE4DCF">
        <w:rPr>
          <w:lang w:val="en-GB"/>
        </w:rPr>
        <w:t xml:space="preserve">alone </w:t>
      </w:r>
      <w:r w:rsidRPr="008248FD" w:rsidR="00A54F0C">
        <w:rPr>
          <w:lang w:val="en-GB"/>
        </w:rPr>
        <w:t xml:space="preserve">cannot </w:t>
      </w:r>
      <w:r w:rsidRPr="008248FD" w:rsidR="00FE4DCF">
        <w:rPr>
          <w:lang w:val="en-GB"/>
        </w:rPr>
        <w:t xml:space="preserve">meet </w:t>
      </w:r>
      <w:r w:rsidRPr="008248FD" w:rsidR="00A54F0C">
        <w:rPr>
          <w:lang w:val="en-GB"/>
        </w:rPr>
        <w:t xml:space="preserve">the </w:t>
      </w:r>
      <w:r w:rsidRPr="008248FD" w:rsidR="00FE4DCF">
        <w:rPr>
          <w:lang w:val="en-GB"/>
        </w:rPr>
        <w:t>needs</w:t>
      </w:r>
      <w:r w:rsidRPr="008248FD" w:rsidR="00A54F0C">
        <w:rPr>
          <w:lang w:val="en-GB"/>
        </w:rPr>
        <w:t xml:space="preserve"> for </w:t>
      </w:r>
      <w:r w:rsidRPr="008248FD" w:rsidR="00FE4DCF">
        <w:rPr>
          <w:lang w:val="en-GB"/>
        </w:rPr>
        <w:t xml:space="preserve">climate </w:t>
      </w:r>
      <w:r w:rsidRPr="008248FD" w:rsidR="00A54F0C">
        <w:rPr>
          <w:lang w:val="en-GB"/>
        </w:rPr>
        <w:t xml:space="preserve">adaptation and mitigation; endorses diverse financing methods such as Green Bonds; calls </w:t>
      </w:r>
      <w:r w:rsidRPr="008248FD" w:rsidR="00FE4DCF">
        <w:rPr>
          <w:lang w:val="en-GB"/>
        </w:rPr>
        <w:t xml:space="preserve">for </w:t>
      </w:r>
      <w:r w:rsidRPr="008248FD" w:rsidR="00A54F0C">
        <w:rPr>
          <w:lang w:val="en-GB"/>
        </w:rPr>
        <w:t xml:space="preserve">practical </w:t>
      </w:r>
      <w:r w:rsidRPr="008248FD" w:rsidR="00FE4DCF">
        <w:rPr>
          <w:lang w:val="en-GB"/>
        </w:rPr>
        <w:t xml:space="preserve">taxonomy criteria to ensure sustainability </w:t>
      </w:r>
      <w:r w:rsidRPr="008248FD" w:rsidR="00A54F0C">
        <w:rPr>
          <w:lang w:val="en-GB"/>
        </w:rPr>
        <w:t xml:space="preserve">improvements </w:t>
      </w:r>
      <w:r w:rsidRPr="008248FD" w:rsidR="00FE4DCF">
        <w:rPr>
          <w:lang w:val="en-GB"/>
        </w:rPr>
        <w:t xml:space="preserve">without </w:t>
      </w:r>
      <w:r w:rsidRPr="008248FD" w:rsidR="00A54F0C">
        <w:rPr>
          <w:lang w:val="en-GB"/>
        </w:rPr>
        <w:t xml:space="preserve">creating </w:t>
      </w:r>
      <w:r w:rsidRPr="008248FD" w:rsidR="00FE4DCF">
        <w:rPr>
          <w:lang w:val="en-GB"/>
        </w:rPr>
        <w:t>administrative burdens</w:t>
      </w:r>
      <w:r w:rsidRPr="008248FD" w:rsidR="00A54F0C">
        <w:rPr>
          <w:lang w:val="en-GB"/>
        </w:rPr>
        <w:t xml:space="preserve"> and for </w:t>
      </w:r>
      <w:r w:rsidRPr="008248FD" w:rsidR="00A54F0C">
        <w:rPr>
          <w:iCs/>
          <w:lang w:val="en-GB"/>
        </w:rPr>
        <w:t>innovative funding models that balance social, environmental and economic benefits; encourages the use of instruments such as Climate City Contracts and joint investment plans with entities like the EIB and national and regional banks</w:t>
      </w:r>
      <w:r w:rsidRPr="008248FD" w:rsidR="00FE4DCF">
        <w:rPr>
          <w:iCs/>
          <w:lang w:val="en-GB"/>
        </w:rPr>
        <w:t>;</w:t>
      </w:r>
    </w:p>
    <w:p w:rsidRPr="00E912D9" w:rsidR="00CE063A" w:rsidP="008248FD" w:rsidRDefault="00CE063A" w14:paraId="2173FE38" w14:textId="77777777">
      <w:pPr>
        <w:overflowPunct w:val="0"/>
        <w:autoSpaceDE w:val="0"/>
        <w:autoSpaceDN w:val="0"/>
        <w:adjustRightInd w:val="0"/>
        <w:textAlignment w:val="baseline"/>
        <w:rPr>
          <w:lang w:val="en-GB"/>
        </w:rPr>
      </w:pPr>
    </w:p>
    <w:p w:rsidRPr="008248FD" w:rsidR="00FE4DCF" w:rsidP="008248FD" w:rsidRDefault="001B0ADD" w14:paraId="7AB16629" w14:textId="7ED7906D">
      <w:pPr>
        <w:pStyle w:val="Heading1"/>
        <w:rPr>
          <w:lang w:val="en-GB"/>
        </w:rPr>
      </w:pPr>
      <w:r w:rsidRPr="008248FD">
        <w:rPr>
          <w:lang w:val="en-GB"/>
        </w:rPr>
        <w:t xml:space="preserve">highlights the need for funding mechanisms, such as venture capital and private equity, to support the growth of climate-focused tech companies by leveraging local synergies and engaging with local stakeholders </w:t>
      </w:r>
      <w:r w:rsidRPr="008248FD" w:rsidR="00FA5786">
        <w:rPr>
          <w:lang w:val="en-GB"/>
        </w:rPr>
        <w:t xml:space="preserve">such as </w:t>
      </w:r>
      <w:r w:rsidRPr="008248FD">
        <w:rPr>
          <w:lang w:val="en-GB"/>
        </w:rPr>
        <w:t>research organi</w:t>
      </w:r>
      <w:r w:rsidRPr="008248FD" w:rsidR="00D57B65">
        <w:rPr>
          <w:lang w:val="en-GB"/>
        </w:rPr>
        <w:t>s</w:t>
      </w:r>
      <w:r w:rsidRPr="008248FD">
        <w:rPr>
          <w:lang w:val="en-GB"/>
        </w:rPr>
        <w:t>ations;</w:t>
      </w:r>
    </w:p>
    <w:p w:rsidRPr="00E912D9" w:rsidR="00CE063A" w:rsidP="008248FD" w:rsidRDefault="00CE063A" w14:paraId="2ECCB1A4" w14:textId="77777777">
      <w:pPr>
        <w:overflowPunct w:val="0"/>
        <w:autoSpaceDE w:val="0"/>
        <w:autoSpaceDN w:val="0"/>
        <w:adjustRightInd w:val="0"/>
        <w:textAlignment w:val="baseline"/>
        <w:rPr>
          <w:lang w:val="en-GB"/>
        </w:rPr>
      </w:pPr>
    </w:p>
    <w:p w:rsidRPr="008248FD" w:rsidR="001B0ADD" w:rsidP="008248FD" w:rsidRDefault="001B0ADD" w14:paraId="61CB7DFD" w14:textId="7DC7A6C8">
      <w:pPr>
        <w:pStyle w:val="Heading1"/>
        <w:rPr>
          <w:lang w:val="en-GB"/>
        </w:rPr>
      </w:pPr>
      <w:r w:rsidRPr="008248FD">
        <w:rPr>
          <w:lang w:val="en-GB"/>
        </w:rPr>
        <w:t xml:space="preserve">stresses the need to combine public grants and patient equity financing with early-stage private investments for transformative innovation in sectors </w:t>
      </w:r>
      <w:r w:rsidRPr="008248FD" w:rsidR="005B5E49">
        <w:rPr>
          <w:lang w:val="en-GB"/>
        </w:rPr>
        <w:t xml:space="preserve">that need </w:t>
      </w:r>
      <w:r w:rsidRPr="008248FD">
        <w:rPr>
          <w:lang w:val="en-GB"/>
        </w:rPr>
        <w:t xml:space="preserve">long-term investment, </w:t>
      </w:r>
      <w:r w:rsidRPr="008248FD" w:rsidR="00FA5786">
        <w:rPr>
          <w:lang w:val="en-GB"/>
        </w:rPr>
        <w:t xml:space="preserve">such as </w:t>
      </w:r>
      <w:r w:rsidRPr="008248FD">
        <w:rPr>
          <w:lang w:val="en-GB"/>
        </w:rPr>
        <w:t>electric car batteries, hydrogen and semiconductors;</w:t>
      </w:r>
    </w:p>
    <w:p w:rsidRPr="00E912D9" w:rsidR="00CE063A" w:rsidP="008248FD" w:rsidRDefault="00CE063A" w14:paraId="6F564E6C" w14:textId="77777777">
      <w:pPr>
        <w:overflowPunct w:val="0"/>
        <w:autoSpaceDE w:val="0"/>
        <w:autoSpaceDN w:val="0"/>
        <w:adjustRightInd w:val="0"/>
        <w:textAlignment w:val="baseline"/>
        <w:rPr>
          <w:rFonts w:hAnsi="Symbol"/>
          <w:lang w:val="en-GB"/>
        </w:rPr>
      </w:pPr>
    </w:p>
    <w:p w:rsidRPr="008248FD" w:rsidR="001B0ADD" w:rsidP="008248FD" w:rsidRDefault="001B0ADD" w14:paraId="56AD3C1C" w14:textId="64C221CA">
      <w:pPr>
        <w:pStyle w:val="Heading1"/>
        <w:rPr>
          <w:lang w:val="en-GB"/>
        </w:rPr>
      </w:pPr>
      <w:r w:rsidRPr="008248FD">
        <w:rPr>
          <w:lang w:val="en-GB"/>
        </w:rPr>
        <w:t>underscores the importance of university-industry partnerships for achieving large-scale RDI breakthroughs, covering the entire innovation lifecycle from research to scaling-up, drawing on successful experiences from IPCEIs and strategic alliances;</w:t>
      </w:r>
    </w:p>
    <w:p w:rsidRPr="00E912D9" w:rsidR="00D82FA3" w:rsidP="008248FD" w:rsidRDefault="00D82FA3" w14:paraId="06973926" w14:textId="77777777">
      <w:pPr>
        <w:overflowPunct w:val="0"/>
        <w:autoSpaceDE w:val="0"/>
        <w:autoSpaceDN w:val="0"/>
        <w:adjustRightInd w:val="0"/>
        <w:textAlignment w:val="baseline"/>
        <w:rPr>
          <w:rFonts w:hAnsi="Symbol"/>
          <w:lang w:val="en-GB"/>
        </w:rPr>
      </w:pPr>
    </w:p>
    <w:p w:rsidRPr="008248FD" w:rsidR="00D82FA3" w:rsidP="008248FD" w:rsidRDefault="00D82FA3" w14:paraId="5E59BAA6" w14:textId="6D393F0E">
      <w:pPr>
        <w:pStyle w:val="Heading1"/>
        <w:rPr>
          <w:lang w:val="en-GB"/>
        </w:rPr>
      </w:pPr>
      <w:r w:rsidRPr="008248FD">
        <w:rPr>
          <w:lang w:val="en-GB"/>
        </w:rPr>
        <w:t>urges the EU to initiate the development of market-based incentives to secure the ability for large-scale carbon sequestration beyond 2050;</w:t>
      </w:r>
    </w:p>
    <w:p w:rsidRPr="00E912D9" w:rsidR="00D82FA3" w:rsidP="008248FD" w:rsidRDefault="00D82FA3" w14:paraId="4834E489" w14:textId="77777777">
      <w:pPr>
        <w:overflowPunct w:val="0"/>
        <w:autoSpaceDE w:val="0"/>
        <w:autoSpaceDN w:val="0"/>
        <w:adjustRightInd w:val="0"/>
        <w:textAlignment w:val="baseline"/>
        <w:rPr>
          <w:rFonts w:hAnsi="Symbol"/>
          <w:lang w:val="en-GB"/>
        </w:rPr>
      </w:pPr>
    </w:p>
    <w:p w:rsidRPr="00E912D9" w:rsidR="007918BB" w:rsidP="002143FF" w:rsidRDefault="007918BB" w14:paraId="260BFA10" w14:textId="6EAB023F">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Effective monitoring: Key to climate policy success</w:t>
      </w:r>
    </w:p>
    <w:p w:rsidRPr="00E912D9" w:rsidR="00CE063A" w:rsidP="002143FF" w:rsidRDefault="00CE063A" w14:paraId="31820E78"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1B0ADD" w:rsidP="008248FD" w:rsidRDefault="001B0ADD" w14:paraId="5C962205" w14:textId="31E2D332">
      <w:pPr>
        <w:pStyle w:val="Heading1"/>
        <w:rPr>
          <w:lang w:val="en-GB"/>
        </w:rPr>
      </w:pPr>
      <w:r w:rsidRPr="008248FD">
        <w:rPr>
          <w:lang w:val="en-GB"/>
        </w:rPr>
        <w:t>supports the need for detailed European climate resilience statistics at the subnational level and welcomes the proposed revision of existing tools and guidelines, including leveraging the Emergency Response Coordination Centre</w:t>
      </w:r>
      <w:r w:rsidRPr="008248FD" w:rsidR="00516756">
        <w:rPr>
          <w:lang w:val="en-GB"/>
        </w:rPr>
        <w:t>’</w:t>
      </w:r>
      <w:r w:rsidRPr="008248FD">
        <w:rPr>
          <w:lang w:val="en-GB"/>
        </w:rPr>
        <w:t>s capabilities to aid cities and regions;</w:t>
      </w:r>
    </w:p>
    <w:p w:rsidRPr="00E912D9" w:rsidR="00000312" w:rsidP="008248FD" w:rsidRDefault="00000312" w14:paraId="65CCEAC5" w14:textId="77777777">
      <w:pPr>
        <w:overflowPunct w:val="0"/>
        <w:autoSpaceDE w:val="0"/>
        <w:autoSpaceDN w:val="0"/>
        <w:adjustRightInd w:val="0"/>
        <w:textAlignment w:val="baseline"/>
        <w:rPr>
          <w:rFonts w:asciiTheme="majorBidi" w:hAnsiTheme="majorBidi" w:cstheme="majorBidi"/>
          <w:lang w:val="en-GB"/>
        </w:rPr>
      </w:pPr>
    </w:p>
    <w:p w:rsidRPr="008248FD" w:rsidR="001B0ADD" w:rsidP="008248FD" w:rsidRDefault="001B0ADD" w14:paraId="06A3EF9D" w14:textId="1487D32F">
      <w:pPr>
        <w:pStyle w:val="Heading1"/>
        <w:rPr>
          <w:lang w:val="en-GB"/>
        </w:rPr>
      </w:pPr>
      <w:r w:rsidRPr="008248FD">
        <w:rPr>
          <w:lang w:val="en-GB"/>
        </w:rPr>
        <w:t>emphasi</w:t>
      </w:r>
      <w:r w:rsidRPr="008248FD" w:rsidR="00D57B65">
        <w:rPr>
          <w:lang w:val="en-GB"/>
        </w:rPr>
        <w:t>s</w:t>
      </w:r>
      <w:r w:rsidRPr="008248FD">
        <w:rPr>
          <w:lang w:val="en-GB"/>
        </w:rPr>
        <w:t>es the importance of data collection</w:t>
      </w:r>
      <w:r w:rsidRPr="008248FD" w:rsidR="00D82FA3">
        <w:rPr>
          <w:lang w:val="en-GB"/>
        </w:rPr>
        <w:t>, evaluation</w:t>
      </w:r>
      <w:r w:rsidRPr="008248FD">
        <w:rPr>
          <w:lang w:val="en-GB"/>
        </w:rPr>
        <w:t xml:space="preserve"> and monitoring systems for developing decision-support tools for local and regional policy</w:t>
      </w:r>
      <w:r w:rsidRPr="008248FD" w:rsidR="005B5E49">
        <w:rPr>
          <w:lang w:val="en-GB"/>
        </w:rPr>
        <w:t>-</w:t>
      </w:r>
      <w:r w:rsidRPr="008248FD">
        <w:rPr>
          <w:lang w:val="en-GB"/>
        </w:rPr>
        <w:t>makers, such as the Galileo Emergency Warning Satellite Service and the European Climate Neutrality Observatory;</w:t>
      </w:r>
    </w:p>
    <w:p w:rsidRPr="00E912D9" w:rsidR="00000312" w:rsidP="008248FD" w:rsidRDefault="00000312" w14:paraId="39BD67E0" w14:textId="77777777">
      <w:pPr>
        <w:overflowPunct w:val="0"/>
        <w:autoSpaceDE w:val="0"/>
        <w:autoSpaceDN w:val="0"/>
        <w:adjustRightInd w:val="0"/>
        <w:textAlignment w:val="baseline"/>
        <w:rPr>
          <w:rFonts w:asciiTheme="majorBidi" w:hAnsiTheme="majorBidi" w:cstheme="majorBidi"/>
          <w:lang w:val="en-GB"/>
        </w:rPr>
      </w:pPr>
    </w:p>
    <w:p w:rsidRPr="008248FD" w:rsidR="00FE4DCF" w:rsidP="008248FD" w:rsidRDefault="00FE4DCF" w14:paraId="0C57B3B7" w14:textId="6AD42C5B">
      <w:pPr>
        <w:pStyle w:val="Heading1"/>
        <w:rPr>
          <w:lang w:val="en-GB"/>
        </w:rPr>
      </w:pPr>
      <w:r w:rsidRPr="008248FD">
        <w:rPr>
          <w:lang w:val="en-GB"/>
        </w:rPr>
        <w:t>encourages cities and regions to use the Technical Support Instrument (TSI) as a valuable tool, with particular interest for vulnerable regions</w:t>
      </w:r>
      <w:r w:rsidRPr="008248FD" w:rsidR="00D82FA3">
        <w:rPr>
          <w:lang w:val="en-GB"/>
        </w:rPr>
        <w:t xml:space="preserve"> and groups</w:t>
      </w:r>
      <w:r w:rsidRPr="008248FD">
        <w:rPr>
          <w:lang w:val="en-GB"/>
        </w:rPr>
        <w:t xml:space="preserve"> to </w:t>
      </w:r>
      <w:r w:rsidRPr="008248FD" w:rsidR="00957ED3">
        <w:rPr>
          <w:lang w:val="en-GB"/>
        </w:rPr>
        <w:t>analy</w:t>
      </w:r>
      <w:r w:rsidRPr="008248FD" w:rsidR="00D57B65">
        <w:rPr>
          <w:lang w:val="en-GB"/>
        </w:rPr>
        <w:t>s</w:t>
      </w:r>
      <w:r w:rsidRPr="008248FD" w:rsidR="00957ED3">
        <w:rPr>
          <w:lang w:val="en-GB"/>
        </w:rPr>
        <w:t>e</w:t>
      </w:r>
      <w:r w:rsidRPr="008248FD">
        <w:rPr>
          <w:lang w:val="en-GB"/>
        </w:rPr>
        <w:t xml:space="preserve"> climate change impacts in the short term; </w:t>
      </w:r>
    </w:p>
    <w:p w:rsidRPr="00E912D9" w:rsidR="00CE063A" w:rsidP="008248FD" w:rsidRDefault="00CE063A" w14:paraId="1AEE7566" w14:textId="77777777">
      <w:pPr>
        <w:overflowPunct w:val="0"/>
        <w:autoSpaceDE w:val="0"/>
        <w:autoSpaceDN w:val="0"/>
        <w:adjustRightInd w:val="0"/>
        <w:textAlignment w:val="baseline"/>
        <w:rPr>
          <w:rFonts w:asciiTheme="majorBidi" w:hAnsiTheme="majorBidi" w:cstheme="majorBidi"/>
          <w:lang w:val="en-GB"/>
        </w:rPr>
      </w:pPr>
    </w:p>
    <w:p w:rsidRPr="00E912D9" w:rsidR="007918BB" w:rsidP="002143FF" w:rsidRDefault="007918BB" w14:paraId="581983A5" w14:textId="491A86D2">
      <w:pPr>
        <w:keepNext/>
        <w:keepLines/>
        <w:overflowPunct w:val="0"/>
        <w:autoSpaceDE w:val="0"/>
        <w:autoSpaceDN w:val="0"/>
        <w:adjustRightInd w:val="0"/>
        <w:textAlignment w:val="baseline"/>
        <w:rPr>
          <w:rFonts w:asciiTheme="majorBidi" w:hAnsiTheme="majorBidi" w:cstheme="majorBidi"/>
          <w:b/>
          <w:bCs/>
          <w:lang w:val="en-GB"/>
        </w:rPr>
      </w:pPr>
      <w:r w:rsidRPr="00E912D9">
        <w:rPr>
          <w:rFonts w:asciiTheme="majorBidi" w:hAnsiTheme="majorBidi" w:cstheme="majorBidi"/>
          <w:b/>
          <w:bCs/>
          <w:lang w:val="en-GB"/>
        </w:rPr>
        <w:t>Navigating change: Essential instruments for climate action</w:t>
      </w:r>
    </w:p>
    <w:p w:rsidRPr="00E912D9" w:rsidR="00CE063A" w:rsidP="002143FF" w:rsidRDefault="00CE063A" w14:paraId="19B30C0B" w14:textId="77777777">
      <w:pPr>
        <w:keepNext/>
        <w:keepLines/>
        <w:overflowPunct w:val="0"/>
        <w:autoSpaceDE w:val="0"/>
        <w:autoSpaceDN w:val="0"/>
        <w:adjustRightInd w:val="0"/>
        <w:textAlignment w:val="baseline"/>
        <w:rPr>
          <w:rFonts w:asciiTheme="majorBidi" w:hAnsiTheme="majorBidi" w:cstheme="majorBidi"/>
          <w:b/>
          <w:bCs/>
          <w:lang w:val="en-GB"/>
        </w:rPr>
      </w:pPr>
    </w:p>
    <w:p w:rsidRPr="008248FD" w:rsidR="00FE4DCF" w:rsidP="008248FD" w:rsidRDefault="006B00CB" w14:paraId="6889EBE2" w14:textId="60F57060">
      <w:pPr>
        <w:pStyle w:val="Heading1"/>
        <w:rPr>
          <w:lang w:val="en-GB"/>
        </w:rPr>
      </w:pPr>
      <w:r w:rsidRPr="008248FD">
        <w:rPr>
          <w:lang w:val="en-GB"/>
        </w:rPr>
        <w:t xml:space="preserve">believes that addressing current poly-crises </w:t>
      </w:r>
      <w:r w:rsidRPr="008248FD" w:rsidR="00963777">
        <w:rPr>
          <w:lang w:val="en-GB"/>
        </w:rPr>
        <w:t xml:space="preserve">requires </w:t>
      </w:r>
      <w:r w:rsidRPr="008248FD">
        <w:rPr>
          <w:lang w:val="en-GB"/>
        </w:rPr>
        <w:t>a new leadership approach that prioriti</w:t>
      </w:r>
      <w:r w:rsidRPr="008248FD" w:rsidR="00D57B65">
        <w:rPr>
          <w:lang w:val="en-GB"/>
        </w:rPr>
        <w:t>s</w:t>
      </w:r>
      <w:r w:rsidRPr="008248FD">
        <w:rPr>
          <w:lang w:val="en-GB"/>
        </w:rPr>
        <w:t>es entrepreneurial spirit and human capital. This involves creating a robust EU framework for sustainable well-being and citizen engagement, moving beyond GDP and aligning closely with the SDGs;</w:t>
      </w:r>
    </w:p>
    <w:p w:rsidRPr="00E912D9" w:rsidR="00000312" w:rsidP="008248FD" w:rsidRDefault="00000312" w14:paraId="42E503CB" w14:textId="77777777">
      <w:pPr>
        <w:overflowPunct w:val="0"/>
        <w:autoSpaceDE w:val="0"/>
        <w:autoSpaceDN w:val="0"/>
        <w:adjustRightInd w:val="0"/>
        <w:textAlignment w:val="baseline"/>
        <w:rPr>
          <w:rFonts w:asciiTheme="majorBidi" w:hAnsiTheme="majorBidi" w:cstheme="majorBidi"/>
          <w:lang w:val="en-GB"/>
        </w:rPr>
      </w:pPr>
    </w:p>
    <w:p w:rsidRPr="008248FD" w:rsidR="00FE4DCF" w:rsidP="008248FD" w:rsidRDefault="00FE4DCF" w14:paraId="0E2B2E2C" w14:textId="22CB7305">
      <w:pPr>
        <w:pStyle w:val="Heading1"/>
        <w:rPr>
          <w:lang w:val="en-GB"/>
        </w:rPr>
      </w:pPr>
      <w:r w:rsidRPr="008248FD">
        <w:rPr>
          <w:lang w:val="en-GB"/>
        </w:rPr>
        <w:t>calls</w:t>
      </w:r>
      <w:r w:rsidRPr="008248FD" w:rsidR="00D82FA3">
        <w:rPr>
          <w:lang w:val="en-GB"/>
        </w:rPr>
        <w:t xml:space="preserve"> on</w:t>
      </w:r>
      <w:r w:rsidRPr="008248FD">
        <w:rPr>
          <w:lang w:val="en-GB"/>
        </w:rPr>
        <w:t xml:space="preserve"> the EU and Member States to </w:t>
      </w:r>
      <w:r w:rsidRPr="008248FD" w:rsidR="00D82FA3">
        <w:rPr>
          <w:lang w:val="en-GB"/>
        </w:rPr>
        <w:t>revise</w:t>
      </w:r>
      <w:r w:rsidRPr="008248FD" w:rsidR="008A3977">
        <w:rPr>
          <w:lang w:val="en-GB"/>
        </w:rPr>
        <w:t xml:space="preserve"> </w:t>
      </w:r>
      <w:r w:rsidRPr="008248FD">
        <w:rPr>
          <w:lang w:val="en-GB"/>
        </w:rPr>
        <w:t xml:space="preserve">the </w:t>
      </w:r>
      <w:r w:rsidRPr="008248FD" w:rsidR="00D82FA3">
        <w:rPr>
          <w:lang w:val="en-GB"/>
        </w:rPr>
        <w:t>procedure and criteria</w:t>
      </w:r>
      <w:r w:rsidRPr="008248FD" w:rsidR="008A3977">
        <w:rPr>
          <w:lang w:val="en-GB"/>
        </w:rPr>
        <w:t xml:space="preserve"> </w:t>
      </w:r>
      <w:r w:rsidRPr="008248FD">
        <w:rPr>
          <w:lang w:val="en-GB"/>
        </w:rPr>
        <w:t>of cohesion funds</w:t>
      </w:r>
      <w:r w:rsidRPr="008248FD" w:rsidR="00D82FA3">
        <w:rPr>
          <w:lang w:val="en-GB"/>
        </w:rPr>
        <w:t>, transforming</w:t>
      </w:r>
      <w:r w:rsidRPr="008248FD">
        <w:rPr>
          <w:lang w:val="en-GB"/>
        </w:rPr>
        <w:t xml:space="preserve"> the</w:t>
      </w:r>
      <w:r w:rsidRPr="008248FD" w:rsidR="009E4A4C">
        <w:rPr>
          <w:lang w:val="en-GB"/>
        </w:rPr>
        <w:t>m</w:t>
      </w:r>
      <w:r w:rsidRPr="008248FD" w:rsidR="00D82FA3">
        <w:rPr>
          <w:lang w:val="en-GB"/>
        </w:rPr>
        <w:t xml:space="preserve"> into more powerful and influential financial instruments</w:t>
      </w:r>
      <w:r w:rsidRPr="008248FD">
        <w:rPr>
          <w:lang w:val="en-GB"/>
        </w:rPr>
        <w:t xml:space="preserve"> for systemic climate transformation</w:t>
      </w:r>
      <w:r w:rsidRPr="008248FD" w:rsidR="00D82FA3">
        <w:rPr>
          <w:lang w:val="en-GB"/>
        </w:rPr>
        <w:t xml:space="preserve"> that </w:t>
      </w:r>
      <w:r w:rsidRPr="008248FD" w:rsidR="008A3977">
        <w:rPr>
          <w:lang w:val="en-GB"/>
        </w:rPr>
        <w:t>addresses</w:t>
      </w:r>
      <w:r w:rsidRPr="008248FD" w:rsidR="00D82FA3">
        <w:rPr>
          <w:lang w:val="en-GB"/>
        </w:rPr>
        <w:t xml:space="preserve"> the urgent needs for resilience, as well as mitigation and adaptation towards climate neutrality</w:t>
      </w:r>
      <w:r w:rsidRPr="008248FD">
        <w:rPr>
          <w:lang w:val="en-GB"/>
        </w:rPr>
        <w:t>;</w:t>
      </w:r>
    </w:p>
    <w:p w:rsidRPr="00E912D9" w:rsidR="00000312" w:rsidP="008248FD" w:rsidRDefault="00000312" w14:paraId="243A51A1" w14:textId="77777777">
      <w:pPr>
        <w:overflowPunct w:val="0"/>
        <w:autoSpaceDE w:val="0"/>
        <w:autoSpaceDN w:val="0"/>
        <w:adjustRightInd w:val="0"/>
        <w:textAlignment w:val="baseline"/>
        <w:rPr>
          <w:rFonts w:asciiTheme="majorBidi" w:hAnsiTheme="majorBidi" w:cstheme="majorBidi"/>
          <w:lang w:val="en-GB"/>
        </w:rPr>
      </w:pPr>
    </w:p>
    <w:p w:rsidRPr="008248FD" w:rsidR="00FE4DCF" w:rsidP="008248FD" w:rsidRDefault="00C825E9" w14:paraId="21ACB734" w14:textId="493CFB96">
      <w:pPr>
        <w:pStyle w:val="Heading1"/>
        <w:rPr>
          <w:lang w:val="en-GB"/>
        </w:rPr>
      </w:pPr>
      <w:r w:rsidRPr="008248FD">
        <w:rPr>
          <w:lang w:val="en-GB"/>
        </w:rPr>
        <w:t xml:space="preserve">highlights </w:t>
      </w:r>
      <w:r w:rsidRPr="008248FD" w:rsidR="00FE4DCF">
        <w:rPr>
          <w:lang w:val="en-GB"/>
        </w:rPr>
        <w:t xml:space="preserve">that the fragmentation of funding instruments </w:t>
      </w:r>
      <w:r w:rsidRPr="008248FD">
        <w:rPr>
          <w:lang w:val="en-GB"/>
        </w:rPr>
        <w:t xml:space="preserve">leads to </w:t>
      </w:r>
      <w:r w:rsidRPr="008248FD" w:rsidR="00FE4DCF">
        <w:rPr>
          <w:lang w:val="en-GB"/>
        </w:rPr>
        <w:t xml:space="preserve">confusion, </w:t>
      </w:r>
      <w:r w:rsidRPr="008248FD">
        <w:rPr>
          <w:lang w:val="en-GB"/>
        </w:rPr>
        <w:t xml:space="preserve">undue </w:t>
      </w:r>
      <w:r w:rsidRPr="008248FD" w:rsidR="00FE4DCF">
        <w:rPr>
          <w:lang w:val="en-GB"/>
        </w:rPr>
        <w:t>burden</w:t>
      </w:r>
      <w:r w:rsidRPr="008248FD">
        <w:rPr>
          <w:lang w:val="en-GB"/>
        </w:rPr>
        <w:t>s</w:t>
      </w:r>
      <w:r w:rsidRPr="008248FD" w:rsidR="00FE4DCF">
        <w:rPr>
          <w:lang w:val="en-GB"/>
        </w:rPr>
        <w:t xml:space="preserve"> and </w:t>
      </w:r>
      <w:r w:rsidRPr="008248FD">
        <w:rPr>
          <w:lang w:val="en-GB"/>
        </w:rPr>
        <w:t xml:space="preserve">significant </w:t>
      </w:r>
      <w:r w:rsidRPr="008248FD" w:rsidR="00F81D52">
        <w:rPr>
          <w:lang w:val="en-GB"/>
        </w:rPr>
        <w:t>inefficienc</w:t>
      </w:r>
      <w:r w:rsidRPr="008248FD">
        <w:rPr>
          <w:lang w:val="en-GB"/>
        </w:rPr>
        <w:t xml:space="preserve">ies. It advocates an overhaul of </w:t>
      </w:r>
      <w:r w:rsidRPr="008248FD" w:rsidR="00FE4DCF">
        <w:rPr>
          <w:lang w:val="en-GB"/>
        </w:rPr>
        <w:t xml:space="preserve">the </w:t>
      </w:r>
      <w:r w:rsidRPr="008248FD">
        <w:rPr>
          <w:lang w:val="en-GB"/>
        </w:rPr>
        <w:t>Nationa</w:t>
      </w:r>
      <w:r w:rsidRPr="008248FD" w:rsidR="008A3977">
        <w:rPr>
          <w:lang w:val="en-GB"/>
        </w:rPr>
        <w:t>l</w:t>
      </w:r>
      <w:r w:rsidRPr="008248FD" w:rsidR="00EA224E">
        <w:rPr>
          <w:lang w:val="en-GB"/>
        </w:rPr>
        <w:t xml:space="preserve"> Energy</w:t>
      </w:r>
      <w:r w:rsidRPr="008248FD">
        <w:rPr>
          <w:lang w:val="en-GB"/>
        </w:rPr>
        <w:t xml:space="preserve"> </w:t>
      </w:r>
      <w:r w:rsidRPr="008248FD" w:rsidR="00FE4DCF">
        <w:rPr>
          <w:lang w:val="en-GB"/>
        </w:rPr>
        <w:t xml:space="preserve">and </w:t>
      </w:r>
      <w:r w:rsidRPr="008248FD">
        <w:rPr>
          <w:lang w:val="en-GB"/>
        </w:rPr>
        <w:t>Climate Plans (</w:t>
      </w:r>
      <w:r w:rsidRPr="008248FD" w:rsidR="00FE4DCF">
        <w:rPr>
          <w:lang w:val="en-GB"/>
        </w:rPr>
        <w:t>NECPs</w:t>
      </w:r>
      <w:r w:rsidRPr="008248FD">
        <w:rPr>
          <w:lang w:val="en-GB"/>
        </w:rPr>
        <w:t>)</w:t>
      </w:r>
      <w:r w:rsidRPr="008248FD" w:rsidR="00FE4DCF">
        <w:rPr>
          <w:lang w:val="en-GB"/>
        </w:rPr>
        <w:t xml:space="preserve"> to</w:t>
      </w:r>
      <w:r w:rsidRPr="008248FD">
        <w:rPr>
          <w:lang w:val="en-GB"/>
        </w:rPr>
        <w:t xml:space="preserve"> encompass</w:t>
      </w:r>
      <w:r w:rsidRPr="008248FD" w:rsidR="00FE4DCF">
        <w:rPr>
          <w:lang w:val="en-GB"/>
        </w:rPr>
        <w:t xml:space="preserve"> all </w:t>
      </w:r>
      <w:r w:rsidRPr="008248FD">
        <w:rPr>
          <w:lang w:val="en-GB"/>
        </w:rPr>
        <w:t>funding</w:t>
      </w:r>
      <w:r w:rsidRPr="008248FD" w:rsidR="008A3977">
        <w:rPr>
          <w:lang w:val="en-GB"/>
        </w:rPr>
        <w:t xml:space="preserve"> </w:t>
      </w:r>
      <w:r w:rsidRPr="008248FD" w:rsidR="00FE4DCF">
        <w:rPr>
          <w:lang w:val="en-GB"/>
        </w:rPr>
        <w:t xml:space="preserve">instruments and </w:t>
      </w:r>
      <w:r w:rsidRPr="008248FD">
        <w:rPr>
          <w:lang w:val="en-GB"/>
        </w:rPr>
        <w:t xml:space="preserve">to integrate </w:t>
      </w:r>
      <w:r w:rsidRPr="008248FD" w:rsidR="00FE4DCF">
        <w:rPr>
          <w:lang w:val="en-GB"/>
        </w:rPr>
        <w:t xml:space="preserve">cities and regions </w:t>
      </w:r>
      <w:r w:rsidRPr="008248FD">
        <w:rPr>
          <w:lang w:val="en-GB"/>
        </w:rPr>
        <w:t xml:space="preserve">into </w:t>
      </w:r>
      <w:r w:rsidRPr="008248FD" w:rsidR="00FE4DCF">
        <w:rPr>
          <w:lang w:val="en-GB"/>
        </w:rPr>
        <w:t>their governance from the</w:t>
      </w:r>
      <w:r w:rsidRPr="008248FD">
        <w:rPr>
          <w:lang w:val="en-GB"/>
        </w:rPr>
        <w:t xml:space="preserve"> outse</w:t>
      </w:r>
      <w:r w:rsidRPr="008248FD" w:rsidR="008A3977">
        <w:rPr>
          <w:lang w:val="en-GB"/>
        </w:rPr>
        <w:t>t</w:t>
      </w:r>
      <w:r w:rsidRPr="008248FD">
        <w:rPr>
          <w:lang w:val="en-GB"/>
        </w:rPr>
        <w:t xml:space="preserve">, </w:t>
      </w:r>
      <w:r w:rsidRPr="008248FD" w:rsidR="008A3977">
        <w:rPr>
          <w:lang w:val="en-GB"/>
        </w:rPr>
        <w:t>ensuring</w:t>
      </w:r>
      <w:r w:rsidRPr="008248FD">
        <w:rPr>
          <w:lang w:val="en-GB"/>
        </w:rPr>
        <w:t xml:space="preserve"> their full participation in shaping mitigation and adaptation strategies</w:t>
      </w:r>
      <w:r w:rsidRPr="008248FD" w:rsidR="00FE4DCF">
        <w:rPr>
          <w:lang w:val="en-GB"/>
        </w:rPr>
        <w:t>;</w:t>
      </w:r>
    </w:p>
    <w:p w:rsidRPr="00E912D9" w:rsidR="00000312" w:rsidP="008248FD" w:rsidRDefault="00000312" w14:paraId="188D05D8" w14:textId="77777777">
      <w:pPr>
        <w:overflowPunct w:val="0"/>
        <w:autoSpaceDE w:val="0"/>
        <w:autoSpaceDN w:val="0"/>
        <w:adjustRightInd w:val="0"/>
        <w:textAlignment w:val="baseline"/>
        <w:rPr>
          <w:rFonts w:asciiTheme="majorBidi" w:hAnsiTheme="majorBidi" w:cstheme="majorBidi"/>
          <w:lang w:val="en-GB"/>
        </w:rPr>
      </w:pPr>
    </w:p>
    <w:p w:rsidRPr="008248FD" w:rsidR="00C825E9" w:rsidP="008248FD" w:rsidRDefault="00C825E9" w14:paraId="38AA4C50" w14:textId="7A259B0A">
      <w:pPr>
        <w:pStyle w:val="Heading1"/>
        <w:rPr>
          <w:lang w:val="en-GB"/>
        </w:rPr>
      </w:pPr>
      <w:r w:rsidRPr="008248FD">
        <w:rPr>
          <w:lang w:val="en-GB"/>
        </w:rPr>
        <w:t>calls on the EU to phase out fossil subsidies to speed up the development of low-carbon solutions;</w:t>
      </w:r>
    </w:p>
    <w:p w:rsidRPr="00E912D9" w:rsidR="00C825E9" w:rsidP="008248FD" w:rsidRDefault="00C825E9" w14:paraId="0AEB2636" w14:textId="77777777">
      <w:pPr>
        <w:overflowPunct w:val="0"/>
        <w:autoSpaceDE w:val="0"/>
        <w:autoSpaceDN w:val="0"/>
        <w:adjustRightInd w:val="0"/>
        <w:textAlignment w:val="baseline"/>
        <w:rPr>
          <w:rFonts w:asciiTheme="majorBidi" w:hAnsiTheme="majorBidi" w:cstheme="majorBidi"/>
          <w:lang w:val="en-GB"/>
        </w:rPr>
      </w:pPr>
    </w:p>
    <w:p w:rsidRPr="008248FD" w:rsidR="006B00CB" w:rsidP="008248FD" w:rsidRDefault="006B00CB" w14:paraId="2FF3A6A7" w14:textId="3888E84C">
      <w:pPr>
        <w:pStyle w:val="Heading1"/>
        <w:rPr>
          <w:lang w:val="en-GB"/>
        </w:rPr>
      </w:pPr>
      <w:r w:rsidRPr="008248FD">
        <w:rPr>
          <w:lang w:val="en-GB"/>
        </w:rPr>
        <w:t>calls for more decisive actions on Innovative Public Procurement, urging the European Commission to update the Green and Circular Public Procurement guidelines at the Member State level</w:t>
      </w:r>
      <w:r w:rsidRPr="008248FD" w:rsidR="00FD1646">
        <w:rPr>
          <w:color w:val="FF0000"/>
          <w:lang w:val="en-GB"/>
        </w:rPr>
        <w:t xml:space="preserve"> </w:t>
      </w:r>
      <w:r w:rsidRPr="008248FD" w:rsidR="00FD1646">
        <w:rPr>
          <w:lang w:val="en-GB"/>
        </w:rPr>
        <w:t>while further reinforcing their implementation</w:t>
      </w:r>
      <w:r w:rsidRPr="008248FD">
        <w:rPr>
          <w:lang w:val="en-GB"/>
        </w:rPr>
        <w:t>;</w:t>
      </w:r>
    </w:p>
    <w:p w:rsidRPr="00E912D9" w:rsidR="00CE063A" w:rsidP="008248FD" w:rsidRDefault="00CE063A" w14:paraId="3E944C95" w14:textId="77777777">
      <w:pPr>
        <w:overflowPunct w:val="0"/>
        <w:autoSpaceDE w:val="0"/>
        <w:autoSpaceDN w:val="0"/>
        <w:adjustRightInd w:val="0"/>
        <w:textAlignment w:val="baseline"/>
        <w:rPr>
          <w:rFonts w:asciiTheme="majorBidi" w:hAnsiTheme="majorBidi" w:cstheme="majorBidi"/>
          <w:lang w:val="en-GB"/>
        </w:rPr>
      </w:pPr>
    </w:p>
    <w:p w:rsidRPr="008248FD" w:rsidR="006B00CB" w:rsidP="008248FD" w:rsidRDefault="006B00CB" w14:paraId="314D30FB" w14:textId="5A4ACAB7">
      <w:pPr>
        <w:pStyle w:val="Heading1"/>
        <w:rPr>
          <w:lang w:val="en-GB"/>
        </w:rPr>
      </w:pPr>
      <w:r w:rsidRPr="008248FD">
        <w:rPr>
          <w:lang w:val="en-GB"/>
        </w:rPr>
        <w:t>supports using joint purchasing tools to offer Member States, cities and regions affordable climate-neutral solutions, such as clean public transport and renewable energy;</w:t>
      </w:r>
    </w:p>
    <w:p w:rsidRPr="00E912D9" w:rsidR="00CE063A" w:rsidP="008248FD" w:rsidRDefault="00CE063A" w14:paraId="024FBF7A" w14:textId="77777777">
      <w:pPr>
        <w:overflowPunct w:val="0"/>
        <w:autoSpaceDE w:val="0"/>
        <w:autoSpaceDN w:val="0"/>
        <w:adjustRightInd w:val="0"/>
        <w:textAlignment w:val="baseline"/>
        <w:rPr>
          <w:rFonts w:asciiTheme="majorBidi" w:hAnsiTheme="majorBidi" w:cstheme="majorBidi"/>
          <w:lang w:val="en-GB"/>
        </w:rPr>
      </w:pPr>
    </w:p>
    <w:p w:rsidRPr="008248FD" w:rsidR="00CA3522" w:rsidP="008248FD" w:rsidRDefault="00FE4DCF" w14:paraId="34C62EDB" w14:textId="7525DD79">
      <w:pPr>
        <w:pStyle w:val="Heading1"/>
        <w:rPr>
          <w:lang w:val="en-GB"/>
        </w:rPr>
      </w:pPr>
      <w:r w:rsidRPr="008248FD">
        <w:rPr>
          <w:lang w:val="en-GB"/>
        </w:rPr>
        <w:t xml:space="preserve">welcomes the climate adaptation criteria of </w:t>
      </w:r>
      <w:r w:rsidRPr="008248FD" w:rsidR="009E4A4C">
        <w:rPr>
          <w:lang w:val="en-GB"/>
        </w:rPr>
        <w:t>the ‘do no significant harm’</w:t>
      </w:r>
      <w:r w:rsidRPr="008248FD">
        <w:rPr>
          <w:lang w:val="en-GB"/>
        </w:rPr>
        <w:t xml:space="preserve"> principle in the EU budget</w:t>
      </w:r>
      <w:r w:rsidRPr="008248FD" w:rsidR="00957ED3">
        <w:rPr>
          <w:lang w:val="en-GB"/>
        </w:rPr>
        <w:t xml:space="preserve"> and </w:t>
      </w:r>
      <w:r w:rsidRPr="008248FD" w:rsidR="00FD1646">
        <w:rPr>
          <w:lang w:val="en-GB"/>
        </w:rPr>
        <w:t xml:space="preserve">calls on the Commission to enforce </w:t>
      </w:r>
      <w:r w:rsidRPr="008248FD">
        <w:rPr>
          <w:lang w:val="en-GB"/>
        </w:rPr>
        <w:t>stricter methodologies and criteria</w:t>
      </w:r>
      <w:r w:rsidRPr="008248FD" w:rsidR="00FD1646">
        <w:rPr>
          <w:color w:val="FF0000"/>
          <w:lang w:val="en-GB"/>
        </w:rPr>
        <w:t xml:space="preserve"> </w:t>
      </w:r>
      <w:r w:rsidRPr="008248FD" w:rsidR="00FD1646">
        <w:rPr>
          <w:lang w:val="en-GB"/>
        </w:rPr>
        <w:t>for its implementation</w:t>
      </w:r>
      <w:r w:rsidRPr="008248FD" w:rsidR="003E71ED">
        <w:rPr>
          <w:lang w:val="en-GB"/>
        </w:rPr>
        <w:t>.</w:t>
      </w:r>
    </w:p>
    <w:p w:rsidRPr="00E912D9" w:rsidR="00000312" w:rsidP="008248FD" w:rsidRDefault="00000312" w14:paraId="48AE5907" w14:textId="77777777">
      <w:pPr>
        <w:overflowPunct w:val="0"/>
        <w:autoSpaceDE w:val="0"/>
        <w:autoSpaceDN w:val="0"/>
        <w:adjustRightInd w:val="0"/>
        <w:textAlignment w:val="baseline"/>
        <w:rPr>
          <w:rFonts w:asciiTheme="majorBidi" w:hAnsiTheme="majorBidi" w:cstheme="majorBidi"/>
          <w:lang w:val="en-GB"/>
        </w:rPr>
      </w:pPr>
    </w:p>
    <w:p w:rsidRPr="008248FD" w:rsidR="00CA3522" w:rsidP="008248FD" w:rsidRDefault="00C825E9" w14:paraId="5146D303" w14:textId="4AA4BEB9">
      <w:pPr>
        <w:pStyle w:val="Heading1"/>
        <w:rPr>
          <w:lang w:val="en-GB"/>
        </w:rPr>
      </w:pPr>
      <w:r w:rsidRPr="008248FD">
        <w:rPr>
          <w:lang w:val="en-GB"/>
        </w:rPr>
        <w:t>urges the need to reduce methane emissions and recommends the EU take the lead at international level;</w:t>
      </w:r>
    </w:p>
    <w:p w:rsidRPr="00E912D9" w:rsidR="004E3A15" w:rsidP="008248FD" w:rsidRDefault="004E3A15" w14:paraId="57721739" w14:textId="4EF1D0EE">
      <w:pPr>
        <w:overflowPunct w:val="0"/>
        <w:autoSpaceDE w:val="0"/>
        <w:autoSpaceDN w:val="0"/>
        <w:adjustRightInd w:val="0"/>
        <w:textAlignment w:val="baseline"/>
        <w:rPr>
          <w:rFonts w:asciiTheme="majorBidi" w:hAnsiTheme="majorBidi" w:cstheme="majorBidi"/>
          <w:lang w:val="en-GB"/>
        </w:rPr>
      </w:pPr>
    </w:p>
    <w:p w:rsidRPr="008248FD" w:rsidR="004E3A15" w:rsidP="008248FD" w:rsidRDefault="00C825E9" w14:paraId="2DE91187" w14:textId="41CE4979">
      <w:pPr>
        <w:pStyle w:val="Heading1"/>
        <w:rPr>
          <w:lang w:val="en-GB"/>
        </w:rPr>
      </w:pPr>
      <w:r w:rsidRPr="008248FD">
        <w:rPr>
          <w:lang w:val="en-GB"/>
        </w:rPr>
        <w:t>welcomes the commitments made by the President of the European Commission in the chapter entitled ‘Climate Adaptation, Preparedness and Solidarity’ of her Political Guidelines for 2024-2029 and proposes that</w:t>
      </w:r>
      <w:r w:rsidR="00715F49">
        <w:rPr>
          <w:lang w:val="en-GB"/>
        </w:rPr>
        <w:t>,</w:t>
      </w:r>
      <w:r w:rsidRPr="008248FD">
        <w:rPr>
          <w:lang w:val="en-GB"/>
        </w:rPr>
        <w:t xml:space="preserve"> in tandem with the roll-out of the future European Climate Adaptation Plan, a ‘strategic dialogue group’ involving the different levels of public governance and the private sector be systematically convened.</w:t>
      </w:r>
    </w:p>
    <w:p w:rsidRPr="00E912D9" w:rsidR="00C825E9" w:rsidP="008248FD" w:rsidRDefault="00C825E9" w14:paraId="6D9C56DB" w14:textId="77777777">
      <w:pPr>
        <w:overflowPunct w:val="0"/>
        <w:autoSpaceDE w:val="0"/>
        <w:autoSpaceDN w:val="0"/>
        <w:adjustRightInd w:val="0"/>
        <w:textAlignment w:val="baseline"/>
        <w:rPr>
          <w:rFonts w:asciiTheme="majorBidi" w:hAnsiTheme="majorBidi" w:cstheme="majorBidi"/>
          <w:lang w:val="en-GB"/>
        </w:rPr>
      </w:pPr>
    </w:p>
    <w:p w:rsidRPr="00E912D9" w:rsidR="00F16EB9" w:rsidP="002143FF" w:rsidRDefault="00F16EB9" w14:paraId="3275B937" w14:textId="6634259B">
      <w:pPr>
        <w:textAlignment w:val="baseline"/>
        <w:rPr>
          <w:rFonts w:asciiTheme="majorBidi" w:hAnsiTheme="majorBidi" w:cstheme="majorBidi"/>
          <w:lang w:val="en-GB"/>
        </w:rPr>
      </w:pPr>
      <w:r w:rsidRPr="00E912D9">
        <w:rPr>
          <w:rFonts w:asciiTheme="majorBidi" w:hAnsiTheme="majorBidi" w:cstheme="majorBidi"/>
          <w:lang w:val="en-GB"/>
        </w:rPr>
        <w:t xml:space="preserve">Brussels,   </w:t>
      </w:r>
    </w:p>
    <w:p w:rsidRPr="00E912D9" w:rsidR="00CA3522" w:rsidP="008248FD" w:rsidRDefault="00CA3522" w14:paraId="7372B7CE" w14:textId="77777777">
      <w:pPr>
        <w:overflowPunct w:val="0"/>
        <w:autoSpaceDE w:val="0"/>
        <w:autoSpaceDN w:val="0"/>
        <w:adjustRightInd w:val="0"/>
        <w:textAlignment w:val="baseline"/>
        <w:rPr>
          <w:rFonts w:asciiTheme="majorBidi" w:hAnsiTheme="majorBidi" w:cstheme="majorBidi"/>
          <w:lang w:val="en-GB"/>
        </w:rPr>
      </w:pPr>
    </w:p>
    <w:p w:rsidRPr="008248FD" w:rsidR="00FD1646" w:rsidP="002143FF" w:rsidRDefault="00FD1646" w14:paraId="402EF08F" w14:textId="77777777">
      <w:pPr>
        <w:pStyle w:val="PlainText"/>
        <w:spacing w:line="288" w:lineRule="auto"/>
        <w:rPr>
          <w:rFonts w:ascii="Times New Roman" w:hAnsi="Times New Roman" w:cs="Times New Roman"/>
          <w:lang w:val="en-GB"/>
        </w:rPr>
      </w:pPr>
    </w:p>
    <w:p w:rsidRPr="008248FD" w:rsidR="00FD1646" w:rsidP="002143FF" w:rsidRDefault="00FD1646" w14:paraId="63CF7A55" w14:textId="1BEDEE14">
      <w:pPr>
        <w:pStyle w:val="PlainText"/>
        <w:spacing w:line="288" w:lineRule="auto"/>
        <w:rPr>
          <w:rFonts w:ascii="Times New Roman" w:hAnsi="Times New Roman" w:cs="Times New Roman"/>
          <w:lang w:val="en-GB"/>
        </w:rPr>
      </w:pPr>
    </w:p>
    <w:p w:rsidRPr="00E912D9" w:rsidR="00CA3957" w:rsidP="002143FF" w:rsidRDefault="00773ABE" w14:paraId="01FC4DCE" w14:textId="77777777">
      <w:pPr>
        <w:rPr>
          <w:rFonts w:asciiTheme="majorBidi" w:hAnsiTheme="majorBidi" w:cstheme="majorBidi"/>
          <w:lang w:val="en-GB"/>
        </w:rPr>
      </w:pPr>
      <w:r w:rsidRPr="00E912D9">
        <w:rPr>
          <w:rFonts w:asciiTheme="majorBidi" w:hAnsiTheme="majorBidi" w:cstheme="majorBidi"/>
          <w:lang w:val="en-GB"/>
        </w:rPr>
        <w:br w:type="page"/>
      </w:r>
    </w:p>
    <w:p w:rsidRPr="00E912D9" w:rsidR="00B02B9F" w:rsidP="002143FF" w:rsidRDefault="000D6279" w14:paraId="123EF55E" w14:textId="77777777">
      <w:pPr>
        <w:numPr>
          <w:ilvl w:val="0"/>
          <w:numId w:val="3"/>
        </w:numPr>
        <w:overflowPunct w:val="0"/>
        <w:autoSpaceDE w:val="0"/>
        <w:autoSpaceDN w:val="0"/>
        <w:adjustRightInd w:val="0"/>
        <w:ind w:left="567" w:hanging="567"/>
        <w:textAlignment w:val="baseline"/>
        <w:rPr>
          <w:rFonts w:asciiTheme="majorBidi" w:hAnsiTheme="majorBidi" w:cstheme="majorBidi"/>
          <w:b/>
          <w:bCs/>
          <w:lang w:val="en-GB"/>
        </w:rPr>
      </w:pPr>
      <w:r w:rsidRPr="00E912D9">
        <w:rPr>
          <w:rFonts w:asciiTheme="majorBidi" w:hAnsiTheme="majorBidi" w:cstheme="majorBidi"/>
          <w:b/>
          <w:bCs/>
          <w:lang w:val="en-GB"/>
        </w:rPr>
        <w:t>PROCEDURE</w:t>
      </w:r>
    </w:p>
    <w:p w:rsidRPr="00E912D9" w:rsidR="00D62ABB" w:rsidP="002143FF" w:rsidRDefault="00D62ABB" w14:paraId="0641B698" w14:textId="77777777">
      <w:pPr>
        <w:rPr>
          <w:rFonts w:asciiTheme="majorBidi" w:hAnsiTheme="majorBidi" w:cstheme="majorBidi"/>
          <w:lang w:val="en-GB"/>
        </w:rPr>
      </w:pPr>
    </w:p>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E912D9" w:rsidR="00515436" w:rsidTr="00AA0E0B" w14:paraId="49064591" w14:textId="77777777">
        <w:tc>
          <w:tcPr>
            <w:tcW w:w="3848" w:type="dxa"/>
            <w:noWrap/>
          </w:tcPr>
          <w:p w:rsidRPr="00E912D9" w:rsidR="00515436" w:rsidP="002143FF" w:rsidRDefault="00515436" w14:paraId="73CBE2EF" w14:textId="04CCEC11">
            <w:pPr>
              <w:rPr>
                <w:lang w:val="en-GB"/>
              </w:rPr>
            </w:pPr>
            <w:r w:rsidRPr="00E912D9">
              <w:rPr>
                <w:b/>
                <w:bCs/>
                <w:lang w:val="en-GB"/>
              </w:rPr>
              <w:t>Title</w:t>
            </w:r>
          </w:p>
        </w:tc>
        <w:tc>
          <w:tcPr>
            <w:tcW w:w="5441" w:type="dxa"/>
            <w:noWrap/>
          </w:tcPr>
          <w:p w:rsidRPr="00E912D9" w:rsidR="00515436" w:rsidP="002143FF" w:rsidRDefault="00515436" w14:paraId="6FCDE63B" w14:textId="77777777">
            <w:pPr>
              <w:rPr>
                <w:lang w:val="en-GB"/>
              </w:rPr>
            </w:pPr>
            <w:r w:rsidRPr="00E912D9" w:rsidDel="00CD1083">
              <w:rPr>
                <w:b/>
                <w:bCs/>
                <w:lang w:val="en-GB"/>
              </w:rPr>
              <w:t>The future of EU climate policy: aligning mitigation targets and adaptation challenges</w:t>
            </w:r>
          </w:p>
        </w:tc>
      </w:tr>
      <w:tr w:rsidRPr="00E912D9" w:rsidR="00515436" w:rsidTr="00AA0E0B" w14:paraId="0DB61C0C" w14:textId="77777777">
        <w:tc>
          <w:tcPr>
            <w:tcW w:w="3848" w:type="dxa"/>
            <w:noWrap/>
          </w:tcPr>
          <w:p w:rsidRPr="00E912D9" w:rsidR="00515436" w:rsidP="002143FF" w:rsidRDefault="00515436" w14:paraId="10A7A751" w14:textId="77777777">
            <w:pPr>
              <w:rPr>
                <w:b/>
                <w:bCs/>
                <w:lang w:val="en-GB"/>
              </w:rPr>
            </w:pPr>
            <w:r w:rsidRPr="00E912D9">
              <w:rPr>
                <w:b/>
                <w:bCs/>
                <w:lang w:val="en-GB"/>
              </w:rPr>
              <w:t xml:space="preserve">Reference(s) </w:t>
            </w:r>
          </w:p>
        </w:tc>
        <w:tc>
          <w:tcPr>
            <w:tcW w:w="5441" w:type="dxa"/>
            <w:noWrap/>
          </w:tcPr>
          <w:p w:rsidRPr="00E912D9" w:rsidR="00515436" w:rsidP="008248FD" w:rsidRDefault="00515436" w14:paraId="0ACA8786" w14:textId="0A53BDD3">
            <w:pPr>
              <w:numPr>
                <w:ilvl w:val="0"/>
                <w:numId w:val="12"/>
              </w:numPr>
              <w:ind w:left="284" w:hanging="284"/>
              <w:rPr>
                <w:lang w:val="en-GB"/>
              </w:rPr>
            </w:pPr>
            <w:r w:rsidRPr="00E912D9">
              <w:rPr>
                <w:lang w:val="en-GB"/>
              </w:rPr>
              <w:t xml:space="preserve">Communication on </w:t>
            </w:r>
            <w:r w:rsidRPr="00E912D9">
              <w:rPr>
                <w:b/>
                <w:bCs/>
                <w:i/>
                <w:iCs/>
                <w:lang w:val="en-GB"/>
              </w:rPr>
              <w:t>Securing our future Europe</w:t>
            </w:r>
            <w:r w:rsidRPr="00E912D9" w:rsidR="00516756">
              <w:rPr>
                <w:b/>
                <w:bCs/>
                <w:i/>
                <w:iCs/>
                <w:lang w:val="en-GB"/>
              </w:rPr>
              <w:t>’</w:t>
            </w:r>
            <w:r w:rsidRPr="00E912D9">
              <w:rPr>
                <w:b/>
                <w:bCs/>
                <w:i/>
                <w:iCs/>
                <w:lang w:val="en-GB"/>
              </w:rPr>
              <w:t>s 2040 climate target and path to climate neutrality by 2050 building a sustainable, just and prosperous society</w:t>
            </w:r>
            <w:r w:rsidRPr="00E912D9" w:rsidR="009E4A4C">
              <w:rPr>
                <w:lang w:val="en-GB"/>
              </w:rPr>
              <w:t xml:space="preserve"> </w:t>
            </w:r>
            <w:r w:rsidRPr="00E912D9">
              <w:rPr>
                <w:lang w:val="en-GB"/>
              </w:rPr>
              <w:t>(</w:t>
            </w:r>
            <w:hyperlink w:history="1" r:id="rId20">
              <w:r w:rsidRPr="00E912D9">
                <w:rPr>
                  <w:rStyle w:val="Hyperlink"/>
                  <w:lang w:val="en-GB"/>
                </w:rPr>
                <w:t>COM/2024/63 final</w:t>
              </w:r>
            </w:hyperlink>
            <w:r w:rsidRPr="00E912D9">
              <w:rPr>
                <w:lang w:val="en-GB"/>
              </w:rPr>
              <w:t>)</w:t>
            </w:r>
          </w:p>
          <w:p w:rsidRPr="00E912D9" w:rsidR="00515436" w:rsidP="008248FD" w:rsidRDefault="00515436" w14:paraId="16BDE2E5" w14:textId="222F454B">
            <w:pPr>
              <w:numPr>
                <w:ilvl w:val="0"/>
                <w:numId w:val="12"/>
              </w:numPr>
              <w:ind w:left="284" w:hanging="284"/>
              <w:rPr>
                <w:lang w:val="en-GB"/>
              </w:rPr>
            </w:pPr>
            <w:r w:rsidRPr="00E912D9">
              <w:rPr>
                <w:lang w:val="en-GB"/>
              </w:rPr>
              <w:t xml:space="preserve">Communication on </w:t>
            </w:r>
            <w:r w:rsidRPr="00E912D9">
              <w:rPr>
                <w:b/>
                <w:bCs/>
                <w:i/>
                <w:iCs/>
                <w:lang w:val="en-GB"/>
              </w:rPr>
              <w:t xml:space="preserve">Managing climate risks </w:t>
            </w:r>
            <w:r w:rsidRPr="00E912D9" w:rsidR="009E4A4C">
              <w:rPr>
                <w:b/>
                <w:bCs/>
                <w:i/>
                <w:iCs/>
                <w:lang w:val="en-GB"/>
              </w:rPr>
              <w:t xml:space="preserve">– </w:t>
            </w:r>
            <w:r w:rsidRPr="00E912D9">
              <w:rPr>
                <w:b/>
                <w:bCs/>
                <w:i/>
                <w:iCs/>
                <w:lang w:val="en-GB"/>
              </w:rPr>
              <w:t xml:space="preserve">protecting people and prosperity </w:t>
            </w:r>
            <w:r w:rsidRPr="00E912D9">
              <w:rPr>
                <w:lang w:val="en-GB"/>
              </w:rPr>
              <w:t>(</w:t>
            </w:r>
            <w:hyperlink w:history="1" r:id="rId21">
              <w:r w:rsidRPr="00E912D9">
                <w:rPr>
                  <w:rStyle w:val="Hyperlink"/>
                  <w:lang w:val="en-GB"/>
                </w:rPr>
                <w:t>COM</w:t>
              </w:r>
              <w:r w:rsidRPr="00E912D9" w:rsidR="003E71ED">
                <w:rPr>
                  <w:rStyle w:val="Hyperlink"/>
                  <w:lang w:val="en-GB"/>
                </w:rPr>
                <w:t>/</w:t>
              </w:r>
              <w:r w:rsidRPr="00E912D9">
                <w:rPr>
                  <w:rStyle w:val="Hyperlink"/>
                  <w:lang w:val="en-GB"/>
                </w:rPr>
                <w:t>2024</w:t>
              </w:r>
              <w:r w:rsidRPr="00E912D9" w:rsidR="003E71ED">
                <w:rPr>
                  <w:rStyle w:val="Hyperlink"/>
                  <w:lang w:val="en-GB"/>
                </w:rPr>
                <w:t>/</w:t>
              </w:r>
              <w:r w:rsidRPr="00E912D9">
                <w:rPr>
                  <w:rStyle w:val="Hyperlink"/>
                  <w:lang w:val="en-GB"/>
                </w:rPr>
                <w:t>91 final</w:t>
              </w:r>
            </w:hyperlink>
            <w:r w:rsidRPr="00E912D9">
              <w:rPr>
                <w:lang w:val="en-GB"/>
              </w:rPr>
              <w:t>)</w:t>
            </w:r>
          </w:p>
        </w:tc>
      </w:tr>
      <w:tr w:rsidRPr="00E912D9" w:rsidR="00515436" w:rsidTr="00AA0E0B" w14:paraId="3A3375D8" w14:textId="77777777">
        <w:tc>
          <w:tcPr>
            <w:tcW w:w="3848" w:type="dxa"/>
            <w:noWrap/>
          </w:tcPr>
          <w:p w:rsidRPr="00E912D9" w:rsidR="00515436" w:rsidP="002143FF" w:rsidRDefault="00515436" w14:paraId="1E5EBC52" w14:textId="77777777">
            <w:pPr>
              <w:rPr>
                <w:b/>
                <w:bCs/>
                <w:lang w:val="en-GB"/>
              </w:rPr>
            </w:pPr>
            <w:r w:rsidRPr="00E912D9">
              <w:rPr>
                <w:b/>
                <w:bCs/>
                <w:lang w:val="en-GB"/>
              </w:rPr>
              <w:t>Legal basis</w:t>
            </w:r>
          </w:p>
        </w:tc>
        <w:tc>
          <w:tcPr>
            <w:tcW w:w="5441" w:type="dxa"/>
            <w:noWrap/>
          </w:tcPr>
          <w:p w:rsidRPr="00E912D9" w:rsidR="00515436" w:rsidP="002143FF" w:rsidRDefault="00515436" w14:paraId="336B65F7" w14:textId="77777777">
            <w:pPr>
              <w:rPr>
                <w:lang w:val="en-GB"/>
              </w:rPr>
            </w:pPr>
            <w:r w:rsidRPr="00E912D9">
              <w:rPr>
                <w:lang w:val="en-GB"/>
              </w:rPr>
              <w:t>Own-initiative opinion</w:t>
            </w:r>
          </w:p>
        </w:tc>
      </w:tr>
      <w:tr w:rsidRPr="00E912D9" w:rsidR="00515436" w:rsidTr="00AA0E0B" w14:paraId="5A87B18A" w14:textId="77777777">
        <w:tc>
          <w:tcPr>
            <w:tcW w:w="3848" w:type="dxa"/>
            <w:noWrap/>
          </w:tcPr>
          <w:p w:rsidRPr="00E912D9" w:rsidR="00515436" w:rsidP="002143FF" w:rsidRDefault="00515436" w14:paraId="633CB363" w14:textId="77777777">
            <w:pPr>
              <w:rPr>
                <w:b/>
                <w:bCs/>
                <w:lang w:val="en-GB"/>
              </w:rPr>
            </w:pPr>
            <w:r w:rsidRPr="00E912D9">
              <w:rPr>
                <w:b/>
                <w:bCs/>
                <w:lang w:val="en-GB"/>
              </w:rPr>
              <w:t>Procedural basis</w:t>
            </w:r>
          </w:p>
        </w:tc>
        <w:tc>
          <w:tcPr>
            <w:tcW w:w="5441" w:type="dxa"/>
            <w:noWrap/>
          </w:tcPr>
          <w:p w:rsidRPr="00E912D9" w:rsidR="00515436" w:rsidP="002143FF" w:rsidRDefault="00515436" w14:paraId="2ABAC797" w14:textId="77777777">
            <w:pPr>
              <w:rPr>
                <w:lang w:val="en-GB"/>
              </w:rPr>
            </w:pPr>
            <w:r w:rsidRPr="00E912D9">
              <w:rPr>
                <w:lang w:val="en-GB"/>
              </w:rPr>
              <w:t>Rule 41 b) i RoP</w:t>
            </w:r>
          </w:p>
        </w:tc>
      </w:tr>
      <w:tr w:rsidRPr="00E912D9" w:rsidR="000541EE" w:rsidTr="00AA0E0B" w14:paraId="724FAC92" w14:textId="77777777">
        <w:tc>
          <w:tcPr>
            <w:tcW w:w="3848" w:type="dxa"/>
          </w:tcPr>
          <w:p w:rsidRPr="00E912D9" w:rsidR="000541EE" w:rsidP="008248FD" w:rsidRDefault="000541EE" w14:paraId="37FBDB25" w14:textId="0B97DAED">
            <w:pPr>
              <w:jc w:val="left"/>
              <w:rPr>
                <w:b/>
                <w:bCs/>
                <w:lang w:val="en-GB"/>
              </w:rPr>
            </w:pPr>
            <w:r w:rsidRPr="00E912D9">
              <w:rPr>
                <w:b/>
                <w:bCs/>
                <w:lang w:val="en-GB"/>
              </w:rPr>
              <w:t>Date of Council/EP referral/Date of Commission letter</w:t>
            </w:r>
          </w:p>
        </w:tc>
        <w:tc>
          <w:tcPr>
            <w:tcW w:w="5441" w:type="dxa"/>
            <w:noWrap/>
          </w:tcPr>
          <w:p w:rsidRPr="00E912D9" w:rsidR="000541EE" w:rsidP="002143FF" w:rsidRDefault="0089566E" w14:paraId="5412DA5B" w14:textId="33EF6A20">
            <w:pPr>
              <w:rPr>
                <w:lang w:val="en-GB"/>
              </w:rPr>
            </w:pPr>
            <w:r w:rsidRPr="00E912D9">
              <w:rPr>
                <w:lang w:val="en-GB"/>
              </w:rPr>
              <w:t>N/A</w:t>
            </w:r>
          </w:p>
        </w:tc>
      </w:tr>
      <w:tr w:rsidRPr="00E912D9" w:rsidR="00515436" w:rsidTr="00AA0E0B" w14:paraId="7FCCE187" w14:textId="77777777">
        <w:tc>
          <w:tcPr>
            <w:tcW w:w="3848" w:type="dxa"/>
          </w:tcPr>
          <w:p w:rsidRPr="00E912D9" w:rsidR="00515436" w:rsidP="002143FF" w:rsidRDefault="00515436" w14:paraId="22B2D220" w14:textId="1025B2EF">
            <w:pPr>
              <w:rPr>
                <w:lang w:val="en-GB"/>
              </w:rPr>
            </w:pPr>
            <w:r w:rsidRPr="00E912D9">
              <w:rPr>
                <w:b/>
                <w:bCs/>
                <w:lang w:val="en-GB"/>
              </w:rPr>
              <w:t>Date of Bureau/President</w:t>
            </w:r>
            <w:r w:rsidRPr="00E912D9" w:rsidR="00516756">
              <w:rPr>
                <w:b/>
                <w:bCs/>
                <w:lang w:val="en-GB"/>
              </w:rPr>
              <w:t>’</w:t>
            </w:r>
            <w:r w:rsidRPr="00E912D9">
              <w:rPr>
                <w:b/>
                <w:bCs/>
                <w:lang w:val="en-GB"/>
              </w:rPr>
              <w:t>s decision</w:t>
            </w:r>
          </w:p>
        </w:tc>
        <w:tc>
          <w:tcPr>
            <w:tcW w:w="5441" w:type="dxa"/>
            <w:noWrap/>
          </w:tcPr>
          <w:p w:rsidRPr="00E912D9" w:rsidR="00515436" w:rsidP="002143FF" w:rsidRDefault="00515436" w14:paraId="4133EB0B" w14:textId="77777777">
            <w:pPr>
              <w:rPr>
                <w:lang w:val="en-GB"/>
              </w:rPr>
            </w:pPr>
            <w:r w:rsidRPr="00E912D9">
              <w:rPr>
                <w:lang w:val="en-GB"/>
              </w:rPr>
              <w:t>N/A</w:t>
            </w:r>
          </w:p>
        </w:tc>
      </w:tr>
      <w:tr w:rsidRPr="00E912D9" w:rsidR="00515436" w:rsidTr="00AA0E0B" w14:paraId="0C620D28" w14:textId="77777777">
        <w:tc>
          <w:tcPr>
            <w:tcW w:w="3848" w:type="dxa"/>
            <w:noWrap/>
          </w:tcPr>
          <w:p w:rsidRPr="00E912D9" w:rsidR="00515436" w:rsidP="002143FF" w:rsidRDefault="00515436" w14:paraId="71F504C1" w14:textId="77777777">
            <w:pPr>
              <w:rPr>
                <w:b/>
                <w:bCs/>
                <w:lang w:val="en-GB"/>
              </w:rPr>
            </w:pPr>
            <w:r w:rsidRPr="00E912D9">
              <w:rPr>
                <w:b/>
                <w:bCs/>
                <w:lang w:val="en-GB"/>
              </w:rPr>
              <w:t>Commission responsible</w:t>
            </w:r>
          </w:p>
        </w:tc>
        <w:tc>
          <w:tcPr>
            <w:tcW w:w="5441" w:type="dxa"/>
            <w:noWrap/>
          </w:tcPr>
          <w:p w:rsidRPr="00E912D9" w:rsidR="00515436" w:rsidP="002143FF" w:rsidRDefault="00515436" w14:paraId="5FC464F6" w14:textId="77777777">
            <w:pPr>
              <w:rPr>
                <w:lang w:val="en-GB"/>
              </w:rPr>
            </w:pPr>
            <w:r w:rsidRPr="00E912D9">
              <w:rPr>
                <w:lang w:val="en-GB"/>
              </w:rPr>
              <w:t>Commission for the Environment, Climate Change and Energy (ENVE)</w:t>
            </w:r>
          </w:p>
        </w:tc>
      </w:tr>
      <w:tr w:rsidRPr="00E912D9" w:rsidR="00515436" w:rsidTr="00AA0E0B" w14:paraId="3B4800E8" w14:textId="77777777">
        <w:tc>
          <w:tcPr>
            <w:tcW w:w="3848" w:type="dxa"/>
            <w:noWrap/>
          </w:tcPr>
          <w:p w:rsidRPr="00E912D9" w:rsidR="00515436" w:rsidP="002143FF" w:rsidRDefault="00515436" w14:paraId="289F7E91" w14:textId="77777777">
            <w:pPr>
              <w:rPr>
                <w:b/>
                <w:bCs/>
                <w:lang w:val="en-GB"/>
              </w:rPr>
            </w:pPr>
            <w:r w:rsidRPr="00E912D9">
              <w:rPr>
                <w:b/>
                <w:bCs/>
                <w:lang w:val="en-GB"/>
              </w:rPr>
              <w:t>Rapporteur</w:t>
            </w:r>
          </w:p>
        </w:tc>
        <w:tc>
          <w:tcPr>
            <w:tcW w:w="5441" w:type="dxa"/>
            <w:noWrap/>
          </w:tcPr>
          <w:p w:rsidRPr="00E912D9" w:rsidR="00515436" w:rsidP="002143FF" w:rsidRDefault="00515436" w14:paraId="09C73BA6" w14:textId="77777777">
            <w:pPr>
              <w:rPr>
                <w:lang w:val="en-GB"/>
              </w:rPr>
            </w:pPr>
            <w:r w:rsidRPr="00E912D9">
              <w:rPr>
                <w:lang w:val="en-GB"/>
              </w:rPr>
              <w:t>Markku MARKKULA (FI/EPP), President of the Helsinki Region</w:t>
            </w:r>
          </w:p>
        </w:tc>
      </w:tr>
      <w:tr w:rsidRPr="00E912D9" w:rsidR="00515436" w:rsidTr="00AA0E0B" w14:paraId="1925B471" w14:textId="77777777">
        <w:tc>
          <w:tcPr>
            <w:tcW w:w="3848" w:type="dxa"/>
            <w:noWrap/>
          </w:tcPr>
          <w:p w:rsidRPr="00E912D9" w:rsidR="00515436" w:rsidP="002143FF" w:rsidRDefault="00515436" w14:paraId="5457A78F" w14:textId="77777777">
            <w:pPr>
              <w:rPr>
                <w:b/>
                <w:bCs/>
                <w:lang w:val="en-GB"/>
              </w:rPr>
            </w:pPr>
            <w:r w:rsidRPr="00E912D9">
              <w:rPr>
                <w:b/>
                <w:bCs/>
                <w:lang w:val="en-GB"/>
              </w:rPr>
              <w:t>Analysis</w:t>
            </w:r>
          </w:p>
        </w:tc>
        <w:tc>
          <w:tcPr>
            <w:tcW w:w="5441" w:type="dxa"/>
            <w:noWrap/>
          </w:tcPr>
          <w:p w:rsidRPr="00E912D9" w:rsidR="00515436" w:rsidP="002143FF" w:rsidRDefault="0046409E" w14:paraId="41C40CA4" w14:textId="4793FD3F">
            <w:pPr>
              <w:rPr>
                <w:lang w:val="en-GB"/>
              </w:rPr>
            </w:pPr>
            <w:r w:rsidRPr="00E912D9">
              <w:rPr>
                <w:lang w:val="en-GB"/>
              </w:rPr>
              <w:t>12 Ju</w:t>
            </w:r>
            <w:r w:rsidRPr="00E912D9" w:rsidR="00BA5EE3">
              <w:rPr>
                <w:lang w:val="en-GB"/>
              </w:rPr>
              <w:t>ne</w:t>
            </w:r>
            <w:r w:rsidRPr="00E912D9">
              <w:rPr>
                <w:lang w:val="en-GB"/>
              </w:rPr>
              <w:t xml:space="preserve"> 2024</w:t>
            </w:r>
          </w:p>
        </w:tc>
      </w:tr>
      <w:tr w:rsidRPr="00E912D9" w:rsidR="00515436" w:rsidTr="00AA0E0B" w14:paraId="44FF09EA" w14:textId="77777777">
        <w:tc>
          <w:tcPr>
            <w:tcW w:w="3848" w:type="dxa"/>
            <w:noWrap/>
          </w:tcPr>
          <w:p w:rsidRPr="00E912D9" w:rsidR="00515436" w:rsidP="002143FF" w:rsidRDefault="00515436" w14:paraId="568803C1" w14:textId="77777777">
            <w:pPr>
              <w:rPr>
                <w:b/>
                <w:bCs/>
                <w:lang w:val="en-GB"/>
              </w:rPr>
            </w:pPr>
            <w:r w:rsidRPr="00E912D9">
              <w:rPr>
                <w:b/>
                <w:bCs/>
                <w:lang w:val="en-GB"/>
              </w:rPr>
              <w:t xml:space="preserve">Discussed in commission </w:t>
            </w:r>
          </w:p>
        </w:tc>
        <w:tc>
          <w:tcPr>
            <w:tcW w:w="5441" w:type="dxa"/>
            <w:noWrap/>
          </w:tcPr>
          <w:p w:rsidRPr="00E912D9" w:rsidR="00515436" w:rsidP="002143FF" w:rsidRDefault="00515436" w14:paraId="3B04DF80" w14:textId="5B9DDF7E">
            <w:pPr>
              <w:rPr>
                <w:lang w:val="en-GB"/>
              </w:rPr>
            </w:pPr>
            <w:r w:rsidRPr="00E912D9">
              <w:rPr>
                <w:lang w:val="en-GB"/>
              </w:rPr>
              <w:t>25 June 2024</w:t>
            </w:r>
          </w:p>
        </w:tc>
      </w:tr>
      <w:tr w:rsidRPr="00E912D9" w:rsidR="00515436" w:rsidTr="00AA0E0B" w14:paraId="1E0F7873" w14:textId="77777777">
        <w:tc>
          <w:tcPr>
            <w:tcW w:w="3848" w:type="dxa"/>
            <w:noWrap/>
          </w:tcPr>
          <w:p w:rsidRPr="00E912D9" w:rsidR="00515436" w:rsidP="002143FF" w:rsidRDefault="00515436" w14:paraId="072C3CBD" w14:textId="77777777">
            <w:pPr>
              <w:rPr>
                <w:b/>
                <w:bCs/>
                <w:lang w:val="en-GB"/>
              </w:rPr>
            </w:pPr>
            <w:r w:rsidRPr="00E912D9">
              <w:rPr>
                <w:b/>
                <w:bCs/>
                <w:lang w:val="en-GB"/>
              </w:rPr>
              <w:t xml:space="preserve">Date adopted by commission </w:t>
            </w:r>
          </w:p>
        </w:tc>
        <w:tc>
          <w:tcPr>
            <w:tcW w:w="5441" w:type="dxa"/>
            <w:noWrap/>
          </w:tcPr>
          <w:p w:rsidRPr="00E912D9" w:rsidR="00515436" w:rsidP="002143FF" w:rsidRDefault="00515436" w14:paraId="4722D342" w14:textId="438C74B8">
            <w:pPr>
              <w:rPr>
                <w:lang w:val="en-GB"/>
              </w:rPr>
            </w:pPr>
            <w:r w:rsidRPr="00E912D9">
              <w:rPr>
                <w:lang w:val="en-GB"/>
              </w:rPr>
              <w:t>26 September 2024</w:t>
            </w:r>
          </w:p>
        </w:tc>
      </w:tr>
      <w:tr w:rsidRPr="00E912D9" w:rsidR="00515436" w:rsidTr="00AA0E0B" w14:paraId="3FB21F01" w14:textId="77777777">
        <w:tc>
          <w:tcPr>
            <w:tcW w:w="3848" w:type="dxa"/>
            <w:noWrap/>
          </w:tcPr>
          <w:p w:rsidRPr="00E912D9" w:rsidR="00515436" w:rsidP="002143FF" w:rsidRDefault="00515436" w14:paraId="528C95B7" w14:textId="77777777">
            <w:pPr>
              <w:rPr>
                <w:b/>
                <w:bCs/>
                <w:lang w:val="en-GB"/>
              </w:rPr>
            </w:pPr>
            <w:r w:rsidRPr="00E912D9">
              <w:rPr>
                <w:b/>
                <w:bCs/>
                <w:lang w:val="en-GB"/>
              </w:rPr>
              <w:t>Result of the vote in commission</w:t>
            </w:r>
          </w:p>
          <w:p w:rsidRPr="00E912D9" w:rsidR="00515436" w:rsidP="002143FF" w:rsidRDefault="00515436" w14:paraId="76586152" w14:textId="77777777">
            <w:pPr>
              <w:rPr>
                <w:b/>
                <w:bCs/>
                <w:lang w:val="en-GB"/>
              </w:rPr>
            </w:pPr>
            <w:r w:rsidRPr="00E912D9">
              <w:rPr>
                <w:b/>
                <w:bCs/>
                <w:lang w:val="en-GB"/>
              </w:rPr>
              <w:t>(majority, unanimity)</w:t>
            </w:r>
          </w:p>
        </w:tc>
        <w:tc>
          <w:tcPr>
            <w:tcW w:w="5441" w:type="dxa"/>
            <w:noWrap/>
          </w:tcPr>
          <w:p w:rsidRPr="00E912D9" w:rsidR="00515436" w:rsidP="002143FF" w:rsidRDefault="00B727C7" w14:paraId="379A90CF" w14:textId="6675ACC2">
            <w:pPr>
              <w:rPr>
                <w:lang w:val="en-GB"/>
              </w:rPr>
            </w:pPr>
            <w:r w:rsidRPr="00E912D9">
              <w:rPr>
                <w:lang w:val="en-GB"/>
              </w:rPr>
              <w:t>Majority</w:t>
            </w:r>
          </w:p>
        </w:tc>
      </w:tr>
      <w:tr w:rsidRPr="00E912D9" w:rsidR="00515436" w:rsidTr="00AA0E0B" w14:paraId="44DAEB67" w14:textId="77777777">
        <w:tc>
          <w:tcPr>
            <w:tcW w:w="3848" w:type="dxa"/>
            <w:noWrap/>
          </w:tcPr>
          <w:p w:rsidRPr="00E912D9" w:rsidR="00515436" w:rsidP="002143FF" w:rsidRDefault="00515436" w14:paraId="2F5C3FFB" w14:textId="77777777">
            <w:pPr>
              <w:rPr>
                <w:b/>
                <w:bCs/>
                <w:lang w:val="en-GB"/>
              </w:rPr>
            </w:pPr>
            <w:r w:rsidRPr="00E912D9">
              <w:rPr>
                <w:b/>
                <w:bCs/>
                <w:lang w:val="en-GB"/>
              </w:rPr>
              <w:t xml:space="preserve">Date adopted in plenary </w:t>
            </w:r>
          </w:p>
        </w:tc>
        <w:tc>
          <w:tcPr>
            <w:tcW w:w="5441" w:type="dxa"/>
            <w:noWrap/>
          </w:tcPr>
          <w:p w:rsidRPr="00E912D9" w:rsidR="00515436" w:rsidP="002143FF" w:rsidRDefault="00515436" w14:paraId="010F5921" w14:textId="77777777">
            <w:pPr>
              <w:rPr>
                <w:b/>
                <w:bCs/>
                <w:lang w:val="en-GB"/>
              </w:rPr>
            </w:pPr>
            <w:r w:rsidRPr="00E912D9">
              <w:rPr>
                <w:lang w:val="en-GB"/>
              </w:rPr>
              <w:t>Scheduled for 20-21 November 2024</w:t>
            </w:r>
          </w:p>
        </w:tc>
      </w:tr>
      <w:tr w:rsidRPr="00E912D9" w:rsidR="00515436" w:rsidTr="00AA0E0B" w14:paraId="3102EB62" w14:textId="77777777">
        <w:tc>
          <w:tcPr>
            <w:tcW w:w="3848" w:type="dxa"/>
            <w:noWrap/>
          </w:tcPr>
          <w:p w:rsidRPr="00E912D9" w:rsidR="00515436" w:rsidP="002143FF" w:rsidRDefault="00515436" w14:paraId="1D85B2E7" w14:textId="77777777">
            <w:pPr>
              <w:rPr>
                <w:b/>
                <w:bCs/>
                <w:lang w:val="en-GB"/>
              </w:rPr>
            </w:pPr>
            <w:r w:rsidRPr="00E912D9">
              <w:rPr>
                <w:b/>
                <w:bCs/>
                <w:lang w:val="en-GB"/>
              </w:rPr>
              <w:t xml:space="preserve">Previous Committee opinions </w:t>
            </w:r>
          </w:p>
        </w:tc>
        <w:tc>
          <w:tcPr>
            <w:tcW w:w="5441" w:type="dxa"/>
            <w:noWrap/>
          </w:tcPr>
          <w:p w:rsidRPr="00E912D9" w:rsidR="00515436" w:rsidP="002143FF" w:rsidRDefault="00515436" w14:paraId="2D2CF6C0" w14:textId="77777777">
            <w:pPr>
              <w:rPr>
                <w:lang w:val="en-GB"/>
              </w:rPr>
            </w:pPr>
          </w:p>
        </w:tc>
      </w:tr>
      <w:tr w:rsidRPr="00E912D9" w:rsidR="00515436" w:rsidTr="00AA0E0B" w14:paraId="175F0648" w14:textId="77777777">
        <w:tc>
          <w:tcPr>
            <w:tcW w:w="3848" w:type="dxa"/>
            <w:noWrap/>
          </w:tcPr>
          <w:p w:rsidRPr="00E912D9" w:rsidR="00515436" w:rsidP="008248FD" w:rsidRDefault="00515436" w14:paraId="580CDAF4" w14:textId="77777777">
            <w:pPr>
              <w:jc w:val="left"/>
              <w:rPr>
                <w:b/>
                <w:bCs/>
                <w:lang w:val="en-GB"/>
              </w:rPr>
            </w:pPr>
            <w:r w:rsidRPr="00E912D9">
              <w:rPr>
                <w:b/>
                <w:bCs/>
                <w:lang w:val="en-GB"/>
              </w:rPr>
              <w:t>Date of subsidiarity monitoring consultation</w:t>
            </w:r>
          </w:p>
        </w:tc>
        <w:tc>
          <w:tcPr>
            <w:tcW w:w="5441" w:type="dxa"/>
            <w:noWrap/>
          </w:tcPr>
          <w:p w:rsidRPr="00E912D9" w:rsidR="00515436" w:rsidP="002143FF" w:rsidRDefault="00515436" w14:paraId="0038A001" w14:textId="77777777">
            <w:pPr>
              <w:rPr>
                <w:lang w:val="en-GB"/>
              </w:rPr>
            </w:pPr>
            <w:r w:rsidRPr="00E912D9">
              <w:rPr>
                <w:lang w:val="en-GB"/>
              </w:rPr>
              <w:t>N/A</w:t>
            </w:r>
          </w:p>
        </w:tc>
      </w:tr>
    </w:tbl>
    <w:p w:rsidRPr="00E912D9" w:rsidR="00D62ABB" w:rsidP="002143FF" w:rsidRDefault="00D62ABB" w14:paraId="3380A950" w14:textId="77777777">
      <w:pPr>
        <w:rPr>
          <w:rFonts w:asciiTheme="majorBidi" w:hAnsiTheme="majorBidi" w:cstheme="majorBidi"/>
          <w:lang w:val="en-GB"/>
        </w:rPr>
      </w:pPr>
    </w:p>
    <w:p w:rsidRPr="00E912D9" w:rsidR="000D6279" w:rsidP="002143FF" w:rsidRDefault="00D62ABB" w14:paraId="69EC29E6" w14:textId="415114E0">
      <w:pPr>
        <w:jc w:val="center"/>
        <w:rPr>
          <w:rFonts w:asciiTheme="majorBidi" w:hAnsiTheme="majorBidi" w:cstheme="majorBidi"/>
          <w:lang w:val="en-GB"/>
        </w:rPr>
      </w:pPr>
      <w:r w:rsidRPr="00E912D9">
        <w:rPr>
          <w:rFonts w:asciiTheme="majorBidi" w:hAnsiTheme="majorBidi" w:cstheme="majorBidi"/>
          <w:lang w:val="en-GB"/>
        </w:rPr>
        <w:t>_</w:t>
      </w:r>
      <w:r w:rsidRPr="00E912D9" w:rsidR="000D6279">
        <w:rPr>
          <w:rFonts w:asciiTheme="majorBidi" w:hAnsiTheme="majorBidi" w:cstheme="majorBidi"/>
          <w:lang w:val="en-GB"/>
        </w:rPr>
        <w:t>____________</w:t>
      </w:r>
    </w:p>
    <w:p w:rsidRPr="00E912D9" w:rsidR="000D6279" w:rsidP="002143FF" w:rsidRDefault="000D6279" w14:paraId="241045AE" w14:textId="77777777">
      <w:pPr>
        <w:rPr>
          <w:rFonts w:asciiTheme="majorBidi" w:hAnsiTheme="majorBidi" w:cstheme="majorBidi"/>
          <w:lang w:val="en-GB"/>
        </w:rPr>
      </w:pPr>
    </w:p>
    <w:p w:rsidRPr="00E912D9" w:rsidR="00F62C54" w:rsidP="002143FF" w:rsidRDefault="00F62C54" w14:paraId="1F4DF7FC" w14:textId="77777777">
      <w:pPr>
        <w:rPr>
          <w:rFonts w:asciiTheme="majorBidi" w:hAnsiTheme="majorBidi" w:cstheme="majorBidi"/>
          <w:lang w:val="en-GB"/>
        </w:rPr>
      </w:pPr>
    </w:p>
    <w:sectPr w:rsidRPr="00E912D9" w:rsidR="00F62C54" w:rsidSect="008248FD">
      <w:headerReference w:type="even" r:id="rId22"/>
      <w:headerReference w:type="default" r:id="rId23"/>
      <w:footerReference w:type="even" r:id="rId24"/>
      <w:footerReference w:type="default" r:id="rId25"/>
      <w:headerReference w:type="first" r:id="rId26"/>
      <w:footerReference w:type="first" r:id="rId27"/>
      <w:pgSz w:w="11907" w:h="16839"/>
      <w:pgMar w:top="1304" w:right="1418" w:bottom="1304"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DB2" w:rsidP="00DA038A" w:rsidRDefault="00111DB2" w14:paraId="08DA5DA0" w14:textId="77777777">
      <w:pPr>
        <w:spacing w:line="240" w:lineRule="auto"/>
      </w:pPr>
      <w:r>
        <w:separator/>
      </w:r>
    </w:p>
  </w:endnote>
  <w:endnote w:type="continuationSeparator" w:id="0">
    <w:p w:rsidR="00111DB2" w:rsidP="00DA038A" w:rsidRDefault="00111DB2" w14:paraId="7557EE1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A" w:rsidRDefault="00493B6A" w14:paraId="486307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CE063A" w:rsidP="00493B6A" w:rsidRDefault="00493B6A" w14:paraId="3CEF33FB" w14:textId="23E38CD9">
    <w:pPr>
      <w:pStyle w:val="Footer"/>
    </w:pPr>
    <w:r>
      <w:t xml:space="preserve">COR-2024-01474-00-00-PAC-TRA (EN) </w:t>
    </w:r>
    <w:r>
      <w:fldChar w:fldCharType="begin"/>
    </w:r>
    <w:r>
      <w:instrText xml:space="preserve"> PAGE  \* Arabic  \* MERGEFORMAT </w:instrText>
    </w:r>
    <w:r>
      <w:fldChar w:fldCharType="separate"/>
    </w:r>
    <w:r w:rsidR="003651BD">
      <w:rPr>
        <w:noProof/>
      </w:rPr>
      <w:t>1</w:t>
    </w:r>
    <w:r>
      <w:fldChar w:fldCharType="end"/>
    </w:r>
    <w:r>
      <w:t>/</w:t>
    </w:r>
    <w:r>
      <w:fldChar w:fldCharType="begin"/>
    </w:r>
    <w:r>
      <w:instrText xml:space="preserve"> NUMPAGES </w:instrText>
    </w:r>
    <w:r>
      <w:fldChar w:fldCharType="separate"/>
    </w:r>
    <w:r w:rsidR="003651B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A" w:rsidRDefault="00493B6A" w14:paraId="34F9A48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EB5DC1" w14:paraId="24A5B2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493B6A" w14:paraId="6EF6194D" w14:textId="4544FABA">
    <w:pPr>
      <w:pStyle w:val="Footer"/>
    </w:pPr>
    <w:r>
      <w:t xml:space="preserve">COR-2024-01474-00-00-PAC-TRA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EB5DC1" w14:paraId="2B0C98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DB2" w:rsidP="00DA038A" w:rsidRDefault="00111DB2" w14:paraId="763042BA" w14:textId="77777777">
      <w:pPr>
        <w:spacing w:line="240" w:lineRule="auto"/>
      </w:pPr>
      <w:r>
        <w:separator/>
      </w:r>
    </w:p>
  </w:footnote>
  <w:footnote w:type="continuationSeparator" w:id="0">
    <w:p w:rsidR="00111DB2" w:rsidP="00DA038A" w:rsidRDefault="00111DB2" w14:paraId="335CA275" w14:textId="77777777">
      <w:pPr>
        <w:spacing w:line="240" w:lineRule="auto"/>
      </w:pPr>
      <w:r>
        <w:continuationSeparator/>
      </w:r>
    </w:p>
  </w:footnote>
  <w:footnote w:id="1">
    <w:p w:rsidRPr="00D57B65" w:rsidR="00015139" w:rsidP="00015139" w:rsidRDefault="00015139" w14:paraId="68FBC8D1" w14:textId="7E669EC4">
      <w:pPr>
        <w:pStyle w:val="FootnoteText"/>
        <w:rPr>
          <w:lang w:val="en-GB"/>
        </w:rPr>
      </w:pPr>
      <w:r w:rsidRPr="00D57B65">
        <w:rPr>
          <w:rStyle w:val="FootnoteReference"/>
          <w:lang w:val="en-GB"/>
        </w:rPr>
        <w:footnoteRef/>
      </w:r>
      <w:r>
        <w:rPr>
          <w:lang w:val="en-GB"/>
        </w:rPr>
        <w:tab/>
      </w:r>
      <w:hyperlink w:history="1" r:id="rId1">
        <w:r w:rsidRPr="00CE063A">
          <w:rPr>
            <w:rStyle w:val="Hyperlink"/>
            <w:szCs w:val="16"/>
            <w:lang w:val="en-GB"/>
          </w:rPr>
          <w:t>https://data.europa.eu/doi/10.2863/718117</w:t>
        </w:r>
      </w:hyperlink>
      <w:r w:rsidRPr="00CE063A">
        <w:rPr>
          <w:szCs w:val="16"/>
          <w:lang w:val="en-GB"/>
        </w:rPr>
        <w:t>.</w:t>
      </w:r>
    </w:p>
  </w:footnote>
  <w:footnote w:id="2">
    <w:p w:rsidRPr="00D57B65" w:rsidR="00C21331" w:rsidRDefault="00C21331" w14:paraId="4B443D9A" w14:textId="41E5C2EF">
      <w:pPr>
        <w:pStyle w:val="FootnoteText"/>
        <w:rPr>
          <w:lang w:val="en-GB"/>
        </w:rPr>
      </w:pPr>
      <w:r w:rsidRPr="00D57B65">
        <w:rPr>
          <w:rStyle w:val="FootnoteReference"/>
          <w:lang w:val="en-GB"/>
        </w:rPr>
        <w:footnoteRef/>
      </w:r>
      <w:r w:rsidR="00CE063A">
        <w:rPr>
          <w:lang w:val="en-GB"/>
        </w:rPr>
        <w:tab/>
      </w:r>
      <w:r w:rsidRPr="00D57B65" w:rsidR="00985789">
        <w:rPr>
          <w:lang w:val="en-GB"/>
        </w:rPr>
        <w:t xml:space="preserve">The CoR (2024), </w:t>
      </w:r>
      <w:r w:rsidRPr="00586C4E" w:rsidR="00985789">
        <w:rPr>
          <w:i/>
          <w:iCs/>
          <w:lang w:val="en-GB"/>
        </w:rPr>
        <w:t>Regions and cities shaping the European Green Deal 2.0</w:t>
      </w:r>
      <w:r w:rsidR="00D57B65">
        <w:rPr>
          <w:lang w:val="en-GB"/>
        </w:rPr>
        <w:t>.</w:t>
      </w:r>
    </w:p>
  </w:footnote>
  <w:footnote w:id="3">
    <w:p w:rsidRPr="00D57B65" w:rsidR="00AE5E63" w:rsidP="00CE063A" w:rsidRDefault="00AE5E63" w14:paraId="64265116" w14:textId="6276BD55">
      <w:pPr>
        <w:pStyle w:val="FootnoteText"/>
        <w:rPr>
          <w:lang w:val="en-GB"/>
        </w:rPr>
      </w:pPr>
      <w:r w:rsidRPr="00D57B65">
        <w:rPr>
          <w:rStyle w:val="FootnoteReference"/>
          <w:lang w:val="en-GB"/>
        </w:rPr>
        <w:footnoteRef/>
      </w:r>
      <w:r w:rsidR="00162B83">
        <w:rPr>
          <w:lang w:val="en-GB"/>
        </w:rPr>
        <w:t xml:space="preserve"> </w:t>
      </w:r>
      <w:r w:rsidR="00CE063A">
        <w:rPr>
          <w:lang w:val="en-GB"/>
        </w:rPr>
        <w:tab/>
      </w:r>
      <w:r w:rsidRPr="00D57B65" w:rsidR="00D57B65">
        <w:rPr>
          <w:lang w:val="en-GB"/>
        </w:rPr>
        <w:t>Joint Communication to the European Parliament</w:t>
      </w:r>
      <w:r w:rsidRPr="00D57B65">
        <w:rPr>
          <w:lang w:val="en-GB"/>
        </w:rPr>
        <w:t xml:space="preserve"> </w:t>
      </w:r>
      <w:r w:rsidRPr="00D57B65" w:rsidR="00D57B65">
        <w:rPr>
          <w:lang w:val="en-GB"/>
        </w:rPr>
        <w:t>and the</w:t>
      </w:r>
      <w:r w:rsidRPr="00D57B65">
        <w:rPr>
          <w:lang w:val="en-GB"/>
        </w:rPr>
        <w:t xml:space="preserve"> </w:t>
      </w:r>
      <w:r w:rsidRPr="00D57B65" w:rsidR="00D57B65">
        <w:rPr>
          <w:lang w:val="en-GB"/>
        </w:rPr>
        <w:t>Council</w:t>
      </w:r>
      <w:r w:rsidR="00162B83">
        <w:rPr>
          <w:lang w:val="en-GB"/>
        </w:rPr>
        <w:t>,</w:t>
      </w:r>
      <w:r w:rsidRPr="00D57B65" w:rsidR="00D57B65">
        <w:rPr>
          <w:lang w:val="en-GB"/>
        </w:rPr>
        <w:t xml:space="preserve"> </w:t>
      </w:r>
      <w:r w:rsidRPr="00586C4E">
        <w:rPr>
          <w:i/>
          <w:iCs/>
          <w:lang w:val="en-GB"/>
        </w:rPr>
        <w:t>A new outlook on the climate and security nexus</w:t>
      </w:r>
      <w:r w:rsidRPr="00D57B65">
        <w:rPr>
          <w:lang w:val="en-GB"/>
        </w:rPr>
        <w:t xml:space="preserve">: </w:t>
      </w:r>
      <w:r w:rsidRPr="00D57B65" w:rsidR="00312C23">
        <w:rPr>
          <w:lang w:val="en-GB"/>
        </w:rPr>
        <w:t>JOIN/2023/19 final</w:t>
      </w:r>
      <w:r w:rsidR="00D57B65">
        <w:rPr>
          <w:lang w:val="en-GB"/>
        </w:rPr>
        <w:t>.</w:t>
      </w:r>
    </w:p>
  </w:footnote>
  <w:footnote w:id="4">
    <w:p w:rsidRPr="00D57B65" w:rsidR="0021487F" w:rsidP="0021487F" w:rsidRDefault="0021487F" w14:paraId="109FD699" w14:textId="78B06A2F">
      <w:pPr>
        <w:pStyle w:val="FootnoteText"/>
        <w:rPr>
          <w:sz w:val="18"/>
          <w:szCs w:val="18"/>
          <w:lang w:val="en-GB"/>
        </w:rPr>
      </w:pPr>
      <w:r w:rsidRPr="00D57B65">
        <w:rPr>
          <w:rStyle w:val="FootnoteReference"/>
          <w:lang w:val="en-GB"/>
        </w:rPr>
        <w:footnoteRef/>
      </w:r>
      <w:r w:rsidRPr="00D57B65">
        <w:rPr>
          <w:lang w:val="en-GB"/>
        </w:rPr>
        <w:t xml:space="preserve"> </w:t>
      </w:r>
      <w:r w:rsidR="00CE063A">
        <w:rPr>
          <w:lang w:val="en-GB"/>
        </w:rPr>
        <w:tab/>
      </w:r>
      <w:r w:rsidRPr="00CE063A">
        <w:rPr>
          <w:szCs w:val="16"/>
          <w:lang w:val="en-GB"/>
        </w:rPr>
        <w:t>European Environment Agency (2024)</w:t>
      </w:r>
      <w:r w:rsidRPr="00CE063A" w:rsidR="00162B83">
        <w:rPr>
          <w:szCs w:val="16"/>
          <w:lang w:val="en-GB"/>
        </w:rPr>
        <w:t>,</w:t>
      </w:r>
      <w:r w:rsidRPr="00CE063A">
        <w:rPr>
          <w:szCs w:val="16"/>
          <w:lang w:val="en-GB"/>
        </w:rPr>
        <w:t xml:space="preserve"> </w:t>
      </w:r>
      <w:r w:rsidRPr="00CE063A">
        <w:rPr>
          <w:i/>
          <w:iCs/>
          <w:szCs w:val="16"/>
          <w:lang w:val="en-GB"/>
        </w:rPr>
        <w:t xml:space="preserve">European climate risk assessment </w:t>
      </w:r>
      <w:r w:rsidRPr="00CE063A" w:rsidR="004767AA">
        <w:rPr>
          <w:i/>
          <w:iCs/>
          <w:szCs w:val="16"/>
          <w:lang w:val="en-GB"/>
        </w:rPr>
        <w:t xml:space="preserve">– </w:t>
      </w:r>
      <w:r w:rsidRPr="00CE063A">
        <w:rPr>
          <w:i/>
          <w:iCs/>
          <w:szCs w:val="16"/>
          <w:lang w:val="en-GB"/>
        </w:rPr>
        <w:t>Executive Summary</w:t>
      </w:r>
      <w:r w:rsidRPr="00CE063A" w:rsidR="00162B83">
        <w:rPr>
          <w:szCs w:val="16"/>
          <w:lang w:val="en-GB"/>
        </w:rPr>
        <w:t>,</w:t>
      </w:r>
      <w:r w:rsidRPr="00CE063A">
        <w:rPr>
          <w:szCs w:val="16"/>
          <w:lang w:val="en-GB"/>
        </w:rPr>
        <w:t xml:space="preserve"> EEA Report 01/2024</w:t>
      </w:r>
      <w:r w:rsidRPr="00CE063A" w:rsidR="00D57B65">
        <w:rPr>
          <w:szCs w:val="16"/>
          <w:lang w:val="en-GB"/>
        </w:rPr>
        <w:t>.</w:t>
      </w:r>
    </w:p>
  </w:footnote>
  <w:footnote w:id="5">
    <w:p w:rsidRPr="00D57B65" w:rsidR="006F3A3D" w:rsidP="006F3A3D" w:rsidRDefault="006F3A3D" w14:paraId="01834B7A" w14:textId="4F846CE1">
      <w:pPr>
        <w:pStyle w:val="FootnoteText"/>
        <w:rPr>
          <w:sz w:val="20"/>
          <w:szCs w:val="20"/>
          <w:lang w:val="en-GB"/>
        </w:rPr>
      </w:pPr>
      <w:r w:rsidRPr="008248FD">
        <w:rPr>
          <w:rStyle w:val="FootnoteReference"/>
          <w:szCs w:val="24"/>
          <w:lang w:val="en-GB"/>
        </w:rPr>
        <w:footnoteRef/>
      </w:r>
      <w:r w:rsidR="00CE063A">
        <w:rPr>
          <w:sz w:val="20"/>
          <w:szCs w:val="20"/>
          <w:lang w:val="en-GB"/>
        </w:rPr>
        <w:tab/>
      </w:r>
      <w:r w:rsidRPr="00CE063A">
        <w:rPr>
          <w:szCs w:val="16"/>
          <w:lang w:val="en-GB"/>
        </w:rPr>
        <w:t>The</w:t>
      </w:r>
      <w:r w:rsidR="006E074B">
        <w:rPr>
          <w:szCs w:val="16"/>
          <w:lang w:val="en-GB"/>
        </w:rPr>
        <w:t xml:space="preserve"> </w:t>
      </w:r>
      <w:r w:rsidRPr="00CE063A">
        <w:rPr>
          <w:szCs w:val="16"/>
          <w:lang w:val="en-GB"/>
        </w:rPr>
        <w:t>International Energy Agency (IEA) report 2021</w:t>
      </w:r>
      <w:r w:rsidRPr="00CE063A" w:rsidR="005B5E49">
        <w:rPr>
          <w:szCs w:val="16"/>
          <w:lang w:val="en-GB"/>
        </w:rPr>
        <w:t>,</w:t>
      </w:r>
      <w:r w:rsidRPr="00CE063A" w:rsidR="00736D0D">
        <w:rPr>
          <w:szCs w:val="16"/>
          <w:lang w:val="en-GB"/>
        </w:rPr>
        <w:t xml:space="preserve"> </w:t>
      </w:r>
      <w:r w:rsidRPr="00CE063A">
        <w:rPr>
          <w:i/>
          <w:iCs/>
          <w:szCs w:val="16"/>
          <w:lang w:val="en-GB"/>
        </w:rPr>
        <w:t>A Roadmap for the Global Energy Sector</w:t>
      </w:r>
      <w:r w:rsidRPr="00CE063A" w:rsidR="00D57B65">
        <w:rPr>
          <w:szCs w:val="16"/>
          <w:lang w:val="en-GB"/>
        </w:rPr>
        <w:t>.</w:t>
      </w:r>
    </w:p>
  </w:footnote>
  <w:footnote w:id="6">
    <w:p w:rsidRPr="00D57B65" w:rsidR="006F3A3D" w:rsidP="007D3C47" w:rsidRDefault="006F3A3D" w14:paraId="24F334CE" w14:textId="2651D3B9">
      <w:pPr>
        <w:pStyle w:val="FootnoteText"/>
        <w:spacing w:after="0"/>
        <w:rPr>
          <w:lang w:val="en-GB"/>
        </w:rPr>
      </w:pPr>
      <w:r w:rsidRPr="00D57B65">
        <w:rPr>
          <w:rStyle w:val="FootnoteReference"/>
          <w:lang w:val="en-GB"/>
        </w:rPr>
        <w:footnoteRef/>
      </w:r>
      <w:r w:rsidR="00CE063A">
        <w:rPr>
          <w:lang w:val="en-GB"/>
        </w:rPr>
        <w:tab/>
      </w:r>
      <w:r w:rsidRPr="00CE063A" w:rsidR="00561574">
        <w:rPr>
          <w:szCs w:val="16"/>
          <w:lang w:val="en-GB"/>
        </w:rPr>
        <w:t xml:space="preserve">CoR </w:t>
      </w:r>
      <w:r w:rsidRPr="00CE063A" w:rsidR="00D57B65">
        <w:rPr>
          <w:szCs w:val="16"/>
          <w:lang w:val="en-GB"/>
        </w:rPr>
        <w:t>o</w:t>
      </w:r>
      <w:r w:rsidRPr="00CE063A">
        <w:rPr>
          <w:szCs w:val="16"/>
          <w:lang w:val="en-GB"/>
        </w:rPr>
        <w:t xml:space="preserve">pinion </w:t>
      </w:r>
      <w:r w:rsidRPr="00CE063A">
        <w:rPr>
          <w:i/>
          <w:iCs/>
          <w:szCs w:val="16"/>
          <w:lang w:val="en-GB"/>
        </w:rPr>
        <w:t>The Net-Zero Industry Act</w:t>
      </w:r>
      <w:r w:rsidRPr="00CE063A" w:rsidR="00D57B65">
        <w:rPr>
          <w:szCs w:val="16"/>
          <w:lang w:val="en-GB"/>
        </w:rPr>
        <w:t>,</w:t>
      </w:r>
      <w:r w:rsidRPr="00CE063A">
        <w:rPr>
          <w:szCs w:val="16"/>
          <w:lang w:val="en-GB"/>
        </w:rPr>
        <w:t xml:space="preserve"> </w:t>
      </w:r>
      <w:r w:rsidRPr="00CE063A" w:rsidR="00C53562">
        <w:rPr>
          <w:szCs w:val="16"/>
          <w:lang w:val="en-GB"/>
        </w:rPr>
        <w:t xml:space="preserve">rapporteur </w:t>
      </w:r>
      <w:r w:rsidRPr="00CE063A">
        <w:rPr>
          <w:szCs w:val="16"/>
          <w:lang w:val="en-GB"/>
        </w:rPr>
        <w:t>M</w:t>
      </w:r>
      <w:r w:rsidRPr="00CE063A" w:rsidR="00C53562">
        <w:rPr>
          <w:szCs w:val="16"/>
          <w:lang w:val="en-GB"/>
        </w:rPr>
        <w:t>ark</w:t>
      </w:r>
      <w:r w:rsidRPr="00CE063A" w:rsidR="00D57B65">
        <w:rPr>
          <w:szCs w:val="16"/>
          <w:lang w:val="en-GB"/>
        </w:rPr>
        <w:t xml:space="preserve"> </w:t>
      </w:r>
      <w:r w:rsidRPr="00CE063A">
        <w:rPr>
          <w:szCs w:val="16"/>
          <w:lang w:val="en-GB"/>
        </w:rPr>
        <w:t>Speich</w:t>
      </w:r>
      <w:r w:rsidRPr="00CE063A" w:rsidR="00D57B65">
        <w:rPr>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A" w:rsidRDefault="00493B6A" w14:paraId="7D4AFF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A" w:rsidRDefault="00493B6A" w14:paraId="334E01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6A" w:rsidRDefault="00493B6A" w14:paraId="0EB1D6F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EB5DC1" w14:paraId="120798C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EB5DC1" w14:paraId="180FCD32" w14:textId="70B95B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93B6A" w:rsidR="00EB5DC1" w:rsidP="00493B6A" w:rsidRDefault="00EB5DC1" w14:paraId="42F2FF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758F210"/>
    <w:lvl w:ilvl="0">
      <w:start w:val="1"/>
      <w:numFmt w:val="decimal"/>
      <w:pStyle w:val="Heading1"/>
      <w:lvlText w:val="%1."/>
      <w:legacy w:legacy="1" w:legacySpace="0" w:legacyIndent="0"/>
      <w:lvlJc w:val="left"/>
      <w:rPr>
        <w:b w:val="0"/>
        <w:bCs w:val="0"/>
        <w:i w:val="0"/>
        <w:i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59B7"/>
    <w:multiLevelType w:val="hybridMultilevel"/>
    <w:tmpl w:val="0E8A2030"/>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3E63639"/>
    <w:multiLevelType w:val="hybridMultilevel"/>
    <w:tmpl w:val="EE5E45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1D6764"/>
    <w:multiLevelType w:val="hybridMultilevel"/>
    <w:tmpl w:val="83CC9D38"/>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9C3902"/>
    <w:multiLevelType w:val="hybridMultilevel"/>
    <w:tmpl w:val="26E69D0C"/>
    <w:lvl w:ilvl="0" w:tplc="BCEC3EBA">
      <w:start w:val="1"/>
      <w:numFmt w:val="decimal"/>
      <w:lvlText w:val="%1."/>
      <w:lvlJc w:val="left"/>
      <w:pPr>
        <w:ind w:left="351" w:hanging="360"/>
      </w:pPr>
      <w:rPr>
        <w:rFonts w:hint="default"/>
      </w:rPr>
    </w:lvl>
    <w:lvl w:ilvl="1" w:tplc="041D0019" w:tentative="1">
      <w:start w:val="1"/>
      <w:numFmt w:val="lowerLetter"/>
      <w:lvlText w:val="%2."/>
      <w:lvlJc w:val="left"/>
      <w:pPr>
        <w:ind w:left="1071" w:hanging="360"/>
      </w:pPr>
    </w:lvl>
    <w:lvl w:ilvl="2" w:tplc="041D001B" w:tentative="1">
      <w:start w:val="1"/>
      <w:numFmt w:val="lowerRoman"/>
      <w:lvlText w:val="%3."/>
      <w:lvlJc w:val="right"/>
      <w:pPr>
        <w:ind w:left="1791" w:hanging="180"/>
      </w:pPr>
    </w:lvl>
    <w:lvl w:ilvl="3" w:tplc="041D000F" w:tentative="1">
      <w:start w:val="1"/>
      <w:numFmt w:val="decimal"/>
      <w:lvlText w:val="%4."/>
      <w:lvlJc w:val="left"/>
      <w:pPr>
        <w:ind w:left="2511" w:hanging="360"/>
      </w:pPr>
    </w:lvl>
    <w:lvl w:ilvl="4" w:tplc="041D0019" w:tentative="1">
      <w:start w:val="1"/>
      <w:numFmt w:val="lowerLetter"/>
      <w:lvlText w:val="%5."/>
      <w:lvlJc w:val="left"/>
      <w:pPr>
        <w:ind w:left="3231" w:hanging="360"/>
      </w:pPr>
    </w:lvl>
    <w:lvl w:ilvl="5" w:tplc="041D001B" w:tentative="1">
      <w:start w:val="1"/>
      <w:numFmt w:val="lowerRoman"/>
      <w:lvlText w:val="%6."/>
      <w:lvlJc w:val="right"/>
      <w:pPr>
        <w:ind w:left="3951" w:hanging="180"/>
      </w:pPr>
    </w:lvl>
    <w:lvl w:ilvl="6" w:tplc="041D000F" w:tentative="1">
      <w:start w:val="1"/>
      <w:numFmt w:val="decimal"/>
      <w:lvlText w:val="%7."/>
      <w:lvlJc w:val="left"/>
      <w:pPr>
        <w:ind w:left="4671" w:hanging="360"/>
      </w:pPr>
    </w:lvl>
    <w:lvl w:ilvl="7" w:tplc="041D0019" w:tentative="1">
      <w:start w:val="1"/>
      <w:numFmt w:val="lowerLetter"/>
      <w:lvlText w:val="%8."/>
      <w:lvlJc w:val="left"/>
      <w:pPr>
        <w:ind w:left="5391" w:hanging="360"/>
      </w:pPr>
    </w:lvl>
    <w:lvl w:ilvl="8" w:tplc="041D001B" w:tentative="1">
      <w:start w:val="1"/>
      <w:numFmt w:val="lowerRoman"/>
      <w:lvlText w:val="%9."/>
      <w:lvlJc w:val="right"/>
      <w:pPr>
        <w:ind w:left="6111" w:hanging="180"/>
      </w:pPr>
    </w:lvl>
  </w:abstractNum>
  <w:abstractNum w:abstractNumId="5" w15:restartNumberingAfterBreak="0">
    <w:nsid w:val="0758783D"/>
    <w:multiLevelType w:val="hybridMultilevel"/>
    <w:tmpl w:val="09D489F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09582EA7"/>
    <w:multiLevelType w:val="hybridMultilevel"/>
    <w:tmpl w:val="4CA4A144"/>
    <w:lvl w:ilvl="0" w:tplc="32F0A5A8">
      <w:start w:val="1"/>
      <w:numFmt w:val="decimal"/>
      <w:lvlText w:val="%1."/>
      <w:lvlJc w:val="left"/>
      <w:pPr>
        <w:ind w:left="1080" w:hanging="72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6236C"/>
    <w:multiLevelType w:val="hybridMultilevel"/>
    <w:tmpl w:val="C99E5AE0"/>
    <w:lvl w:ilvl="0" w:tplc="A4FCF73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B2A6AE6"/>
    <w:multiLevelType w:val="multilevel"/>
    <w:tmpl w:val="7A3E34C4"/>
    <w:lvl w:ilvl="0">
      <w:start w:val="1"/>
      <w:numFmt w:val="lowerLetter"/>
      <w:lvlText w:val="%1)"/>
      <w:lvlJc w:val="left"/>
      <w:pPr>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0BFC68B4"/>
    <w:multiLevelType w:val="hybridMultilevel"/>
    <w:tmpl w:val="E44CFA2C"/>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F636C8"/>
    <w:multiLevelType w:val="hybridMultilevel"/>
    <w:tmpl w:val="BD2606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E5037DA"/>
    <w:multiLevelType w:val="multilevel"/>
    <w:tmpl w:val="ED04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5E0DF2"/>
    <w:multiLevelType w:val="hybridMultilevel"/>
    <w:tmpl w:val="5E84608E"/>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AE45913"/>
    <w:multiLevelType w:val="hybridMultilevel"/>
    <w:tmpl w:val="D9CE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C7159"/>
    <w:multiLevelType w:val="multilevel"/>
    <w:tmpl w:val="55EA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623D82"/>
    <w:multiLevelType w:val="hybridMultilevel"/>
    <w:tmpl w:val="BC465E8C"/>
    <w:lvl w:ilvl="0" w:tplc="08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954A00"/>
    <w:multiLevelType w:val="hybridMultilevel"/>
    <w:tmpl w:val="BACA71A0"/>
    <w:lvl w:ilvl="0" w:tplc="CAC8FC0A">
      <w:start w:val="10"/>
      <w:numFmt w:val="bullet"/>
      <w:lvlText w:val="-"/>
      <w:lvlJc w:val="left"/>
      <w:pPr>
        <w:ind w:left="1998" w:hanging="360"/>
      </w:pPr>
      <w:rPr>
        <w:rFonts w:ascii="Calibri" w:hAnsi="Calibri" w:hint="default"/>
        <w:color w:val="auto"/>
      </w:rPr>
    </w:lvl>
    <w:lvl w:ilvl="1" w:tplc="FFFFFFFF" w:tentative="1">
      <w:start w:val="1"/>
      <w:numFmt w:val="bullet"/>
      <w:lvlText w:val="o"/>
      <w:lvlJc w:val="left"/>
      <w:pPr>
        <w:ind w:left="2718" w:hanging="360"/>
      </w:pPr>
      <w:rPr>
        <w:rFonts w:ascii="Courier New" w:hAnsi="Courier New" w:cs="Courier New" w:hint="default"/>
      </w:rPr>
    </w:lvl>
    <w:lvl w:ilvl="2" w:tplc="FFFFFFFF" w:tentative="1">
      <w:start w:val="1"/>
      <w:numFmt w:val="bullet"/>
      <w:lvlText w:val=""/>
      <w:lvlJc w:val="left"/>
      <w:pPr>
        <w:ind w:left="3438" w:hanging="360"/>
      </w:pPr>
      <w:rPr>
        <w:rFonts w:ascii="Wingdings" w:hAnsi="Wingdings" w:hint="default"/>
      </w:rPr>
    </w:lvl>
    <w:lvl w:ilvl="3" w:tplc="FFFFFFFF" w:tentative="1">
      <w:start w:val="1"/>
      <w:numFmt w:val="bullet"/>
      <w:lvlText w:val=""/>
      <w:lvlJc w:val="left"/>
      <w:pPr>
        <w:ind w:left="4158" w:hanging="360"/>
      </w:pPr>
      <w:rPr>
        <w:rFonts w:ascii="Symbol" w:hAnsi="Symbol" w:hint="default"/>
      </w:rPr>
    </w:lvl>
    <w:lvl w:ilvl="4" w:tplc="FFFFFFFF" w:tentative="1">
      <w:start w:val="1"/>
      <w:numFmt w:val="bullet"/>
      <w:lvlText w:val="o"/>
      <w:lvlJc w:val="left"/>
      <w:pPr>
        <w:ind w:left="4878" w:hanging="360"/>
      </w:pPr>
      <w:rPr>
        <w:rFonts w:ascii="Courier New" w:hAnsi="Courier New" w:cs="Courier New" w:hint="default"/>
      </w:rPr>
    </w:lvl>
    <w:lvl w:ilvl="5" w:tplc="FFFFFFFF" w:tentative="1">
      <w:start w:val="1"/>
      <w:numFmt w:val="bullet"/>
      <w:lvlText w:val=""/>
      <w:lvlJc w:val="left"/>
      <w:pPr>
        <w:ind w:left="5598" w:hanging="360"/>
      </w:pPr>
      <w:rPr>
        <w:rFonts w:ascii="Wingdings" w:hAnsi="Wingdings" w:hint="default"/>
      </w:rPr>
    </w:lvl>
    <w:lvl w:ilvl="6" w:tplc="FFFFFFFF" w:tentative="1">
      <w:start w:val="1"/>
      <w:numFmt w:val="bullet"/>
      <w:lvlText w:val=""/>
      <w:lvlJc w:val="left"/>
      <w:pPr>
        <w:ind w:left="6318" w:hanging="360"/>
      </w:pPr>
      <w:rPr>
        <w:rFonts w:ascii="Symbol" w:hAnsi="Symbol" w:hint="default"/>
      </w:rPr>
    </w:lvl>
    <w:lvl w:ilvl="7" w:tplc="FFFFFFFF" w:tentative="1">
      <w:start w:val="1"/>
      <w:numFmt w:val="bullet"/>
      <w:lvlText w:val="o"/>
      <w:lvlJc w:val="left"/>
      <w:pPr>
        <w:ind w:left="7038" w:hanging="360"/>
      </w:pPr>
      <w:rPr>
        <w:rFonts w:ascii="Courier New" w:hAnsi="Courier New" w:cs="Courier New" w:hint="default"/>
      </w:rPr>
    </w:lvl>
    <w:lvl w:ilvl="8" w:tplc="FFFFFFFF" w:tentative="1">
      <w:start w:val="1"/>
      <w:numFmt w:val="bullet"/>
      <w:lvlText w:val=""/>
      <w:lvlJc w:val="left"/>
      <w:pPr>
        <w:ind w:left="7758" w:hanging="360"/>
      </w:pPr>
      <w:rPr>
        <w:rFonts w:ascii="Wingdings" w:hAnsi="Wingdings" w:hint="default"/>
      </w:rPr>
    </w:lvl>
  </w:abstractNum>
  <w:abstractNum w:abstractNumId="17" w15:restartNumberingAfterBreak="0">
    <w:nsid w:val="23890783"/>
    <w:multiLevelType w:val="hybridMultilevel"/>
    <w:tmpl w:val="88A8FB5E"/>
    <w:lvl w:ilvl="0" w:tplc="A51A4E3A">
      <w:start w:val="4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CC2D08"/>
    <w:multiLevelType w:val="hybridMultilevel"/>
    <w:tmpl w:val="92DA3D9A"/>
    <w:lvl w:ilvl="0" w:tplc="9F700530">
      <w:start w:val="1"/>
      <w:numFmt w:val="bullet"/>
      <w:lvlText w:val=""/>
      <w:lvlJc w:val="left"/>
      <w:pPr>
        <w:ind w:left="1080" w:hanging="360"/>
      </w:pPr>
      <w:rPr>
        <w:rFonts w:ascii="Symbol" w:eastAsia="Symbol" w:hAnsi="Symbol" w:cs="Symbol"/>
      </w:rPr>
    </w:lvl>
    <w:lvl w:ilvl="1" w:tplc="716802D8">
      <w:start w:val="1"/>
      <w:numFmt w:val="bullet"/>
      <w:lvlText w:val="o"/>
      <w:lvlJc w:val="left"/>
      <w:pPr>
        <w:ind w:left="1800" w:hanging="360"/>
      </w:pPr>
      <w:rPr>
        <w:rFonts w:ascii="Courier New" w:eastAsia="Courier New" w:hAnsi="Courier New" w:cs="Courier New"/>
      </w:rPr>
    </w:lvl>
    <w:lvl w:ilvl="2" w:tplc="805A9D32">
      <w:start w:val="1"/>
      <w:numFmt w:val="bullet"/>
      <w:lvlText w:val=""/>
      <w:lvlJc w:val="left"/>
      <w:pPr>
        <w:ind w:left="2520" w:hanging="360"/>
      </w:pPr>
      <w:rPr>
        <w:rFonts w:ascii="Wingdings" w:eastAsia="Wingdings" w:hAnsi="Wingdings" w:cs="Wingdings"/>
      </w:rPr>
    </w:lvl>
    <w:lvl w:ilvl="3" w:tplc="0DFCD9E4">
      <w:start w:val="1"/>
      <w:numFmt w:val="bullet"/>
      <w:lvlText w:val=""/>
      <w:lvlJc w:val="left"/>
      <w:pPr>
        <w:ind w:left="3240" w:hanging="360"/>
      </w:pPr>
      <w:rPr>
        <w:rFonts w:ascii="Symbol" w:eastAsia="Symbol" w:hAnsi="Symbol" w:cs="Symbol"/>
      </w:rPr>
    </w:lvl>
    <w:lvl w:ilvl="4" w:tplc="958C97F4">
      <w:start w:val="1"/>
      <w:numFmt w:val="bullet"/>
      <w:lvlText w:val="o"/>
      <w:lvlJc w:val="left"/>
      <w:pPr>
        <w:ind w:left="3960" w:hanging="360"/>
      </w:pPr>
      <w:rPr>
        <w:rFonts w:ascii="Courier New" w:eastAsia="Courier New" w:hAnsi="Courier New" w:cs="Courier New"/>
      </w:rPr>
    </w:lvl>
    <w:lvl w:ilvl="5" w:tplc="E18EBFCE">
      <w:start w:val="1"/>
      <w:numFmt w:val="bullet"/>
      <w:lvlText w:val=""/>
      <w:lvlJc w:val="left"/>
      <w:pPr>
        <w:ind w:left="4680" w:hanging="360"/>
      </w:pPr>
      <w:rPr>
        <w:rFonts w:ascii="Wingdings" w:eastAsia="Wingdings" w:hAnsi="Wingdings" w:cs="Wingdings"/>
      </w:rPr>
    </w:lvl>
    <w:lvl w:ilvl="6" w:tplc="C9869FD6">
      <w:start w:val="1"/>
      <w:numFmt w:val="bullet"/>
      <w:lvlText w:val=""/>
      <w:lvlJc w:val="left"/>
      <w:pPr>
        <w:ind w:left="5400" w:hanging="360"/>
      </w:pPr>
      <w:rPr>
        <w:rFonts w:ascii="Symbol" w:eastAsia="Symbol" w:hAnsi="Symbol" w:cs="Symbol"/>
      </w:rPr>
    </w:lvl>
    <w:lvl w:ilvl="7" w:tplc="6A30285E">
      <w:start w:val="1"/>
      <w:numFmt w:val="bullet"/>
      <w:lvlText w:val="o"/>
      <w:lvlJc w:val="left"/>
      <w:pPr>
        <w:ind w:left="6120" w:hanging="360"/>
      </w:pPr>
      <w:rPr>
        <w:rFonts w:ascii="Courier New" w:eastAsia="Courier New" w:hAnsi="Courier New" w:cs="Courier New"/>
      </w:rPr>
    </w:lvl>
    <w:lvl w:ilvl="8" w:tplc="197E77BC">
      <w:start w:val="1"/>
      <w:numFmt w:val="bullet"/>
      <w:lvlText w:val=""/>
      <w:lvlJc w:val="left"/>
      <w:pPr>
        <w:ind w:left="6840" w:hanging="360"/>
      </w:pPr>
      <w:rPr>
        <w:rFonts w:ascii="Wingdings" w:eastAsia="Wingdings" w:hAnsi="Wingdings" w:cs="Wingdings"/>
      </w:rPr>
    </w:lvl>
  </w:abstractNum>
  <w:abstractNum w:abstractNumId="19" w15:restartNumberingAfterBreak="0">
    <w:nsid w:val="28B4423D"/>
    <w:multiLevelType w:val="multilevel"/>
    <w:tmpl w:val="CF50AC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130CF"/>
    <w:multiLevelType w:val="hybridMultilevel"/>
    <w:tmpl w:val="58F6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636DF"/>
    <w:multiLevelType w:val="multilevel"/>
    <w:tmpl w:val="ED009972"/>
    <w:lvl w:ilvl="0">
      <w:start w:val="1"/>
      <w:numFmt w:val="decimal"/>
      <w:lvlText w:val="%1."/>
      <w:lvlJc w:val="left"/>
      <w:pPr>
        <w:ind w:left="351" w:hanging="360"/>
      </w:pPr>
      <w:rPr>
        <w:rFonts w:hint="default"/>
      </w:rPr>
    </w:lvl>
    <w:lvl w:ilvl="1">
      <w:start w:val="1"/>
      <w:numFmt w:val="lowerLetter"/>
      <w:lvlText w:val="%2."/>
      <w:lvlJc w:val="left"/>
      <w:pPr>
        <w:ind w:left="1071" w:hanging="360"/>
      </w:pPr>
    </w:lvl>
    <w:lvl w:ilvl="2">
      <w:start w:val="1"/>
      <w:numFmt w:val="lowerRoman"/>
      <w:lvlText w:val="%3."/>
      <w:lvlJc w:val="right"/>
      <w:pPr>
        <w:ind w:left="1791" w:hanging="180"/>
      </w:pPr>
    </w:lvl>
    <w:lvl w:ilvl="3">
      <w:start w:val="1"/>
      <w:numFmt w:val="decimal"/>
      <w:lvlText w:val="%4."/>
      <w:lvlJc w:val="left"/>
      <w:pPr>
        <w:ind w:left="2511" w:hanging="360"/>
      </w:pPr>
    </w:lvl>
    <w:lvl w:ilvl="4">
      <w:start w:val="1"/>
      <w:numFmt w:val="lowerLetter"/>
      <w:lvlText w:val="%5."/>
      <w:lvlJc w:val="left"/>
      <w:pPr>
        <w:ind w:left="3231" w:hanging="360"/>
      </w:pPr>
    </w:lvl>
    <w:lvl w:ilvl="5">
      <w:start w:val="1"/>
      <w:numFmt w:val="lowerRoman"/>
      <w:lvlText w:val="%6."/>
      <w:lvlJc w:val="right"/>
      <w:pPr>
        <w:ind w:left="3951" w:hanging="180"/>
      </w:pPr>
    </w:lvl>
    <w:lvl w:ilvl="6">
      <w:start w:val="1"/>
      <w:numFmt w:val="decimal"/>
      <w:lvlText w:val="%7."/>
      <w:lvlJc w:val="left"/>
      <w:pPr>
        <w:ind w:left="4671" w:hanging="360"/>
      </w:pPr>
    </w:lvl>
    <w:lvl w:ilvl="7">
      <w:start w:val="1"/>
      <w:numFmt w:val="lowerLetter"/>
      <w:lvlText w:val="%8."/>
      <w:lvlJc w:val="left"/>
      <w:pPr>
        <w:ind w:left="5391" w:hanging="360"/>
      </w:pPr>
    </w:lvl>
    <w:lvl w:ilvl="8">
      <w:start w:val="1"/>
      <w:numFmt w:val="lowerRoman"/>
      <w:lvlText w:val="%9."/>
      <w:lvlJc w:val="right"/>
      <w:pPr>
        <w:ind w:left="6111" w:hanging="180"/>
      </w:pPr>
    </w:lvl>
  </w:abstractNum>
  <w:abstractNum w:abstractNumId="22" w15:restartNumberingAfterBreak="0">
    <w:nsid w:val="2F300AC3"/>
    <w:multiLevelType w:val="hybridMultilevel"/>
    <w:tmpl w:val="2A4C0C12"/>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5A359FB"/>
    <w:multiLevelType w:val="hybridMultilevel"/>
    <w:tmpl w:val="DA8E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51135E"/>
    <w:multiLevelType w:val="hybridMultilevel"/>
    <w:tmpl w:val="6D32A6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B207491"/>
    <w:multiLevelType w:val="multilevel"/>
    <w:tmpl w:val="1526CA58"/>
    <w:lvl w:ilvl="0">
      <w:start w:val="1"/>
      <w:numFmt w:val="bullet"/>
      <w:lvlText w:val=""/>
      <w:lvlJc w:val="left"/>
      <w:pPr>
        <w:ind w:left="720" w:hanging="360"/>
      </w:pPr>
      <w:rPr>
        <w:rFonts w:ascii="Symbol" w:hAnsi="Symbol" w:hint="default"/>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7"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69713C"/>
    <w:multiLevelType w:val="hybridMultilevel"/>
    <w:tmpl w:val="1CDA5820"/>
    <w:lvl w:ilvl="0" w:tplc="AB88F9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2BB1A9E"/>
    <w:multiLevelType w:val="multilevel"/>
    <w:tmpl w:val="4B50D09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2A6D47"/>
    <w:multiLevelType w:val="hybridMultilevel"/>
    <w:tmpl w:val="DB46BF28"/>
    <w:lvl w:ilvl="0" w:tplc="EAD0EAD8">
      <w:start w:val="1"/>
      <w:numFmt w:val="bullet"/>
      <w:lvlText w:val=""/>
      <w:lvlJc w:val="left"/>
      <w:pPr>
        <w:ind w:left="720" w:hanging="360"/>
      </w:pPr>
      <w:rPr>
        <w:rFonts w:ascii="Wingdings" w:hAnsi="Wingdings" w:hint="default"/>
        <w:color w:val="008BC5"/>
      </w:rPr>
    </w:lvl>
    <w:lvl w:ilvl="1" w:tplc="E93A0E9C">
      <w:start w:val="1"/>
      <w:numFmt w:val="bullet"/>
      <w:lvlText w:val=""/>
      <w:lvlJc w:val="left"/>
      <w:pPr>
        <w:ind w:left="1440" w:hanging="360"/>
      </w:pPr>
      <w:rPr>
        <w:rFonts w:ascii="Wingdings" w:hAnsi="Wingdings" w:hint="default"/>
        <w:color w:val="57575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624BF"/>
    <w:multiLevelType w:val="hybridMultilevel"/>
    <w:tmpl w:val="95463BB6"/>
    <w:lvl w:ilvl="0" w:tplc="AE26795C">
      <w:start w:val="14"/>
      <w:numFmt w:val="decimal"/>
      <w:lvlText w:val="%1."/>
      <w:lvlJc w:val="left"/>
      <w:pPr>
        <w:ind w:left="1800" w:hanging="720"/>
      </w:pPr>
      <w:rPr>
        <w:rFonts w:hint="default"/>
        <w:b w:val="0"/>
        <w:bCs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2" w15:restartNumberingAfterBreak="0">
    <w:nsid w:val="57DD0868"/>
    <w:multiLevelType w:val="hybridMultilevel"/>
    <w:tmpl w:val="5D0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B594B"/>
    <w:multiLevelType w:val="hybridMultilevel"/>
    <w:tmpl w:val="31DC29FE"/>
    <w:lvl w:ilvl="0" w:tplc="1C74E25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5BA765B3"/>
    <w:multiLevelType w:val="hybridMultilevel"/>
    <w:tmpl w:val="9B6AC4DA"/>
    <w:lvl w:ilvl="0" w:tplc="CAC8FC0A">
      <w:start w:val="10"/>
      <w:numFmt w:val="bullet"/>
      <w:lvlText w:val="-"/>
      <w:lvlJc w:val="left"/>
      <w:pPr>
        <w:ind w:left="720" w:hanging="360"/>
      </w:pPr>
      <w:rPr>
        <w:rFonts w:ascii="Calibri" w:hAnsi="Calibri"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2FC3C2A"/>
    <w:multiLevelType w:val="multilevel"/>
    <w:tmpl w:val="8D50B1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44865CF"/>
    <w:multiLevelType w:val="hybridMultilevel"/>
    <w:tmpl w:val="40FC6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35144"/>
    <w:multiLevelType w:val="hybridMultilevel"/>
    <w:tmpl w:val="82044ABC"/>
    <w:lvl w:ilvl="0" w:tplc="9B9299C2">
      <w:start w:val="1"/>
      <w:numFmt w:val="decimal"/>
      <w:lvlText w:val="%1."/>
      <w:lvlJc w:val="left"/>
      <w:pPr>
        <w:ind w:left="360" w:hanging="360"/>
      </w:pPr>
      <w:rPr>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8B5338"/>
    <w:multiLevelType w:val="hybridMultilevel"/>
    <w:tmpl w:val="B704B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62F13"/>
    <w:multiLevelType w:val="hybridMultilevel"/>
    <w:tmpl w:val="3B7EA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D0F5C"/>
    <w:multiLevelType w:val="hybridMultilevel"/>
    <w:tmpl w:val="C040E36A"/>
    <w:lvl w:ilvl="0" w:tplc="1C74E254">
      <w:numFmt w:val="bullet"/>
      <w:lvlText w:val="-"/>
      <w:lvlJc w:val="left"/>
      <w:pPr>
        <w:ind w:left="1080" w:hanging="720"/>
      </w:pPr>
      <w:rPr>
        <w:rFonts w:ascii="Calibri" w:eastAsia="Calibri" w:hAnsi="Calibri" w:cs="Calibri"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6EFE5D2B"/>
    <w:multiLevelType w:val="hybridMultilevel"/>
    <w:tmpl w:val="4B50D090"/>
    <w:lvl w:ilvl="0" w:tplc="B9C664FE">
      <w:start w:val="1"/>
      <w:numFmt w:val="decimal"/>
      <w:lvlText w:val="%1."/>
      <w:lvlJc w:val="left"/>
      <w:pPr>
        <w:ind w:left="720" w:hanging="360"/>
      </w:pPr>
      <w:rPr>
        <w:rFonts w:hint="default"/>
        <w:b w:val="0"/>
        <w:bCs w:val="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DA2637"/>
    <w:multiLevelType w:val="hybridMultilevel"/>
    <w:tmpl w:val="9656F054"/>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num w:numId="1">
    <w:abstractNumId w:val="38"/>
  </w:num>
  <w:num w:numId="2">
    <w:abstractNumId w:val="0"/>
  </w:num>
  <w:num w:numId="3">
    <w:abstractNumId w:val="42"/>
  </w:num>
  <w:num w:numId="4">
    <w:abstractNumId w:val="4"/>
  </w:num>
  <w:num w:numId="5">
    <w:abstractNumId w:val="21"/>
  </w:num>
  <w:num w:numId="6">
    <w:abstractNumId w:val="24"/>
  </w:num>
  <w:num w:numId="7">
    <w:abstractNumId w:val="10"/>
  </w:num>
  <w:num w:numId="8">
    <w:abstractNumId w:val="25"/>
  </w:num>
  <w:num w:numId="9">
    <w:abstractNumId w:val="33"/>
  </w:num>
  <w:num w:numId="10">
    <w:abstractNumId w:val="18"/>
    <w:lvlOverride w:ilvl="0">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0"/>
  </w:num>
  <w:num w:numId="14">
    <w:abstractNumId w:val="31"/>
  </w:num>
  <w:num w:numId="15">
    <w:abstractNumId w:val="2"/>
  </w:num>
  <w:num w:numId="16">
    <w:abstractNumId w:val="37"/>
  </w:num>
  <w:num w:numId="17">
    <w:abstractNumId w:val="36"/>
  </w:num>
  <w:num w:numId="18">
    <w:abstractNumId w:val="11"/>
  </w:num>
  <w:num w:numId="19">
    <w:abstractNumId w:val="13"/>
  </w:num>
  <w:num w:numId="20">
    <w:abstractNumId w:val="32"/>
  </w:num>
  <w:num w:numId="21">
    <w:abstractNumId w:val="39"/>
  </w:num>
  <w:num w:numId="22">
    <w:abstractNumId w:val="6"/>
  </w:num>
  <w:num w:numId="23">
    <w:abstractNumId w:val="5"/>
  </w:num>
  <w:num w:numId="24">
    <w:abstractNumId w:val="12"/>
  </w:num>
  <w:num w:numId="25">
    <w:abstractNumId w:val="20"/>
  </w:num>
  <w:num w:numId="26">
    <w:abstractNumId w:val="27"/>
  </w:num>
  <w:num w:numId="27">
    <w:abstractNumId w:val="43"/>
  </w:num>
  <w:num w:numId="28">
    <w:abstractNumId w:val="26"/>
  </w:num>
  <w:num w:numId="29">
    <w:abstractNumId w:val="41"/>
  </w:num>
  <w:num w:numId="30">
    <w:abstractNumId w:val="8"/>
  </w:num>
  <w:num w:numId="31">
    <w:abstractNumId w:val="14"/>
  </w:num>
  <w:num w:numId="32">
    <w:abstractNumId w:val="16"/>
  </w:num>
  <w:num w:numId="33">
    <w:abstractNumId w:val="40"/>
  </w:num>
  <w:num w:numId="34">
    <w:abstractNumId w:val="19"/>
  </w:num>
  <w:num w:numId="35">
    <w:abstractNumId w:val="15"/>
  </w:num>
  <w:num w:numId="36">
    <w:abstractNumId w:val="9"/>
  </w:num>
  <w:num w:numId="37">
    <w:abstractNumId w:val="3"/>
  </w:num>
  <w:num w:numId="38">
    <w:abstractNumId w:val="23"/>
  </w:num>
  <w:num w:numId="39">
    <w:abstractNumId w:val="17"/>
  </w:num>
  <w:num w:numId="40">
    <w:abstractNumId w:val="29"/>
  </w:num>
  <w:num w:numId="41">
    <w:abstractNumId w:val="22"/>
  </w:num>
  <w:num w:numId="42">
    <w:abstractNumId w:val="7"/>
  </w:num>
  <w:num w:numId="43">
    <w:abstractNumId w:val="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56"/>
    <w:rsid w:val="00000312"/>
    <w:rsid w:val="00001087"/>
    <w:rsid w:val="00006A0C"/>
    <w:rsid w:val="0001464D"/>
    <w:rsid w:val="00015139"/>
    <w:rsid w:val="00022FDE"/>
    <w:rsid w:val="00025824"/>
    <w:rsid w:val="0003370E"/>
    <w:rsid w:val="00033DBE"/>
    <w:rsid w:val="00034C59"/>
    <w:rsid w:val="000371B0"/>
    <w:rsid w:val="0003740F"/>
    <w:rsid w:val="00040A99"/>
    <w:rsid w:val="000427BA"/>
    <w:rsid w:val="0004374E"/>
    <w:rsid w:val="00043C4B"/>
    <w:rsid w:val="0004454A"/>
    <w:rsid w:val="000452C7"/>
    <w:rsid w:val="00045515"/>
    <w:rsid w:val="00045CB1"/>
    <w:rsid w:val="00047ABF"/>
    <w:rsid w:val="000516AE"/>
    <w:rsid w:val="0005235F"/>
    <w:rsid w:val="000523D3"/>
    <w:rsid w:val="00052516"/>
    <w:rsid w:val="000528F5"/>
    <w:rsid w:val="000541EE"/>
    <w:rsid w:val="00062146"/>
    <w:rsid w:val="00062DB3"/>
    <w:rsid w:val="00063434"/>
    <w:rsid w:val="000649BB"/>
    <w:rsid w:val="00070126"/>
    <w:rsid w:val="0007262A"/>
    <w:rsid w:val="000776DC"/>
    <w:rsid w:val="0008399C"/>
    <w:rsid w:val="000844C6"/>
    <w:rsid w:val="00085D9B"/>
    <w:rsid w:val="00086D87"/>
    <w:rsid w:val="00091331"/>
    <w:rsid w:val="00093023"/>
    <w:rsid w:val="00094FD2"/>
    <w:rsid w:val="000957C7"/>
    <w:rsid w:val="00095AAE"/>
    <w:rsid w:val="000A2D5F"/>
    <w:rsid w:val="000A588B"/>
    <w:rsid w:val="000A6571"/>
    <w:rsid w:val="000B05BF"/>
    <w:rsid w:val="000B3641"/>
    <w:rsid w:val="000B4E79"/>
    <w:rsid w:val="000B4F3D"/>
    <w:rsid w:val="000B5C28"/>
    <w:rsid w:val="000C149B"/>
    <w:rsid w:val="000C1A0B"/>
    <w:rsid w:val="000C2095"/>
    <w:rsid w:val="000C2FA6"/>
    <w:rsid w:val="000C39EB"/>
    <w:rsid w:val="000C5248"/>
    <w:rsid w:val="000C69A1"/>
    <w:rsid w:val="000D0A26"/>
    <w:rsid w:val="000D116C"/>
    <w:rsid w:val="000D6279"/>
    <w:rsid w:val="000E1EC7"/>
    <w:rsid w:val="000F1FFD"/>
    <w:rsid w:val="000F445A"/>
    <w:rsid w:val="000F6CCD"/>
    <w:rsid w:val="00100E4B"/>
    <w:rsid w:val="0010154C"/>
    <w:rsid w:val="0010228E"/>
    <w:rsid w:val="001026AA"/>
    <w:rsid w:val="001030FF"/>
    <w:rsid w:val="00111DB2"/>
    <w:rsid w:val="00112236"/>
    <w:rsid w:val="00113908"/>
    <w:rsid w:val="001159AA"/>
    <w:rsid w:val="001160A8"/>
    <w:rsid w:val="00116C9B"/>
    <w:rsid w:val="001170A0"/>
    <w:rsid w:val="00121AF6"/>
    <w:rsid w:val="001230B9"/>
    <w:rsid w:val="001314BD"/>
    <w:rsid w:val="00132A59"/>
    <w:rsid w:val="001349A5"/>
    <w:rsid w:val="00134DEA"/>
    <w:rsid w:val="0013548E"/>
    <w:rsid w:val="00144EB4"/>
    <w:rsid w:val="00146DEA"/>
    <w:rsid w:val="001520F6"/>
    <w:rsid w:val="00152AA4"/>
    <w:rsid w:val="00153C9E"/>
    <w:rsid w:val="00154D92"/>
    <w:rsid w:val="0015798C"/>
    <w:rsid w:val="00157DE7"/>
    <w:rsid w:val="00162B83"/>
    <w:rsid w:val="001661D1"/>
    <w:rsid w:val="00167CBB"/>
    <w:rsid w:val="00173888"/>
    <w:rsid w:val="00176B59"/>
    <w:rsid w:val="00177574"/>
    <w:rsid w:val="00182C4C"/>
    <w:rsid w:val="001839DC"/>
    <w:rsid w:val="001849D2"/>
    <w:rsid w:val="00190E56"/>
    <w:rsid w:val="0019103B"/>
    <w:rsid w:val="0019153B"/>
    <w:rsid w:val="001939D3"/>
    <w:rsid w:val="00194626"/>
    <w:rsid w:val="001970A6"/>
    <w:rsid w:val="001A29CC"/>
    <w:rsid w:val="001A2FC9"/>
    <w:rsid w:val="001A65E9"/>
    <w:rsid w:val="001B03AA"/>
    <w:rsid w:val="001B0ADD"/>
    <w:rsid w:val="001B1999"/>
    <w:rsid w:val="001B3CA4"/>
    <w:rsid w:val="001B71A5"/>
    <w:rsid w:val="001B7E24"/>
    <w:rsid w:val="001C051D"/>
    <w:rsid w:val="001C1145"/>
    <w:rsid w:val="001C3E96"/>
    <w:rsid w:val="001C4C2E"/>
    <w:rsid w:val="001C5413"/>
    <w:rsid w:val="001C67F2"/>
    <w:rsid w:val="001C700E"/>
    <w:rsid w:val="001D1E18"/>
    <w:rsid w:val="001D5E95"/>
    <w:rsid w:val="001E19FA"/>
    <w:rsid w:val="001E26B2"/>
    <w:rsid w:val="001E6535"/>
    <w:rsid w:val="001F1604"/>
    <w:rsid w:val="001F2586"/>
    <w:rsid w:val="001F4CB1"/>
    <w:rsid w:val="001F5125"/>
    <w:rsid w:val="001F69A9"/>
    <w:rsid w:val="00201629"/>
    <w:rsid w:val="002040C4"/>
    <w:rsid w:val="002043B3"/>
    <w:rsid w:val="002044C3"/>
    <w:rsid w:val="0020479A"/>
    <w:rsid w:val="0020759F"/>
    <w:rsid w:val="002143FF"/>
    <w:rsid w:val="0021487F"/>
    <w:rsid w:val="00216214"/>
    <w:rsid w:val="00216AF3"/>
    <w:rsid w:val="00220D7B"/>
    <w:rsid w:val="0022114F"/>
    <w:rsid w:val="0022728B"/>
    <w:rsid w:val="00230417"/>
    <w:rsid w:val="00233009"/>
    <w:rsid w:val="00234B15"/>
    <w:rsid w:val="00235648"/>
    <w:rsid w:val="00235E7E"/>
    <w:rsid w:val="0024036B"/>
    <w:rsid w:val="00242627"/>
    <w:rsid w:val="00244A1B"/>
    <w:rsid w:val="00245C1B"/>
    <w:rsid w:val="002527A9"/>
    <w:rsid w:val="00256117"/>
    <w:rsid w:val="00261085"/>
    <w:rsid w:val="00263A4E"/>
    <w:rsid w:val="00265AA7"/>
    <w:rsid w:val="002729AB"/>
    <w:rsid w:val="002770B6"/>
    <w:rsid w:val="002775E1"/>
    <w:rsid w:val="0028074F"/>
    <w:rsid w:val="002824F5"/>
    <w:rsid w:val="00282866"/>
    <w:rsid w:val="00282D71"/>
    <w:rsid w:val="00285691"/>
    <w:rsid w:val="002921F7"/>
    <w:rsid w:val="00292811"/>
    <w:rsid w:val="00297935"/>
    <w:rsid w:val="002A07D5"/>
    <w:rsid w:val="002A22BB"/>
    <w:rsid w:val="002A3909"/>
    <w:rsid w:val="002A4AD2"/>
    <w:rsid w:val="002A5CC3"/>
    <w:rsid w:val="002A5EEA"/>
    <w:rsid w:val="002B1CD4"/>
    <w:rsid w:val="002B422D"/>
    <w:rsid w:val="002B42B9"/>
    <w:rsid w:val="002B4D11"/>
    <w:rsid w:val="002B5BC3"/>
    <w:rsid w:val="002B7543"/>
    <w:rsid w:val="002C0B0E"/>
    <w:rsid w:val="002C2C86"/>
    <w:rsid w:val="002C536F"/>
    <w:rsid w:val="002D4566"/>
    <w:rsid w:val="002D6B6A"/>
    <w:rsid w:val="002D7F97"/>
    <w:rsid w:val="002E4E89"/>
    <w:rsid w:val="002E61AE"/>
    <w:rsid w:val="002F1C26"/>
    <w:rsid w:val="00305BE0"/>
    <w:rsid w:val="00312C23"/>
    <w:rsid w:val="00315A98"/>
    <w:rsid w:val="00324E9B"/>
    <w:rsid w:val="0032532C"/>
    <w:rsid w:val="00326730"/>
    <w:rsid w:val="0033646B"/>
    <w:rsid w:val="00337DB7"/>
    <w:rsid w:val="00343FF2"/>
    <w:rsid w:val="003445D7"/>
    <w:rsid w:val="00345ECE"/>
    <w:rsid w:val="00347FD0"/>
    <w:rsid w:val="00351EEC"/>
    <w:rsid w:val="00352456"/>
    <w:rsid w:val="00357E1E"/>
    <w:rsid w:val="00361075"/>
    <w:rsid w:val="0036324C"/>
    <w:rsid w:val="003651BD"/>
    <w:rsid w:val="00365989"/>
    <w:rsid w:val="003713FD"/>
    <w:rsid w:val="003769FE"/>
    <w:rsid w:val="003777FA"/>
    <w:rsid w:val="00381096"/>
    <w:rsid w:val="00384DFB"/>
    <w:rsid w:val="00385F29"/>
    <w:rsid w:val="00392D86"/>
    <w:rsid w:val="00395C02"/>
    <w:rsid w:val="00395EB1"/>
    <w:rsid w:val="003964BF"/>
    <w:rsid w:val="003977A8"/>
    <w:rsid w:val="003A0016"/>
    <w:rsid w:val="003A2135"/>
    <w:rsid w:val="003A2F19"/>
    <w:rsid w:val="003B0D33"/>
    <w:rsid w:val="003B13A9"/>
    <w:rsid w:val="003B4E0D"/>
    <w:rsid w:val="003C0841"/>
    <w:rsid w:val="003C5AC3"/>
    <w:rsid w:val="003D16E4"/>
    <w:rsid w:val="003D188B"/>
    <w:rsid w:val="003E129A"/>
    <w:rsid w:val="003E2090"/>
    <w:rsid w:val="003E2A74"/>
    <w:rsid w:val="003E32A1"/>
    <w:rsid w:val="003E4371"/>
    <w:rsid w:val="003E5B46"/>
    <w:rsid w:val="003E71ED"/>
    <w:rsid w:val="003E7D6B"/>
    <w:rsid w:val="003F1182"/>
    <w:rsid w:val="003F24D1"/>
    <w:rsid w:val="003F482D"/>
    <w:rsid w:val="00401CDC"/>
    <w:rsid w:val="0040330C"/>
    <w:rsid w:val="00403586"/>
    <w:rsid w:val="00403E59"/>
    <w:rsid w:val="00407E10"/>
    <w:rsid w:val="004112B2"/>
    <w:rsid w:val="0041581A"/>
    <w:rsid w:val="00417709"/>
    <w:rsid w:val="00420166"/>
    <w:rsid w:val="004232E0"/>
    <w:rsid w:val="004246E8"/>
    <w:rsid w:val="00426DB6"/>
    <w:rsid w:val="00431755"/>
    <w:rsid w:val="004403A7"/>
    <w:rsid w:val="00441665"/>
    <w:rsid w:val="004429C6"/>
    <w:rsid w:val="004449A0"/>
    <w:rsid w:val="00444B2E"/>
    <w:rsid w:val="00447D69"/>
    <w:rsid w:val="00450409"/>
    <w:rsid w:val="00451825"/>
    <w:rsid w:val="00452B05"/>
    <w:rsid w:val="00453487"/>
    <w:rsid w:val="00453D7B"/>
    <w:rsid w:val="0045443A"/>
    <w:rsid w:val="004555D6"/>
    <w:rsid w:val="004602C2"/>
    <w:rsid w:val="00460B36"/>
    <w:rsid w:val="004620AD"/>
    <w:rsid w:val="0046409E"/>
    <w:rsid w:val="00464C81"/>
    <w:rsid w:val="00466462"/>
    <w:rsid w:val="004664B8"/>
    <w:rsid w:val="004756B6"/>
    <w:rsid w:val="004767AA"/>
    <w:rsid w:val="00480298"/>
    <w:rsid w:val="0048125B"/>
    <w:rsid w:val="00484287"/>
    <w:rsid w:val="00490072"/>
    <w:rsid w:val="004908AB"/>
    <w:rsid w:val="00491B22"/>
    <w:rsid w:val="00491E5F"/>
    <w:rsid w:val="00492030"/>
    <w:rsid w:val="00493B6A"/>
    <w:rsid w:val="00494118"/>
    <w:rsid w:val="00495A85"/>
    <w:rsid w:val="004A08CE"/>
    <w:rsid w:val="004A3630"/>
    <w:rsid w:val="004A6AC4"/>
    <w:rsid w:val="004A7BFB"/>
    <w:rsid w:val="004B020F"/>
    <w:rsid w:val="004B0EA6"/>
    <w:rsid w:val="004B6056"/>
    <w:rsid w:val="004B778F"/>
    <w:rsid w:val="004B78E2"/>
    <w:rsid w:val="004B79C5"/>
    <w:rsid w:val="004C3C49"/>
    <w:rsid w:val="004D4B92"/>
    <w:rsid w:val="004D7A88"/>
    <w:rsid w:val="004E06C4"/>
    <w:rsid w:val="004E3A15"/>
    <w:rsid w:val="004E5B3A"/>
    <w:rsid w:val="004F371F"/>
    <w:rsid w:val="004F72F5"/>
    <w:rsid w:val="004F76A8"/>
    <w:rsid w:val="005005F3"/>
    <w:rsid w:val="0050470E"/>
    <w:rsid w:val="00504A3A"/>
    <w:rsid w:val="0050556A"/>
    <w:rsid w:val="00506C8A"/>
    <w:rsid w:val="0050722E"/>
    <w:rsid w:val="00507C25"/>
    <w:rsid w:val="00510A0E"/>
    <w:rsid w:val="00512231"/>
    <w:rsid w:val="005128BA"/>
    <w:rsid w:val="00514174"/>
    <w:rsid w:val="005151A8"/>
    <w:rsid w:val="00515436"/>
    <w:rsid w:val="00516756"/>
    <w:rsid w:val="00523404"/>
    <w:rsid w:val="00532362"/>
    <w:rsid w:val="0053291B"/>
    <w:rsid w:val="005329AC"/>
    <w:rsid w:val="005360F6"/>
    <w:rsid w:val="00537460"/>
    <w:rsid w:val="0054099E"/>
    <w:rsid w:val="00540E82"/>
    <w:rsid w:val="0054294B"/>
    <w:rsid w:val="00544FA2"/>
    <w:rsid w:val="00545F46"/>
    <w:rsid w:val="005544B8"/>
    <w:rsid w:val="00555BC2"/>
    <w:rsid w:val="005613EB"/>
    <w:rsid w:val="00561574"/>
    <w:rsid w:val="00565C7B"/>
    <w:rsid w:val="00575924"/>
    <w:rsid w:val="0057787E"/>
    <w:rsid w:val="00581FFC"/>
    <w:rsid w:val="00583A7A"/>
    <w:rsid w:val="00585F49"/>
    <w:rsid w:val="0058602C"/>
    <w:rsid w:val="00586C4E"/>
    <w:rsid w:val="00587107"/>
    <w:rsid w:val="00590161"/>
    <w:rsid w:val="00592E54"/>
    <w:rsid w:val="00593757"/>
    <w:rsid w:val="0059426A"/>
    <w:rsid w:val="00594972"/>
    <w:rsid w:val="005957D9"/>
    <w:rsid w:val="00597316"/>
    <w:rsid w:val="005A1745"/>
    <w:rsid w:val="005A6038"/>
    <w:rsid w:val="005A633F"/>
    <w:rsid w:val="005B01D2"/>
    <w:rsid w:val="005B1739"/>
    <w:rsid w:val="005B17EF"/>
    <w:rsid w:val="005B466B"/>
    <w:rsid w:val="005B5E49"/>
    <w:rsid w:val="005B7FE1"/>
    <w:rsid w:val="005C0C6E"/>
    <w:rsid w:val="005C2CF1"/>
    <w:rsid w:val="005C3689"/>
    <w:rsid w:val="005C3911"/>
    <w:rsid w:val="005C65A9"/>
    <w:rsid w:val="005C7638"/>
    <w:rsid w:val="005D49A5"/>
    <w:rsid w:val="005D5F13"/>
    <w:rsid w:val="005D660E"/>
    <w:rsid w:val="005D6D75"/>
    <w:rsid w:val="005E4C24"/>
    <w:rsid w:val="005E6E1D"/>
    <w:rsid w:val="005F02A3"/>
    <w:rsid w:val="005F319A"/>
    <w:rsid w:val="00600C53"/>
    <w:rsid w:val="00602314"/>
    <w:rsid w:val="00603DC2"/>
    <w:rsid w:val="00605733"/>
    <w:rsid w:val="00605BBB"/>
    <w:rsid w:val="00606527"/>
    <w:rsid w:val="00610AC9"/>
    <w:rsid w:val="0062100A"/>
    <w:rsid w:val="00621DA1"/>
    <w:rsid w:val="00625715"/>
    <w:rsid w:val="0062699F"/>
    <w:rsid w:val="00626D8B"/>
    <w:rsid w:val="00636E22"/>
    <w:rsid w:val="00642375"/>
    <w:rsid w:val="00642411"/>
    <w:rsid w:val="00645659"/>
    <w:rsid w:val="006473D4"/>
    <w:rsid w:val="00650CEF"/>
    <w:rsid w:val="0066300E"/>
    <w:rsid w:val="00670668"/>
    <w:rsid w:val="0067644F"/>
    <w:rsid w:val="00676A0B"/>
    <w:rsid w:val="00677526"/>
    <w:rsid w:val="00684781"/>
    <w:rsid w:val="00690167"/>
    <w:rsid w:val="00691CC5"/>
    <w:rsid w:val="00693B74"/>
    <w:rsid w:val="006A1C58"/>
    <w:rsid w:val="006A2F1B"/>
    <w:rsid w:val="006B00CB"/>
    <w:rsid w:val="006B0D1C"/>
    <w:rsid w:val="006C1506"/>
    <w:rsid w:val="006C4ED5"/>
    <w:rsid w:val="006D038A"/>
    <w:rsid w:val="006D1FD2"/>
    <w:rsid w:val="006D3EC6"/>
    <w:rsid w:val="006D7548"/>
    <w:rsid w:val="006E0337"/>
    <w:rsid w:val="006E074B"/>
    <w:rsid w:val="006E113A"/>
    <w:rsid w:val="006E14B5"/>
    <w:rsid w:val="006E1B47"/>
    <w:rsid w:val="006E2EEF"/>
    <w:rsid w:val="006F3683"/>
    <w:rsid w:val="006F3A3D"/>
    <w:rsid w:val="006F538E"/>
    <w:rsid w:val="006F6F7F"/>
    <w:rsid w:val="006F7913"/>
    <w:rsid w:val="006F7BB1"/>
    <w:rsid w:val="00705BCA"/>
    <w:rsid w:val="00706935"/>
    <w:rsid w:val="00710944"/>
    <w:rsid w:val="0071136E"/>
    <w:rsid w:val="007119EA"/>
    <w:rsid w:val="007139EB"/>
    <w:rsid w:val="00715694"/>
    <w:rsid w:val="00715F49"/>
    <w:rsid w:val="00721229"/>
    <w:rsid w:val="0072321B"/>
    <w:rsid w:val="00723637"/>
    <w:rsid w:val="00724465"/>
    <w:rsid w:val="00725004"/>
    <w:rsid w:val="007256EA"/>
    <w:rsid w:val="00725E18"/>
    <w:rsid w:val="007269D5"/>
    <w:rsid w:val="00726A69"/>
    <w:rsid w:val="0073250E"/>
    <w:rsid w:val="00732955"/>
    <w:rsid w:val="00733F16"/>
    <w:rsid w:val="00735380"/>
    <w:rsid w:val="00736D0D"/>
    <w:rsid w:val="0073734A"/>
    <w:rsid w:val="007402E1"/>
    <w:rsid w:val="0074199C"/>
    <w:rsid w:val="0074199E"/>
    <w:rsid w:val="007463AD"/>
    <w:rsid w:val="0074723D"/>
    <w:rsid w:val="0075145D"/>
    <w:rsid w:val="007527F8"/>
    <w:rsid w:val="00752983"/>
    <w:rsid w:val="00754FB7"/>
    <w:rsid w:val="00761FD1"/>
    <w:rsid w:val="00762666"/>
    <w:rsid w:val="00763228"/>
    <w:rsid w:val="00764EC0"/>
    <w:rsid w:val="00764F59"/>
    <w:rsid w:val="00766916"/>
    <w:rsid w:val="0077120D"/>
    <w:rsid w:val="00773ABE"/>
    <w:rsid w:val="007746D2"/>
    <w:rsid w:val="00774A14"/>
    <w:rsid w:val="0077562B"/>
    <w:rsid w:val="0077619F"/>
    <w:rsid w:val="00783901"/>
    <w:rsid w:val="007918BB"/>
    <w:rsid w:val="007922A0"/>
    <w:rsid w:val="007936FA"/>
    <w:rsid w:val="007A2D37"/>
    <w:rsid w:val="007A4939"/>
    <w:rsid w:val="007A6011"/>
    <w:rsid w:val="007A74D9"/>
    <w:rsid w:val="007B303A"/>
    <w:rsid w:val="007B3F8C"/>
    <w:rsid w:val="007C002D"/>
    <w:rsid w:val="007C18C8"/>
    <w:rsid w:val="007C42C7"/>
    <w:rsid w:val="007C5ADD"/>
    <w:rsid w:val="007D1EA7"/>
    <w:rsid w:val="007D3B13"/>
    <w:rsid w:val="007D3C47"/>
    <w:rsid w:val="007D531F"/>
    <w:rsid w:val="007D7CB6"/>
    <w:rsid w:val="007E2651"/>
    <w:rsid w:val="007E2A91"/>
    <w:rsid w:val="007E5688"/>
    <w:rsid w:val="007E6474"/>
    <w:rsid w:val="0080022A"/>
    <w:rsid w:val="008003EF"/>
    <w:rsid w:val="008004EC"/>
    <w:rsid w:val="00802B0C"/>
    <w:rsid w:val="00802B85"/>
    <w:rsid w:val="00804853"/>
    <w:rsid w:val="00806A39"/>
    <w:rsid w:val="00814D42"/>
    <w:rsid w:val="00816468"/>
    <w:rsid w:val="0082089F"/>
    <w:rsid w:val="00823711"/>
    <w:rsid w:val="008248FD"/>
    <w:rsid w:val="008265BC"/>
    <w:rsid w:val="00827E14"/>
    <w:rsid w:val="0083289B"/>
    <w:rsid w:val="00833082"/>
    <w:rsid w:val="008337E8"/>
    <w:rsid w:val="008373F2"/>
    <w:rsid w:val="00841D73"/>
    <w:rsid w:val="008447FE"/>
    <w:rsid w:val="00845E6E"/>
    <w:rsid w:val="0084657D"/>
    <w:rsid w:val="00852119"/>
    <w:rsid w:val="00852A99"/>
    <w:rsid w:val="00855A61"/>
    <w:rsid w:val="00860548"/>
    <w:rsid w:val="008657BE"/>
    <w:rsid w:val="0087085E"/>
    <w:rsid w:val="00871634"/>
    <w:rsid w:val="008726EC"/>
    <w:rsid w:val="0087502A"/>
    <w:rsid w:val="00880218"/>
    <w:rsid w:val="0088273D"/>
    <w:rsid w:val="00883245"/>
    <w:rsid w:val="008841CD"/>
    <w:rsid w:val="008854FC"/>
    <w:rsid w:val="00890E1C"/>
    <w:rsid w:val="00891361"/>
    <w:rsid w:val="00895111"/>
    <w:rsid w:val="0089564E"/>
    <w:rsid w:val="0089566E"/>
    <w:rsid w:val="008970C1"/>
    <w:rsid w:val="008A0252"/>
    <w:rsid w:val="008A0F50"/>
    <w:rsid w:val="008A3977"/>
    <w:rsid w:val="008A4DBC"/>
    <w:rsid w:val="008A758A"/>
    <w:rsid w:val="008B49B5"/>
    <w:rsid w:val="008B6E2D"/>
    <w:rsid w:val="008B79A3"/>
    <w:rsid w:val="008C1387"/>
    <w:rsid w:val="008C2754"/>
    <w:rsid w:val="008C550F"/>
    <w:rsid w:val="008C610B"/>
    <w:rsid w:val="008D0F2E"/>
    <w:rsid w:val="008D29F5"/>
    <w:rsid w:val="008D3164"/>
    <w:rsid w:val="008E10A0"/>
    <w:rsid w:val="008E16EC"/>
    <w:rsid w:val="008E34F5"/>
    <w:rsid w:val="008E61F2"/>
    <w:rsid w:val="008E6811"/>
    <w:rsid w:val="008E731C"/>
    <w:rsid w:val="008F0030"/>
    <w:rsid w:val="008F04A8"/>
    <w:rsid w:val="008F1960"/>
    <w:rsid w:val="008F2067"/>
    <w:rsid w:val="008F5B78"/>
    <w:rsid w:val="00900A7F"/>
    <w:rsid w:val="00901001"/>
    <w:rsid w:val="00904D35"/>
    <w:rsid w:val="00907A18"/>
    <w:rsid w:val="00907C69"/>
    <w:rsid w:val="00907F3A"/>
    <w:rsid w:val="00911324"/>
    <w:rsid w:val="009124E9"/>
    <w:rsid w:val="009158CC"/>
    <w:rsid w:val="00921057"/>
    <w:rsid w:val="00923BA9"/>
    <w:rsid w:val="00926C07"/>
    <w:rsid w:val="00930842"/>
    <w:rsid w:val="0093214D"/>
    <w:rsid w:val="009436AC"/>
    <w:rsid w:val="009464D9"/>
    <w:rsid w:val="00953F24"/>
    <w:rsid w:val="00954149"/>
    <w:rsid w:val="00956029"/>
    <w:rsid w:val="00957CE9"/>
    <w:rsid w:val="00957ED3"/>
    <w:rsid w:val="009627F5"/>
    <w:rsid w:val="00963777"/>
    <w:rsid w:val="00963EE9"/>
    <w:rsid w:val="00965717"/>
    <w:rsid w:val="00966738"/>
    <w:rsid w:val="009668B3"/>
    <w:rsid w:val="00967147"/>
    <w:rsid w:val="00971DD7"/>
    <w:rsid w:val="00973D99"/>
    <w:rsid w:val="00984591"/>
    <w:rsid w:val="00985789"/>
    <w:rsid w:val="00986BFB"/>
    <w:rsid w:val="00986FF7"/>
    <w:rsid w:val="00992F41"/>
    <w:rsid w:val="00993418"/>
    <w:rsid w:val="00994B1A"/>
    <w:rsid w:val="00995FED"/>
    <w:rsid w:val="00997955"/>
    <w:rsid w:val="009A0365"/>
    <w:rsid w:val="009A680E"/>
    <w:rsid w:val="009A70C8"/>
    <w:rsid w:val="009A7214"/>
    <w:rsid w:val="009B154B"/>
    <w:rsid w:val="009B24CD"/>
    <w:rsid w:val="009B2713"/>
    <w:rsid w:val="009B33F1"/>
    <w:rsid w:val="009B43F6"/>
    <w:rsid w:val="009B5109"/>
    <w:rsid w:val="009B7A4B"/>
    <w:rsid w:val="009C3526"/>
    <w:rsid w:val="009C3D34"/>
    <w:rsid w:val="009C5250"/>
    <w:rsid w:val="009D24C3"/>
    <w:rsid w:val="009D2629"/>
    <w:rsid w:val="009D5303"/>
    <w:rsid w:val="009E0B4A"/>
    <w:rsid w:val="009E1E9E"/>
    <w:rsid w:val="009E2807"/>
    <w:rsid w:val="009E3267"/>
    <w:rsid w:val="009E4A4C"/>
    <w:rsid w:val="009F030C"/>
    <w:rsid w:val="009F0704"/>
    <w:rsid w:val="009F186C"/>
    <w:rsid w:val="009F2BDF"/>
    <w:rsid w:val="009F45FE"/>
    <w:rsid w:val="009F58FE"/>
    <w:rsid w:val="00A02371"/>
    <w:rsid w:val="00A03A23"/>
    <w:rsid w:val="00A05185"/>
    <w:rsid w:val="00A05FBD"/>
    <w:rsid w:val="00A125D1"/>
    <w:rsid w:val="00A12ED6"/>
    <w:rsid w:val="00A161B3"/>
    <w:rsid w:val="00A20C29"/>
    <w:rsid w:val="00A22A21"/>
    <w:rsid w:val="00A22A79"/>
    <w:rsid w:val="00A26811"/>
    <w:rsid w:val="00A30C5C"/>
    <w:rsid w:val="00A325D1"/>
    <w:rsid w:val="00A42FAB"/>
    <w:rsid w:val="00A44564"/>
    <w:rsid w:val="00A454A4"/>
    <w:rsid w:val="00A46753"/>
    <w:rsid w:val="00A5135F"/>
    <w:rsid w:val="00A51410"/>
    <w:rsid w:val="00A54F0C"/>
    <w:rsid w:val="00A6045E"/>
    <w:rsid w:val="00A644B1"/>
    <w:rsid w:val="00A666AB"/>
    <w:rsid w:val="00A704D1"/>
    <w:rsid w:val="00A70E58"/>
    <w:rsid w:val="00A73E73"/>
    <w:rsid w:val="00A75D86"/>
    <w:rsid w:val="00A87814"/>
    <w:rsid w:val="00A9069B"/>
    <w:rsid w:val="00A9119F"/>
    <w:rsid w:val="00A92264"/>
    <w:rsid w:val="00A9230E"/>
    <w:rsid w:val="00A93FFF"/>
    <w:rsid w:val="00A949BA"/>
    <w:rsid w:val="00AA51B2"/>
    <w:rsid w:val="00AB4C7A"/>
    <w:rsid w:val="00AC14ED"/>
    <w:rsid w:val="00AC1EDD"/>
    <w:rsid w:val="00AC3501"/>
    <w:rsid w:val="00AC49F1"/>
    <w:rsid w:val="00AC5152"/>
    <w:rsid w:val="00AC5575"/>
    <w:rsid w:val="00AC5ABA"/>
    <w:rsid w:val="00AC7D71"/>
    <w:rsid w:val="00AD1A05"/>
    <w:rsid w:val="00AD2D30"/>
    <w:rsid w:val="00AD2E2E"/>
    <w:rsid w:val="00AD5FCF"/>
    <w:rsid w:val="00AD6DC5"/>
    <w:rsid w:val="00AE0124"/>
    <w:rsid w:val="00AE0DCA"/>
    <w:rsid w:val="00AE563B"/>
    <w:rsid w:val="00AE5E63"/>
    <w:rsid w:val="00AE71DB"/>
    <w:rsid w:val="00AF28BF"/>
    <w:rsid w:val="00AF46C2"/>
    <w:rsid w:val="00B0106B"/>
    <w:rsid w:val="00B026FC"/>
    <w:rsid w:val="00B02B9F"/>
    <w:rsid w:val="00B03FB7"/>
    <w:rsid w:val="00B044C7"/>
    <w:rsid w:val="00B04DB1"/>
    <w:rsid w:val="00B061DA"/>
    <w:rsid w:val="00B06E61"/>
    <w:rsid w:val="00B10BD4"/>
    <w:rsid w:val="00B1453B"/>
    <w:rsid w:val="00B169E0"/>
    <w:rsid w:val="00B2155A"/>
    <w:rsid w:val="00B25B37"/>
    <w:rsid w:val="00B26281"/>
    <w:rsid w:val="00B264FE"/>
    <w:rsid w:val="00B26C4C"/>
    <w:rsid w:val="00B3012F"/>
    <w:rsid w:val="00B41B9E"/>
    <w:rsid w:val="00B41BEC"/>
    <w:rsid w:val="00B4380B"/>
    <w:rsid w:val="00B50728"/>
    <w:rsid w:val="00B51617"/>
    <w:rsid w:val="00B52881"/>
    <w:rsid w:val="00B56646"/>
    <w:rsid w:val="00B6016C"/>
    <w:rsid w:val="00B648CA"/>
    <w:rsid w:val="00B66A2A"/>
    <w:rsid w:val="00B727C7"/>
    <w:rsid w:val="00B760C0"/>
    <w:rsid w:val="00B761A5"/>
    <w:rsid w:val="00B770A9"/>
    <w:rsid w:val="00B7734C"/>
    <w:rsid w:val="00B773A2"/>
    <w:rsid w:val="00B842B6"/>
    <w:rsid w:val="00B861B3"/>
    <w:rsid w:val="00B92EBD"/>
    <w:rsid w:val="00B96BCA"/>
    <w:rsid w:val="00BA0787"/>
    <w:rsid w:val="00BA1CAB"/>
    <w:rsid w:val="00BA3518"/>
    <w:rsid w:val="00BA5EE3"/>
    <w:rsid w:val="00BA6E47"/>
    <w:rsid w:val="00BB0469"/>
    <w:rsid w:val="00BB1583"/>
    <w:rsid w:val="00BB7102"/>
    <w:rsid w:val="00BC2034"/>
    <w:rsid w:val="00BC6524"/>
    <w:rsid w:val="00BD3133"/>
    <w:rsid w:val="00BD4E88"/>
    <w:rsid w:val="00BE11FB"/>
    <w:rsid w:val="00BE1855"/>
    <w:rsid w:val="00BE6ED8"/>
    <w:rsid w:val="00BF0DE5"/>
    <w:rsid w:val="00BF128A"/>
    <w:rsid w:val="00BF3DE9"/>
    <w:rsid w:val="00BF5411"/>
    <w:rsid w:val="00C05F81"/>
    <w:rsid w:val="00C10E9D"/>
    <w:rsid w:val="00C11F22"/>
    <w:rsid w:val="00C12790"/>
    <w:rsid w:val="00C21331"/>
    <w:rsid w:val="00C21BD6"/>
    <w:rsid w:val="00C24D3F"/>
    <w:rsid w:val="00C25133"/>
    <w:rsid w:val="00C27591"/>
    <w:rsid w:val="00C3323B"/>
    <w:rsid w:val="00C343C6"/>
    <w:rsid w:val="00C420B1"/>
    <w:rsid w:val="00C42518"/>
    <w:rsid w:val="00C53562"/>
    <w:rsid w:val="00C549F7"/>
    <w:rsid w:val="00C55F24"/>
    <w:rsid w:val="00C573D4"/>
    <w:rsid w:val="00C701EA"/>
    <w:rsid w:val="00C70295"/>
    <w:rsid w:val="00C73C4C"/>
    <w:rsid w:val="00C76D19"/>
    <w:rsid w:val="00C77E8D"/>
    <w:rsid w:val="00C825E9"/>
    <w:rsid w:val="00C82756"/>
    <w:rsid w:val="00C83E40"/>
    <w:rsid w:val="00C84A6D"/>
    <w:rsid w:val="00C916ED"/>
    <w:rsid w:val="00C916F0"/>
    <w:rsid w:val="00C93DF7"/>
    <w:rsid w:val="00C95F3E"/>
    <w:rsid w:val="00C97454"/>
    <w:rsid w:val="00C977C1"/>
    <w:rsid w:val="00C97FF3"/>
    <w:rsid w:val="00CA1E19"/>
    <w:rsid w:val="00CA241A"/>
    <w:rsid w:val="00CA3522"/>
    <w:rsid w:val="00CA3957"/>
    <w:rsid w:val="00CB3AD0"/>
    <w:rsid w:val="00CB40F3"/>
    <w:rsid w:val="00CB73F0"/>
    <w:rsid w:val="00CC0009"/>
    <w:rsid w:val="00CC0653"/>
    <w:rsid w:val="00CC41A4"/>
    <w:rsid w:val="00CD05BF"/>
    <w:rsid w:val="00CD413B"/>
    <w:rsid w:val="00CD729F"/>
    <w:rsid w:val="00CE063A"/>
    <w:rsid w:val="00CE33E6"/>
    <w:rsid w:val="00CE35BC"/>
    <w:rsid w:val="00CF0A60"/>
    <w:rsid w:val="00CF3B3C"/>
    <w:rsid w:val="00CF4751"/>
    <w:rsid w:val="00D00EC4"/>
    <w:rsid w:val="00D01CD2"/>
    <w:rsid w:val="00D04A7D"/>
    <w:rsid w:val="00D04DEF"/>
    <w:rsid w:val="00D06062"/>
    <w:rsid w:val="00D06253"/>
    <w:rsid w:val="00D06E4B"/>
    <w:rsid w:val="00D10050"/>
    <w:rsid w:val="00D11988"/>
    <w:rsid w:val="00D127D7"/>
    <w:rsid w:val="00D16806"/>
    <w:rsid w:val="00D20F8A"/>
    <w:rsid w:val="00D235A5"/>
    <w:rsid w:val="00D249A3"/>
    <w:rsid w:val="00D25744"/>
    <w:rsid w:val="00D25982"/>
    <w:rsid w:val="00D259A3"/>
    <w:rsid w:val="00D25A12"/>
    <w:rsid w:val="00D25EA3"/>
    <w:rsid w:val="00D27346"/>
    <w:rsid w:val="00D32642"/>
    <w:rsid w:val="00D34C49"/>
    <w:rsid w:val="00D4041A"/>
    <w:rsid w:val="00D40B1A"/>
    <w:rsid w:val="00D4153F"/>
    <w:rsid w:val="00D4260B"/>
    <w:rsid w:val="00D44AD1"/>
    <w:rsid w:val="00D455BD"/>
    <w:rsid w:val="00D46553"/>
    <w:rsid w:val="00D55B9B"/>
    <w:rsid w:val="00D56CA0"/>
    <w:rsid w:val="00D57123"/>
    <w:rsid w:val="00D57B65"/>
    <w:rsid w:val="00D62ABB"/>
    <w:rsid w:val="00D6411C"/>
    <w:rsid w:val="00D65A4D"/>
    <w:rsid w:val="00D70ECC"/>
    <w:rsid w:val="00D7133F"/>
    <w:rsid w:val="00D72ECA"/>
    <w:rsid w:val="00D73E0F"/>
    <w:rsid w:val="00D77477"/>
    <w:rsid w:val="00D803F8"/>
    <w:rsid w:val="00D816B0"/>
    <w:rsid w:val="00D82FA3"/>
    <w:rsid w:val="00D84512"/>
    <w:rsid w:val="00D84D57"/>
    <w:rsid w:val="00D87796"/>
    <w:rsid w:val="00D901AA"/>
    <w:rsid w:val="00D9071D"/>
    <w:rsid w:val="00D919FD"/>
    <w:rsid w:val="00D91AF3"/>
    <w:rsid w:val="00D922B9"/>
    <w:rsid w:val="00D94D20"/>
    <w:rsid w:val="00D96249"/>
    <w:rsid w:val="00DA038A"/>
    <w:rsid w:val="00DA3367"/>
    <w:rsid w:val="00DA53F5"/>
    <w:rsid w:val="00DA5BF8"/>
    <w:rsid w:val="00DB4267"/>
    <w:rsid w:val="00DB4B2D"/>
    <w:rsid w:val="00DB5D66"/>
    <w:rsid w:val="00DC03E1"/>
    <w:rsid w:val="00DC15D5"/>
    <w:rsid w:val="00DC20F3"/>
    <w:rsid w:val="00DC5A74"/>
    <w:rsid w:val="00DC5CB4"/>
    <w:rsid w:val="00DC7AAB"/>
    <w:rsid w:val="00DD2755"/>
    <w:rsid w:val="00DD34E4"/>
    <w:rsid w:val="00DD3BD8"/>
    <w:rsid w:val="00DD60F3"/>
    <w:rsid w:val="00DE1B33"/>
    <w:rsid w:val="00DE3E6E"/>
    <w:rsid w:val="00DE725F"/>
    <w:rsid w:val="00DE7485"/>
    <w:rsid w:val="00DE7B42"/>
    <w:rsid w:val="00DF1FF0"/>
    <w:rsid w:val="00DF445E"/>
    <w:rsid w:val="00E06DE6"/>
    <w:rsid w:val="00E0774E"/>
    <w:rsid w:val="00E07C4B"/>
    <w:rsid w:val="00E107A1"/>
    <w:rsid w:val="00E210CE"/>
    <w:rsid w:val="00E31EE4"/>
    <w:rsid w:val="00E32152"/>
    <w:rsid w:val="00E32176"/>
    <w:rsid w:val="00E32C43"/>
    <w:rsid w:val="00E35988"/>
    <w:rsid w:val="00E41B61"/>
    <w:rsid w:val="00E43005"/>
    <w:rsid w:val="00E435D7"/>
    <w:rsid w:val="00E46518"/>
    <w:rsid w:val="00E51B1B"/>
    <w:rsid w:val="00E5339B"/>
    <w:rsid w:val="00E56745"/>
    <w:rsid w:val="00E56FB1"/>
    <w:rsid w:val="00E60D54"/>
    <w:rsid w:val="00E62B54"/>
    <w:rsid w:val="00E656C9"/>
    <w:rsid w:val="00E706E4"/>
    <w:rsid w:val="00E7467B"/>
    <w:rsid w:val="00E83685"/>
    <w:rsid w:val="00E912D9"/>
    <w:rsid w:val="00E92258"/>
    <w:rsid w:val="00E966EE"/>
    <w:rsid w:val="00EA1389"/>
    <w:rsid w:val="00EA224E"/>
    <w:rsid w:val="00EA5AFC"/>
    <w:rsid w:val="00EA5DC3"/>
    <w:rsid w:val="00EA7771"/>
    <w:rsid w:val="00EB1316"/>
    <w:rsid w:val="00EB31F8"/>
    <w:rsid w:val="00EB512C"/>
    <w:rsid w:val="00EB5519"/>
    <w:rsid w:val="00EB5DC1"/>
    <w:rsid w:val="00EB6B2D"/>
    <w:rsid w:val="00EB7D6F"/>
    <w:rsid w:val="00EC055A"/>
    <w:rsid w:val="00EC09FE"/>
    <w:rsid w:val="00EC3563"/>
    <w:rsid w:val="00ED307B"/>
    <w:rsid w:val="00ED6C42"/>
    <w:rsid w:val="00ED76EE"/>
    <w:rsid w:val="00ED7CC7"/>
    <w:rsid w:val="00EE2590"/>
    <w:rsid w:val="00EE2B8C"/>
    <w:rsid w:val="00EF26D9"/>
    <w:rsid w:val="00EF3D47"/>
    <w:rsid w:val="00EF49CD"/>
    <w:rsid w:val="00EF645D"/>
    <w:rsid w:val="00F0104D"/>
    <w:rsid w:val="00F02BAA"/>
    <w:rsid w:val="00F03A16"/>
    <w:rsid w:val="00F03ED8"/>
    <w:rsid w:val="00F06DDF"/>
    <w:rsid w:val="00F1134D"/>
    <w:rsid w:val="00F16EB9"/>
    <w:rsid w:val="00F17EEC"/>
    <w:rsid w:val="00F20496"/>
    <w:rsid w:val="00F20C56"/>
    <w:rsid w:val="00F21254"/>
    <w:rsid w:val="00F2341E"/>
    <w:rsid w:val="00F25314"/>
    <w:rsid w:val="00F25D6B"/>
    <w:rsid w:val="00F33FEA"/>
    <w:rsid w:val="00F352BD"/>
    <w:rsid w:val="00F36451"/>
    <w:rsid w:val="00F40226"/>
    <w:rsid w:val="00F430B5"/>
    <w:rsid w:val="00F44AE2"/>
    <w:rsid w:val="00F459F4"/>
    <w:rsid w:val="00F45B7B"/>
    <w:rsid w:val="00F472B1"/>
    <w:rsid w:val="00F500F9"/>
    <w:rsid w:val="00F520C7"/>
    <w:rsid w:val="00F5270F"/>
    <w:rsid w:val="00F537C8"/>
    <w:rsid w:val="00F6194C"/>
    <w:rsid w:val="00F62C54"/>
    <w:rsid w:val="00F63B45"/>
    <w:rsid w:val="00F65745"/>
    <w:rsid w:val="00F65BEF"/>
    <w:rsid w:val="00F6637D"/>
    <w:rsid w:val="00F74BC8"/>
    <w:rsid w:val="00F774F3"/>
    <w:rsid w:val="00F81D52"/>
    <w:rsid w:val="00F820E3"/>
    <w:rsid w:val="00F86CA5"/>
    <w:rsid w:val="00F913FD"/>
    <w:rsid w:val="00F91BD0"/>
    <w:rsid w:val="00F9357E"/>
    <w:rsid w:val="00F93604"/>
    <w:rsid w:val="00F95D24"/>
    <w:rsid w:val="00F9755B"/>
    <w:rsid w:val="00FA0630"/>
    <w:rsid w:val="00FA21EE"/>
    <w:rsid w:val="00FA454B"/>
    <w:rsid w:val="00FA5786"/>
    <w:rsid w:val="00FB31F3"/>
    <w:rsid w:val="00FC06ED"/>
    <w:rsid w:val="00FC6BA7"/>
    <w:rsid w:val="00FC6F59"/>
    <w:rsid w:val="00FC7E5F"/>
    <w:rsid w:val="00FD1646"/>
    <w:rsid w:val="00FD3FE7"/>
    <w:rsid w:val="00FD5548"/>
    <w:rsid w:val="00FD6944"/>
    <w:rsid w:val="00FE3ADC"/>
    <w:rsid w:val="00FE4DCF"/>
    <w:rsid w:val="00FF3225"/>
    <w:rsid w:val="00FF5C8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0F89566"/>
  <w14:defaultImageDpi w14:val="330"/>
  <w15:docId w15:val="{FDFBE3A8-E98F-FC45-BC0F-90630F8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pPr>
        <w:spacing w:before="12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A15"/>
    <w:pPr>
      <w:spacing w:before="0"/>
      <w:jc w:val="both"/>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qFormat/>
    <w:rsid w:val="00D455BD"/>
    <w:pPr>
      <w:numPr>
        <w:numId w:val="2"/>
      </w:numPr>
      <w:ind w:left="567" w:hanging="567"/>
      <w:outlineLvl w:val="0"/>
    </w:pPr>
    <w:rPr>
      <w:kern w:val="28"/>
    </w:rPr>
  </w:style>
  <w:style w:type="paragraph" w:styleId="Heading2">
    <w:name w:val="heading 2"/>
    <w:basedOn w:val="Normal"/>
    <w:next w:val="Normal"/>
    <w:link w:val="Heading2Char"/>
    <w:qFormat/>
    <w:rsid w:val="00D455BD"/>
    <w:pPr>
      <w:numPr>
        <w:ilvl w:val="1"/>
        <w:numId w:val="2"/>
      </w:numPr>
      <w:ind w:left="567" w:hanging="567"/>
      <w:outlineLvl w:val="1"/>
    </w:pPr>
  </w:style>
  <w:style w:type="paragraph" w:styleId="Heading3">
    <w:name w:val="heading 3"/>
    <w:basedOn w:val="Normal"/>
    <w:next w:val="Normal"/>
    <w:link w:val="Heading3Char"/>
    <w:qFormat/>
    <w:rsid w:val="00D455BD"/>
    <w:pPr>
      <w:numPr>
        <w:ilvl w:val="2"/>
        <w:numId w:val="2"/>
      </w:numPr>
      <w:ind w:left="567" w:hanging="567"/>
      <w:outlineLvl w:val="2"/>
    </w:pPr>
  </w:style>
  <w:style w:type="paragraph" w:styleId="Heading4">
    <w:name w:val="heading 4"/>
    <w:basedOn w:val="Normal"/>
    <w:next w:val="Normal"/>
    <w:link w:val="Heading4Char"/>
    <w:qFormat/>
    <w:rsid w:val="00D455BD"/>
    <w:pPr>
      <w:numPr>
        <w:ilvl w:val="3"/>
        <w:numId w:val="2"/>
      </w:numPr>
      <w:ind w:left="567" w:hanging="567"/>
      <w:outlineLvl w:val="3"/>
    </w:pPr>
  </w:style>
  <w:style w:type="paragraph" w:styleId="Heading5">
    <w:name w:val="heading 5"/>
    <w:basedOn w:val="Normal"/>
    <w:next w:val="Normal"/>
    <w:link w:val="Heading5Char"/>
    <w:qFormat/>
    <w:rsid w:val="00D455BD"/>
    <w:pPr>
      <w:numPr>
        <w:ilvl w:val="4"/>
        <w:numId w:val="2"/>
      </w:numPr>
      <w:ind w:left="567" w:hanging="567"/>
      <w:outlineLvl w:val="4"/>
    </w:pPr>
  </w:style>
  <w:style w:type="paragraph" w:styleId="Heading6">
    <w:name w:val="heading 6"/>
    <w:basedOn w:val="Normal"/>
    <w:next w:val="Normal"/>
    <w:link w:val="Heading6Char"/>
    <w:qFormat/>
    <w:rsid w:val="00D455BD"/>
    <w:pPr>
      <w:numPr>
        <w:ilvl w:val="5"/>
        <w:numId w:val="2"/>
      </w:numPr>
      <w:ind w:left="567" w:hanging="567"/>
      <w:outlineLvl w:val="5"/>
    </w:pPr>
  </w:style>
  <w:style w:type="paragraph" w:styleId="Heading7">
    <w:name w:val="heading 7"/>
    <w:basedOn w:val="Normal"/>
    <w:next w:val="Normal"/>
    <w:link w:val="Heading7Char"/>
    <w:qFormat/>
    <w:rsid w:val="00D455BD"/>
    <w:pPr>
      <w:numPr>
        <w:ilvl w:val="6"/>
        <w:numId w:val="2"/>
      </w:numPr>
      <w:ind w:left="567" w:hanging="567"/>
      <w:outlineLvl w:val="6"/>
    </w:pPr>
  </w:style>
  <w:style w:type="paragraph" w:styleId="Heading8">
    <w:name w:val="heading 8"/>
    <w:basedOn w:val="Normal"/>
    <w:next w:val="Normal"/>
    <w:link w:val="Heading8Char"/>
    <w:qFormat/>
    <w:rsid w:val="00D455BD"/>
    <w:pPr>
      <w:numPr>
        <w:ilvl w:val="7"/>
        <w:numId w:val="2"/>
      </w:numPr>
      <w:ind w:left="567" w:hanging="567"/>
      <w:outlineLvl w:val="7"/>
    </w:pPr>
  </w:style>
  <w:style w:type="paragraph" w:styleId="Heading9">
    <w:name w:val="heading 9"/>
    <w:basedOn w:val="Normal"/>
    <w:next w:val="Normal"/>
    <w:link w:val="Heading9Char"/>
    <w:qFormat/>
    <w:rsid w:val="00D455BD"/>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D455BD"/>
  </w:style>
  <w:style w:type="character" w:customStyle="1" w:styleId="FooterChar">
    <w:name w:val="Footer Char"/>
    <w:basedOn w:val="DefaultParagraphFont"/>
    <w:link w:val="Footer"/>
    <w:rsid w:val="00DA038A"/>
    <w:rPr>
      <w:rFonts w:ascii="Times New Roman" w:eastAsia="Times New Roman" w:hAnsi="Times New Roman" w:cs="Times New Roman"/>
      <w:sz w:val="22"/>
      <w:szCs w:val="22"/>
      <w:lang w:val="en-US" w:eastAsia="en-US"/>
    </w:rPr>
  </w:style>
  <w:style w:type="paragraph" w:styleId="FootnoteText">
    <w:name w:val="footnote text"/>
    <w:basedOn w:val="Normal"/>
    <w:link w:val="FootnoteTextChar"/>
    <w:qFormat/>
    <w:rsid w:val="00D455BD"/>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DA038A"/>
    <w:rPr>
      <w:rFonts w:ascii="Times New Roman" w:eastAsia="Times New Roman" w:hAnsi="Times New Roman" w:cs="Times New Roman"/>
      <w:sz w:val="16"/>
      <w:szCs w:val="22"/>
      <w:lang w:val="en-US" w:eastAsia="en-US"/>
    </w:rPr>
  </w:style>
  <w:style w:type="character" w:styleId="FootnoteReference">
    <w:name w:val="footnote reference"/>
    <w:basedOn w:val="DefaultParagraphFont"/>
    <w:unhideWhenUsed/>
    <w:qFormat/>
    <w:rsid w:val="00D455BD"/>
    <w:rPr>
      <w:sz w:val="24"/>
      <w:vertAlign w:val="superscript"/>
    </w:rPr>
  </w:style>
  <w:style w:type="character" w:styleId="Hyperlink">
    <w:name w:val="Hyperlink"/>
    <w:basedOn w:val="DefaultParagraphFont"/>
    <w:uiPriority w:val="99"/>
    <w:unhideWhenUsed/>
    <w:rsid w:val="00DA038A"/>
    <w:rPr>
      <w:color w:val="0000FF" w:themeColor="hyperlink"/>
      <w:u w:val="single"/>
    </w:rPr>
  </w:style>
  <w:style w:type="character" w:styleId="FollowedHyperlink">
    <w:name w:val="FollowedHyperlink"/>
    <w:basedOn w:val="DefaultParagraphFont"/>
    <w:uiPriority w:val="99"/>
    <w:semiHidden/>
    <w:unhideWhenUsed/>
    <w:rsid w:val="00DA038A"/>
    <w:rPr>
      <w:color w:val="800080" w:themeColor="followedHyperlink"/>
      <w:u w:val="single"/>
    </w:rPr>
  </w:style>
  <w:style w:type="paragraph" w:styleId="Header">
    <w:name w:val="header"/>
    <w:basedOn w:val="Normal"/>
    <w:link w:val="HeaderChar"/>
    <w:qFormat/>
    <w:rsid w:val="00D455BD"/>
  </w:style>
  <w:style w:type="character" w:customStyle="1" w:styleId="HeaderChar">
    <w:name w:val="Header Char"/>
    <w:basedOn w:val="DefaultParagraphFont"/>
    <w:link w:val="Header"/>
    <w:rsid w:val="007C42C7"/>
    <w:rPr>
      <w:rFonts w:ascii="Times New Roman" w:eastAsia="Times New Roman" w:hAnsi="Times New Roman" w:cs="Times New Roman"/>
      <w:sz w:val="22"/>
      <w:szCs w:val="22"/>
      <w:lang w:val="en-US" w:eastAsia="en-US"/>
    </w:rPr>
  </w:style>
  <w:style w:type="character" w:customStyle="1" w:styleId="Heading1Char">
    <w:name w:val="Heading 1 Char"/>
    <w:basedOn w:val="DefaultParagraphFont"/>
    <w:link w:val="Heading1"/>
    <w:rsid w:val="00973D99"/>
    <w:rPr>
      <w:rFonts w:ascii="Times New Roman" w:eastAsia="Times New Roman" w:hAnsi="Times New Roman" w:cs="Times New Roman"/>
      <w:kern w:val="28"/>
      <w:sz w:val="22"/>
      <w:szCs w:val="22"/>
      <w:lang w:val="en-US" w:eastAsia="en-US"/>
    </w:rPr>
  </w:style>
  <w:style w:type="character" w:customStyle="1" w:styleId="Heading2Char">
    <w:name w:val="Heading 2 Char"/>
    <w:basedOn w:val="DefaultParagraphFont"/>
    <w:link w:val="Heading2"/>
    <w:rsid w:val="00973D99"/>
    <w:rPr>
      <w:rFonts w:ascii="Times New Roman" w:eastAsia="Times New Roman" w:hAnsi="Times New Roman" w:cs="Times New Roman"/>
      <w:sz w:val="22"/>
      <w:szCs w:val="22"/>
      <w:lang w:val="en-US" w:eastAsia="en-US"/>
    </w:rPr>
  </w:style>
  <w:style w:type="character" w:customStyle="1" w:styleId="Heading3Char">
    <w:name w:val="Heading 3 Char"/>
    <w:basedOn w:val="DefaultParagraphFont"/>
    <w:link w:val="Heading3"/>
    <w:rsid w:val="00973D99"/>
    <w:rPr>
      <w:rFonts w:ascii="Times New Roman" w:eastAsia="Times New Roman" w:hAnsi="Times New Roman" w:cs="Times New Roman"/>
      <w:sz w:val="22"/>
      <w:szCs w:val="22"/>
      <w:lang w:val="en-US" w:eastAsia="en-US"/>
    </w:rPr>
  </w:style>
  <w:style w:type="character" w:customStyle="1" w:styleId="Heading4Char">
    <w:name w:val="Heading 4 Char"/>
    <w:basedOn w:val="DefaultParagraphFont"/>
    <w:link w:val="Heading4"/>
    <w:rsid w:val="00973D99"/>
    <w:rPr>
      <w:rFonts w:ascii="Times New Roman" w:eastAsia="Times New Roman" w:hAnsi="Times New Roman" w:cs="Times New Roman"/>
      <w:sz w:val="22"/>
      <w:szCs w:val="22"/>
      <w:lang w:val="en-US" w:eastAsia="en-US"/>
    </w:rPr>
  </w:style>
  <w:style w:type="character" w:customStyle="1" w:styleId="Heading5Char">
    <w:name w:val="Heading 5 Char"/>
    <w:basedOn w:val="DefaultParagraphFont"/>
    <w:link w:val="Heading5"/>
    <w:rsid w:val="00973D99"/>
    <w:rPr>
      <w:rFonts w:ascii="Times New Roman" w:eastAsia="Times New Roman" w:hAnsi="Times New Roman" w:cs="Times New Roman"/>
      <w:sz w:val="22"/>
      <w:szCs w:val="22"/>
      <w:lang w:val="en-US" w:eastAsia="en-US"/>
    </w:rPr>
  </w:style>
  <w:style w:type="character" w:customStyle="1" w:styleId="Heading6Char">
    <w:name w:val="Heading 6 Char"/>
    <w:basedOn w:val="DefaultParagraphFont"/>
    <w:link w:val="Heading6"/>
    <w:rsid w:val="00973D99"/>
    <w:rPr>
      <w:rFonts w:ascii="Times New Roman" w:eastAsia="Times New Roman" w:hAnsi="Times New Roman" w:cs="Times New Roman"/>
      <w:sz w:val="22"/>
      <w:szCs w:val="22"/>
      <w:lang w:val="en-US" w:eastAsia="en-US"/>
    </w:rPr>
  </w:style>
  <w:style w:type="character" w:customStyle="1" w:styleId="Heading7Char">
    <w:name w:val="Heading 7 Char"/>
    <w:basedOn w:val="DefaultParagraphFont"/>
    <w:link w:val="Heading7"/>
    <w:rsid w:val="00973D99"/>
    <w:rPr>
      <w:rFonts w:ascii="Times New Roman" w:eastAsia="Times New Roman" w:hAnsi="Times New Roman" w:cs="Times New Roman"/>
      <w:sz w:val="22"/>
      <w:szCs w:val="22"/>
      <w:lang w:val="en-US" w:eastAsia="en-US"/>
    </w:rPr>
  </w:style>
  <w:style w:type="character" w:customStyle="1" w:styleId="Heading8Char">
    <w:name w:val="Heading 8 Char"/>
    <w:basedOn w:val="DefaultParagraphFont"/>
    <w:link w:val="Heading8"/>
    <w:rsid w:val="00973D99"/>
    <w:rPr>
      <w:rFonts w:ascii="Times New Roman" w:eastAsia="Times New Roman" w:hAnsi="Times New Roman" w:cs="Times New Roman"/>
      <w:sz w:val="22"/>
      <w:szCs w:val="22"/>
      <w:lang w:val="en-US" w:eastAsia="en-US"/>
    </w:rPr>
  </w:style>
  <w:style w:type="character" w:customStyle="1" w:styleId="Heading9Char">
    <w:name w:val="Heading 9 Char"/>
    <w:basedOn w:val="DefaultParagraphFont"/>
    <w:link w:val="Heading9"/>
    <w:rsid w:val="00973D99"/>
    <w:rPr>
      <w:rFonts w:ascii="Times New Roman" w:eastAsia="Times New Roman" w:hAnsi="Times New Roman" w:cs="Times New Roman"/>
      <w:sz w:val="22"/>
      <w:szCs w:val="22"/>
      <w:lang w:val="en-US" w:eastAsia="en-US"/>
    </w:rPr>
  </w:style>
  <w:style w:type="table" w:styleId="TableGrid">
    <w:name w:val="Table Grid"/>
    <w:basedOn w:val="TableNormal"/>
    <w:uiPriority w:val="59"/>
    <w:rsid w:val="00B43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5D86"/>
    <w:rPr>
      <w:rFonts w:ascii="Times New Roman" w:eastAsia="Times New Roman" w:hAnsi="Times New Roman" w:cs="Times New Roman"/>
      <w:sz w:val="22"/>
      <w:szCs w:val="22"/>
      <w:lang w:val="en-US" w:eastAsia="en-US"/>
    </w:rPr>
  </w:style>
  <w:style w:type="paragraph" w:customStyle="1" w:styleId="quotes">
    <w:name w:val="quotes"/>
    <w:basedOn w:val="Normal"/>
    <w:next w:val="Normal"/>
    <w:rsid w:val="00D455BD"/>
    <w:pPr>
      <w:ind w:left="720"/>
    </w:pPr>
    <w:rPr>
      <w:i/>
    </w:rPr>
  </w:style>
  <w:style w:type="paragraph" w:styleId="PlainText">
    <w:name w:val="Plain Text"/>
    <w:basedOn w:val="Normal"/>
    <w:link w:val="PlainTextChar"/>
    <w:uiPriority w:val="99"/>
    <w:semiHidden/>
    <w:unhideWhenUsed/>
    <w:rsid w:val="00FD1646"/>
    <w:pPr>
      <w:spacing w:line="240" w:lineRule="auto"/>
      <w:jc w:val="left"/>
    </w:pPr>
    <w:rPr>
      <w:rFonts w:ascii="Calibri" w:eastAsiaTheme="minorHAnsi" w:hAnsi="Calibri" w:cs="Calibri"/>
      <w:lang w:val="fr-BE"/>
    </w:rPr>
  </w:style>
  <w:style w:type="character" w:customStyle="1" w:styleId="PlainTextChar">
    <w:name w:val="Plain Text Char"/>
    <w:basedOn w:val="DefaultParagraphFont"/>
    <w:link w:val="PlainText"/>
    <w:uiPriority w:val="99"/>
    <w:semiHidden/>
    <w:rsid w:val="00FD1646"/>
    <w:rPr>
      <w:rFonts w:ascii="Calibri" w:eastAsiaTheme="minorHAnsi" w:hAnsi="Calibri" w:cs="Calibri"/>
      <w:sz w:val="22"/>
      <w:szCs w:val="22"/>
      <w:lang w:val="fr-BE" w:eastAsia="en-US"/>
    </w:rPr>
  </w:style>
  <w:style w:type="table" w:customStyle="1" w:styleId="TableGrid1">
    <w:name w:val="Table Grid1"/>
    <w:basedOn w:val="TableNormal"/>
    <w:next w:val="TableGrid"/>
    <w:rsid w:val="007269D5"/>
    <w:pPr>
      <w:spacing w:before="0"/>
      <w:jc w:val="both"/>
    </w:pPr>
    <w:rPr>
      <w:rFonts w:ascii="Times New Roman" w:eastAsia="Times New Roman" w:hAnsi="Times New Roman" w:cs="Times New Roman"/>
      <w:sz w:val="20"/>
      <w:szCs w:val="20"/>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B4C7A"/>
    <w:rPr>
      <w:color w:val="605E5C"/>
      <w:shd w:val="clear" w:color="auto" w:fill="E1DFDD"/>
    </w:rPr>
  </w:style>
  <w:style w:type="paragraph" w:styleId="ListParagraph">
    <w:name w:val="List Paragraph"/>
    <w:basedOn w:val="Normal"/>
    <w:uiPriority w:val="34"/>
    <w:qFormat/>
    <w:rsid w:val="006D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531">
      <w:bodyDiv w:val="1"/>
      <w:marLeft w:val="0"/>
      <w:marRight w:val="0"/>
      <w:marTop w:val="0"/>
      <w:marBottom w:val="0"/>
      <w:divBdr>
        <w:top w:val="none" w:sz="0" w:space="0" w:color="auto"/>
        <w:left w:val="none" w:sz="0" w:space="0" w:color="auto"/>
        <w:bottom w:val="none" w:sz="0" w:space="0" w:color="auto"/>
        <w:right w:val="none" w:sz="0" w:space="0" w:color="auto"/>
      </w:divBdr>
    </w:div>
    <w:div w:id="41439640">
      <w:bodyDiv w:val="1"/>
      <w:marLeft w:val="0"/>
      <w:marRight w:val="0"/>
      <w:marTop w:val="0"/>
      <w:marBottom w:val="0"/>
      <w:divBdr>
        <w:top w:val="none" w:sz="0" w:space="0" w:color="auto"/>
        <w:left w:val="none" w:sz="0" w:space="0" w:color="auto"/>
        <w:bottom w:val="none" w:sz="0" w:space="0" w:color="auto"/>
        <w:right w:val="none" w:sz="0" w:space="0" w:color="auto"/>
      </w:divBdr>
    </w:div>
    <w:div w:id="96558884">
      <w:bodyDiv w:val="1"/>
      <w:marLeft w:val="0"/>
      <w:marRight w:val="0"/>
      <w:marTop w:val="0"/>
      <w:marBottom w:val="0"/>
      <w:divBdr>
        <w:top w:val="none" w:sz="0" w:space="0" w:color="auto"/>
        <w:left w:val="none" w:sz="0" w:space="0" w:color="auto"/>
        <w:bottom w:val="none" w:sz="0" w:space="0" w:color="auto"/>
        <w:right w:val="none" w:sz="0" w:space="0" w:color="auto"/>
      </w:divBdr>
    </w:div>
    <w:div w:id="181626304">
      <w:bodyDiv w:val="1"/>
      <w:marLeft w:val="0"/>
      <w:marRight w:val="0"/>
      <w:marTop w:val="0"/>
      <w:marBottom w:val="0"/>
      <w:divBdr>
        <w:top w:val="none" w:sz="0" w:space="0" w:color="auto"/>
        <w:left w:val="none" w:sz="0" w:space="0" w:color="auto"/>
        <w:bottom w:val="none" w:sz="0" w:space="0" w:color="auto"/>
        <w:right w:val="none" w:sz="0" w:space="0" w:color="auto"/>
      </w:divBdr>
    </w:div>
    <w:div w:id="246840785">
      <w:bodyDiv w:val="1"/>
      <w:marLeft w:val="0"/>
      <w:marRight w:val="0"/>
      <w:marTop w:val="0"/>
      <w:marBottom w:val="0"/>
      <w:divBdr>
        <w:top w:val="none" w:sz="0" w:space="0" w:color="auto"/>
        <w:left w:val="none" w:sz="0" w:space="0" w:color="auto"/>
        <w:bottom w:val="none" w:sz="0" w:space="0" w:color="auto"/>
        <w:right w:val="none" w:sz="0" w:space="0" w:color="auto"/>
      </w:divBdr>
    </w:div>
    <w:div w:id="307050632">
      <w:bodyDiv w:val="1"/>
      <w:marLeft w:val="0"/>
      <w:marRight w:val="0"/>
      <w:marTop w:val="0"/>
      <w:marBottom w:val="0"/>
      <w:divBdr>
        <w:top w:val="none" w:sz="0" w:space="0" w:color="auto"/>
        <w:left w:val="none" w:sz="0" w:space="0" w:color="auto"/>
        <w:bottom w:val="none" w:sz="0" w:space="0" w:color="auto"/>
        <w:right w:val="none" w:sz="0" w:space="0" w:color="auto"/>
      </w:divBdr>
      <w:divsChild>
        <w:div w:id="2090302576">
          <w:marLeft w:val="0"/>
          <w:marRight w:val="0"/>
          <w:marTop w:val="0"/>
          <w:marBottom w:val="0"/>
          <w:divBdr>
            <w:top w:val="none" w:sz="0" w:space="0" w:color="auto"/>
            <w:left w:val="none" w:sz="0" w:space="0" w:color="auto"/>
            <w:bottom w:val="none" w:sz="0" w:space="0" w:color="auto"/>
            <w:right w:val="none" w:sz="0" w:space="0" w:color="auto"/>
          </w:divBdr>
          <w:divsChild>
            <w:div w:id="2029986288">
              <w:marLeft w:val="0"/>
              <w:marRight w:val="0"/>
              <w:marTop w:val="0"/>
              <w:marBottom w:val="0"/>
              <w:divBdr>
                <w:top w:val="none" w:sz="0" w:space="0" w:color="auto"/>
                <w:left w:val="none" w:sz="0" w:space="0" w:color="auto"/>
                <w:bottom w:val="none" w:sz="0" w:space="0" w:color="auto"/>
                <w:right w:val="none" w:sz="0" w:space="0" w:color="auto"/>
              </w:divBdr>
              <w:divsChild>
                <w:div w:id="1312755366">
                  <w:marLeft w:val="0"/>
                  <w:marRight w:val="0"/>
                  <w:marTop w:val="0"/>
                  <w:marBottom w:val="0"/>
                  <w:divBdr>
                    <w:top w:val="none" w:sz="0" w:space="0" w:color="auto"/>
                    <w:left w:val="none" w:sz="0" w:space="0" w:color="auto"/>
                    <w:bottom w:val="none" w:sz="0" w:space="0" w:color="auto"/>
                    <w:right w:val="none" w:sz="0" w:space="0" w:color="auto"/>
                  </w:divBdr>
                  <w:divsChild>
                    <w:div w:id="642008194">
                      <w:marLeft w:val="0"/>
                      <w:marRight w:val="0"/>
                      <w:marTop w:val="0"/>
                      <w:marBottom w:val="0"/>
                      <w:divBdr>
                        <w:top w:val="none" w:sz="0" w:space="0" w:color="auto"/>
                        <w:left w:val="none" w:sz="0" w:space="0" w:color="auto"/>
                        <w:bottom w:val="none" w:sz="0" w:space="0" w:color="auto"/>
                        <w:right w:val="none" w:sz="0" w:space="0" w:color="auto"/>
                      </w:divBdr>
                      <w:divsChild>
                        <w:div w:id="2038659949">
                          <w:marLeft w:val="0"/>
                          <w:marRight w:val="0"/>
                          <w:marTop w:val="0"/>
                          <w:marBottom w:val="0"/>
                          <w:divBdr>
                            <w:top w:val="none" w:sz="0" w:space="0" w:color="auto"/>
                            <w:left w:val="none" w:sz="0" w:space="0" w:color="auto"/>
                            <w:bottom w:val="none" w:sz="0" w:space="0" w:color="auto"/>
                            <w:right w:val="none" w:sz="0" w:space="0" w:color="auto"/>
                          </w:divBdr>
                          <w:divsChild>
                            <w:div w:id="16245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6279">
      <w:bodyDiv w:val="1"/>
      <w:marLeft w:val="0"/>
      <w:marRight w:val="0"/>
      <w:marTop w:val="0"/>
      <w:marBottom w:val="0"/>
      <w:divBdr>
        <w:top w:val="none" w:sz="0" w:space="0" w:color="auto"/>
        <w:left w:val="none" w:sz="0" w:space="0" w:color="auto"/>
        <w:bottom w:val="none" w:sz="0" w:space="0" w:color="auto"/>
        <w:right w:val="none" w:sz="0" w:space="0" w:color="auto"/>
      </w:divBdr>
    </w:div>
    <w:div w:id="365831595">
      <w:bodyDiv w:val="1"/>
      <w:marLeft w:val="0"/>
      <w:marRight w:val="0"/>
      <w:marTop w:val="0"/>
      <w:marBottom w:val="0"/>
      <w:divBdr>
        <w:top w:val="none" w:sz="0" w:space="0" w:color="auto"/>
        <w:left w:val="none" w:sz="0" w:space="0" w:color="auto"/>
        <w:bottom w:val="none" w:sz="0" w:space="0" w:color="auto"/>
        <w:right w:val="none" w:sz="0" w:space="0" w:color="auto"/>
      </w:divBdr>
    </w:div>
    <w:div w:id="380399211">
      <w:bodyDiv w:val="1"/>
      <w:marLeft w:val="0"/>
      <w:marRight w:val="0"/>
      <w:marTop w:val="0"/>
      <w:marBottom w:val="0"/>
      <w:divBdr>
        <w:top w:val="none" w:sz="0" w:space="0" w:color="auto"/>
        <w:left w:val="none" w:sz="0" w:space="0" w:color="auto"/>
        <w:bottom w:val="none" w:sz="0" w:space="0" w:color="auto"/>
        <w:right w:val="none" w:sz="0" w:space="0" w:color="auto"/>
      </w:divBdr>
    </w:div>
    <w:div w:id="389572240">
      <w:bodyDiv w:val="1"/>
      <w:marLeft w:val="0"/>
      <w:marRight w:val="0"/>
      <w:marTop w:val="0"/>
      <w:marBottom w:val="0"/>
      <w:divBdr>
        <w:top w:val="none" w:sz="0" w:space="0" w:color="auto"/>
        <w:left w:val="none" w:sz="0" w:space="0" w:color="auto"/>
        <w:bottom w:val="none" w:sz="0" w:space="0" w:color="auto"/>
        <w:right w:val="none" w:sz="0" w:space="0" w:color="auto"/>
      </w:divBdr>
    </w:div>
    <w:div w:id="406418023">
      <w:bodyDiv w:val="1"/>
      <w:marLeft w:val="0"/>
      <w:marRight w:val="0"/>
      <w:marTop w:val="0"/>
      <w:marBottom w:val="0"/>
      <w:divBdr>
        <w:top w:val="none" w:sz="0" w:space="0" w:color="auto"/>
        <w:left w:val="none" w:sz="0" w:space="0" w:color="auto"/>
        <w:bottom w:val="none" w:sz="0" w:space="0" w:color="auto"/>
        <w:right w:val="none" w:sz="0" w:space="0" w:color="auto"/>
      </w:divBdr>
    </w:div>
    <w:div w:id="419376558">
      <w:bodyDiv w:val="1"/>
      <w:marLeft w:val="0"/>
      <w:marRight w:val="0"/>
      <w:marTop w:val="0"/>
      <w:marBottom w:val="0"/>
      <w:divBdr>
        <w:top w:val="none" w:sz="0" w:space="0" w:color="auto"/>
        <w:left w:val="none" w:sz="0" w:space="0" w:color="auto"/>
        <w:bottom w:val="none" w:sz="0" w:space="0" w:color="auto"/>
        <w:right w:val="none" w:sz="0" w:space="0" w:color="auto"/>
      </w:divBdr>
    </w:div>
    <w:div w:id="455485802">
      <w:bodyDiv w:val="1"/>
      <w:marLeft w:val="0"/>
      <w:marRight w:val="0"/>
      <w:marTop w:val="0"/>
      <w:marBottom w:val="0"/>
      <w:divBdr>
        <w:top w:val="none" w:sz="0" w:space="0" w:color="auto"/>
        <w:left w:val="none" w:sz="0" w:space="0" w:color="auto"/>
        <w:bottom w:val="none" w:sz="0" w:space="0" w:color="auto"/>
        <w:right w:val="none" w:sz="0" w:space="0" w:color="auto"/>
      </w:divBdr>
    </w:div>
    <w:div w:id="494954806">
      <w:bodyDiv w:val="1"/>
      <w:marLeft w:val="0"/>
      <w:marRight w:val="0"/>
      <w:marTop w:val="0"/>
      <w:marBottom w:val="0"/>
      <w:divBdr>
        <w:top w:val="none" w:sz="0" w:space="0" w:color="auto"/>
        <w:left w:val="none" w:sz="0" w:space="0" w:color="auto"/>
        <w:bottom w:val="none" w:sz="0" w:space="0" w:color="auto"/>
        <w:right w:val="none" w:sz="0" w:space="0" w:color="auto"/>
      </w:divBdr>
    </w:div>
    <w:div w:id="582371280">
      <w:bodyDiv w:val="1"/>
      <w:marLeft w:val="0"/>
      <w:marRight w:val="0"/>
      <w:marTop w:val="0"/>
      <w:marBottom w:val="0"/>
      <w:divBdr>
        <w:top w:val="none" w:sz="0" w:space="0" w:color="auto"/>
        <w:left w:val="none" w:sz="0" w:space="0" w:color="auto"/>
        <w:bottom w:val="none" w:sz="0" w:space="0" w:color="auto"/>
        <w:right w:val="none" w:sz="0" w:space="0" w:color="auto"/>
      </w:divBdr>
    </w:div>
    <w:div w:id="625159953">
      <w:bodyDiv w:val="1"/>
      <w:marLeft w:val="0"/>
      <w:marRight w:val="0"/>
      <w:marTop w:val="0"/>
      <w:marBottom w:val="0"/>
      <w:divBdr>
        <w:top w:val="none" w:sz="0" w:space="0" w:color="auto"/>
        <w:left w:val="none" w:sz="0" w:space="0" w:color="auto"/>
        <w:bottom w:val="none" w:sz="0" w:space="0" w:color="auto"/>
        <w:right w:val="none" w:sz="0" w:space="0" w:color="auto"/>
      </w:divBdr>
    </w:div>
    <w:div w:id="774787643">
      <w:bodyDiv w:val="1"/>
      <w:marLeft w:val="0"/>
      <w:marRight w:val="0"/>
      <w:marTop w:val="0"/>
      <w:marBottom w:val="0"/>
      <w:divBdr>
        <w:top w:val="none" w:sz="0" w:space="0" w:color="auto"/>
        <w:left w:val="none" w:sz="0" w:space="0" w:color="auto"/>
        <w:bottom w:val="none" w:sz="0" w:space="0" w:color="auto"/>
        <w:right w:val="none" w:sz="0" w:space="0" w:color="auto"/>
      </w:divBdr>
    </w:div>
    <w:div w:id="777140925">
      <w:bodyDiv w:val="1"/>
      <w:marLeft w:val="0"/>
      <w:marRight w:val="0"/>
      <w:marTop w:val="0"/>
      <w:marBottom w:val="0"/>
      <w:divBdr>
        <w:top w:val="none" w:sz="0" w:space="0" w:color="auto"/>
        <w:left w:val="none" w:sz="0" w:space="0" w:color="auto"/>
        <w:bottom w:val="none" w:sz="0" w:space="0" w:color="auto"/>
        <w:right w:val="none" w:sz="0" w:space="0" w:color="auto"/>
      </w:divBdr>
    </w:div>
    <w:div w:id="920214361">
      <w:bodyDiv w:val="1"/>
      <w:marLeft w:val="0"/>
      <w:marRight w:val="0"/>
      <w:marTop w:val="0"/>
      <w:marBottom w:val="0"/>
      <w:divBdr>
        <w:top w:val="none" w:sz="0" w:space="0" w:color="auto"/>
        <w:left w:val="none" w:sz="0" w:space="0" w:color="auto"/>
        <w:bottom w:val="none" w:sz="0" w:space="0" w:color="auto"/>
        <w:right w:val="none" w:sz="0" w:space="0" w:color="auto"/>
      </w:divBdr>
    </w:div>
    <w:div w:id="936258049">
      <w:bodyDiv w:val="1"/>
      <w:marLeft w:val="0"/>
      <w:marRight w:val="0"/>
      <w:marTop w:val="0"/>
      <w:marBottom w:val="0"/>
      <w:divBdr>
        <w:top w:val="none" w:sz="0" w:space="0" w:color="auto"/>
        <w:left w:val="none" w:sz="0" w:space="0" w:color="auto"/>
        <w:bottom w:val="none" w:sz="0" w:space="0" w:color="auto"/>
        <w:right w:val="none" w:sz="0" w:space="0" w:color="auto"/>
      </w:divBdr>
    </w:div>
    <w:div w:id="940264028">
      <w:bodyDiv w:val="1"/>
      <w:marLeft w:val="0"/>
      <w:marRight w:val="0"/>
      <w:marTop w:val="0"/>
      <w:marBottom w:val="0"/>
      <w:divBdr>
        <w:top w:val="none" w:sz="0" w:space="0" w:color="auto"/>
        <w:left w:val="none" w:sz="0" w:space="0" w:color="auto"/>
        <w:bottom w:val="none" w:sz="0" w:space="0" w:color="auto"/>
        <w:right w:val="none" w:sz="0" w:space="0" w:color="auto"/>
      </w:divBdr>
    </w:div>
    <w:div w:id="962542632">
      <w:bodyDiv w:val="1"/>
      <w:marLeft w:val="0"/>
      <w:marRight w:val="0"/>
      <w:marTop w:val="0"/>
      <w:marBottom w:val="0"/>
      <w:divBdr>
        <w:top w:val="none" w:sz="0" w:space="0" w:color="auto"/>
        <w:left w:val="none" w:sz="0" w:space="0" w:color="auto"/>
        <w:bottom w:val="none" w:sz="0" w:space="0" w:color="auto"/>
        <w:right w:val="none" w:sz="0" w:space="0" w:color="auto"/>
      </w:divBdr>
    </w:div>
    <w:div w:id="980303100">
      <w:bodyDiv w:val="1"/>
      <w:marLeft w:val="0"/>
      <w:marRight w:val="0"/>
      <w:marTop w:val="0"/>
      <w:marBottom w:val="0"/>
      <w:divBdr>
        <w:top w:val="none" w:sz="0" w:space="0" w:color="auto"/>
        <w:left w:val="none" w:sz="0" w:space="0" w:color="auto"/>
        <w:bottom w:val="none" w:sz="0" w:space="0" w:color="auto"/>
        <w:right w:val="none" w:sz="0" w:space="0" w:color="auto"/>
      </w:divBdr>
    </w:div>
    <w:div w:id="1002322177">
      <w:bodyDiv w:val="1"/>
      <w:marLeft w:val="0"/>
      <w:marRight w:val="0"/>
      <w:marTop w:val="0"/>
      <w:marBottom w:val="0"/>
      <w:divBdr>
        <w:top w:val="none" w:sz="0" w:space="0" w:color="auto"/>
        <w:left w:val="none" w:sz="0" w:space="0" w:color="auto"/>
        <w:bottom w:val="none" w:sz="0" w:space="0" w:color="auto"/>
        <w:right w:val="none" w:sz="0" w:space="0" w:color="auto"/>
      </w:divBdr>
    </w:div>
    <w:div w:id="1004867677">
      <w:bodyDiv w:val="1"/>
      <w:marLeft w:val="0"/>
      <w:marRight w:val="0"/>
      <w:marTop w:val="0"/>
      <w:marBottom w:val="0"/>
      <w:divBdr>
        <w:top w:val="none" w:sz="0" w:space="0" w:color="auto"/>
        <w:left w:val="none" w:sz="0" w:space="0" w:color="auto"/>
        <w:bottom w:val="none" w:sz="0" w:space="0" w:color="auto"/>
        <w:right w:val="none" w:sz="0" w:space="0" w:color="auto"/>
      </w:divBdr>
    </w:div>
    <w:div w:id="1259830964">
      <w:bodyDiv w:val="1"/>
      <w:marLeft w:val="0"/>
      <w:marRight w:val="0"/>
      <w:marTop w:val="0"/>
      <w:marBottom w:val="0"/>
      <w:divBdr>
        <w:top w:val="none" w:sz="0" w:space="0" w:color="auto"/>
        <w:left w:val="none" w:sz="0" w:space="0" w:color="auto"/>
        <w:bottom w:val="none" w:sz="0" w:space="0" w:color="auto"/>
        <w:right w:val="none" w:sz="0" w:space="0" w:color="auto"/>
      </w:divBdr>
    </w:div>
    <w:div w:id="1343900187">
      <w:bodyDiv w:val="1"/>
      <w:marLeft w:val="0"/>
      <w:marRight w:val="0"/>
      <w:marTop w:val="0"/>
      <w:marBottom w:val="0"/>
      <w:divBdr>
        <w:top w:val="none" w:sz="0" w:space="0" w:color="auto"/>
        <w:left w:val="none" w:sz="0" w:space="0" w:color="auto"/>
        <w:bottom w:val="none" w:sz="0" w:space="0" w:color="auto"/>
        <w:right w:val="none" w:sz="0" w:space="0" w:color="auto"/>
      </w:divBdr>
    </w:div>
    <w:div w:id="1347634303">
      <w:bodyDiv w:val="1"/>
      <w:marLeft w:val="0"/>
      <w:marRight w:val="0"/>
      <w:marTop w:val="0"/>
      <w:marBottom w:val="0"/>
      <w:divBdr>
        <w:top w:val="none" w:sz="0" w:space="0" w:color="auto"/>
        <w:left w:val="none" w:sz="0" w:space="0" w:color="auto"/>
        <w:bottom w:val="none" w:sz="0" w:space="0" w:color="auto"/>
        <w:right w:val="none" w:sz="0" w:space="0" w:color="auto"/>
      </w:divBdr>
    </w:div>
    <w:div w:id="1354645524">
      <w:bodyDiv w:val="1"/>
      <w:marLeft w:val="0"/>
      <w:marRight w:val="0"/>
      <w:marTop w:val="0"/>
      <w:marBottom w:val="0"/>
      <w:divBdr>
        <w:top w:val="none" w:sz="0" w:space="0" w:color="auto"/>
        <w:left w:val="none" w:sz="0" w:space="0" w:color="auto"/>
        <w:bottom w:val="none" w:sz="0" w:space="0" w:color="auto"/>
        <w:right w:val="none" w:sz="0" w:space="0" w:color="auto"/>
      </w:divBdr>
    </w:div>
    <w:div w:id="1399863852">
      <w:bodyDiv w:val="1"/>
      <w:marLeft w:val="0"/>
      <w:marRight w:val="0"/>
      <w:marTop w:val="0"/>
      <w:marBottom w:val="0"/>
      <w:divBdr>
        <w:top w:val="none" w:sz="0" w:space="0" w:color="auto"/>
        <w:left w:val="none" w:sz="0" w:space="0" w:color="auto"/>
        <w:bottom w:val="none" w:sz="0" w:space="0" w:color="auto"/>
        <w:right w:val="none" w:sz="0" w:space="0" w:color="auto"/>
      </w:divBdr>
    </w:div>
    <w:div w:id="1484201221">
      <w:bodyDiv w:val="1"/>
      <w:marLeft w:val="0"/>
      <w:marRight w:val="0"/>
      <w:marTop w:val="0"/>
      <w:marBottom w:val="0"/>
      <w:divBdr>
        <w:top w:val="none" w:sz="0" w:space="0" w:color="auto"/>
        <w:left w:val="none" w:sz="0" w:space="0" w:color="auto"/>
        <w:bottom w:val="none" w:sz="0" w:space="0" w:color="auto"/>
        <w:right w:val="none" w:sz="0" w:space="0" w:color="auto"/>
      </w:divBdr>
      <w:divsChild>
        <w:div w:id="512765845">
          <w:marLeft w:val="0"/>
          <w:marRight w:val="0"/>
          <w:marTop w:val="0"/>
          <w:marBottom w:val="0"/>
          <w:divBdr>
            <w:top w:val="none" w:sz="0" w:space="0" w:color="auto"/>
            <w:left w:val="none" w:sz="0" w:space="0" w:color="auto"/>
            <w:bottom w:val="none" w:sz="0" w:space="0" w:color="auto"/>
            <w:right w:val="none" w:sz="0" w:space="0" w:color="auto"/>
          </w:divBdr>
        </w:div>
        <w:div w:id="127171012">
          <w:marLeft w:val="0"/>
          <w:marRight w:val="0"/>
          <w:marTop w:val="0"/>
          <w:marBottom w:val="0"/>
          <w:divBdr>
            <w:top w:val="none" w:sz="0" w:space="0" w:color="auto"/>
            <w:left w:val="none" w:sz="0" w:space="0" w:color="auto"/>
            <w:bottom w:val="none" w:sz="0" w:space="0" w:color="auto"/>
            <w:right w:val="none" w:sz="0" w:space="0" w:color="auto"/>
          </w:divBdr>
        </w:div>
        <w:div w:id="172691810">
          <w:marLeft w:val="0"/>
          <w:marRight w:val="0"/>
          <w:marTop w:val="0"/>
          <w:marBottom w:val="0"/>
          <w:divBdr>
            <w:top w:val="none" w:sz="0" w:space="0" w:color="auto"/>
            <w:left w:val="none" w:sz="0" w:space="0" w:color="auto"/>
            <w:bottom w:val="none" w:sz="0" w:space="0" w:color="auto"/>
            <w:right w:val="none" w:sz="0" w:space="0" w:color="auto"/>
          </w:divBdr>
        </w:div>
        <w:div w:id="2077899256">
          <w:marLeft w:val="0"/>
          <w:marRight w:val="0"/>
          <w:marTop w:val="0"/>
          <w:marBottom w:val="0"/>
          <w:divBdr>
            <w:top w:val="none" w:sz="0" w:space="0" w:color="auto"/>
            <w:left w:val="none" w:sz="0" w:space="0" w:color="auto"/>
            <w:bottom w:val="none" w:sz="0" w:space="0" w:color="auto"/>
            <w:right w:val="none" w:sz="0" w:space="0" w:color="auto"/>
          </w:divBdr>
        </w:div>
        <w:div w:id="1856769770">
          <w:marLeft w:val="0"/>
          <w:marRight w:val="0"/>
          <w:marTop w:val="0"/>
          <w:marBottom w:val="0"/>
          <w:divBdr>
            <w:top w:val="none" w:sz="0" w:space="0" w:color="auto"/>
            <w:left w:val="none" w:sz="0" w:space="0" w:color="auto"/>
            <w:bottom w:val="none" w:sz="0" w:space="0" w:color="auto"/>
            <w:right w:val="none" w:sz="0" w:space="0" w:color="auto"/>
          </w:divBdr>
        </w:div>
        <w:div w:id="863441529">
          <w:marLeft w:val="0"/>
          <w:marRight w:val="0"/>
          <w:marTop w:val="0"/>
          <w:marBottom w:val="0"/>
          <w:divBdr>
            <w:top w:val="none" w:sz="0" w:space="0" w:color="auto"/>
            <w:left w:val="none" w:sz="0" w:space="0" w:color="auto"/>
            <w:bottom w:val="none" w:sz="0" w:space="0" w:color="auto"/>
            <w:right w:val="none" w:sz="0" w:space="0" w:color="auto"/>
          </w:divBdr>
        </w:div>
        <w:div w:id="1003360932">
          <w:marLeft w:val="0"/>
          <w:marRight w:val="0"/>
          <w:marTop w:val="0"/>
          <w:marBottom w:val="0"/>
          <w:divBdr>
            <w:top w:val="none" w:sz="0" w:space="0" w:color="auto"/>
            <w:left w:val="none" w:sz="0" w:space="0" w:color="auto"/>
            <w:bottom w:val="none" w:sz="0" w:space="0" w:color="auto"/>
            <w:right w:val="none" w:sz="0" w:space="0" w:color="auto"/>
          </w:divBdr>
        </w:div>
        <w:div w:id="717701247">
          <w:marLeft w:val="0"/>
          <w:marRight w:val="0"/>
          <w:marTop w:val="0"/>
          <w:marBottom w:val="0"/>
          <w:divBdr>
            <w:top w:val="none" w:sz="0" w:space="0" w:color="auto"/>
            <w:left w:val="none" w:sz="0" w:space="0" w:color="auto"/>
            <w:bottom w:val="none" w:sz="0" w:space="0" w:color="auto"/>
            <w:right w:val="none" w:sz="0" w:space="0" w:color="auto"/>
          </w:divBdr>
        </w:div>
      </w:divsChild>
    </w:div>
    <w:div w:id="1704405648">
      <w:bodyDiv w:val="1"/>
      <w:marLeft w:val="0"/>
      <w:marRight w:val="0"/>
      <w:marTop w:val="0"/>
      <w:marBottom w:val="0"/>
      <w:divBdr>
        <w:top w:val="none" w:sz="0" w:space="0" w:color="auto"/>
        <w:left w:val="none" w:sz="0" w:space="0" w:color="auto"/>
        <w:bottom w:val="none" w:sz="0" w:space="0" w:color="auto"/>
        <w:right w:val="none" w:sz="0" w:space="0" w:color="auto"/>
      </w:divBdr>
      <w:divsChild>
        <w:div w:id="445734234">
          <w:marLeft w:val="547"/>
          <w:marRight w:val="0"/>
          <w:marTop w:val="200"/>
          <w:marBottom w:val="0"/>
          <w:divBdr>
            <w:top w:val="none" w:sz="0" w:space="0" w:color="auto"/>
            <w:left w:val="none" w:sz="0" w:space="0" w:color="auto"/>
            <w:bottom w:val="none" w:sz="0" w:space="0" w:color="auto"/>
            <w:right w:val="none" w:sz="0" w:space="0" w:color="auto"/>
          </w:divBdr>
        </w:div>
        <w:div w:id="634062040">
          <w:marLeft w:val="547"/>
          <w:marRight w:val="0"/>
          <w:marTop w:val="200"/>
          <w:marBottom w:val="0"/>
          <w:divBdr>
            <w:top w:val="none" w:sz="0" w:space="0" w:color="auto"/>
            <w:left w:val="none" w:sz="0" w:space="0" w:color="auto"/>
            <w:bottom w:val="none" w:sz="0" w:space="0" w:color="auto"/>
            <w:right w:val="none" w:sz="0" w:space="0" w:color="auto"/>
          </w:divBdr>
        </w:div>
        <w:div w:id="66071259">
          <w:marLeft w:val="547"/>
          <w:marRight w:val="0"/>
          <w:marTop w:val="200"/>
          <w:marBottom w:val="0"/>
          <w:divBdr>
            <w:top w:val="none" w:sz="0" w:space="0" w:color="auto"/>
            <w:left w:val="none" w:sz="0" w:space="0" w:color="auto"/>
            <w:bottom w:val="none" w:sz="0" w:space="0" w:color="auto"/>
            <w:right w:val="none" w:sz="0" w:space="0" w:color="auto"/>
          </w:divBdr>
        </w:div>
        <w:div w:id="1788810193">
          <w:marLeft w:val="547"/>
          <w:marRight w:val="0"/>
          <w:marTop w:val="200"/>
          <w:marBottom w:val="0"/>
          <w:divBdr>
            <w:top w:val="none" w:sz="0" w:space="0" w:color="auto"/>
            <w:left w:val="none" w:sz="0" w:space="0" w:color="auto"/>
            <w:bottom w:val="none" w:sz="0" w:space="0" w:color="auto"/>
            <w:right w:val="none" w:sz="0" w:space="0" w:color="auto"/>
          </w:divBdr>
        </w:div>
        <w:div w:id="314336366">
          <w:marLeft w:val="547"/>
          <w:marRight w:val="0"/>
          <w:marTop w:val="200"/>
          <w:marBottom w:val="0"/>
          <w:divBdr>
            <w:top w:val="none" w:sz="0" w:space="0" w:color="auto"/>
            <w:left w:val="none" w:sz="0" w:space="0" w:color="auto"/>
            <w:bottom w:val="none" w:sz="0" w:space="0" w:color="auto"/>
            <w:right w:val="none" w:sz="0" w:space="0" w:color="auto"/>
          </w:divBdr>
        </w:div>
        <w:div w:id="1872450889">
          <w:marLeft w:val="547"/>
          <w:marRight w:val="0"/>
          <w:marTop w:val="200"/>
          <w:marBottom w:val="0"/>
          <w:divBdr>
            <w:top w:val="none" w:sz="0" w:space="0" w:color="auto"/>
            <w:left w:val="none" w:sz="0" w:space="0" w:color="auto"/>
            <w:bottom w:val="none" w:sz="0" w:space="0" w:color="auto"/>
            <w:right w:val="none" w:sz="0" w:space="0" w:color="auto"/>
          </w:divBdr>
        </w:div>
        <w:div w:id="1233664770">
          <w:marLeft w:val="547"/>
          <w:marRight w:val="0"/>
          <w:marTop w:val="200"/>
          <w:marBottom w:val="0"/>
          <w:divBdr>
            <w:top w:val="none" w:sz="0" w:space="0" w:color="auto"/>
            <w:left w:val="none" w:sz="0" w:space="0" w:color="auto"/>
            <w:bottom w:val="none" w:sz="0" w:space="0" w:color="auto"/>
            <w:right w:val="none" w:sz="0" w:space="0" w:color="auto"/>
          </w:divBdr>
        </w:div>
      </w:divsChild>
    </w:div>
    <w:div w:id="1721594949">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 w:id="1846280742">
      <w:bodyDiv w:val="1"/>
      <w:marLeft w:val="0"/>
      <w:marRight w:val="0"/>
      <w:marTop w:val="0"/>
      <w:marBottom w:val="0"/>
      <w:divBdr>
        <w:top w:val="none" w:sz="0" w:space="0" w:color="auto"/>
        <w:left w:val="none" w:sz="0" w:space="0" w:color="auto"/>
        <w:bottom w:val="none" w:sz="0" w:space="0" w:color="auto"/>
        <w:right w:val="none" w:sz="0" w:space="0" w:color="auto"/>
      </w:divBdr>
      <w:divsChild>
        <w:div w:id="348919996">
          <w:marLeft w:val="0"/>
          <w:marRight w:val="0"/>
          <w:marTop w:val="0"/>
          <w:marBottom w:val="0"/>
          <w:divBdr>
            <w:top w:val="none" w:sz="0" w:space="0" w:color="auto"/>
            <w:left w:val="none" w:sz="0" w:space="0" w:color="auto"/>
            <w:bottom w:val="none" w:sz="0" w:space="0" w:color="auto"/>
            <w:right w:val="none" w:sz="0" w:space="0" w:color="auto"/>
          </w:divBdr>
          <w:divsChild>
            <w:div w:id="1073284727">
              <w:marLeft w:val="0"/>
              <w:marRight w:val="0"/>
              <w:marTop w:val="0"/>
              <w:marBottom w:val="0"/>
              <w:divBdr>
                <w:top w:val="none" w:sz="0" w:space="0" w:color="auto"/>
                <w:left w:val="none" w:sz="0" w:space="0" w:color="auto"/>
                <w:bottom w:val="none" w:sz="0" w:space="0" w:color="auto"/>
                <w:right w:val="none" w:sz="0" w:space="0" w:color="auto"/>
              </w:divBdr>
              <w:divsChild>
                <w:div w:id="1474324302">
                  <w:marLeft w:val="0"/>
                  <w:marRight w:val="0"/>
                  <w:marTop w:val="0"/>
                  <w:marBottom w:val="0"/>
                  <w:divBdr>
                    <w:top w:val="none" w:sz="0" w:space="0" w:color="auto"/>
                    <w:left w:val="none" w:sz="0" w:space="0" w:color="auto"/>
                    <w:bottom w:val="none" w:sz="0" w:space="0" w:color="auto"/>
                    <w:right w:val="none" w:sz="0" w:space="0" w:color="auto"/>
                  </w:divBdr>
                  <w:divsChild>
                    <w:div w:id="1581593699">
                      <w:marLeft w:val="0"/>
                      <w:marRight w:val="0"/>
                      <w:marTop w:val="0"/>
                      <w:marBottom w:val="0"/>
                      <w:divBdr>
                        <w:top w:val="none" w:sz="0" w:space="0" w:color="auto"/>
                        <w:left w:val="none" w:sz="0" w:space="0" w:color="auto"/>
                        <w:bottom w:val="none" w:sz="0" w:space="0" w:color="auto"/>
                        <w:right w:val="none" w:sz="0" w:space="0" w:color="auto"/>
                      </w:divBdr>
                      <w:divsChild>
                        <w:div w:id="1496457824">
                          <w:marLeft w:val="0"/>
                          <w:marRight w:val="0"/>
                          <w:marTop w:val="0"/>
                          <w:marBottom w:val="0"/>
                          <w:divBdr>
                            <w:top w:val="none" w:sz="0" w:space="0" w:color="auto"/>
                            <w:left w:val="none" w:sz="0" w:space="0" w:color="auto"/>
                            <w:bottom w:val="none" w:sz="0" w:space="0" w:color="auto"/>
                            <w:right w:val="none" w:sz="0" w:space="0" w:color="auto"/>
                          </w:divBdr>
                          <w:divsChild>
                            <w:div w:id="932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08767">
      <w:bodyDiv w:val="1"/>
      <w:marLeft w:val="0"/>
      <w:marRight w:val="0"/>
      <w:marTop w:val="0"/>
      <w:marBottom w:val="0"/>
      <w:divBdr>
        <w:top w:val="none" w:sz="0" w:space="0" w:color="auto"/>
        <w:left w:val="none" w:sz="0" w:space="0" w:color="auto"/>
        <w:bottom w:val="none" w:sz="0" w:space="0" w:color="auto"/>
        <w:right w:val="none" w:sz="0" w:space="0" w:color="auto"/>
      </w:divBdr>
    </w:div>
    <w:div w:id="1938714722">
      <w:bodyDiv w:val="1"/>
      <w:marLeft w:val="0"/>
      <w:marRight w:val="0"/>
      <w:marTop w:val="0"/>
      <w:marBottom w:val="0"/>
      <w:divBdr>
        <w:top w:val="none" w:sz="0" w:space="0" w:color="auto"/>
        <w:left w:val="none" w:sz="0" w:space="0" w:color="auto"/>
        <w:bottom w:val="none" w:sz="0" w:space="0" w:color="auto"/>
        <w:right w:val="none" w:sz="0" w:space="0" w:color="auto"/>
      </w:divBdr>
    </w:div>
    <w:div w:id="1950311875">
      <w:bodyDiv w:val="1"/>
      <w:marLeft w:val="0"/>
      <w:marRight w:val="0"/>
      <w:marTop w:val="0"/>
      <w:marBottom w:val="0"/>
      <w:divBdr>
        <w:top w:val="none" w:sz="0" w:space="0" w:color="auto"/>
        <w:left w:val="none" w:sz="0" w:space="0" w:color="auto"/>
        <w:bottom w:val="none" w:sz="0" w:space="0" w:color="auto"/>
        <w:right w:val="none" w:sz="0" w:space="0" w:color="auto"/>
      </w:divBdr>
      <w:divsChild>
        <w:div w:id="619604949">
          <w:marLeft w:val="0"/>
          <w:marRight w:val="0"/>
          <w:marTop w:val="0"/>
          <w:marBottom w:val="0"/>
          <w:divBdr>
            <w:top w:val="none" w:sz="0" w:space="0" w:color="auto"/>
            <w:left w:val="none" w:sz="0" w:space="0" w:color="auto"/>
            <w:bottom w:val="none" w:sz="0" w:space="0" w:color="auto"/>
            <w:right w:val="none" w:sz="0" w:space="0" w:color="auto"/>
          </w:divBdr>
          <w:divsChild>
            <w:div w:id="2140485890">
              <w:marLeft w:val="0"/>
              <w:marRight w:val="0"/>
              <w:marTop w:val="0"/>
              <w:marBottom w:val="0"/>
              <w:divBdr>
                <w:top w:val="none" w:sz="0" w:space="0" w:color="auto"/>
                <w:left w:val="none" w:sz="0" w:space="0" w:color="auto"/>
                <w:bottom w:val="none" w:sz="0" w:space="0" w:color="auto"/>
                <w:right w:val="none" w:sz="0" w:space="0" w:color="auto"/>
              </w:divBdr>
              <w:divsChild>
                <w:div w:id="747000020">
                  <w:marLeft w:val="0"/>
                  <w:marRight w:val="0"/>
                  <w:marTop w:val="0"/>
                  <w:marBottom w:val="0"/>
                  <w:divBdr>
                    <w:top w:val="none" w:sz="0" w:space="0" w:color="auto"/>
                    <w:left w:val="none" w:sz="0" w:space="0" w:color="auto"/>
                    <w:bottom w:val="none" w:sz="0" w:space="0" w:color="auto"/>
                    <w:right w:val="none" w:sz="0" w:space="0" w:color="auto"/>
                  </w:divBdr>
                  <w:divsChild>
                    <w:div w:id="985932917">
                      <w:marLeft w:val="0"/>
                      <w:marRight w:val="0"/>
                      <w:marTop w:val="0"/>
                      <w:marBottom w:val="0"/>
                      <w:divBdr>
                        <w:top w:val="none" w:sz="0" w:space="0" w:color="auto"/>
                        <w:left w:val="none" w:sz="0" w:space="0" w:color="auto"/>
                        <w:bottom w:val="none" w:sz="0" w:space="0" w:color="auto"/>
                        <w:right w:val="none" w:sz="0" w:space="0" w:color="auto"/>
                      </w:divBdr>
                      <w:divsChild>
                        <w:div w:id="733624819">
                          <w:marLeft w:val="0"/>
                          <w:marRight w:val="0"/>
                          <w:marTop w:val="0"/>
                          <w:marBottom w:val="0"/>
                          <w:divBdr>
                            <w:top w:val="none" w:sz="0" w:space="0" w:color="auto"/>
                            <w:left w:val="none" w:sz="0" w:space="0" w:color="auto"/>
                            <w:bottom w:val="none" w:sz="0" w:space="0" w:color="auto"/>
                            <w:right w:val="none" w:sz="0" w:space="0" w:color="auto"/>
                          </w:divBdr>
                          <w:divsChild>
                            <w:div w:id="16904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161">
      <w:bodyDiv w:val="1"/>
      <w:marLeft w:val="0"/>
      <w:marRight w:val="0"/>
      <w:marTop w:val="0"/>
      <w:marBottom w:val="0"/>
      <w:divBdr>
        <w:top w:val="none" w:sz="0" w:space="0" w:color="auto"/>
        <w:left w:val="none" w:sz="0" w:space="0" w:color="auto"/>
        <w:bottom w:val="none" w:sz="0" w:space="0" w:color="auto"/>
        <w:right w:val="none" w:sz="0" w:space="0" w:color="auto"/>
      </w:divBdr>
    </w:div>
    <w:div w:id="2027435813">
      <w:bodyDiv w:val="1"/>
      <w:marLeft w:val="0"/>
      <w:marRight w:val="0"/>
      <w:marTop w:val="0"/>
      <w:marBottom w:val="0"/>
      <w:divBdr>
        <w:top w:val="none" w:sz="0" w:space="0" w:color="auto"/>
        <w:left w:val="none" w:sz="0" w:space="0" w:color="auto"/>
        <w:bottom w:val="none" w:sz="0" w:space="0" w:color="auto"/>
        <w:right w:val="none" w:sz="0" w:space="0" w:color="auto"/>
      </w:divBdr>
    </w:div>
    <w:div w:id="2045250606">
      <w:bodyDiv w:val="1"/>
      <w:marLeft w:val="0"/>
      <w:marRight w:val="0"/>
      <w:marTop w:val="0"/>
      <w:marBottom w:val="0"/>
      <w:divBdr>
        <w:top w:val="none" w:sz="0" w:space="0" w:color="auto"/>
        <w:left w:val="none" w:sz="0" w:space="0" w:color="auto"/>
        <w:bottom w:val="none" w:sz="0" w:space="0" w:color="auto"/>
        <w:right w:val="none" w:sz="0" w:space="0" w:color="auto"/>
      </w:divBdr>
    </w:div>
    <w:div w:id="2052069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portal.cor.europa.eu/" TargetMode="External"/><Relationship Id="rId18" Type="http://schemas.openxmlformats.org/officeDocument/2006/relationships/header" Target="header3.xml"/><Relationship Id="rId26" Type="http://schemas.openxmlformats.org/officeDocument/2006/relationships/header" Target="header6.xml"/><Relationship Id="rId21" Type="http://schemas.openxmlformats.org/officeDocument/2006/relationships/hyperlink" Target="https://eur-lex.europa.eu/legal-content/EN/TXT/?uri=CELEX%3A52024DC009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hyperlink" Target="https://eur-lex.europa.eu/legal-content/EN/TXT/?uri=COM%3A2024%3A63%3AFIN" TargetMode="Externa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oi/10.2863/71811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DBC8D83B292D94FB303C67A8DD2344C" ma:contentTypeVersion="4" ma:contentTypeDescription="Defines the documents for Document Manager V2" ma:contentTypeScope="" ma:versionID="3d9b2bf19a7378f525be3c75e26fa2ca">
  <xsd:schema xmlns:xsd="http://www.w3.org/2001/XMLSchema" xmlns:xs="http://www.w3.org/2001/XMLSchema" xmlns:p="http://schemas.microsoft.com/office/2006/metadata/properties" xmlns:ns2="a2d46f94-43c6-4a12-989f-74dddb81bcce" xmlns:ns3="http://schemas.microsoft.com/sharepoint/v3/fields" xmlns:ns4="cfa3a6fd-3881-4b95-8aab-4a7e356ebcf9" targetNamespace="http://schemas.microsoft.com/office/2006/metadata/properties" ma:root="true" ma:fieldsID="0d8c52737b39479b75d0ae2e291fb43f" ns2:_="" ns3:_="" ns4:_="">
    <xsd:import namespace="a2d46f94-43c6-4a12-989f-74dddb81bcce"/>
    <xsd:import namespace="http://schemas.microsoft.com/sharepoint/v3/fields"/>
    <xsd:import namespace="cfa3a6fd-3881-4b95-8aab-4a7e356ebcf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6f94-43c6-4a12-989f-74dddb81bc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ff9964be-ef63-475c-9d52-2f2c8f95332d}" ma:internalName="TaxCatchAll" ma:showField="CatchAllData"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f9964be-ef63-475c-9d52-2f2c8f95332d}" ma:internalName="TaxCatchAllLabel" ma:readOnly="true" ma:showField="CatchAllDataLabel" ma:web="a2d46f94-43c6-4a12-989f-74dddb81bcce">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3a6fd-3881-4b95-8aab-4a7e356ebcf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2d46f94-43c6-4a12-989f-74dddb81bcce">VTJTVCCZRNCJ-1813944616-10009</_dlc_DocId>
    <_dlc_DocIdUrl xmlns="a2d46f94-43c6-4a12-989f-74dddb81bcce">
      <Url>http://dm/cor/2024/_layouts/15/DocIdRedir.aspx?ID=VTJTVCCZRNCJ-1813944616-10009</Url>
      <Description>VTJTVCCZRNCJ-1813944616-10009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a2d46f94-43c6-4a12-989f-74dddb81bcc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2d46f94-43c6-4a12-989f-74dddb81bcce">2024-10-10T12:00:00+00:00</ProductionDate>
    <FicheYear xmlns="a2d46f94-43c6-4a12-989f-74dddb81bcce" xsi:nil="true"/>
    <DocumentNumber xmlns="cfa3a6fd-3881-4b95-8aab-4a7e356ebcf9">1474</DocumentNumber>
    <DossierNumber xmlns="a2d46f94-43c6-4a12-989f-74dddb81bcce">50</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2d46f94-43c6-4a12-989f-74dddb81bcce">2024-11-20T12:00:00+00:00</MeetingDate>
    <TaxCatchAll xmlns="a2d46f94-43c6-4a12-989f-74dddb81bcce">
      <Value>85</Value>
      <Value>65</Value>
      <Value>64</Value>
      <Value>57</Value>
      <Value>41</Value>
      <Value>40</Value>
      <Value>39</Value>
      <Value>38</Value>
      <Value>36</Value>
      <Value>35</Value>
      <Value>34</Value>
      <Value>33</Value>
      <Value>32</Value>
      <Value>31</Value>
      <Value>30</Value>
      <Value>29</Value>
      <Value>28</Value>
      <Value>27</Value>
      <Value>26</Value>
      <Value>25</Value>
      <Value>24</Value>
      <Value>23</Value>
      <Value>22</Value>
      <Value>21</Value>
      <Value>14</Value>
      <Value>12</Value>
      <Value>10</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2d46f94-43c6-4a12-989f-74dddb81bcce">MARKKULA</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2d46f94-43c6-4a12-989f-74dddb81bcce">2024</DocumentYear>
    <FicheNumber xmlns="a2d46f94-43c6-4a12-989f-74dddb81bcce">9940</FicheNumber>
    <OriginalSender xmlns="a2d46f94-43c6-4a12-989f-74dddb81bcce">
      <UserInfo>
        <DisplayName>TDriveSVCUserProd</DisplayName>
        <AccountId>1388</AccountId>
        <AccountType/>
      </UserInfo>
    </OriginalSender>
    <DocumentPart xmlns="a2d46f94-43c6-4a12-989f-74dddb81bcce">0</DocumentPart>
    <AdoptionDate xmlns="a2d46f94-43c6-4a12-989f-74dddb81bcce" xsi:nil="true"/>
    <RequestingService xmlns="a2d46f94-43c6-4a12-989f-74dddb81bcce">Commission ENVE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fa3a6fd-3881-4b95-8aab-4a7e356ebcf9">163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ENVE-VII</TermName>
          <TermId xmlns="http://schemas.microsoft.com/office/infopath/2007/PartnerControls">6ee8e51f-c3cc-464b-aceb-beb6545d7e0a</TermId>
        </TermInfo>
      </Terms>
    </DossierName_0>
    <DocumentVersion xmlns="a2d46f94-43c6-4a12-989f-74dddb81bcce">0</DocumentVersion>
  </documentManagement>
</p:properties>
</file>

<file path=customXml/itemProps1.xml><?xml version="1.0" encoding="utf-8"?>
<ds:datastoreItem xmlns:ds="http://schemas.openxmlformats.org/officeDocument/2006/customXml" ds:itemID="{29291AC4-80A0-4592-AD4E-C244A83A55F3}"/>
</file>

<file path=customXml/itemProps2.xml><?xml version="1.0" encoding="utf-8"?>
<ds:datastoreItem xmlns:ds="http://schemas.openxmlformats.org/officeDocument/2006/customXml" ds:itemID="{CCB91AB9-84B4-4D95-85A6-F9EE3A238B0D}"/>
</file>

<file path=customXml/itemProps3.xml><?xml version="1.0" encoding="utf-8"?>
<ds:datastoreItem xmlns:ds="http://schemas.openxmlformats.org/officeDocument/2006/customXml" ds:itemID="{F0D26172-D9B4-431E-9488-E4AB7A1FAF09}"/>
</file>

<file path=customXml/itemProps4.xml><?xml version="1.0" encoding="utf-8"?>
<ds:datastoreItem xmlns:ds="http://schemas.openxmlformats.org/officeDocument/2006/customXml" ds:itemID="{FB031B98-C5A4-434F-A17D-41CDFC446899}"/>
</file>

<file path=docProps/app.xml><?xml version="1.0" encoding="utf-8"?>
<Properties xmlns="http://schemas.openxmlformats.org/officeDocument/2006/extended-properties" xmlns:vt="http://schemas.openxmlformats.org/officeDocument/2006/docPropsVTypes">
  <Template>Normal</Template>
  <TotalTime>0</TotalTime>
  <Pages>2</Pages>
  <Words>5882</Words>
  <Characters>33529</Characters>
  <Application>Microsoft Office Word</Application>
  <DocSecurity>0</DocSecurity>
  <Lines>279</Lines>
  <Paragraphs>78</Paragraphs>
  <ScaleCrop>false</ScaleCrop>
  <HeadingPairs>
    <vt:vector size="6" baseType="variant">
      <vt:variant>
        <vt:lpstr>Title</vt:lpstr>
      </vt:variant>
      <vt:variant>
        <vt:i4>1</vt:i4>
      </vt:variant>
      <vt:variant>
        <vt:lpstr>Otsikko</vt:lpstr>
      </vt:variant>
      <vt:variant>
        <vt:i4>1</vt:i4>
      </vt:variant>
      <vt:variant>
        <vt:lpstr>Rubrik</vt:lpstr>
      </vt:variant>
      <vt:variant>
        <vt:i4>1</vt:i4>
      </vt:variant>
    </vt:vector>
  </HeadingPairs>
  <TitlesOfParts>
    <vt:vector size="3" baseType="lpstr">
      <vt:lpstr>The future of EU climate policy: aligning mitigation targets and adaptation challenges</vt:lpstr>
      <vt:lpstr>...</vt:lpstr>
      <vt:lpstr>...</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EU climate policy: aligning mitigation targets and adaptation challenges</dc:title>
  <dc:subject>Draft Committee opinion</dc:subject>
  <dc:creator>Markku Markkula</dc:creator>
  <cp:keywords>COR-2024-01474-00-00-PAC-TRA-EN</cp:keywords>
  <dc:description>Rapporteur: - MARKKULA Original language: - EN Date of document: - 10/10/2024 Date of meeting: - 20/11/2024 External documents: - COM(2024)91 Administrator responsible: -  ANTONINI Alessandra</dc:description>
  <cp:lastModifiedBy>TDriveSVCUserProd</cp:lastModifiedBy>
  <cp:revision>6</cp:revision>
  <cp:lastPrinted>2024-08-26T07:32:00Z</cp:lastPrinted>
  <dcterms:created xsi:type="dcterms:W3CDTF">2024-10-10T09:34:00Z</dcterms:created>
  <dcterms:modified xsi:type="dcterms:W3CDTF">2024-10-10T09:36:00Z</dcterms:modified>
  <cp:category>ENVE-VII/50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10/10/2024, 05/09/2024, 29/08/2024, 27/01/2021, 19/01/2021, 19/01/2021</vt:lpwstr>
  </property>
  <property fmtid="{D5CDD505-2E9C-101B-9397-08002B2CF9AE}" pid="4" name="Pref_Time">
    <vt:lpwstr>11:34:50, 13:18:45, 14:45:25, 13:38:54, 15:13:18, 15:01:52</vt:lpwstr>
  </property>
  <property fmtid="{D5CDD505-2E9C-101B-9397-08002B2CF9AE}" pid="5" name="Pref_User">
    <vt:lpwstr>pacup, amett, amett, amett, hnic, YMUR</vt:lpwstr>
  </property>
  <property fmtid="{D5CDD505-2E9C-101B-9397-08002B2CF9AE}" pid="6" name="Pref_FileName">
    <vt:lpwstr>COR-2024-01474-00-00-PAC-TRA-EN-CRR.docx, COR-2024-01474-00-01-PA-ORI.docx, COR-2024-01474-00-00-PA-ORI.docx, COR-2021-00292-00-01-DT-ORI.docx, COR-2021-00292-00-00-DT-TRA-EN-CRR.docx, COR-2021-00292-00-00-DT-CRR-EN.docx</vt:lpwstr>
  </property>
  <property fmtid="{D5CDD505-2E9C-101B-9397-08002B2CF9AE}" pid="7" name="ContentTypeId">
    <vt:lpwstr>0x010100EA97B91038054C99906057A708A1480A006DBC8D83B292D94FB303C67A8DD2344C</vt:lpwstr>
  </property>
  <property fmtid="{D5CDD505-2E9C-101B-9397-08002B2CF9AE}" pid="8" name="_dlc_DocIdItemGuid">
    <vt:lpwstr>2770d1f1-3ec1-440b-bb3d-7558cc446015</vt:lpwstr>
  </property>
  <property fmtid="{D5CDD505-2E9C-101B-9397-08002B2CF9AE}" pid="9" name="AvailableTranslations">
    <vt:lpwstr>23;#ES|e7a6b05b-ae16-40c8-add9-68b64b03aeba;#25;#PL|1e03da61-4678-4e07-b136-b5024ca9197b;#14;#DE|f6b31e5a-26fa-4935-b661-318e46daf27e;#24;#CS|72f9705b-0217-4fd3-bea2-cbc7ed80e26e;#33;#HU|6b229040-c589-4408-b4c1-4285663d20a8;#22;#EL|6d4f4d51-af9b-4650-94b4-4276bee85c91;#28;#IT|0774613c-01ed-4e5d-a25d-11d2388de825;#39;#LT|a7ff5ce7-6123-4f68-865a-a57c31810414;#41;#FI|87606a43-d45f-42d6-b8c9-e1a3457db5b7;#38;#LV|46f7e311-5d9f-4663-b433-18aeccb7ace7;#36;#DA|5d49c027-8956-412b-aa16-e85a0f96ad0e;#35;#HR|2f555653-ed1a-4fe6-8362-9082d95989e5;#12;#NL|55c6556c-b4f4-441d-9acf-c498d4f838bd;#31;#MT|7df99101-6854-4a26-b53a-b88c0da02c26;#34;#SL|98a412ae-eb01-49e9-ae3d-585a81724cfc;#30;#BG|1a1b3951-7821-4e6a-85f5-5673fc08bd2c;#4;#EN|f2175f21-25d7-44a3-96da-d6a61b075e1b;#40;#RO|feb747a2-64cd-4299-af12-4833ddc30497;#32;#SK|46d9fce0-ef79-4f71-b89b-cd6aa82426b8;#29;#PT|50ccc04a-eadd-42ae-a0cb-acaf45f812ba;#27;#ET|ff6c3f4c-b02c-4c3c-ab07-2c37995a7a0a;#57;#GA|762d2456-c427-4ecb-b312-af3dad8e258c;#26;#SV|c2ed69e7-a339-43d7-8f22-d93680a92aa0;#10;#FR|d2afafd3-4c81-4f60-8f52-ee33f2f54ff3</vt:lpwstr>
  </property>
  <property fmtid="{D5CDD505-2E9C-101B-9397-08002B2CF9AE}" pid="10" name="DocumentType_0">
    <vt:lpwstr>PAC|719e5324-e7b4-48f6-9bbb-a2f1f3496a94</vt:lpwstr>
  </property>
  <property fmtid="{D5CDD505-2E9C-101B-9397-08002B2CF9AE}" pid="11" name="MeetingNumber">
    <vt:i4>163</vt:i4>
  </property>
  <property fmtid="{D5CDD505-2E9C-101B-9397-08002B2CF9AE}" pid="12" name="DossierName_0">
    <vt:lpwstr>ENVE-VII|6ee8e51f-c3cc-464b-aceb-beb6545d7e0a</vt:lpwstr>
  </property>
  <property fmtid="{D5CDD505-2E9C-101B-9397-08002B2CF9AE}" pid="13" name="DocumentSource_0">
    <vt:lpwstr>CoR|cb2d75ef-4a7d-4393-b797-49ed6298a5ea</vt:lpwstr>
  </property>
  <property fmtid="{D5CDD505-2E9C-101B-9397-08002B2CF9AE}" pid="14" name="DocumentNumber">
    <vt:i4>1474</vt:i4>
  </property>
  <property fmtid="{D5CDD505-2E9C-101B-9397-08002B2CF9AE}" pid="15" name="FicheYear">
    <vt:i4>2024</vt:i4>
  </property>
  <property fmtid="{D5CDD505-2E9C-101B-9397-08002B2CF9AE}" pid="16" name="DocumentVersion">
    <vt:i4>0</vt:i4>
  </property>
  <property fmtid="{D5CDD505-2E9C-101B-9397-08002B2CF9AE}" pid="17" name="DossierNumber">
    <vt:i4>50</vt:i4>
  </property>
  <property fmtid="{D5CDD505-2E9C-101B-9397-08002B2CF9AE}" pid="18" name="DocumentStatus">
    <vt:lpwstr>7;#TRA|150d2a88-1431-44e6-a8ca-0bb753ab8672</vt:lpwstr>
  </property>
  <property fmtid="{D5CDD505-2E9C-101B-9397-08002B2CF9AE}" pid="19" name="DossierName">
    <vt:lpwstr>64;#ENVE-VII|6ee8e51f-c3cc-464b-aceb-beb6545d7e0a</vt:lpwstr>
  </property>
  <property fmtid="{D5CDD505-2E9C-101B-9397-08002B2CF9AE}" pid="20" name="RequestingService">
    <vt:lpwstr>Commission ENVE</vt:lpwstr>
  </property>
  <property fmtid="{D5CDD505-2E9C-101B-9397-08002B2CF9AE}" pid="21" name="Confidentiality">
    <vt:lpwstr>21;#Unrestricted|826e22d7-d029-4ec0-a450-0c28ff673572</vt:lpwstr>
  </property>
  <property fmtid="{D5CDD505-2E9C-101B-9397-08002B2CF9AE}" pid="22" name="MeetingName_0">
    <vt:lpwstr>SPL-CDR|8f822234-72c1-4721-9e21-9e3c2bc35462</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65;#SPL-CDR|8f822234-72c1-4721-9e21-9e3c2bc35462</vt:lpwstr>
  </property>
  <property fmtid="{D5CDD505-2E9C-101B-9397-08002B2CF9AE}" pid="26" name="MeetingDate">
    <vt:filetime>2024-11-20T12:00:00Z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65;#SPL-CDR|8f822234-72c1-4721-9e21-9e3c2bc35462;#64;#ENVE-VII|6ee8e51f-c3cc-464b-aceb-beb6545d7e0a;#21;#Unrestricted|826e22d7-d029-4ec0-a450-0c28ff673572;#7;#TRA|150d2a88-1431-44e6-a8ca-0bb753ab8672;#6;#Final|ea5e6674-7b27-4bac-b091-73adbb394efe;#4;#EN|f2175f21-25d7-44a3-96da-d6a61b075e1b;#1;#CoR|cb2d75ef-4a7d-4393-b797-49ed6298a5ea;#85;#PAC|719e5324-e7b4-48f6-9bbb-a2f1f3496a94</vt:lpwstr>
  </property>
  <property fmtid="{D5CDD505-2E9C-101B-9397-08002B2CF9AE}" pid="31" name="Rapporteur">
    <vt:lpwstr>MARKKULA</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2024</vt:i4>
  </property>
  <property fmtid="{D5CDD505-2E9C-101B-9397-08002B2CF9AE}" pid="35" name="FicheNumber">
    <vt:i4>9940</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9" name="DocumentType">
    <vt:lpwstr>85;#PAC|719e5324-e7b4-48f6-9bbb-a2f1f3496a94</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