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F7981" w14:textId="544485C3" w:rsidR="00111D1F" w:rsidRPr="00370848" w:rsidRDefault="00111D1F" w:rsidP="00111D1F">
      <w:pPr>
        <w:spacing w:after="160" w:line="240" w:lineRule="auto"/>
        <w:ind w:left="0"/>
        <w:jc w:val="center"/>
        <w:rPr>
          <w:b/>
          <w:sz w:val="28"/>
          <w:lang w:val="en-US"/>
        </w:rPr>
      </w:pPr>
      <w:r w:rsidRPr="00370848">
        <w:rPr>
          <w:b/>
          <w:sz w:val="28"/>
          <w:lang w:val="en-US"/>
        </w:rPr>
        <w:t>Informal JHA Ministerial Meeting (Home Affairs)</w:t>
      </w:r>
    </w:p>
    <w:p w14:paraId="472510D2" w14:textId="3300893C" w:rsidR="00111D1F" w:rsidRPr="00DC2C81" w:rsidRDefault="00111D1F" w:rsidP="00111D1F">
      <w:pPr>
        <w:spacing w:after="160" w:line="240" w:lineRule="auto"/>
        <w:ind w:left="0"/>
        <w:jc w:val="center"/>
        <w:rPr>
          <w:rFonts w:ascii="Times New Roman" w:eastAsia="Calibri" w:hAnsi="Times New Roman" w:cs="Times New Roman"/>
          <w:b/>
          <w:bCs/>
          <w:sz w:val="32"/>
          <w:szCs w:val="32"/>
          <w:lang w:val="en-US"/>
        </w:rPr>
      </w:pPr>
      <w:r w:rsidRPr="00370848">
        <w:rPr>
          <w:b/>
          <w:sz w:val="28"/>
          <w:lang w:val="en-US"/>
        </w:rPr>
        <w:t>30 January 2025, Warsaw</w:t>
      </w:r>
    </w:p>
    <w:p w14:paraId="740322A6" w14:textId="77777777" w:rsidR="00111D1F" w:rsidRPr="00DC2C81" w:rsidRDefault="00111D1F" w:rsidP="00111D1F">
      <w:pPr>
        <w:spacing w:after="160" w:line="240" w:lineRule="auto"/>
        <w:ind w:left="0"/>
        <w:jc w:val="center"/>
        <w:rPr>
          <w:rFonts w:ascii="Times New Roman" w:eastAsia="Calibri" w:hAnsi="Times New Roman" w:cs="Times New Roman"/>
          <w:b/>
          <w:bCs/>
          <w:sz w:val="32"/>
          <w:szCs w:val="32"/>
          <w:lang w:val="en-US"/>
        </w:rPr>
      </w:pPr>
    </w:p>
    <w:p w14:paraId="63341B8F" w14:textId="09A45D65" w:rsidR="008E7A5B" w:rsidRPr="00370848" w:rsidRDefault="00111D1F" w:rsidP="00370848">
      <w:pPr>
        <w:spacing w:after="160" w:line="240" w:lineRule="auto"/>
        <w:ind w:left="2832"/>
        <w:jc w:val="both"/>
        <w:rPr>
          <w:b/>
          <w:sz w:val="28"/>
          <w:szCs w:val="28"/>
          <w:lang w:val="en-US"/>
        </w:rPr>
      </w:pPr>
      <w:r w:rsidRPr="00370848">
        <w:rPr>
          <w:rFonts w:eastAsia="Calibri" w:cs="Times New Roman"/>
          <w:b/>
          <w:bCs/>
          <w:sz w:val="28"/>
          <w:szCs w:val="28"/>
          <w:lang w:val="en-US"/>
        </w:rPr>
        <w:t xml:space="preserve">Working session I – Discussion paper: </w:t>
      </w:r>
      <w:r w:rsidR="001B4953" w:rsidRPr="00370848">
        <w:rPr>
          <w:b/>
          <w:sz w:val="28"/>
          <w:szCs w:val="28"/>
          <w:lang w:val="en-US"/>
        </w:rPr>
        <w:t>New</w:t>
      </w:r>
      <w:r w:rsidR="00EB3673" w:rsidRPr="00370848">
        <w:rPr>
          <w:b/>
          <w:sz w:val="28"/>
          <w:szCs w:val="28"/>
          <w:lang w:val="en-US"/>
        </w:rPr>
        <w:t xml:space="preserve"> and</w:t>
      </w:r>
      <w:r w:rsidR="001B4953" w:rsidRPr="00370848">
        <w:rPr>
          <w:b/>
          <w:sz w:val="28"/>
          <w:szCs w:val="28"/>
          <w:lang w:val="en-US"/>
        </w:rPr>
        <w:t xml:space="preserve"> innovative solutions in migration management</w:t>
      </w:r>
      <w:r w:rsidR="0060475C" w:rsidRPr="00370848">
        <w:rPr>
          <w:b/>
          <w:sz w:val="28"/>
          <w:szCs w:val="28"/>
          <w:lang w:val="en-GB"/>
        </w:rPr>
        <w:t xml:space="preserve"> </w:t>
      </w:r>
    </w:p>
    <w:p w14:paraId="63341B90" w14:textId="77777777" w:rsidR="0060475C" w:rsidRPr="001B4953" w:rsidRDefault="0060475C" w:rsidP="0060475C">
      <w:pPr>
        <w:rPr>
          <w:lang w:val="en-GB"/>
        </w:rPr>
      </w:pPr>
    </w:p>
    <w:p w14:paraId="63341B91" w14:textId="7201C7C3" w:rsidR="001B4953" w:rsidRDefault="001B4953" w:rsidP="0060475C">
      <w:pPr>
        <w:jc w:val="both"/>
        <w:rPr>
          <w:lang w:val="en-GB"/>
        </w:rPr>
      </w:pPr>
      <w:r w:rsidRPr="001B4953">
        <w:rPr>
          <w:lang w:val="en-GB"/>
        </w:rPr>
        <w:t xml:space="preserve">As an area of security, freedom, justice and a high standard of living, the European Union </w:t>
      </w:r>
      <w:r w:rsidR="0050404C">
        <w:rPr>
          <w:lang w:val="en-GB"/>
        </w:rPr>
        <w:t>remains</w:t>
      </w:r>
      <w:r w:rsidRPr="001B4953">
        <w:rPr>
          <w:lang w:val="en-GB"/>
        </w:rPr>
        <w:t xml:space="preserve"> </w:t>
      </w:r>
      <w:r w:rsidR="00FD3515">
        <w:rPr>
          <w:lang w:val="en-GB"/>
        </w:rPr>
        <w:t xml:space="preserve">under </w:t>
      </w:r>
      <w:r w:rsidR="00AF1521">
        <w:rPr>
          <w:lang w:val="en-GB"/>
        </w:rPr>
        <w:t xml:space="preserve">constant </w:t>
      </w:r>
      <w:r w:rsidRPr="001B4953">
        <w:rPr>
          <w:lang w:val="en-GB"/>
        </w:rPr>
        <w:t>migration pressure. Over the years, the Member States have been open to migration processes in economic,</w:t>
      </w:r>
      <w:r w:rsidR="00614E59">
        <w:rPr>
          <w:lang w:val="en-GB"/>
        </w:rPr>
        <w:t xml:space="preserve"> social and humanitarian terms. M</w:t>
      </w:r>
      <w:r w:rsidRPr="001B4953">
        <w:rPr>
          <w:lang w:val="en-GB"/>
        </w:rPr>
        <w:t>igration has had a positive impact on both economic and social development</w:t>
      </w:r>
      <w:r w:rsidR="00EB3673">
        <w:rPr>
          <w:lang w:val="en-GB"/>
        </w:rPr>
        <w:t>, which has</w:t>
      </w:r>
      <w:r w:rsidRPr="001B4953">
        <w:rPr>
          <w:lang w:val="en-GB"/>
        </w:rPr>
        <w:t xml:space="preserve"> also</w:t>
      </w:r>
      <w:r w:rsidR="0050404C">
        <w:rPr>
          <w:lang w:val="en-GB"/>
        </w:rPr>
        <w:t xml:space="preserve"> been</w:t>
      </w:r>
      <w:r w:rsidRPr="001B4953">
        <w:rPr>
          <w:lang w:val="en-GB"/>
        </w:rPr>
        <w:t xml:space="preserve"> widely accepted by societies. EU law </w:t>
      </w:r>
      <w:r w:rsidR="00EB3673">
        <w:rPr>
          <w:lang w:val="en-GB"/>
        </w:rPr>
        <w:t xml:space="preserve">regulating migration </w:t>
      </w:r>
      <w:r w:rsidRPr="001B4953">
        <w:rPr>
          <w:lang w:val="en-GB"/>
        </w:rPr>
        <w:t xml:space="preserve">management has also </w:t>
      </w:r>
      <w:r w:rsidR="00EB3673">
        <w:rPr>
          <w:lang w:val="en-GB"/>
        </w:rPr>
        <w:t>evolved</w:t>
      </w:r>
      <w:r w:rsidRPr="001B4953">
        <w:rPr>
          <w:lang w:val="en-GB"/>
        </w:rPr>
        <w:t>, including in terms of human rights in the broadest sense</w:t>
      </w:r>
      <w:r w:rsidR="000D6F3E">
        <w:rPr>
          <w:lang w:val="en-GB"/>
        </w:rPr>
        <w:t>. It has often gone</w:t>
      </w:r>
      <w:r w:rsidRPr="001B4953">
        <w:rPr>
          <w:lang w:val="en-GB"/>
        </w:rPr>
        <w:t xml:space="preserve"> beyond the principles adopted in international law, such as those </w:t>
      </w:r>
      <w:r w:rsidR="00AF1521">
        <w:rPr>
          <w:lang w:val="en-GB"/>
        </w:rPr>
        <w:t>set out</w:t>
      </w:r>
      <w:r w:rsidR="00AF1521" w:rsidRPr="001B4953">
        <w:rPr>
          <w:lang w:val="en-GB"/>
        </w:rPr>
        <w:t xml:space="preserve"> </w:t>
      </w:r>
      <w:r w:rsidRPr="001B4953">
        <w:rPr>
          <w:lang w:val="en-GB"/>
        </w:rPr>
        <w:t>in the Convention Rela</w:t>
      </w:r>
      <w:r>
        <w:rPr>
          <w:lang w:val="en-GB"/>
        </w:rPr>
        <w:t>ting to the Status of Refugees</w:t>
      </w:r>
      <w:r>
        <w:rPr>
          <w:rStyle w:val="Odwoanieprzypisudolnego"/>
          <w:lang w:val="en-GB"/>
        </w:rPr>
        <w:footnoteReference w:id="1"/>
      </w:r>
      <w:r w:rsidR="00AF1521">
        <w:rPr>
          <w:lang w:val="en-GB"/>
        </w:rPr>
        <w:t>.</w:t>
      </w:r>
      <w:r w:rsidRPr="001B4953">
        <w:rPr>
          <w:lang w:val="en-GB"/>
        </w:rPr>
        <w:t xml:space="preserve"> The EU has also demonstrated its ability to respond unprecedentedly to mass migratory movements, as </w:t>
      </w:r>
      <w:r w:rsidR="000D6F3E">
        <w:rPr>
          <w:lang w:val="en-GB"/>
        </w:rPr>
        <w:t xml:space="preserve">demonstrated </w:t>
      </w:r>
      <w:r w:rsidRPr="001B4953">
        <w:rPr>
          <w:lang w:val="en-GB"/>
        </w:rPr>
        <w:t xml:space="preserve">by </w:t>
      </w:r>
      <w:r w:rsidR="008A3CDA">
        <w:rPr>
          <w:lang w:val="en-GB"/>
        </w:rPr>
        <w:t>providing shelter</w:t>
      </w:r>
      <w:r w:rsidRPr="001B4953">
        <w:rPr>
          <w:lang w:val="en-GB"/>
        </w:rPr>
        <w:t xml:space="preserve"> </w:t>
      </w:r>
      <w:r w:rsidR="000666FE">
        <w:rPr>
          <w:lang w:val="en-GB"/>
        </w:rPr>
        <w:t>to</w:t>
      </w:r>
      <w:r w:rsidRPr="001B4953">
        <w:rPr>
          <w:lang w:val="en-GB"/>
        </w:rPr>
        <w:t xml:space="preserve"> millions of war refugees from Ukraine.</w:t>
      </w:r>
    </w:p>
    <w:p w14:paraId="63341B92" w14:textId="7581CA34" w:rsidR="001B4953" w:rsidRDefault="001B4953" w:rsidP="0060475C">
      <w:pPr>
        <w:jc w:val="both"/>
        <w:rPr>
          <w:lang w:val="en-GB"/>
        </w:rPr>
      </w:pPr>
      <w:r w:rsidRPr="001B4953">
        <w:rPr>
          <w:lang w:val="en-GB"/>
        </w:rPr>
        <w:t xml:space="preserve">Recently, however, there has been an adverse development. </w:t>
      </w:r>
      <w:r w:rsidR="00FD3515" w:rsidRPr="00FD3515">
        <w:rPr>
          <w:lang w:val="en-GB"/>
        </w:rPr>
        <w:t>Member State societies’ ability to h</w:t>
      </w:r>
      <w:r w:rsidR="00614E59">
        <w:rPr>
          <w:lang w:val="en-GB"/>
        </w:rPr>
        <w:t xml:space="preserve">ost large numbers of migrants </w:t>
      </w:r>
      <w:r w:rsidR="00FD3515" w:rsidRPr="00FD3515">
        <w:rPr>
          <w:lang w:val="en-GB"/>
        </w:rPr>
        <w:t>is increasingly being put to the test</w:t>
      </w:r>
      <w:r w:rsidRPr="001B4953">
        <w:rPr>
          <w:lang w:val="en-GB"/>
        </w:rPr>
        <w:t xml:space="preserve">, especially </w:t>
      </w:r>
      <w:r w:rsidR="00FD1C60">
        <w:rPr>
          <w:lang w:val="en-GB"/>
        </w:rPr>
        <w:t>in situations where</w:t>
      </w:r>
      <w:r w:rsidRPr="001B4953">
        <w:rPr>
          <w:lang w:val="en-GB"/>
        </w:rPr>
        <w:t xml:space="preserve"> some migrants do not seek to integrate into the host </w:t>
      </w:r>
      <w:r w:rsidR="0094015B">
        <w:rPr>
          <w:lang w:val="en-GB"/>
        </w:rPr>
        <w:t>society</w:t>
      </w:r>
      <w:r w:rsidRPr="001B4953">
        <w:rPr>
          <w:lang w:val="en-GB"/>
        </w:rPr>
        <w:t xml:space="preserve"> but </w:t>
      </w:r>
      <w:r w:rsidR="000666FE">
        <w:rPr>
          <w:lang w:val="en-GB"/>
        </w:rPr>
        <w:t xml:space="preserve">instead </w:t>
      </w:r>
      <w:r w:rsidRPr="001B4953">
        <w:rPr>
          <w:lang w:val="en-GB"/>
        </w:rPr>
        <w:t xml:space="preserve">to form separate communities </w:t>
      </w:r>
      <w:r w:rsidRPr="001B4953">
        <w:rPr>
          <w:lang w:val="en-GB"/>
        </w:rPr>
        <w:lastRenderedPageBreak/>
        <w:t>in which norms and rules that deviate from Eur</w:t>
      </w:r>
      <w:r w:rsidR="00FD3515">
        <w:rPr>
          <w:lang w:val="en-GB"/>
        </w:rPr>
        <w:t>opean values may be cultivated.</w:t>
      </w:r>
    </w:p>
    <w:p w14:paraId="72F4807C" w14:textId="087BAB3C" w:rsidR="00FD3515" w:rsidRDefault="001B4953" w:rsidP="00FD3515">
      <w:pPr>
        <w:jc w:val="both"/>
        <w:rPr>
          <w:lang w:val="en-GB"/>
        </w:rPr>
      </w:pPr>
      <w:r w:rsidRPr="001B4953">
        <w:rPr>
          <w:lang w:val="en-GB"/>
        </w:rPr>
        <w:t xml:space="preserve">In recent months, the attention has been focused on so-called </w:t>
      </w:r>
      <w:r w:rsidRPr="000D6F3E">
        <w:rPr>
          <w:bCs/>
          <w:lang w:val="en-GB"/>
        </w:rPr>
        <w:t xml:space="preserve">innovative </w:t>
      </w:r>
      <w:r w:rsidR="00FD1C60" w:rsidRPr="000D6F3E">
        <w:rPr>
          <w:bCs/>
          <w:lang w:val="en-GB"/>
        </w:rPr>
        <w:t xml:space="preserve">solutions in </w:t>
      </w:r>
      <w:r w:rsidRPr="000D6F3E">
        <w:rPr>
          <w:bCs/>
          <w:lang w:val="en-GB"/>
        </w:rPr>
        <w:t>migration policy</w:t>
      </w:r>
      <w:r w:rsidRPr="000D6F3E">
        <w:rPr>
          <w:rStyle w:val="Odwoanieprzypisudolnego"/>
          <w:lang w:val="en-GB"/>
        </w:rPr>
        <w:footnoteReference w:id="2"/>
      </w:r>
      <w:r w:rsidR="00AF1521">
        <w:rPr>
          <w:lang w:val="en-GB"/>
        </w:rPr>
        <w:t>.</w:t>
      </w:r>
      <w:r w:rsidRPr="001B4953">
        <w:rPr>
          <w:lang w:val="en-GB"/>
        </w:rPr>
        <w:t xml:space="preserve"> These are intended to complement existing</w:t>
      </w:r>
      <w:r w:rsidR="00D508B9">
        <w:rPr>
          <w:lang w:val="en-GB"/>
        </w:rPr>
        <w:t xml:space="preserve"> </w:t>
      </w:r>
      <w:r w:rsidRPr="001B4953">
        <w:rPr>
          <w:lang w:val="en-GB"/>
        </w:rPr>
        <w:t xml:space="preserve">legislative </w:t>
      </w:r>
      <w:r w:rsidR="00172897">
        <w:rPr>
          <w:lang w:val="en-GB"/>
        </w:rPr>
        <w:t>tools and</w:t>
      </w:r>
      <w:r w:rsidRPr="001B4953">
        <w:rPr>
          <w:lang w:val="en-GB"/>
        </w:rPr>
        <w:t xml:space="preserve"> includ</w:t>
      </w:r>
      <w:r w:rsidR="00172897">
        <w:rPr>
          <w:lang w:val="en-GB"/>
        </w:rPr>
        <w:t>e,</w:t>
      </w:r>
      <w:r w:rsidR="00172897" w:rsidRPr="00172897">
        <w:rPr>
          <w:lang w:val="en-GB"/>
        </w:rPr>
        <w:t xml:space="preserve"> </w:t>
      </w:r>
      <w:r w:rsidR="00172897">
        <w:rPr>
          <w:lang w:val="en-GB"/>
        </w:rPr>
        <w:t xml:space="preserve">in </w:t>
      </w:r>
      <w:r w:rsidR="00172897" w:rsidRPr="001B4953">
        <w:rPr>
          <w:lang w:val="en-GB"/>
        </w:rPr>
        <w:t>particular</w:t>
      </w:r>
      <w:r w:rsidR="000D6F3E">
        <w:rPr>
          <w:lang w:val="en-GB"/>
        </w:rPr>
        <w:t>,</w:t>
      </w:r>
      <w:r w:rsidR="00172897" w:rsidRPr="001B4953">
        <w:rPr>
          <w:lang w:val="en-GB"/>
        </w:rPr>
        <w:t xml:space="preserve"> </w:t>
      </w:r>
      <w:r w:rsidRPr="001B4953">
        <w:rPr>
          <w:lang w:val="en-GB"/>
        </w:rPr>
        <w:t>a new approach to return and asylum policy, including the</w:t>
      </w:r>
      <w:r w:rsidR="00B30BE5">
        <w:rPr>
          <w:lang w:val="en-GB"/>
        </w:rPr>
        <w:t xml:space="preserve"> safe</w:t>
      </w:r>
      <w:r w:rsidRPr="001B4953">
        <w:rPr>
          <w:lang w:val="en-GB"/>
        </w:rPr>
        <w:t xml:space="preserve"> </w:t>
      </w:r>
      <w:r w:rsidR="00B30BE5">
        <w:rPr>
          <w:lang w:val="en-GB"/>
        </w:rPr>
        <w:t xml:space="preserve">third country </w:t>
      </w:r>
      <w:r w:rsidR="00E552B3">
        <w:rPr>
          <w:lang w:val="en-GB"/>
        </w:rPr>
        <w:t>concept,</w:t>
      </w:r>
      <w:r w:rsidR="00E552B3" w:rsidRPr="00E552B3">
        <w:rPr>
          <w:lang w:val="en-GB"/>
        </w:rPr>
        <w:t xml:space="preserve"> </w:t>
      </w:r>
      <w:r w:rsidR="00E552B3">
        <w:rPr>
          <w:lang w:val="en-GB"/>
        </w:rPr>
        <w:t xml:space="preserve">safe asylum processing sites </w:t>
      </w:r>
      <w:r w:rsidR="00E552B3" w:rsidRPr="00E552B3">
        <w:rPr>
          <w:lang w:val="en-GB"/>
        </w:rPr>
        <w:t>(e.g. Italian-Albanian cooperation)</w:t>
      </w:r>
      <w:r w:rsidR="00E552B3">
        <w:rPr>
          <w:lang w:val="en-GB"/>
        </w:rPr>
        <w:t xml:space="preserve">, </w:t>
      </w:r>
      <w:r w:rsidR="00E552B3" w:rsidRPr="00E552B3">
        <w:rPr>
          <w:lang w:val="en-GB"/>
        </w:rPr>
        <w:t>return hubs</w:t>
      </w:r>
      <w:r w:rsidRPr="001B4953">
        <w:rPr>
          <w:lang w:val="en-GB"/>
        </w:rPr>
        <w:t xml:space="preserve"> and a new approach to holistic partnerships with third countries. </w:t>
      </w:r>
      <w:r w:rsidR="00B30BE5">
        <w:rPr>
          <w:lang w:val="en-GB"/>
        </w:rPr>
        <w:t>In addition to this,</w:t>
      </w:r>
      <w:r w:rsidRPr="001B4953">
        <w:rPr>
          <w:lang w:val="en-GB"/>
        </w:rPr>
        <w:t xml:space="preserve"> </w:t>
      </w:r>
      <w:r w:rsidR="00FD3515" w:rsidRPr="00FD3515">
        <w:rPr>
          <w:lang w:val="en-GB"/>
        </w:rPr>
        <w:t xml:space="preserve">migration processes </w:t>
      </w:r>
      <w:r w:rsidR="00FD3515" w:rsidRPr="00FD3515">
        <w:rPr>
          <w:lang w:val="en-GB"/>
        </w:rPr>
        <w:t xml:space="preserve">have begun to </w:t>
      </w:r>
      <w:r w:rsidR="00FD3515" w:rsidRPr="00FD3515">
        <w:rPr>
          <w:lang w:val="en-GB"/>
        </w:rPr>
        <w:t xml:space="preserve">be </w:t>
      </w:r>
      <w:r w:rsidR="00FD3515" w:rsidRPr="00FD3515">
        <w:rPr>
          <w:lang w:val="en-GB"/>
        </w:rPr>
        <w:t>exploit</w:t>
      </w:r>
      <w:r w:rsidR="00FD3515" w:rsidRPr="00FD3515">
        <w:rPr>
          <w:lang w:val="en-GB"/>
        </w:rPr>
        <w:t>ed by governments hostile to the European Union</w:t>
      </w:r>
      <w:r w:rsidR="00FD3515" w:rsidRPr="00FD3515">
        <w:rPr>
          <w:lang w:val="en-GB"/>
        </w:rPr>
        <w:t xml:space="preserve"> as part of hybrid actions aimed at destabilising and bringing about the collapse of the Union</w:t>
      </w:r>
      <w:r w:rsidR="00FD3515">
        <w:rPr>
          <w:lang w:val="en-GB"/>
        </w:rPr>
        <w:t>. T</w:t>
      </w:r>
      <w:r w:rsidRPr="001B4953">
        <w:rPr>
          <w:lang w:val="en-GB"/>
        </w:rPr>
        <w:t>he EU's response to the weaponisation of migration and migrants</w:t>
      </w:r>
      <w:r w:rsidR="00FD3515">
        <w:rPr>
          <w:lang w:val="en-GB"/>
        </w:rPr>
        <w:t xml:space="preserve"> was outlined in the Commission</w:t>
      </w:r>
      <w:r w:rsidRPr="001B4953">
        <w:rPr>
          <w:lang w:val="en-GB"/>
        </w:rPr>
        <w:t xml:space="preserve"> Com</w:t>
      </w:r>
      <w:r>
        <w:rPr>
          <w:lang w:val="en-GB"/>
        </w:rPr>
        <w:t>munication of 11 December 2024</w:t>
      </w:r>
      <w:r>
        <w:rPr>
          <w:rStyle w:val="Odwoanieprzypisudolnego"/>
          <w:lang w:val="en-GB"/>
        </w:rPr>
        <w:footnoteReference w:id="3"/>
      </w:r>
      <w:r w:rsidR="009E2E6D">
        <w:rPr>
          <w:lang w:val="en-GB"/>
        </w:rPr>
        <w:t>.</w:t>
      </w:r>
      <w:r w:rsidRPr="001B4953">
        <w:rPr>
          <w:lang w:val="en-GB"/>
        </w:rPr>
        <w:t xml:space="preserve"> </w:t>
      </w:r>
    </w:p>
    <w:p w14:paraId="61163416" w14:textId="7F26AEAA" w:rsidR="00FD3515" w:rsidRDefault="00FD3515" w:rsidP="00FD3515">
      <w:pPr>
        <w:jc w:val="both"/>
        <w:rPr>
          <w:lang w:val="en-GB"/>
        </w:rPr>
      </w:pPr>
      <w:r w:rsidRPr="001B4953">
        <w:rPr>
          <w:lang w:val="en-GB"/>
        </w:rPr>
        <w:t>Significant progress has also been made in the fight against</w:t>
      </w:r>
      <w:r>
        <w:rPr>
          <w:lang w:val="en-GB"/>
        </w:rPr>
        <w:t xml:space="preserve"> migrant smuggling and trafficking in human beings</w:t>
      </w:r>
      <w:r w:rsidRPr="001B4953">
        <w:rPr>
          <w:lang w:val="en-GB"/>
        </w:rPr>
        <w:t xml:space="preserve">, particularly in the context of </w:t>
      </w:r>
      <w:r>
        <w:rPr>
          <w:lang w:val="en-GB"/>
        </w:rPr>
        <w:t>operational cooperation</w:t>
      </w:r>
      <w:r w:rsidRPr="001B4953">
        <w:rPr>
          <w:lang w:val="en-GB"/>
        </w:rPr>
        <w:t xml:space="preserve"> </w:t>
      </w:r>
      <w:r>
        <w:rPr>
          <w:lang w:val="en-GB"/>
        </w:rPr>
        <w:t>with EU Agencies,</w:t>
      </w:r>
      <w:r w:rsidRPr="001B4953">
        <w:rPr>
          <w:lang w:val="en-GB"/>
        </w:rPr>
        <w:t xml:space="preserve"> </w:t>
      </w:r>
      <w:r>
        <w:rPr>
          <w:lang w:val="en-GB"/>
        </w:rPr>
        <w:t xml:space="preserve">such </w:t>
      </w:r>
      <w:r w:rsidRPr="001B4953">
        <w:rPr>
          <w:lang w:val="en-GB"/>
        </w:rPr>
        <w:t>as Frontex or Europol, and further measures are</w:t>
      </w:r>
      <w:r>
        <w:rPr>
          <w:lang w:val="en-GB"/>
        </w:rPr>
        <w:t xml:space="preserve"> </w:t>
      </w:r>
      <w:r w:rsidRPr="001B4953">
        <w:rPr>
          <w:lang w:val="en-GB"/>
        </w:rPr>
        <w:t xml:space="preserve">currently being worked </w:t>
      </w:r>
      <w:r>
        <w:rPr>
          <w:lang w:val="en-GB"/>
        </w:rPr>
        <w:t>on</w:t>
      </w:r>
      <w:r>
        <w:rPr>
          <w:rStyle w:val="Odwoanieprzypisudolnego"/>
          <w:lang w:val="en-GB"/>
        </w:rPr>
        <w:footnoteReference w:id="4"/>
      </w:r>
      <w:r w:rsidR="00811C03">
        <w:rPr>
          <w:lang w:val="en-GB"/>
        </w:rPr>
        <w:t>.</w:t>
      </w:r>
      <w:r w:rsidRPr="001B4953">
        <w:rPr>
          <w:lang w:val="en-GB"/>
        </w:rPr>
        <w:t xml:space="preserve"> </w:t>
      </w:r>
      <w:r w:rsidR="00811C03">
        <w:rPr>
          <w:lang w:val="en-GB"/>
        </w:rPr>
        <w:t>T</w:t>
      </w:r>
      <w:r w:rsidRPr="001B4953">
        <w:rPr>
          <w:lang w:val="en-GB"/>
        </w:rPr>
        <w:t xml:space="preserve">he </w:t>
      </w:r>
      <w:r w:rsidRPr="00CB1900">
        <w:rPr>
          <w:lang w:val="en-GB"/>
        </w:rPr>
        <w:t>Regulation against transport operators involved in migrant smuggling</w:t>
      </w:r>
      <w:r>
        <w:rPr>
          <w:rStyle w:val="Odwoanieprzypisudolnego"/>
          <w:lang w:val="en-GB"/>
        </w:rPr>
        <w:footnoteReference w:id="5"/>
      </w:r>
      <w:r w:rsidRPr="001B4953">
        <w:rPr>
          <w:lang w:val="en-GB"/>
        </w:rPr>
        <w:t xml:space="preserve">, </w:t>
      </w:r>
      <w:r w:rsidRPr="001B4953">
        <w:rPr>
          <w:lang w:val="en-GB"/>
        </w:rPr>
        <w:lastRenderedPageBreak/>
        <w:t xml:space="preserve">on which further work has been announced by the </w:t>
      </w:r>
      <w:r>
        <w:rPr>
          <w:lang w:val="en-GB"/>
        </w:rPr>
        <w:t>Presidency</w:t>
      </w:r>
      <w:r w:rsidR="00811C03">
        <w:rPr>
          <w:lang w:val="en-GB"/>
        </w:rPr>
        <w:t>,</w:t>
      </w:r>
      <w:r w:rsidR="00811C03" w:rsidRPr="00811C03">
        <w:rPr>
          <w:lang w:val="en-GB"/>
        </w:rPr>
        <w:t xml:space="preserve"> </w:t>
      </w:r>
      <w:r w:rsidR="00811C03">
        <w:rPr>
          <w:lang w:val="en-GB"/>
        </w:rPr>
        <w:t>will be</w:t>
      </w:r>
      <w:r w:rsidR="00811C03" w:rsidRPr="001B4953">
        <w:rPr>
          <w:lang w:val="en-GB"/>
        </w:rPr>
        <w:t xml:space="preserve"> an innovative element in the area of countering migrant smuggling</w:t>
      </w:r>
      <w:r>
        <w:rPr>
          <w:lang w:val="en-GB"/>
        </w:rPr>
        <w:t>.</w:t>
      </w:r>
    </w:p>
    <w:p w14:paraId="2EC83E32" w14:textId="095B9618" w:rsidR="00FD3515" w:rsidRPr="001B4953" w:rsidRDefault="00FD3515" w:rsidP="00FD3515">
      <w:pPr>
        <w:jc w:val="both"/>
        <w:rPr>
          <w:lang w:val="en-GB"/>
        </w:rPr>
      </w:pPr>
      <w:r w:rsidRPr="001B4953">
        <w:rPr>
          <w:lang w:val="en-GB"/>
        </w:rPr>
        <w:t xml:space="preserve">The </w:t>
      </w:r>
      <w:r>
        <w:rPr>
          <w:lang w:val="en-GB"/>
        </w:rPr>
        <w:t>innovative ways to counter illegal migration mentioned above</w:t>
      </w:r>
      <w:r w:rsidRPr="001B4953">
        <w:rPr>
          <w:lang w:val="en-GB"/>
        </w:rPr>
        <w:t xml:space="preserve"> must be considered together</w:t>
      </w:r>
      <w:r w:rsidR="00811C03">
        <w:rPr>
          <w:lang w:val="en-GB"/>
        </w:rPr>
        <w:t>,</w:t>
      </w:r>
      <w:r w:rsidRPr="001B4953">
        <w:rPr>
          <w:lang w:val="en-GB"/>
        </w:rPr>
        <w:t xml:space="preserve"> and </w:t>
      </w:r>
      <w:r w:rsidR="00811C03">
        <w:rPr>
          <w:lang w:val="en-GB"/>
        </w:rPr>
        <w:t xml:space="preserve">they </w:t>
      </w:r>
      <w:r w:rsidRPr="001B4953">
        <w:rPr>
          <w:lang w:val="en-GB"/>
        </w:rPr>
        <w:t>require extensive cooperation in implementation.</w:t>
      </w:r>
      <w:r>
        <w:rPr>
          <w:lang w:val="en-GB"/>
        </w:rPr>
        <w:t xml:space="preserve"> I</w:t>
      </w:r>
      <w:r w:rsidRPr="001B4953">
        <w:rPr>
          <w:lang w:val="en-GB"/>
        </w:rPr>
        <w:t>t would</w:t>
      </w:r>
      <w:r>
        <w:rPr>
          <w:lang w:val="en-GB"/>
        </w:rPr>
        <w:t xml:space="preserve"> indeed</w:t>
      </w:r>
      <w:r w:rsidRPr="001B4953">
        <w:rPr>
          <w:lang w:val="en-GB"/>
        </w:rPr>
        <w:t xml:space="preserve"> be</w:t>
      </w:r>
      <w:r>
        <w:rPr>
          <w:lang w:val="en-GB"/>
        </w:rPr>
        <w:t xml:space="preserve"> </w:t>
      </w:r>
      <w:r w:rsidRPr="001B4953">
        <w:rPr>
          <w:lang w:val="en-GB"/>
        </w:rPr>
        <w:t xml:space="preserve">difficult to imagine that even the best definition of a safe third country would </w:t>
      </w:r>
      <w:r>
        <w:rPr>
          <w:lang w:val="en-GB"/>
        </w:rPr>
        <w:t>be effective</w:t>
      </w:r>
      <w:r w:rsidRPr="001B4953">
        <w:rPr>
          <w:lang w:val="en-GB"/>
        </w:rPr>
        <w:t xml:space="preserve"> without the signing of new cooperation agreements with countries of origin and transit of migrants. </w:t>
      </w:r>
      <w:r>
        <w:rPr>
          <w:lang w:val="en-GB"/>
        </w:rPr>
        <w:t xml:space="preserve">The same holds true in the case of </w:t>
      </w:r>
      <w:r w:rsidRPr="001B4953">
        <w:rPr>
          <w:lang w:val="en-GB"/>
        </w:rPr>
        <w:t>return hubs</w:t>
      </w:r>
      <w:r w:rsidR="00E552B3">
        <w:rPr>
          <w:lang w:val="en-GB"/>
        </w:rPr>
        <w:t xml:space="preserve">. </w:t>
      </w:r>
      <w:r w:rsidRPr="001B4953">
        <w:rPr>
          <w:lang w:val="en-GB"/>
        </w:rPr>
        <w:t xml:space="preserve">Here, </w:t>
      </w:r>
      <w:r w:rsidRPr="00CD364F">
        <w:rPr>
          <w:lang w:val="en-GB"/>
        </w:rPr>
        <w:t>it is absolutely essential that there is an appropriate level of trust between the governments of the Member States and third countries</w:t>
      </w:r>
      <w:r w:rsidR="00811C03">
        <w:rPr>
          <w:lang w:val="en-GB"/>
        </w:rPr>
        <w:t>,</w:t>
      </w:r>
      <w:r w:rsidRPr="00CD364F">
        <w:rPr>
          <w:lang w:val="en-GB"/>
        </w:rPr>
        <w:t xml:space="preserve"> and that there is confidence that such action will have the desired effect.</w:t>
      </w:r>
      <w:r w:rsidRPr="001B4953">
        <w:rPr>
          <w:lang w:val="en-GB"/>
        </w:rPr>
        <w:t xml:space="preserve"> The draft of a new legal framework on return to be presented by the European Commission at the beginning of March 2025 is therefore awaited with great interest. This draft will </w:t>
      </w:r>
      <w:r>
        <w:rPr>
          <w:lang w:val="en-GB"/>
        </w:rPr>
        <w:t>undoubtedly</w:t>
      </w:r>
      <w:r w:rsidRPr="001B4953">
        <w:rPr>
          <w:lang w:val="en-GB"/>
        </w:rPr>
        <w:t xml:space="preserve"> be </w:t>
      </w:r>
      <w:r>
        <w:rPr>
          <w:lang w:val="en-GB"/>
        </w:rPr>
        <w:t>discussed</w:t>
      </w:r>
      <w:r w:rsidRPr="001B4953">
        <w:rPr>
          <w:lang w:val="en-GB"/>
        </w:rPr>
        <w:t xml:space="preserve"> as soon as possible, even perhaps at the EU Justice and Home Affairs Council in March</w:t>
      </w:r>
      <w:r>
        <w:rPr>
          <w:lang w:val="en-GB"/>
        </w:rPr>
        <w:t>.</w:t>
      </w:r>
    </w:p>
    <w:p w14:paraId="63341B95" w14:textId="501F0D40" w:rsidR="001B4953" w:rsidRPr="001B4953" w:rsidRDefault="001B4953" w:rsidP="001B4953">
      <w:pPr>
        <w:jc w:val="both"/>
        <w:rPr>
          <w:lang w:val="en-GB"/>
        </w:rPr>
      </w:pPr>
      <w:r w:rsidRPr="001B4953">
        <w:rPr>
          <w:lang w:val="en-GB"/>
        </w:rPr>
        <w:t>A challenge in this context, however, is the parallel efforts of Member States to establish bilateral agreements with third countries</w:t>
      </w:r>
      <w:r w:rsidR="00811C03">
        <w:rPr>
          <w:lang w:val="en-GB"/>
        </w:rPr>
        <w:t>,</w:t>
      </w:r>
      <w:r w:rsidRPr="001B4953">
        <w:rPr>
          <w:lang w:val="en-GB"/>
        </w:rPr>
        <w:t xml:space="preserve"> </w:t>
      </w:r>
      <w:r w:rsidR="00811C03">
        <w:rPr>
          <w:lang w:val="en-GB"/>
        </w:rPr>
        <w:t>which</w:t>
      </w:r>
      <w:r w:rsidR="00811C03" w:rsidRPr="001B4953">
        <w:rPr>
          <w:lang w:val="en-GB"/>
        </w:rPr>
        <w:t xml:space="preserve"> </w:t>
      </w:r>
      <w:r w:rsidRPr="001B4953">
        <w:rPr>
          <w:lang w:val="en-GB"/>
        </w:rPr>
        <w:t xml:space="preserve">include a migration component. </w:t>
      </w:r>
      <w:r w:rsidR="00FD3515" w:rsidRPr="00FD3515">
        <w:rPr>
          <w:lang w:val="en-GB"/>
        </w:rPr>
        <w:t>While this approach might be justified in certain cases (e.g. counter-smuggling),</w:t>
      </w:r>
      <w:r w:rsidR="00FD3515">
        <w:rPr>
          <w:lang w:val="en-GB"/>
        </w:rPr>
        <w:t xml:space="preserve"> </w:t>
      </w:r>
      <w:r w:rsidR="00614E59">
        <w:rPr>
          <w:lang w:val="en-GB"/>
        </w:rPr>
        <w:t>it</w:t>
      </w:r>
      <w:r w:rsidRPr="001B4953">
        <w:rPr>
          <w:lang w:val="en-GB"/>
        </w:rPr>
        <w:t xml:space="preserve"> raises the risk of increasing expectations </w:t>
      </w:r>
      <w:r w:rsidR="00F24554">
        <w:rPr>
          <w:lang w:val="en-GB"/>
        </w:rPr>
        <w:t>on the part of</w:t>
      </w:r>
      <w:r w:rsidRPr="001B4953">
        <w:rPr>
          <w:lang w:val="en-GB"/>
        </w:rPr>
        <w:t xml:space="preserve"> third-country governments and the </w:t>
      </w:r>
      <w:r w:rsidR="00F24554">
        <w:rPr>
          <w:lang w:val="en-GB"/>
        </w:rPr>
        <w:t>imposition of conditions</w:t>
      </w:r>
      <w:r w:rsidRPr="001B4953">
        <w:rPr>
          <w:lang w:val="en-GB"/>
        </w:rPr>
        <w:t xml:space="preserve"> which are increasingly difficult for Member States to meet. In addition, such actions may be perceived as competing with each other</w:t>
      </w:r>
      <w:r w:rsidR="001D6CAF">
        <w:rPr>
          <w:lang w:val="en-GB"/>
        </w:rPr>
        <w:t xml:space="preserve"> </w:t>
      </w:r>
      <w:r w:rsidR="003C0479">
        <w:rPr>
          <w:lang w:val="en-GB"/>
        </w:rPr>
        <w:t>and can even b</w:t>
      </w:r>
      <w:r w:rsidR="001D6CAF">
        <w:rPr>
          <w:lang w:val="en-GB"/>
        </w:rPr>
        <w:t>e exploited by third countries,</w:t>
      </w:r>
      <w:r w:rsidRPr="001B4953">
        <w:rPr>
          <w:lang w:val="en-GB"/>
        </w:rPr>
        <w:t xml:space="preserve"> putting them in a more favourable position </w:t>
      </w:r>
      <w:r w:rsidRPr="001B4953">
        <w:rPr>
          <w:lang w:val="en-GB"/>
        </w:rPr>
        <w:lastRenderedPageBreak/>
        <w:t>while weakening the position of Member States and the European Union as a whole</w:t>
      </w:r>
      <w:r w:rsidR="001D6CAF">
        <w:rPr>
          <w:lang w:val="en-GB"/>
        </w:rPr>
        <w:t>.</w:t>
      </w:r>
    </w:p>
    <w:p w14:paraId="63341B96" w14:textId="3789B012" w:rsidR="001B4953" w:rsidRDefault="001B4953" w:rsidP="001B4953">
      <w:pPr>
        <w:jc w:val="both"/>
        <w:rPr>
          <w:lang w:val="en-GB"/>
        </w:rPr>
      </w:pPr>
      <w:r w:rsidRPr="001B4953">
        <w:rPr>
          <w:lang w:val="en-GB"/>
        </w:rPr>
        <w:t xml:space="preserve">With this in mind, it is important to </w:t>
      </w:r>
      <w:r w:rsidR="00F24554">
        <w:rPr>
          <w:lang w:val="en-GB"/>
        </w:rPr>
        <w:t>indicate</w:t>
      </w:r>
      <w:r w:rsidRPr="001B4953">
        <w:rPr>
          <w:lang w:val="en-GB"/>
        </w:rPr>
        <w:t xml:space="preserve"> an alternative path </w:t>
      </w:r>
      <w:r w:rsidR="00F24554">
        <w:rPr>
          <w:lang w:val="en-GB"/>
        </w:rPr>
        <w:t>–</w:t>
      </w:r>
      <w:r w:rsidRPr="001B4953">
        <w:rPr>
          <w:lang w:val="en-GB"/>
        </w:rPr>
        <w:t xml:space="preserve"> agreements concluded at EU level, such as EU cooperation with the Western Balkan countries or the developing cooperation with North African countries. Bilateral cooperation between Member States and third countries should strengthen rather than weaken EU efforts.</w:t>
      </w:r>
    </w:p>
    <w:p w14:paraId="63341B97" w14:textId="5B11E041" w:rsidR="001B4953" w:rsidRDefault="001B4953" w:rsidP="001B4953">
      <w:pPr>
        <w:jc w:val="both"/>
        <w:rPr>
          <w:lang w:val="en-GB"/>
        </w:rPr>
      </w:pPr>
      <w:r w:rsidRPr="001D6CAF">
        <w:rPr>
          <w:bCs/>
          <w:lang w:val="en-GB"/>
        </w:rPr>
        <w:t>Border security</w:t>
      </w:r>
      <w:r w:rsidRPr="001B4953">
        <w:rPr>
          <w:lang w:val="en-GB"/>
        </w:rPr>
        <w:t xml:space="preserve"> is an</w:t>
      </w:r>
      <w:r w:rsidR="00C449A3">
        <w:rPr>
          <w:lang w:val="en-GB"/>
        </w:rPr>
        <w:t>other</w:t>
      </w:r>
      <w:r w:rsidRPr="001B4953">
        <w:rPr>
          <w:lang w:val="en-GB"/>
        </w:rPr>
        <w:t xml:space="preserve"> issue for further discussion. Currently, the main burden of </w:t>
      </w:r>
      <w:r w:rsidR="00995B45">
        <w:rPr>
          <w:lang w:val="en-GB"/>
        </w:rPr>
        <w:t xml:space="preserve">border </w:t>
      </w:r>
      <w:r w:rsidRPr="001B4953">
        <w:rPr>
          <w:lang w:val="en-GB"/>
        </w:rPr>
        <w:t>protecti</w:t>
      </w:r>
      <w:r w:rsidR="00995B45">
        <w:rPr>
          <w:lang w:val="en-GB"/>
        </w:rPr>
        <w:t>on</w:t>
      </w:r>
      <w:r w:rsidRPr="001B4953">
        <w:rPr>
          <w:lang w:val="en-GB"/>
        </w:rPr>
        <w:t xml:space="preserve"> falls on the </w:t>
      </w:r>
      <w:r w:rsidR="00C449A3">
        <w:rPr>
          <w:lang w:val="en-GB"/>
        </w:rPr>
        <w:t>Member States</w:t>
      </w:r>
      <w:r w:rsidR="00C449A3" w:rsidRPr="001B4953">
        <w:rPr>
          <w:lang w:val="en-GB"/>
        </w:rPr>
        <w:t xml:space="preserve"> </w:t>
      </w:r>
      <w:r w:rsidRPr="001B4953">
        <w:rPr>
          <w:lang w:val="en-GB"/>
        </w:rPr>
        <w:t>with external borders of the EU. It is crucial to recognise that without secure and controlled external borders</w:t>
      </w:r>
      <w:r w:rsidR="00024C54">
        <w:rPr>
          <w:lang w:val="en-GB"/>
        </w:rPr>
        <w:t>,</w:t>
      </w:r>
      <w:r w:rsidRPr="001B4953">
        <w:rPr>
          <w:lang w:val="en-GB"/>
        </w:rPr>
        <w:t xml:space="preserve"> it will be impossible to maintain the coherence </w:t>
      </w:r>
      <w:r w:rsidR="00FD3515" w:rsidRPr="00FD3515">
        <w:rPr>
          <w:lang w:val="en-GB"/>
        </w:rPr>
        <w:t xml:space="preserve">and proper functioning </w:t>
      </w:r>
      <w:r w:rsidRPr="001B4953">
        <w:rPr>
          <w:lang w:val="en-GB"/>
        </w:rPr>
        <w:t>of the Schengen area</w:t>
      </w:r>
      <w:r w:rsidR="00995B45" w:rsidRPr="00995B45">
        <w:rPr>
          <w:lang w:val="en-GB"/>
        </w:rPr>
        <w:t xml:space="preserve"> </w:t>
      </w:r>
      <w:r w:rsidR="00995B45" w:rsidRPr="001B4953">
        <w:rPr>
          <w:lang w:val="en-GB"/>
        </w:rPr>
        <w:t>in the long term</w:t>
      </w:r>
      <w:r w:rsidRPr="001B4953">
        <w:rPr>
          <w:lang w:val="en-GB"/>
        </w:rPr>
        <w:t xml:space="preserve">. It is therefore </w:t>
      </w:r>
      <w:r w:rsidR="001D6CAF">
        <w:rPr>
          <w:lang w:val="en-GB"/>
        </w:rPr>
        <w:t>important to recognise that the</w:t>
      </w:r>
      <w:r w:rsidR="00963114">
        <w:rPr>
          <w:lang w:val="en-GB"/>
        </w:rPr>
        <w:t xml:space="preserve"> robust protection </w:t>
      </w:r>
      <w:r w:rsidRPr="001B4953">
        <w:rPr>
          <w:lang w:val="en-GB"/>
        </w:rPr>
        <w:t>of exte</w:t>
      </w:r>
      <w:r w:rsidR="00FD3515">
        <w:rPr>
          <w:lang w:val="en-GB"/>
        </w:rPr>
        <w:t>rnal borders is in the interest</w:t>
      </w:r>
      <w:r w:rsidRPr="001B4953">
        <w:rPr>
          <w:lang w:val="en-GB"/>
        </w:rPr>
        <w:t xml:space="preserve"> of the EU as a whole. An increasing amount of the EU budget should be dedicated to strengthening border infrastructure at land, sea and air borders with third countries. This topic must be reflected in the upcoming debate on the priorities of the next financial perspective.</w:t>
      </w:r>
    </w:p>
    <w:p w14:paraId="63341B98" w14:textId="77777777" w:rsidR="001B4953" w:rsidRPr="001B4953" w:rsidRDefault="001B4953" w:rsidP="001B4953">
      <w:pPr>
        <w:jc w:val="both"/>
        <w:rPr>
          <w:lang w:val="en-GB"/>
        </w:rPr>
      </w:pPr>
      <w:r w:rsidRPr="001B4953">
        <w:rPr>
          <w:lang w:val="en-GB"/>
        </w:rPr>
        <w:t xml:space="preserve">At the same time, further measures need to be added to those already undertaken, which </w:t>
      </w:r>
      <w:r w:rsidR="00024C54">
        <w:rPr>
          <w:lang w:val="en-GB"/>
        </w:rPr>
        <w:t xml:space="preserve">will </w:t>
      </w:r>
      <w:r w:rsidRPr="001B4953">
        <w:rPr>
          <w:lang w:val="en-GB"/>
        </w:rPr>
        <w:t>not only better meet the current diagn</w:t>
      </w:r>
      <w:r w:rsidR="00024C54">
        <w:rPr>
          <w:lang w:val="en-GB"/>
        </w:rPr>
        <w:t>osis of the migration situation</w:t>
      </w:r>
      <w:r w:rsidRPr="001B4953">
        <w:rPr>
          <w:lang w:val="en-GB"/>
        </w:rPr>
        <w:t xml:space="preserve"> but also better address public expectations</w:t>
      </w:r>
      <w:r w:rsidR="00F17B83">
        <w:rPr>
          <w:lang w:val="en-GB"/>
        </w:rPr>
        <w:t>.</w:t>
      </w:r>
    </w:p>
    <w:p w14:paraId="63341B99" w14:textId="71D8E669" w:rsidR="001B4953" w:rsidRDefault="00F72281" w:rsidP="00F72281">
      <w:pPr>
        <w:jc w:val="both"/>
        <w:rPr>
          <w:lang w:val="en-GB"/>
        </w:rPr>
      </w:pPr>
      <w:r w:rsidRPr="00F72281">
        <w:rPr>
          <w:lang w:val="en-GB"/>
        </w:rPr>
        <w:t xml:space="preserve">Building on the reform of the asylum </w:t>
      </w:r>
      <w:r>
        <w:rPr>
          <w:lang w:val="en-GB"/>
        </w:rPr>
        <w:t xml:space="preserve">and migration legal framework, </w:t>
      </w:r>
      <w:r w:rsidRPr="00F72281">
        <w:rPr>
          <w:lang w:val="en-GB"/>
        </w:rPr>
        <w:t>the debate on the further adaptation of EU law to current and future migration risks will be crucial here.</w:t>
      </w:r>
      <w:r>
        <w:rPr>
          <w:lang w:val="en-GB"/>
        </w:rPr>
        <w:t xml:space="preserve"> </w:t>
      </w:r>
      <w:r w:rsidR="001B4953" w:rsidRPr="001B4953">
        <w:rPr>
          <w:lang w:val="en-GB"/>
        </w:rPr>
        <w:t>While it is true that the vast majority of EU and interna</w:t>
      </w:r>
      <w:r w:rsidR="00F17B83">
        <w:rPr>
          <w:lang w:val="en-GB"/>
        </w:rPr>
        <w:t xml:space="preserve">tional regulations (e.g. the </w:t>
      </w:r>
      <w:r w:rsidR="001B4953" w:rsidRPr="001B4953">
        <w:rPr>
          <w:lang w:val="en-GB"/>
        </w:rPr>
        <w:t>Charter of Fundamental Rights</w:t>
      </w:r>
      <w:r w:rsidR="00F17B83">
        <w:rPr>
          <w:lang w:val="en-GB"/>
        </w:rPr>
        <w:t xml:space="preserve"> of the EU</w:t>
      </w:r>
      <w:r w:rsidR="001B4953" w:rsidRPr="001B4953">
        <w:rPr>
          <w:lang w:val="en-GB"/>
        </w:rPr>
        <w:t xml:space="preserve">, the European Convention on Human Rights, the </w:t>
      </w:r>
      <w:r w:rsidR="001B4953" w:rsidRPr="001B4953">
        <w:rPr>
          <w:lang w:val="en-GB"/>
        </w:rPr>
        <w:lastRenderedPageBreak/>
        <w:t>Convention Relating to the Status of Refugees or the EU Treaties) contain limitations on the application of the rights ex</w:t>
      </w:r>
      <w:r w:rsidR="00F17B83">
        <w:rPr>
          <w:lang w:val="en-GB"/>
        </w:rPr>
        <w:t>pressed therein in extraordinary</w:t>
      </w:r>
      <w:r w:rsidR="001B4953" w:rsidRPr="001B4953">
        <w:rPr>
          <w:lang w:val="en-GB"/>
        </w:rPr>
        <w:t xml:space="preserve"> situations, it is important to consider whether the current situation is merely temporary or </w:t>
      </w:r>
      <w:r w:rsidR="00F17B83">
        <w:rPr>
          <w:lang w:val="en-GB"/>
        </w:rPr>
        <w:t xml:space="preserve">whether it </w:t>
      </w:r>
      <w:r w:rsidR="001B4953" w:rsidRPr="001B4953">
        <w:rPr>
          <w:lang w:val="en-GB"/>
        </w:rPr>
        <w:t>is already a new reality. If the latter is true, invo</w:t>
      </w:r>
      <w:r w:rsidR="00463BE2">
        <w:rPr>
          <w:lang w:val="en-GB"/>
        </w:rPr>
        <w:t>king</w:t>
      </w:r>
      <w:r w:rsidR="001B4953" w:rsidRPr="001B4953">
        <w:rPr>
          <w:lang w:val="en-GB"/>
        </w:rPr>
        <w:t xml:space="preserve"> the extraordinary nature of the </w:t>
      </w:r>
      <w:r w:rsidR="00691FC1">
        <w:rPr>
          <w:lang w:val="en-GB"/>
        </w:rPr>
        <w:t>situation cannot justif</w:t>
      </w:r>
      <w:r w:rsidR="008D5418">
        <w:rPr>
          <w:lang w:val="en-GB"/>
        </w:rPr>
        <w:t>y</w:t>
      </w:r>
      <w:r w:rsidR="00691FC1">
        <w:rPr>
          <w:lang w:val="en-GB"/>
        </w:rPr>
        <w:t xml:space="preserve"> the </w:t>
      </w:r>
      <w:r w:rsidR="008D5418">
        <w:rPr>
          <w:lang w:val="en-GB"/>
        </w:rPr>
        <w:t xml:space="preserve">use </w:t>
      </w:r>
      <w:r w:rsidR="00463BE2">
        <w:rPr>
          <w:lang w:val="en-GB"/>
        </w:rPr>
        <w:t xml:space="preserve">of </w:t>
      </w:r>
      <w:r w:rsidR="008D5418">
        <w:rPr>
          <w:lang w:val="en-GB"/>
        </w:rPr>
        <w:t>derogatory rules</w:t>
      </w:r>
      <w:r w:rsidR="001B4953" w:rsidRPr="001B4953">
        <w:rPr>
          <w:lang w:val="en-GB"/>
        </w:rPr>
        <w:t xml:space="preserve"> </w:t>
      </w:r>
      <w:r w:rsidR="00463BE2">
        <w:rPr>
          <w:lang w:val="en-GB"/>
        </w:rPr>
        <w:t xml:space="preserve">alone, </w:t>
      </w:r>
      <w:r w:rsidR="001B4953" w:rsidRPr="001B4953">
        <w:rPr>
          <w:lang w:val="en-GB"/>
        </w:rPr>
        <w:t xml:space="preserve">and a broader reference to the challenges we face </w:t>
      </w:r>
      <w:r w:rsidR="00463BE2">
        <w:rPr>
          <w:lang w:val="en-GB"/>
        </w:rPr>
        <w:t>needs to</w:t>
      </w:r>
      <w:r w:rsidR="00463BE2" w:rsidRPr="001B4953">
        <w:rPr>
          <w:lang w:val="en-GB"/>
        </w:rPr>
        <w:t xml:space="preserve"> </w:t>
      </w:r>
      <w:r w:rsidR="001B4953" w:rsidRPr="001B4953">
        <w:rPr>
          <w:lang w:val="en-GB"/>
        </w:rPr>
        <w:t xml:space="preserve">be considered. </w:t>
      </w:r>
      <w:r w:rsidR="00A13DD7">
        <w:rPr>
          <w:lang w:val="en-GB"/>
        </w:rPr>
        <w:t>Continuing to work on</w:t>
      </w:r>
      <w:r w:rsidR="00A13DD7" w:rsidRPr="00A13DD7">
        <w:rPr>
          <w:lang w:val="en-GB"/>
        </w:rPr>
        <w:t xml:space="preserve"> migration policy </w:t>
      </w:r>
      <w:r w:rsidR="00F57627">
        <w:rPr>
          <w:lang w:val="en-GB"/>
        </w:rPr>
        <w:t>at European level</w:t>
      </w:r>
      <w:r w:rsidR="00A13DD7">
        <w:rPr>
          <w:lang w:val="en-GB"/>
        </w:rPr>
        <w:t xml:space="preserve"> </w:t>
      </w:r>
      <w:r w:rsidR="00A13DD7" w:rsidRPr="00A13DD7">
        <w:rPr>
          <w:lang w:val="en-GB"/>
        </w:rPr>
        <w:t>to adapt it to current and future challenges would enable governments to make difficult but necessary decisions on managing migration and responding to migration threats. It could also stimulate discussion of the issue internationally.</w:t>
      </w:r>
    </w:p>
    <w:p w14:paraId="63341B9A" w14:textId="6FBD9B8B" w:rsidR="001B4953" w:rsidRPr="001B4953" w:rsidRDefault="001B4953" w:rsidP="001B4953">
      <w:pPr>
        <w:jc w:val="both"/>
        <w:rPr>
          <w:lang w:val="en-GB"/>
        </w:rPr>
      </w:pPr>
      <w:r w:rsidRPr="001B4953">
        <w:rPr>
          <w:lang w:val="en-GB"/>
        </w:rPr>
        <w:t xml:space="preserve">The </w:t>
      </w:r>
      <w:r w:rsidR="0057368E">
        <w:rPr>
          <w:lang w:val="en-GB"/>
        </w:rPr>
        <w:t xml:space="preserve">lack of </w:t>
      </w:r>
      <w:r w:rsidRPr="001B4953">
        <w:rPr>
          <w:lang w:val="en-GB"/>
        </w:rPr>
        <w:t>alternativ</w:t>
      </w:r>
      <w:r w:rsidR="0057368E">
        <w:rPr>
          <w:lang w:val="en-GB"/>
        </w:rPr>
        <w:t>es</w:t>
      </w:r>
      <w:r w:rsidRPr="001B4953">
        <w:rPr>
          <w:lang w:val="en-GB"/>
        </w:rPr>
        <w:t xml:space="preserve"> </w:t>
      </w:r>
      <w:r w:rsidR="0057368E">
        <w:rPr>
          <w:lang w:val="en-GB"/>
        </w:rPr>
        <w:t>to</w:t>
      </w:r>
      <w:r w:rsidRPr="001B4953">
        <w:rPr>
          <w:lang w:val="en-GB"/>
        </w:rPr>
        <w:t xml:space="preserve"> accepting applications for international protection and the </w:t>
      </w:r>
      <w:r w:rsidR="00B8585A">
        <w:rPr>
          <w:lang w:val="en-GB"/>
        </w:rPr>
        <w:t xml:space="preserve">respect </w:t>
      </w:r>
      <w:r w:rsidR="0057368E">
        <w:rPr>
          <w:lang w:val="en-GB"/>
        </w:rPr>
        <w:t>of</w:t>
      </w:r>
      <w:r w:rsidRPr="001B4953">
        <w:rPr>
          <w:lang w:val="en-GB"/>
        </w:rPr>
        <w:t xml:space="preserve"> the principle of non-refoulement certainly require in-depth discussion. It should be noted that these principles were developed after the end of the Second World War, </w:t>
      </w:r>
      <w:r w:rsidR="00F20EB2">
        <w:rPr>
          <w:lang w:val="en-GB"/>
        </w:rPr>
        <w:t xml:space="preserve">and were </w:t>
      </w:r>
      <w:r w:rsidRPr="001B4953">
        <w:rPr>
          <w:lang w:val="en-GB"/>
        </w:rPr>
        <w:t xml:space="preserve">characterised by a very different geopolitical situation </w:t>
      </w:r>
      <w:r w:rsidR="00F17B83">
        <w:rPr>
          <w:lang w:val="en-GB"/>
        </w:rPr>
        <w:t>to that of</w:t>
      </w:r>
      <w:r w:rsidRPr="001B4953">
        <w:rPr>
          <w:lang w:val="en-GB"/>
        </w:rPr>
        <w:t xml:space="preserve"> today. The</w:t>
      </w:r>
      <w:r w:rsidR="00F20EB2">
        <w:rPr>
          <w:lang w:val="en-GB"/>
        </w:rPr>
        <w:t>se principles</w:t>
      </w:r>
      <w:r w:rsidRPr="001B4953">
        <w:rPr>
          <w:lang w:val="en-GB"/>
        </w:rPr>
        <w:t xml:space="preserve"> have also been further developed in a number of judgments of</w:t>
      </w:r>
      <w:r w:rsidR="00F20EB2">
        <w:rPr>
          <w:lang w:val="en-GB"/>
        </w:rPr>
        <w:t xml:space="preserve"> </w:t>
      </w:r>
      <w:r w:rsidRPr="001B4953">
        <w:rPr>
          <w:lang w:val="en-GB"/>
        </w:rPr>
        <w:t>the European Court of Human Rights</w:t>
      </w:r>
      <w:r w:rsidR="00F20EB2">
        <w:rPr>
          <w:lang w:val="en-GB"/>
        </w:rPr>
        <w:t>, among others</w:t>
      </w:r>
      <w:r w:rsidRPr="001B4953">
        <w:rPr>
          <w:lang w:val="en-GB"/>
        </w:rPr>
        <w:t xml:space="preserve">. What remains undisputed, however, is that </w:t>
      </w:r>
      <w:r w:rsidR="00F20EB2">
        <w:rPr>
          <w:lang w:val="en-GB"/>
        </w:rPr>
        <w:t xml:space="preserve">the </w:t>
      </w:r>
      <w:r w:rsidRPr="001B4953">
        <w:rPr>
          <w:lang w:val="en-GB"/>
        </w:rPr>
        <w:t>Member States should grant refuge</w:t>
      </w:r>
      <w:r w:rsidR="00F72281">
        <w:rPr>
          <w:lang w:val="en-GB"/>
        </w:rPr>
        <w:t>e status</w:t>
      </w:r>
      <w:r w:rsidRPr="001B4953">
        <w:rPr>
          <w:lang w:val="en-GB"/>
        </w:rPr>
        <w:t xml:space="preserve"> to those who can demonstrate a real threat to their lives or a risk of suffering serious harm in their countries of origin. This principle must remain one of the EU's core values.</w:t>
      </w:r>
    </w:p>
    <w:p w14:paraId="63341B9B" w14:textId="3DF55025" w:rsidR="001B4953" w:rsidRDefault="001B4953" w:rsidP="001B4953">
      <w:pPr>
        <w:jc w:val="both"/>
        <w:rPr>
          <w:lang w:val="en-GB"/>
        </w:rPr>
      </w:pPr>
      <w:r w:rsidRPr="001B4953">
        <w:rPr>
          <w:lang w:val="en-GB"/>
        </w:rPr>
        <w:t xml:space="preserve">The presence of immigrants in host societies and their </w:t>
      </w:r>
      <w:r w:rsidRPr="0001615B">
        <w:rPr>
          <w:bCs/>
          <w:lang w:val="en-GB"/>
        </w:rPr>
        <w:t>impact on social cohesion</w:t>
      </w:r>
      <w:r w:rsidRPr="001B4953">
        <w:rPr>
          <w:lang w:val="en-GB"/>
        </w:rPr>
        <w:t xml:space="preserve"> is also a growing challenge. In particular, </w:t>
      </w:r>
      <w:r w:rsidR="00F72281">
        <w:rPr>
          <w:lang w:val="en-GB"/>
        </w:rPr>
        <w:t xml:space="preserve">criminal </w:t>
      </w:r>
      <w:r w:rsidRPr="001B4953">
        <w:rPr>
          <w:lang w:val="en-GB"/>
        </w:rPr>
        <w:t xml:space="preserve">behaviour </w:t>
      </w:r>
      <w:r w:rsidR="00F72281">
        <w:rPr>
          <w:lang w:val="en-GB"/>
        </w:rPr>
        <w:t xml:space="preserve">of </w:t>
      </w:r>
      <w:r w:rsidR="00D31E06" w:rsidRPr="001B4953">
        <w:rPr>
          <w:lang w:val="en-GB"/>
        </w:rPr>
        <w:t>foreigners entitled to permanent residence</w:t>
      </w:r>
      <w:r w:rsidRPr="001B4953">
        <w:rPr>
          <w:lang w:val="en-GB"/>
        </w:rPr>
        <w:t xml:space="preserve"> is a </w:t>
      </w:r>
      <w:r w:rsidR="00F57627">
        <w:rPr>
          <w:lang w:val="en-GB"/>
        </w:rPr>
        <w:t>problem</w:t>
      </w:r>
      <w:r w:rsidRPr="001B4953">
        <w:rPr>
          <w:lang w:val="en-GB"/>
        </w:rPr>
        <w:t xml:space="preserve">. </w:t>
      </w:r>
      <w:r w:rsidR="00F72281" w:rsidRPr="00F72281">
        <w:rPr>
          <w:lang w:val="en-GB"/>
        </w:rPr>
        <w:t xml:space="preserve">The question of how to deal with the return of third-country nationals posing a </w:t>
      </w:r>
      <w:r w:rsidR="00F72281" w:rsidRPr="00F72281">
        <w:rPr>
          <w:lang w:val="en-GB"/>
        </w:rPr>
        <w:lastRenderedPageBreak/>
        <w:t>security threat or who have a criminal background also needs to be considered in the framework of the upcoming new legislation in the area of return</w:t>
      </w:r>
      <w:r>
        <w:rPr>
          <w:lang w:val="en-GB"/>
        </w:rPr>
        <w:t>.</w:t>
      </w:r>
    </w:p>
    <w:p w14:paraId="63341B9C" w14:textId="1BB281A3" w:rsidR="001B4953" w:rsidRDefault="001B4953" w:rsidP="00AA0419">
      <w:pPr>
        <w:jc w:val="both"/>
        <w:rPr>
          <w:sz w:val="23"/>
          <w:szCs w:val="23"/>
          <w:lang w:val="en-GB"/>
        </w:rPr>
      </w:pPr>
      <w:r w:rsidRPr="001B4953">
        <w:rPr>
          <w:lang w:val="en-GB"/>
        </w:rPr>
        <w:t xml:space="preserve">At the same time, the European Union needs a steady stream of immigrants to make up for shortages in the labour market, </w:t>
      </w:r>
      <w:r w:rsidR="00C056B8">
        <w:rPr>
          <w:lang w:val="en-GB"/>
        </w:rPr>
        <w:t>which has</w:t>
      </w:r>
      <w:r w:rsidRPr="001B4953">
        <w:rPr>
          <w:lang w:val="en-GB"/>
        </w:rPr>
        <w:t xml:space="preserve"> a positive impact on the comp</w:t>
      </w:r>
      <w:r w:rsidR="00C056B8">
        <w:rPr>
          <w:lang w:val="en-GB"/>
        </w:rPr>
        <w:t>etitiveness of the economy and</w:t>
      </w:r>
      <w:r w:rsidRPr="001B4953">
        <w:rPr>
          <w:lang w:val="en-GB"/>
        </w:rPr>
        <w:t xml:space="preserve"> contribute</w:t>
      </w:r>
      <w:r w:rsidR="00C056B8">
        <w:rPr>
          <w:lang w:val="en-GB"/>
        </w:rPr>
        <w:t>s</w:t>
      </w:r>
      <w:r w:rsidRPr="001B4953">
        <w:rPr>
          <w:lang w:val="en-GB"/>
        </w:rPr>
        <w:t xml:space="preserve"> to the development of science and higher education. Therefore, </w:t>
      </w:r>
      <w:r w:rsidR="00F72281" w:rsidRPr="00F72281">
        <w:rPr>
          <w:lang w:val="en-GB"/>
        </w:rPr>
        <w:t>building on the experience of Talent Partnerships,</w:t>
      </w:r>
      <w:r w:rsidR="00F72281">
        <w:rPr>
          <w:lang w:val="en-GB"/>
        </w:rPr>
        <w:t xml:space="preserve"> </w:t>
      </w:r>
      <w:r w:rsidRPr="001B4953">
        <w:rPr>
          <w:lang w:val="en-GB"/>
        </w:rPr>
        <w:t>it seems advisable to discuss a scheme of cooperati</w:t>
      </w:r>
      <w:r w:rsidR="00C056B8">
        <w:rPr>
          <w:lang w:val="en-GB"/>
        </w:rPr>
        <w:t xml:space="preserve">on with third countries to, on the one hand, prevent illegal migration </w:t>
      </w:r>
      <w:r w:rsidR="00F72281">
        <w:rPr>
          <w:lang w:val="en-GB"/>
        </w:rPr>
        <w:t xml:space="preserve">and </w:t>
      </w:r>
      <w:r w:rsidR="00F72281" w:rsidRPr="00F72281">
        <w:rPr>
          <w:lang w:val="en-GB"/>
        </w:rPr>
        <w:t>enh</w:t>
      </w:r>
      <w:r w:rsidR="00F72281">
        <w:rPr>
          <w:lang w:val="en-GB"/>
        </w:rPr>
        <w:t>ance readmission cooperation and</w:t>
      </w:r>
      <w:r w:rsidR="00024C54">
        <w:rPr>
          <w:lang w:val="en-GB"/>
        </w:rPr>
        <w:t>,</w:t>
      </w:r>
      <w:r w:rsidR="00C056B8">
        <w:rPr>
          <w:lang w:val="en-GB"/>
        </w:rPr>
        <w:t xml:space="preserve"> at the same time</w:t>
      </w:r>
      <w:r w:rsidR="00024C54">
        <w:rPr>
          <w:lang w:val="en-GB"/>
        </w:rPr>
        <w:t>,</w:t>
      </w:r>
      <w:r w:rsidRPr="001B4953">
        <w:rPr>
          <w:lang w:val="en-GB"/>
        </w:rPr>
        <w:t xml:space="preserve"> develop cooperation on legal migration paths to the benefit of all parties. </w:t>
      </w:r>
      <w:r w:rsidR="00AA0419" w:rsidRPr="00AA0419">
        <w:rPr>
          <w:lang w:val="en-GB"/>
        </w:rPr>
        <w:t xml:space="preserve">In order to achieve this, it is also necessary to increase cooperation on education and facilitating information on migration in third countries, particularly around the risks and challenges of migration and the alternatives of seeking legal </w:t>
      </w:r>
      <w:r w:rsidR="00AA0419" w:rsidRPr="00AA0419">
        <w:rPr>
          <w:sz w:val="23"/>
          <w:szCs w:val="23"/>
          <w:lang w:val="en-GB"/>
        </w:rPr>
        <w:t xml:space="preserve">migration pathways rather than trusting people smugglers. The end of the works on the </w:t>
      </w:r>
      <w:r w:rsidR="00AA0419" w:rsidRPr="00AA0419">
        <w:rPr>
          <w:i/>
          <w:iCs/>
          <w:sz w:val="23"/>
          <w:szCs w:val="23"/>
          <w:lang w:val="en-GB"/>
        </w:rPr>
        <w:t xml:space="preserve">EU Talent Pool </w:t>
      </w:r>
      <w:r w:rsidR="00AA0419" w:rsidRPr="00AA0419">
        <w:rPr>
          <w:sz w:val="23"/>
          <w:szCs w:val="23"/>
          <w:lang w:val="en-GB"/>
        </w:rPr>
        <w:t>regulation seems to be a good moment to start such a discussion</w:t>
      </w:r>
      <w:r w:rsidR="00AA0419" w:rsidRPr="00AA0419">
        <w:rPr>
          <w:sz w:val="23"/>
          <w:szCs w:val="23"/>
          <w:vertAlign w:val="superscript"/>
          <w:lang w:val="en-GB"/>
        </w:rPr>
        <w:footnoteReference w:id="6"/>
      </w:r>
      <w:r w:rsidR="008F4287">
        <w:rPr>
          <w:sz w:val="23"/>
          <w:szCs w:val="23"/>
          <w:lang w:val="en-GB"/>
        </w:rPr>
        <w:t>.</w:t>
      </w:r>
    </w:p>
    <w:p w14:paraId="63341B9F" w14:textId="6C0C4820" w:rsidR="001B4953" w:rsidRDefault="001B4953" w:rsidP="0001615B">
      <w:pPr>
        <w:jc w:val="both"/>
        <w:rPr>
          <w:lang w:val="en-GB"/>
        </w:rPr>
      </w:pPr>
      <w:r w:rsidRPr="001B4953">
        <w:rPr>
          <w:lang w:val="en-GB"/>
        </w:rPr>
        <w:t>Migration processes have become highly politicised in recent years. Consequently, i</w:t>
      </w:r>
      <w:r w:rsidR="0001615B">
        <w:rPr>
          <w:lang w:val="en-GB"/>
        </w:rPr>
        <w:t>t</w:t>
      </w:r>
      <w:r w:rsidRPr="001B4953">
        <w:rPr>
          <w:lang w:val="en-GB"/>
        </w:rPr>
        <w:t xml:space="preserve"> </w:t>
      </w:r>
      <w:r w:rsidR="00FB60BC">
        <w:rPr>
          <w:lang w:val="en-GB"/>
        </w:rPr>
        <w:t>is high time</w:t>
      </w:r>
      <w:r w:rsidRPr="001B4953">
        <w:rPr>
          <w:lang w:val="en-GB"/>
        </w:rPr>
        <w:t xml:space="preserve"> to complement the existing approach to migration policy implemented both at EU and Member State level in order to respond to public concerns </w:t>
      </w:r>
      <w:r w:rsidR="00024C54">
        <w:rPr>
          <w:lang w:val="en-GB"/>
        </w:rPr>
        <w:t>and,</w:t>
      </w:r>
      <w:r w:rsidRPr="001B4953">
        <w:rPr>
          <w:lang w:val="en-GB"/>
        </w:rPr>
        <w:t xml:space="preserve"> at the same time</w:t>
      </w:r>
      <w:r w:rsidR="00024C54">
        <w:rPr>
          <w:lang w:val="en-GB"/>
        </w:rPr>
        <w:t>,</w:t>
      </w:r>
      <w:r w:rsidRPr="001B4953">
        <w:rPr>
          <w:lang w:val="en-GB"/>
        </w:rPr>
        <w:t xml:space="preserve"> to better manage migration processes. Safe, controlled and legal migration is beneficial for both origin and host countries </w:t>
      </w:r>
      <w:r w:rsidR="00D71CB2">
        <w:rPr>
          <w:lang w:val="en-GB"/>
        </w:rPr>
        <w:t>as well as</w:t>
      </w:r>
      <w:r w:rsidRPr="001B4953">
        <w:rPr>
          <w:lang w:val="en-GB"/>
        </w:rPr>
        <w:t xml:space="preserve">, above all, for </w:t>
      </w:r>
      <w:r w:rsidRPr="001B4953">
        <w:rPr>
          <w:lang w:val="en-GB"/>
        </w:rPr>
        <w:lastRenderedPageBreak/>
        <w:t>the migrants themselves. In seeking such an approach, we encourage ministers to answer the following four questions:</w:t>
      </w:r>
    </w:p>
    <w:p w14:paraId="2E37ED9C" w14:textId="77777777" w:rsidR="0001615B" w:rsidRDefault="0001615B" w:rsidP="0001615B">
      <w:pPr>
        <w:jc w:val="both"/>
        <w:rPr>
          <w:lang w:val="en-GB"/>
        </w:rPr>
      </w:pPr>
    </w:p>
    <w:p w14:paraId="49A0353A" w14:textId="1E4A9300" w:rsidR="0001615B" w:rsidRDefault="001B4953" w:rsidP="00AA0419">
      <w:pPr>
        <w:pStyle w:val="Akapitzlist"/>
        <w:numPr>
          <w:ilvl w:val="0"/>
          <w:numId w:val="6"/>
        </w:numPr>
        <w:jc w:val="both"/>
        <w:rPr>
          <w:b/>
          <w:lang w:val="en-GB"/>
        </w:rPr>
      </w:pPr>
      <w:r w:rsidRPr="001B4953">
        <w:rPr>
          <w:b/>
          <w:lang w:val="en-GB"/>
        </w:rPr>
        <w:t>An in-depth discussion on the new return policy awaits</w:t>
      </w:r>
      <w:r w:rsidR="00024C54">
        <w:rPr>
          <w:b/>
          <w:lang w:val="en-GB"/>
        </w:rPr>
        <w:t xml:space="preserve"> us in the coming months. How can we</w:t>
      </w:r>
      <w:r w:rsidRPr="001B4953">
        <w:rPr>
          <w:b/>
          <w:lang w:val="en-GB"/>
        </w:rPr>
        <w:t xml:space="preserve"> ensure the coherence of the actions planned </w:t>
      </w:r>
      <w:r w:rsidR="0024308F">
        <w:rPr>
          <w:b/>
          <w:lang w:val="en-GB"/>
        </w:rPr>
        <w:t>in the new legislative framework</w:t>
      </w:r>
      <w:r w:rsidR="0001615B">
        <w:rPr>
          <w:b/>
          <w:lang w:val="en-GB"/>
        </w:rPr>
        <w:t xml:space="preserve"> (directive or regulation)</w:t>
      </w:r>
      <w:r w:rsidR="0024308F">
        <w:rPr>
          <w:b/>
          <w:lang w:val="en-GB"/>
        </w:rPr>
        <w:t xml:space="preserve"> on returns </w:t>
      </w:r>
      <w:r w:rsidRPr="001B4953">
        <w:rPr>
          <w:b/>
          <w:lang w:val="en-GB"/>
        </w:rPr>
        <w:t xml:space="preserve">so that it has the expected effect and makes a real contribution to better management of migration processes, increasing the </w:t>
      </w:r>
      <w:r w:rsidR="00AA0419">
        <w:rPr>
          <w:b/>
          <w:lang w:val="en-GB"/>
        </w:rPr>
        <w:t>number</w:t>
      </w:r>
      <w:r w:rsidRPr="001B4953">
        <w:rPr>
          <w:b/>
          <w:lang w:val="en-GB"/>
        </w:rPr>
        <w:t xml:space="preserve"> of voluntary and forced returns of </w:t>
      </w:r>
      <w:r w:rsidR="00382B88">
        <w:rPr>
          <w:b/>
          <w:lang w:val="en-GB"/>
        </w:rPr>
        <w:t xml:space="preserve">third country nationals </w:t>
      </w:r>
      <w:r w:rsidR="00382B88" w:rsidRPr="00382B88">
        <w:rPr>
          <w:rStyle w:val="normaltextrun"/>
          <w:b/>
          <w:bCs/>
          <w:noProof/>
          <w:color w:val="000000"/>
          <w:shd w:val="clear" w:color="auto" w:fill="FFFFFF"/>
          <w:lang w:val="en-GB"/>
        </w:rPr>
        <w:t>with no legal right to stay</w:t>
      </w:r>
      <w:r w:rsidRPr="001B4953">
        <w:rPr>
          <w:b/>
          <w:lang w:val="en-GB"/>
        </w:rPr>
        <w:t>?</w:t>
      </w:r>
    </w:p>
    <w:p w14:paraId="27D38284" w14:textId="77777777" w:rsidR="00AA0419" w:rsidRPr="00AA0419" w:rsidRDefault="00AA0419" w:rsidP="00AA0419">
      <w:pPr>
        <w:pStyle w:val="Akapitzlist"/>
        <w:ind w:left="3762"/>
        <w:jc w:val="both"/>
        <w:rPr>
          <w:b/>
          <w:lang w:val="en-GB"/>
        </w:rPr>
      </w:pPr>
    </w:p>
    <w:p w14:paraId="63341BA1" w14:textId="0071560C" w:rsidR="00024C54" w:rsidRPr="00024C54" w:rsidRDefault="00AA0419" w:rsidP="00AA0419">
      <w:pPr>
        <w:pStyle w:val="Akapitzlist"/>
        <w:numPr>
          <w:ilvl w:val="0"/>
          <w:numId w:val="6"/>
        </w:numPr>
        <w:jc w:val="both"/>
        <w:rPr>
          <w:b/>
          <w:lang w:val="en-GB"/>
        </w:rPr>
      </w:pPr>
      <w:r w:rsidRPr="00AA0419">
        <w:rPr>
          <w:b/>
          <w:lang w:val="en-GB"/>
        </w:rPr>
        <w:t>While respecting EU and international human rights values, how do we prevent and respond to the exploitation of refugee law, contrary to its intentions, by criminal groups and governments?</w:t>
      </w:r>
    </w:p>
    <w:p w14:paraId="63341BA3" w14:textId="77777777" w:rsidR="00024C54" w:rsidRDefault="00024C54" w:rsidP="00024C54">
      <w:pPr>
        <w:pStyle w:val="Akapitzlist"/>
        <w:ind w:left="3762"/>
        <w:jc w:val="both"/>
        <w:rPr>
          <w:b/>
          <w:lang w:val="en-GB"/>
        </w:rPr>
      </w:pPr>
    </w:p>
    <w:p w14:paraId="4584A6AC" w14:textId="4774FC1B" w:rsidR="00AA0419" w:rsidRPr="00AA0419" w:rsidRDefault="00AA0419" w:rsidP="00AA0419">
      <w:pPr>
        <w:pStyle w:val="Akapitzlist"/>
        <w:numPr>
          <w:ilvl w:val="0"/>
          <w:numId w:val="6"/>
        </w:numPr>
        <w:jc w:val="both"/>
        <w:rPr>
          <w:b/>
          <w:lang w:val="en-GB"/>
        </w:rPr>
      </w:pPr>
      <w:r w:rsidRPr="00AA0419">
        <w:rPr>
          <w:b/>
          <w:lang w:val="en-GB"/>
        </w:rPr>
        <w:t xml:space="preserve">What should be the pattern of cooperation between the EU and third countries on migration? How </w:t>
      </w:r>
      <w:r w:rsidR="008F4287">
        <w:rPr>
          <w:b/>
          <w:lang w:val="en-GB"/>
        </w:rPr>
        <w:t xml:space="preserve">is it possible </w:t>
      </w:r>
      <w:r w:rsidRPr="00AA0419">
        <w:rPr>
          <w:b/>
          <w:lang w:val="en-GB"/>
        </w:rPr>
        <w:t>to create a</w:t>
      </w:r>
      <w:r w:rsidR="008F4287">
        <w:rPr>
          <w:b/>
          <w:lang w:val="en-GB"/>
        </w:rPr>
        <w:t>n</w:t>
      </w:r>
      <w:r w:rsidRPr="00AA0419">
        <w:rPr>
          <w:b/>
          <w:lang w:val="en-GB"/>
        </w:rPr>
        <w:t xml:space="preserve"> </w:t>
      </w:r>
      <w:r w:rsidR="008F4287" w:rsidRPr="00AA0419">
        <w:rPr>
          <w:b/>
          <w:lang w:val="en-GB"/>
        </w:rPr>
        <w:t xml:space="preserve">optimal </w:t>
      </w:r>
      <w:r w:rsidRPr="00AA0419">
        <w:rPr>
          <w:b/>
          <w:lang w:val="en-GB"/>
        </w:rPr>
        <w:t>mechanism to prevent illegal migration and improve readmission while opening up opportunities for legal migration?</w:t>
      </w:r>
    </w:p>
    <w:p w14:paraId="63341BA4" w14:textId="54040324" w:rsidR="003F6333" w:rsidRPr="001B4953" w:rsidRDefault="003F6333" w:rsidP="00AA0419">
      <w:pPr>
        <w:pStyle w:val="Akapitzlist"/>
        <w:ind w:left="3762"/>
        <w:jc w:val="both"/>
        <w:rPr>
          <w:b/>
          <w:lang w:val="en-GB"/>
        </w:rPr>
      </w:pPr>
    </w:p>
    <w:sectPr w:rsidR="003F6333" w:rsidRPr="001B4953" w:rsidSect="004367F3">
      <w:headerReference w:type="default" r:id="rId10"/>
      <w:footerReference w:type="default" r:id="rId11"/>
      <w:pgSz w:w="11906" w:h="16838"/>
      <w:pgMar w:top="2835" w:right="1418" w:bottom="1418" w:left="907" w:header="703"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350D50" w16cex:dateUtc="2025-01-17T16:09:00Z"/>
  <w16cex:commentExtensible w16cex:durableId="2B388C86" w16cex:dateUtc="2025-01-20T07:49:00Z"/>
  <w16cex:commentExtensible w16cex:durableId="2B388D89" w16cex:dateUtc="2025-01-20T07: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7966CB" w16cid:durableId="2B350D50"/>
  <w16cid:commentId w16cid:paraId="4B2433C0" w16cid:durableId="2B388C86"/>
  <w16cid:commentId w16cid:paraId="3A46E7B9" w16cid:durableId="2B388D8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EEBE9" w14:textId="77777777" w:rsidR="005B2401" w:rsidRDefault="005B2401" w:rsidP="004367F3">
      <w:r>
        <w:separator/>
      </w:r>
    </w:p>
  </w:endnote>
  <w:endnote w:type="continuationSeparator" w:id="0">
    <w:p w14:paraId="236837E2" w14:textId="77777777" w:rsidR="005B2401" w:rsidRDefault="005B2401" w:rsidP="00436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Light">
    <w:panose1 w:val="020F0502020204030203"/>
    <w:charset w:val="00"/>
    <w:family w:val="swiss"/>
    <w:pitch w:val="variable"/>
    <w:sig w:usb0="E10002FF" w:usb1="5000ECFF" w:usb2="00000021" w:usb3="00000000" w:csb0="0000019F" w:csb1="00000000"/>
  </w:font>
  <w:font w:name="Lato Black">
    <w:panose1 w:val="020F0502020204030203"/>
    <w:charset w:val="00"/>
    <w:family w:val="swiss"/>
    <w:pitch w:val="variable"/>
    <w:sig w:usb0="E10002FF" w:usb1="5000ECFF" w:usb2="0000002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989941"/>
      <w:docPartObj>
        <w:docPartGallery w:val="Page Numbers (Bottom of Page)"/>
        <w:docPartUnique/>
      </w:docPartObj>
    </w:sdtPr>
    <w:sdtEndPr>
      <w:rPr>
        <w:noProof/>
      </w:rPr>
    </w:sdtEndPr>
    <w:sdtContent>
      <w:p w14:paraId="7F18EAC9" w14:textId="7F3413FA" w:rsidR="00111D1F" w:rsidRDefault="00111D1F">
        <w:pPr>
          <w:pStyle w:val="Stopka"/>
          <w:jc w:val="right"/>
        </w:pPr>
        <w:r>
          <w:fldChar w:fldCharType="begin"/>
        </w:r>
        <w:r>
          <w:instrText xml:space="preserve"> PAGE   \* MERGEFORMAT </w:instrText>
        </w:r>
        <w:r>
          <w:fldChar w:fldCharType="separate"/>
        </w:r>
        <w:r w:rsidR="00370848">
          <w:rPr>
            <w:noProof/>
          </w:rPr>
          <w:t>1</w:t>
        </w:r>
        <w:r>
          <w:rPr>
            <w:noProof/>
          </w:rPr>
          <w:fldChar w:fldCharType="end"/>
        </w:r>
      </w:p>
    </w:sdtContent>
  </w:sdt>
  <w:p w14:paraId="30E296B9" w14:textId="77777777" w:rsidR="00111D1F" w:rsidRDefault="00111D1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19639" w14:textId="77777777" w:rsidR="005B2401" w:rsidRDefault="005B2401" w:rsidP="004367F3">
      <w:r>
        <w:separator/>
      </w:r>
    </w:p>
  </w:footnote>
  <w:footnote w:type="continuationSeparator" w:id="0">
    <w:p w14:paraId="7B1226E6" w14:textId="77777777" w:rsidR="005B2401" w:rsidRDefault="005B2401" w:rsidP="004367F3">
      <w:r>
        <w:continuationSeparator/>
      </w:r>
    </w:p>
  </w:footnote>
  <w:footnote w:id="1">
    <w:p w14:paraId="63341BAC" w14:textId="77777777" w:rsidR="001B4953" w:rsidRPr="001B4953" w:rsidRDefault="001B4953">
      <w:pPr>
        <w:pStyle w:val="Tekstprzypisudolnego"/>
        <w:rPr>
          <w:lang w:val="en-GB"/>
        </w:rPr>
      </w:pPr>
      <w:r>
        <w:rPr>
          <w:rStyle w:val="Odwoanieprzypisudolnego"/>
        </w:rPr>
        <w:footnoteRef/>
      </w:r>
      <w:r w:rsidRPr="001B4953">
        <w:rPr>
          <w:lang w:val="en-GB"/>
        </w:rPr>
        <w:t xml:space="preserve"> Convention </w:t>
      </w:r>
      <w:r w:rsidR="008A3CDA">
        <w:rPr>
          <w:lang w:val="en-GB"/>
        </w:rPr>
        <w:t>Relating</w:t>
      </w:r>
      <w:r w:rsidRPr="001B4953">
        <w:rPr>
          <w:lang w:val="en-GB"/>
        </w:rPr>
        <w:t xml:space="preserve"> to the Status of Refugees, </w:t>
      </w:r>
      <w:r w:rsidR="008A3CDA">
        <w:rPr>
          <w:lang w:val="en-GB"/>
        </w:rPr>
        <w:t>signed in</w:t>
      </w:r>
      <w:r w:rsidRPr="001B4953">
        <w:rPr>
          <w:lang w:val="en-GB"/>
        </w:rPr>
        <w:t xml:space="preserve"> Geneva on 28 July 1951.</w:t>
      </w:r>
    </w:p>
  </w:footnote>
  <w:footnote w:id="2">
    <w:p w14:paraId="63341BAD" w14:textId="704E099B" w:rsidR="001B4953" w:rsidRPr="001B4953" w:rsidRDefault="001B4953">
      <w:pPr>
        <w:pStyle w:val="Tekstprzypisudolnego"/>
        <w:rPr>
          <w:lang w:val="en-GB"/>
        </w:rPr>
      </w:pPr>
      <w:r>
        <w:rPr>
          <w:rStyle w:val="Odwoanieprzypisudolnego"/>
        </w:rPr>
        <w:footnoteRef/>
      </w:r>
      <w:r w:rsidRPr="001B4953">
        <w:rPr>
          <w:lang w:val="en-GB"/>
        </w:rPr>
        <w:t xml:space="preserve"> This area </w:t>
      </w:r>
      <w:r w:rsidR="009E2E6D">
        <w:rPr>
          <w:lang w:val="en-GB"/>
        </w:rPr>
        <w:t>has been highlighted</w:t>
      </w:r>
      <w:r w:rsidRPr="001B4953">
        <w:rPr>
          <w:lang w:val="en-GB"/>
        </w:rPr>
        <w:t>, among others, by President Ursula von der Leyen in her letter to heads of state and</w:t>
      </w:r>
      <w:r>
        <w:rPr>
          <w:lang w:val="en-GB"/>
        </w:rPr>
        <w:t xml:space="preserve"> government of 16 December 2024.</w:t>
      </w:r>
    </w:p>
  </w:footnote>
  <w:footnote w:id="3">
    <w:p w14:paraId="63341BAE" w14:textId="4EA7904E" w:rsidR="001B4953" w:rsidRPr="001B4953" w:rsidRDefault="001B4953">
      <w:pPr>
        <w:pStyle w:val="Tekstprzypisudolnego"/>
        <w:rPr>
          <w:lang w:val="en-GB"/>
        </w:rPr>
      </w:pPr>
      <w:r>
        <w:rPr>
          <w:rStyle w:val="Odwoanieprzypisudolnego"/>
        </w:rPr>
        <w:footnoteRef/>
      </w:r>
      <w:r w:rsidRPr="001B4953">
        <w:rPr>
          <w:lang w:val="en-GB"/>
        </w:rPr>
        <w:t xml:space="preserve"> </w:t>
      </w:r>
      <w:r w:rsidR="009E2E6D">
        <w:rPr>
          <w:lang w:val="en-GB"/>
        </w:rPr>
        <w:t>C</w:t>
      </w:r>
      <w:r w:rsidR="009E2E6D" w:rsidRPr="009E2E6D">
        <w:rPr>
          <w:lang w:val="en-GB"/>
        </w:rPr>
        <w:t xml:space="preserve">ommunication from the </w:t>
      </w:r>
      <w:r w:rsidR="009E2E6D">
        <w:rPr>
          <w:lang w:val="en-GB"/>
        </w:rPr>
        <w:t>C</w:t>
      </w:r>
      <w:r w:rsidR="009E2E6D" w:rsidRPr="009E2E6D">
        <w:rPr>
          <w:lang w:val="en-GB"/>
        </w:rPr>
        <w:t xml:space="preserve">ommission to the </w:t>
      </w:r>
      <w:r w:rsidR="009E2E6D">
        <w:rPr>
          <w:lang w:val="en-GB"/>
        </w:rPr>
        <w:t>E</w:t>
      </w:r>
      <w:r w:rsidR="009E2E6D" w:rsidRPr="009E2E6D">
        <w:rPr>
          <w:lang w:val="en-GB"/>
        </w:rPr>
        <w:t xml:space="preserve">uropean </w:t>
      </w:r>
      <w:r w:rsidR="00811C03">
        <w:rPr>
          <w:lang w:val="en-GB"/>
        </w:rPr>
        <w:t>P</w:t>
      </w:r>
      <w:r w:rsidR="009E2E6D" w:rsidRPr="009E2E6D">
        <w:rPr>
          <w:lang w:val="en-GB"/>
        </w:rPr>
        <w:t xml:space="preserve">arliament and the </w:t>
      </w:r>
      <w:r w:rsidR="00811C03">
        <w:rPr>
          <w:lang w:val="en-GB"/>
        </w:rPr>
        <w:t>C</w:t>
      </w:r>
      <w:r w:rsidR="009E2E6D" w:rsidRPr="009E2E6D">
        <w:rPr>
          <w:lang w:val="en-GB"/>
        </w:rPr>
        <w:t xml:space="preserve">ouncil </w:t>
      </w:r>
      <w:r w:rsidRPr="001B4953">
        <w:rPr>
          <w:lang w:val="en-GB"/>
        </w:rPr>
        <w:t>on countering hybrid threats from the weaponisation of migration and strengthening security at the EU's external borders, COM/2024/570 final</w:t>
      </w:r>
      <w:r w:rsidR="00B30BE5">
        <w:rPr>
          <w:lang w:val="en-GB"/>
        </w:rPr>
        <w:t>.</w:t>
      </w:r>
    </w:p>
  </w:footnote>
  <w:footnote w:id="4">
    <w:p w14:paraId="03F4F3A8" w14:textId="77777777" w:rsidR="00FD3515" w:rsidRPr="001B4953" w:rsidRDefault="00FD3515" w:rsidP="00FD3515">
      <w:pPr>
        <w:pStyle w:val="Tekstprzypisudolnego"/>
        <w:rPr>
          <w:lang w:val="en-GB"/>
        </w:rPr>
      </w:pPr>
      <w:r>
        <w:rPr>
          <w:rStyle w:val="Odwoanieprzypisudolnego"/>
        </w:rPr>
        <w:footnoteRef/>
      </w:r>
      <w:r w:rsidRPr="001B4953">
        <w:rPr>
          <w:lang w:val="en-GB"/>
        </w:rPr>
        <w:t xml:space="preserve"> Examples include a directive harmonising criminal law on migrant smuggling, the Europol regulation and the EC's Global Alliance Against Migrant Smuggling initiative</w:t>
      </w:r>
      <w:r>
        <w:rPr>
          <w:lang w:val="en-GB"/>
        </w:rPr>
        <w:t>.</w:t>
      </w:r>
    </w:p>
  </w:footnote>
  <w:footnote w:id="5">
    <w:p w14:paraId="67343956" w14:textId="53DBCE93" w:rsidR="00FD3515" w:rsidRPr="001B4953" w:rsidRDefault="00FD3515" w:rsidP="00FD3515">
      <w:pPr>
        <w:pStyle w:val="Tekstprzypisudolnego"/>
        <w:rPr>
          <w:lang w:val="en-GB"/>
        </w:rPr>
      </w:pPr>
      <w:r>
        <w:rPr>
          <w:rStyle w:val="Odwoanieprzypisudolnego"/>
        </w:rPr>
        <w:footnoteRef/>
      </w:r>
      <w:r w:rsidRPr="001B4953">
        <w:rPr>
          <w:lang w:val="en-GB"/>
        </w:rPr>
        <w:t xml:space="preserve"> COM(2021) 753 </w:t>
      </w:r>
      <w:r>
        <w:rPr>
          <w:lang w:val="en-GB"/>
        </w:rPr>
        <w:t>–</w:t>
      </w:r>
      <w:r w:rsidRPr="001B4953">
        <w:rPr>
          <w:lang w:val="en-GB"/>
        </w:rPr>
        <w:t xml:space="preserve"> Proposal </w:t>
      </w:r>
      <w:r w:rsidR="00811C03">
        <w:rPr>
          <w:lang w:val="en-GB"/>
        </w:rPr>
        <w:t>of</w:t>
      </w:r>
      <w:r w:rsidR="00811C03" w:rsidRPr="001B4953">
        <w:rPr>
          <w:lang w:val="en-GB"/>
        </w:rPr>
        <w:t xml:space="preserve"> </w:t>
      </w:r>
      <w:r w:rsidRPr="001B4953">
        <w:rPr>
          <w:lang w:val="en-GB"/>
        </w:rPr>
        <w:t xml:space="preserve">23.11.2021 for a </w:t>
      </w:r>
      <w:r w:rsidR="00811C03">
        <w:rPr>
          <w:lang w:val="en-GB"/>
        </w:rPr>
        <w:t xml:space="preserve">Regulation of </w:t>
      </w:r>
      <w:r w:rsidR="00811C03" w:rsidRPr="009E2E6D">
        <w:rPr>
          <w:lang w:val="en-GB"/>
        </w:rPr>
        <w:t xml:space="preserve">the </w:t>
      </w:r>
      <w:r w:rsidR="00811C03">
        <w:rPr>
          <w:lang w:val="en-GB"/>
        </w:rPr>
        <w:t>E</w:t>
      </w:r>
      <w:r w:rsidR="00811C03" w:rsidRPr="009E2E6D">
        <w:rPr>
          <w:lang w:val="en-GB"/>
        </w:rPr>
        <w:t xml:space="preserve">uropean </w:t>
      </w:r>
      <w:r w:rsidR="00811C03">
        <w:rPr>
          <w:lang w:val="en-GB"/>
        </w:rPr>
        <w:t>P</w:t>
      </w:r>
      <w:r w:rsidR="00811C03" w:rsidRPr="009E2E6D">
        <w:rPr>
          <w:lang w:val="en-GB"/>
        </w:rPr>
        <w:t xml:space="preserve">arliament and </w:t>
      </w:r>
      <w:r w:rsidR="00811C03">
        <w:rPr>
          <w:lang w:val="en-GB"/>
        </w:rPr>
        <w:t xml:space="preserve">of </w:t>
      </w:r>
      <w:r w:rsidR="00811C03" w:rsidRPr="009E2E6D">
        <w:rPr>
          <w:lang w:val="en-GB"/>
        </w:rPr>
        <w:t xml:space="preserve">the </w:t>
      </w:r>
      <w:r w:rsidR="00811C03">
        <w:rPr>
          <w:lang w:val="en-GB"/>
        </w:rPr>
        <w:t>C</w:t>
      </w:r>
      <w:r w:rsidR="00811C03" w:rsidRPr="009E2E6D">
        <w:rPr>
          <w:lang w:val="en-GB"/>
        </w:rPr>
        <w:t xml:space="preserve">ouncil </w:t>
      </w:r>
      <w:r w:rsidRPr="001B4953">
        <w:rPr>
          <w:lang w:val="en-GB"/>
        </w:rPr>
        <w:t>on measures against transport operators that facilitate or engage in trafficking in persons or smuggling of migrants in relation to illegal entry into the territory of the European Union</w:t>
      </w:r>
      <w:r>
        <w:rPr>
          <w:lang w:val="en-GB"/>
        </w:rPr>
        <w:t>.</w:t>
      </w:r>
    </w:p>
  </w:footnote>
  <w:footnote w:id="6">
    <w:p w14:paraId="6FB97CD8" w14:textId="386F5CD9" w:rsidR="00AA0419" w:rsidRPr="001B4953" w:rsidRDefault="00AA0419" w:rsidP="00AA0419">
      <w:pPr>
        <w:pStyle w:val="Tekstprzypisudolnego"/>
        <w:rPr>
          <w:lang w:val="en-GB"/>
        </w:rPr>
      </w:pPr>
      <w:r>
        <w:rPr>
          <w:rStyle w:val="Odwoanieprzypisudolnego"/>
        </w:rPr>
        <w:footnoteRef/>
      </w:r>
      <w:r w:rsidRPr="00C056B8">
        <w:rPr>
          <w:lang w:val="en-GB"/>
        </w:rPr>
        <w:t xml:space="preserve"> </w:t>
      </w:r>
      <w:hyperlink r:id="rId1" w:history="1">
        <w:r w:rsidRPr="00C056B8">
          <w:rPr>
            <w:rStyle w:val="Hipercze"/>
            <w:color w:val="auto"/>
            <w:u w:val="none"/>
            <w:lang w:val="en-GB"/>
          </w:rPr>
          <w:t>https://home-affairs.ec.europa.eu/regulation-establishing-eu-talent-pool_en</w:t>
        </w:r>
      </w:hyperlink>
      <w:r w:rsidR="008F4287">
        <w:rPr>
          <w:rStyle w:val="Hipercze"/>
          <w:color w:val="auto"/>
          <w:u w:val="none"/>
          <w:lang w:val="en-GB"/>
        </w:rPr>
        <w:t>.</w:t>
      </w:r>
      <w:bookmarkStart w:id="0" w:name="_GoBac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41BA9" w14:textId="77777777" w:rsidR="00A27E98" w:rsidRPr="008E7A5B" w:rsidRDefault="004367F3" w:rsidP="004367F3">
    <w:pPr>
      <w:pStyle w:val="Nagwek"/>
    </w:pPr>
    <w:r w:rsidRPr="008E7A5B">
      <w:rPr>
        <w:noProof/>
        <w:lang w:eastAsia="pl-PL"/>
      </w:rPr>
      <w:drawing>
        <wp:anchor distT="0" distB="0" distL="114300" distR="114300" simplePos="0" relativeHeight="251660288" behindDoc="1" locked="1" layoutInCell="1" allowOverlap="1" wp14:anchorId="63341BAA" wp14:editId="63341BAB">
          <wp:simplePos x="0" y="0"/>
          <wp:positionH relativeFrom="margin">
            <wp:align>left</wp:align>
          </wp:positionH>
          <wp:positionV relativeFrom="page">
            <wp:posOffset>575945</wp:posOffset>
          </wp:positionV>
          <wp:extent cx="4582800" cy="622800"/>
          <wp:effectExtent l="0" t="0" r="0" b="635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owakowski Adam\AppData\Local\Microsoft\Windows\INetCache\Content.Word\znak2.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582800" cy="62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B17AF"/>
    <w:multiLevelType w:val="hybridMultilevel"/>
    <w:tmpl w:val="9AC89502"/>
    <w:lvl w:ilvl="0" w:tplc="04150001">
      <w:start w:val="1"/>
      <w:numFmt w:val="bullet"/>
      <w:lvlText w:val=""/>
      <w:lvlJc w:val="left"/>
      <w:pPr>
        <w:ind w:left="3782" w:hanging="360"/>
      </w:pPr>
      <w:rPr>
        <w:rFonts w:ascii="Symbol" w:hAnsi="Symbol" w:hint="default"/>
      </w:rPr>
    </w:lvl>
    <w:lvl w:ilvl="1" w:tplc="04150003" w:tentative="1">
      <w:start w:val="1"/>
      <w:numFmt w:val="bullet"/>
      <w:lvlText w:val="o"/>
      <w:lvlJc w:val="left"/>
      <w:pPr>
        <w:ind w:left="4502" w:hanging="360"/>
      </w:pPr>
      <w:rPr>
        <w:rFonts w:ascii="Courier New" w:hAnsi="Courier New" w:cs="Courier New" w:hint="default"/>
      </w:rPr>
    </w:lvl>
    <w:lvl w:ilvl="2" w:tplc="04150005" w:tentative="1">
      <w:start w:val="1"/>
      <w:numFmt w:val="bullet"/>
      <w:lvlText w:val=""/>
      <w:lvlJc w:val="left"/>
      <w:pPr>
        <w:ind w:left="5222" w:hanging="360"/>
      </w:pPr>
      <w:rPr>
        <w:rFonts w:ascii="Wingdings" w:hAnsi="Wingdings" w:hint="default"/>
      </w:rPr>
    </w:lvl>
    <w:lvl w:ilvl="3" w:tplc="04150001" w:tentative="1">
      <w:start w:val="1"/>
      <w:numFmt w:val="bullet"/>
      <w:lvlText w:val=""/>
      <w:lvlJc w:val="left"/>
      <w:pPr>
        <w:ind w:left="5942" w:hanging="360"/>
      </w:pPr>
      <w:rPr>
        <w:rFonts w:ascii="Symbol" w:hAnsi="Symbol" w:hint="default"/>
      </w:rPr>
    </w:lvl>
    <w:lvl w:ilvl="4" w:tplc="04150003" w:tentative="1">
      <w:start w:val="1"/>
      <w:numFmt w:val="bullet"/>
      <w:lvlText w:val="o"/>
      <w:lvlJc w:val="left"/>
      <w:pPr>
        <w:ind w:left="6662" w:hanging="360"/>
      </w:pPr>
      <w:rPr>
        <w:rFonts w:ascii="Courier New" w:hAnsi="Courier New" w:cs="Courier New" w:hint="default"/>
      </w:rPr>
    </w:lvl>
    <w:lvl w:ilvl="5" w:tplc="04150005" w:tentative="1">
      <w:start w:val="1"/>
      <w:numFmt w:val="bullet"/>
      <w:lvlText w:val=""/>
      <w:lvlJc w:val="left"/>
      <w:pPr>
        <w:ind w:left="7382" w:hanging="360"/>
      </w:pPr>
      <w:rPr>
        <w:rFonts w:ascii="Wingdings" w:hAnsi="Wingdings" w:hint="default"/>
      </w:rPr>
    </w:lvl>
    <w:lvl w:ilvl="6" w:tplc="04150001" w:tentative="1">
      <w:start w:val="1"/>
      <w:numFmt w:val="bullet"/>
      <w:lvlText w:val=""/>
      <w:lvlJc w:val="left"/>
      <w:pPr>
        <w:ind w:left="8102" w:hanging="360"/>
      </w:pPr>
      <w:rPr>
        <w:rFonts w:ascii="Symbol" w:hAnsi="Symbol" w:hint="default"/>
      </w:rPr>
    </w:lvl>
    <w:lvl w:ilvl="7" w:tplc="04150003" w:tentative="1">
      <w:start w:val="1"/>
      <w:numFmt w:val="bullet"/>
      <w:lvlText w:val="o"/>
      <w:lvlJc w:val="left"/>
      <w:pPr>
        <w:ind w:left="8822" w:hanging="360"/>
      </w:pPr>
      <w:rPr>
        <w:rFonts w:ascii="Courier New" w:hAnsi="Courier New" w:cs="Courier New" w:hint="default"/>
      </w:rPr>
    </w:lvl>
    <w:lvl w:ilvl="8" w:tplc="04150005" w:tentative="1">
      <w:start w:val="1"/>
      <w:numFmt w:val="bullet"/>
      <w:lvlText w:val=""/>
      <w:lvlJc w:val="left"/>
      <w:pPr>
        <w:ind w:left="9542" w:hanging="360"/>
      </w:pPr>
      <w:rPr>
        <w:rFonts w:ascii="Wingdings" w:hAnsi="Wingdings" w:hint="default"/>
      </w:rPr>
    </w:lvl>
  </w:abstractNum>
  <w:abstractNum w:abstractNumId="1" w15:restartNumberingAfterBreak="0">
    <w:nsid w:val="34042AC0"/>
    <w:multiLevelType w:val="hybridMultilevel"/>
    <w:tmpl w:val="2E26F6A8"/>
    <w:lvl w:ilvl="0" w:tplc="5A4CA9A4">
      <w:start w:val="1"/>
      <w:numFmt w:val="decimal"/>
      <w:lvlText w:val="%1."/>
      <w:lvlJc w:val="left"/>
      <w:pPr>
        <w:ind w:left="3762" w:hanging="360"/>
      </w:pPr>
      <w:rPr>
        <w:rFonts w:hint="default"/>
      </w:rPr>
    </w:lvl>
    <w:lvl w:ilvl="1" w:tplc="04150019" w:tentative="1">
      <w:start w:val="1"/>
      <w:numFmt w:val="lowerLetter"/>
      <w:lvlText w:val="%2."/>
      <w:lvlJc w:val="left"/>
      <w:pPr>
        <w:ind w:left="4482" w:hanging="360"/>
      </w:pPr>
    </w:lvl>
    <w:lvl w:ilvl="2" w:tplc="0415001B" w:tentative="1">
      <w:start w:val="1"/>
      <w:numFmt w:val="lowerRoman"/>
      <w:lvlText w:val="%3."/>
      <w:lvlJc w:val="right"/>
      <w:pPr>
        <w:ind w:left="5202" w:hanging="180"/>
      </w:pPr>
    </w:lvl>
    <w:lvl w:ilvl="3" w:tplc="0415000F" w:tentative="1">
      <w:start w:val="1"/>
      <w:numFmt w:val="decimal"/>
      <w:lvlText w:val="%4."/>
      <w:lvlJc w:val="left"/>
      <w:pPr>
        <w:ind w:left="5922" w:hanging="360"/>
      </w:pPr>
    </w:lvl>
    <w:lvl w:ilvl="4" w:tplc="04150019" w:tentative="1">
      <w:start w:val="1"/>
      <w:numFmt w:val="lowerLetter"/>
      <w:lvlText w:val="%5."/>
      <w:lvlJc w:val="left"/>
      <w:pPr>
        <w:ind w:left="6642" w:hanging="360"/>
      </w:pPr>
    </w:lvl>
    <w:lvl w:ilvl="5" w:tplc="0415001B" w:tentative="1">
      <w:start w:val="1"/>
      <w:numFmt w:val="lowerRoman"/>
      <w:lvlText w:val="%6."/>
      <w:lvlJc w:val="right"/>
      <w:pPr>
        <w:ind w:left="7362" w:hanging="180"/>
      </w:pPr>
    </w:lvl>
    <w:lvl w:ilvl="6" w:tplc="0415000F" w:tentative="1">
      <w:start w:val="1"/>
      <w:numFmt w:val="decimal"/>
      <w:lvlText w:val="%7."/>
      <w:lvlJc w:val="left"/>
      <w:pPr>
        <w:ind w:left="8082" w:hanging="360"/>
      </w:pPr>
    </w:lvl>
    <w:lvl w:ilvl="7" w:tplc="04150019" w:tentative="1">
      <w:start w:val="1"/>
      <w:numFmt w:val="lowerLetter"/>
      <w:lvlText w:val="%8."/>
      <w:lvlJc w:val="left"/>
      <w:pPr>
        <w:ind w:left="8802" w:hanging="360"/>
      </w:pPr>
    </w:lvl>
    <w:lvl w:ilvl="8" w:tplc="0415001B" w:tentative="1">
      <w:start w:val="1"/>
      <w:numFmt w:val="lowerRoman"/>
      <w:lvlText w:val="%9."/>
      <w:lvlJc w:val="right"/>
      <w:pPr>
        <w:ind w:left="9522" w:hanging="180"/>
      </w:pPr>
    </w:lvl>
  </w:abstractNum>
  <w:abstractNum w:abstractNumId="2" w15:restartNumberingAfterBreak="0">
    <w:nsid w:val="36DF43C0"/>
    <w:multiLevelType w:val="hybridMultilevel"/>
    <w:tmpl w:val="C52CE27C"/>
    <w:lvl w:ilvl="0" w:tplc="C7848F2A">
      <w:start w:val="1"/>
      <w:numFmt w:val="decimal"/>
      <w:lvlText w:val="%1."/>
      <w:lvlJc w:val="left"/>
      <w:pPr>
        <w:ind w:left="3762" w:hanging="360"/>
      </w:pPr>
      <w:rPr>
        <w:rFonts w:hint="default"/>
      </w:rPr>
    </w:lvl>
    <w:lvl w:ilvl="1" w:tplc="04150019" w:tentative="1">
      <w:start w:val="1"/>
      <w:numFmt w:val="lowerLetter"/>
      <w:lvlText w:val="%2."/>
      <w:lvlJc w:val="left"/>
      <w:pPr>
        <w:ind w:left="4482" w:hanging="360"/>
      </w:pPr>
    </w:lvl>
    <w:lvl w:ilvl="2" w:tplc="0415001B" w:tentative="1">
      <w:start w:val="1"/>
      <w:numFmt w:val="lowerRoman"/>
      <w:lvlText w:val="%3."/>
      <w:lvlJc w:val="right"/>
      <w:pPr>
        <w:ind w:left="5202" w:hanging="180"/>
      </w:pPr>
    </w:lvl>
    <w:lvl w:ilvl="3" w:tplc="0415000F" w:tentative="1">
      <w:start w:val="1"/>
      <w:numFmt w:val="decimal"/>
      <w:lvlText w:val="%4."/>
      <w:lvlJc w:val="left"/>
      <w:pPr>
        <w:ind w:left="5922" w:hanging="360"/>
      </w:pPr>
    </w:lvl>
    <w:lvl w:ilvl="4" w:tplc="04150019" w:tentative="1">
      <w:start w:val="1"/>
      <w:numFmt w:val="lowerLetter"/>
      <w:lvlText w:val="%5."/>
      <w:lvlJc w:val="left"/>
      <w:pPr>
        <w:ind w:left="6642" w:hanging="360"/>
      </w:pPr>
    </w:lvl>
    <w:lvl w:ilvl="5" w:tplc="0415001B" w:tentative="1">
      <w:start w:val="1"/>
      <w:numFmt w:val="lowerRoman"/>
      <w:lvlText w:val="%6."/>
      <w:lvlJc w:val="right"/>
      <w:pPr>
        <w:ind w:left="7362" w:hanging="180"/>
      </w:pPr>
    </w:lvl>
    <w:lvl w:ilvl="6" w:tplc="0415000F" w:tentative="1">
      <w:start w:val="1"/>
      <w:numFmt w:val="decimal"/>
      <w:lvlText w:val="%7."/>
      <w:lvlJc w:val="left"/>
      <w:pPr>
        <w:ind w:left="8082" w:hanging="360"/>
      </w:pPr>
    </w:lvl>
    <w:lvl w:ilvl="7" w:tplc="04150019" w:tentative="1">
      <w:start w:val="1"/>
      <w:numFmt w:val="lowerLetter"/>
      <w:lvlText w:val="%8."/>
      <w:lvlJc w:val="left"/>
      <w:pPr>
        <w:ind w:left="8802" w:hanging="360"/>
      </w:pPr>
    </w:lvl>
    <w:lvl w:ilvl="8" w:tplc="0415001B" w:tentative="1">
      <w:start w:val="1"/>
      <w:numFmt w:val="lowerRoman"/>
      <w:lvlText w:val="%9."/>
      <w:lvlJc w:val="right"/>
      <w:pPr>
        <w:ind w:left="9522" w:hanging="180"/>
      </w:pPr>
    </w:lvl>
  </w:abstractNum>
  <w:abstractNum w:abstractNumId="3" w15:restartNumberingAfterBreak="0">
    <w:nsid w:val="67E915B2"/>
    <w:multiLevelType w:val="hybridMultilevel"/>
    <w:tmpl w:val="4A286A68"/>
    <w:lvl w:ilvl="0" w:tplc="9DA0708E">
      <w:start w:val="1"/>
      <w:numFmt w:val="decimal"/>
      <w:pStyle w:val="Wyliczenie"/>
      <w:lvlText w:val="%1."/>
      <w:lvlJc w:val="left"/>
      <w:pPr>
        <w:ind w:left="4122" w:hanging="360"/>
      </w:pPr>
    </w:lvl>
    <w:lvl w:ilvl="1" w:tplc="04150019" w:tentative="1">
      <w:start w:val="1"/>
      <w:numFmt w:val="lowerLetter"/>
      <w:lvlText w:val="%2."/>
      <w:lvlJc w:val="left"/>
      <w:pPr>
        <w:ind w:left="4842" w:hanging="360"/>
      </w:pPr>
    </w:lvl>
    <w:lvl w:ilvl="2" w:tplc="0415001B" w:tentative="1">
      <w:start w:val="1"/>
      <w:numFmt w:val="lowerRoman"/>
      <w:lvlText w:val="%3."/>
      <w:lvlJc w:val="right"/>
      <w:pPr>
        <w:ind w:left="5562" w:hanging="180"/>
      </w:pPr>
    </w:lvl>
    <w:lvl w:ilvl="3" w:tplc="0415000F" w:tentative="1">
      <w:start w:val="1"/>
      <w:numFmt w:val="decimal"/>
      <w:lvlText w:val="%4."/>
      <w:lvlJc w:val="left"/>
      <w:pPr>
        <w:ind w:left="6282" w:hanging="360"/>
      </w:pPr>
    </w:lvl>
    <w:lvl w:ilvl="4" w:tplc="04150019" w:tentative="1">
      <w:start w:val="1"/>
      <w:numFmt w:val="lowerLetter"/>
      <w:lvlText w:val="%5."/>
      <w:lvlJc w:val="left"/>
      <w:pPr>
        <w:ind w:left="7002" w:hanging="360"/>
      </w:pPr>
    </w:lvl>
    <w:lvl w:ilvl="5" w:tplc="0415001B" w:tentative="1">
      <w:start w:val="1"/>
      <w:numFmt w:val="lowerRoman"/>
      <w:lvlText w:val="%6."/>
      <w:lvlJc w:val="right"/>
      <w:pPr>
        <w:ind w:left="7722" w:hanging="180"/>
      </w:pPr>
    </w:lvl>
    <w:lvl w:ilvl="6" w:tplc="0415000F" w:tentative="1">
      <w:start w:val="1"/>
      <w:numFmt w:val="decimal"/>
      <w:lvlText w:val="%7."/>
      <w:lvlJc w:val="left"/>
      <w:pPr>
        <w:ind w:left="8442" w:hanging="360"/>
      </w:pPr>
    </w:lvl>
    <w:lvl w:ilvl="7" w:tplc="04150019" w:tentative="1">
      <w:start w:val="1"/>
      <w:numFmt w:val="lowerLetter"/>
      <w:lvlText w:val="%8."/>
      <w:lvlJc w:val="left"/>
      <w:pPr>
        <w:ind w:left="9162" w:hanging="360"/>
      </w:pPr>
    </w:lvl>
    <w:lvl w:ilvl="8" w:tplc="0415001B" w:tentative="1">
      <w:start w:val="1"/>
      <w:numFmt w:val="lowerRoman"/>
      <w:lvlText w:val="%9."/>
      <w:lvlJc w:val="right"/>
      <w:pPr>
        <w:ind w:left="9882" w:hanging="180"/>
      </w:pPr>
    </w:lvl>
  </w:abstractNum>
  <w:abstractNum w:abstractNumId="4" w15:restartNumberingAfterBreak="0">
    <w:nsid w:val="71F80F38"/>
    <w:multiLevelType w:val="hybridMultilevel"/>
    <w:tmpl w:val="4D54FEA8"/>
    <w:lvl w:ilvl="0" w:tplc="0B1EFA54">
      <w:start w:val="1"/>
      <w:numFmt w:val="bullet"/>
      <w:pStyle w:val="Punktory"/>
      <w:lvlText w:val=""/>
      <w:lvlJc w:val="left"/>
      <w:pPr>
        <w:ind w:left="3782" w:hanging="360"/>
      </w:pPr>
      <w:rPr>
        <w:rFonts w:ascii="Symbol" w:hAnsi="Symbol" w:hint="default"/>
      </w:rPr>
    </w:lvl>
    <w:lvl w:ilvl="1" w:tplc="04150003" w:tentative="1">
      <w:start w:val="1"/>
      <w:numFmt w:val="bullet"/>
      <w:lvlText w:val="o"/>
      <w:lvlJc w:val="left"/>
      <w:pPr>
        <w:ind w:left="4502" w:hanging="360"/>
      </w:pPr>
      <w:rPr>
        <w:rFonts w:ascii="Courier New" w:hAnsi="Courier New" w:cs="Courier New" w:hint="default"/>
      </w:rPr>
    </w:lvl>
    <w:lvl w:ilvl="2" w:tplc="04150005" w:tentative="1">
      <w:start w:val="1"/>
      <w:numFmt w:val="bullet"/>
      <w:lvlText w:val=""/>
      <w:lvlJc w:val="left"/>
      <w:pPr>
        <w:ind w:left="5222" w:hanging="360"/>
      </w:pPr>
      <w:rPr>
        <w:rFonts w:ascii="Wingdings" w:hAnsi="Wingdings" w:hint="default"/>
      </w:rPr>
    </w:lvl>
    <w:lvl w:ilvl="3" w:tplc="04150001" w:tentative="1">
      <w:start w:val="1"/>
      <w:numFmt w:val="bullet"/>
      <w:lvlText w:val=""/>
      <w:lvlJc w:val="left"/>
      <w:pPr>
        <w:ind w:left="5942" w:hanging="360"/>
      </w:pPr>
      <w:rPr>
        <w:rFonts w:ascii="Symbol" w:hAnsi="Symbol" w:hint="default"/>
      </w:rPr>
    </w:lvl>
    <w:lvl w:ilvl="4" w:tplc="04150003" w:tentative="1">
      <w:start w:val="1"/>
      <w:numFmt w:val="bullet"/>
      <w:lvlText w:val="o"/>
      <w:lvlJc w:val="left"/>
      <w:pPr>
        <w:ind w:left="6662" w:hanging="360"/>
      </w:pPr>
      <w:rPr>
        <w:rFonts w:ascii="Courier New" w:hAnsi="Courier New" w:cs="Courier New" w:hint="default"/>
      </w:rPr>
    </w:lvl>
    <w:lvl w:ilvl="5" w:tplc="04150005" w:tentative="1">
      <w:start w:val="1"/>
      <w:numFmt w:val="bullet"/>
      <w:lvlText w:val=""/>
      <w:lvlJc w:val="left"/>
      <w:pPr>
        <w:ind w:left="7382" w:hanging="360"/>
      </w:pPr>
      <w:rPr>
        <w:rFonts w:ascii="Wingdings" w:hAnsi="Wingdings" w:hint="default"/>
      </w:rPr>
    </w:lvl>
    <w:lvl w:ilvl="6" w:tplc="04150001" w:tentative="1">
      <w:start w:val="1"/>
      <w:numFmt w:val="bullet"/>
      <w:lvlText w:val=""/>
      <w:lvlJc w:val="left"/>
      <w:pPr>
        <w:ind w:left="8102" w:hanging="360"/>
      </w:pPr>
      <w:rPr>
        <w:rFonts w:ascii="Symbol" w:hAnsi="Symbol" w:hint="default"/>
      </w:rPr>
    </w:lvl>
    <w:lvl w:ilvl="7" w:tplc="04150003" w:tentative="1">
      <w:start w:val="1"/>
      <w:numFmt w:val="bullet"/>
      <w:lvlText w:val="o"/>
      <w:lvlJc w:val="left"/>
      <w:pPr>
        <w:ind w:left="8822" w:hanging="360"/>
      </w:pPr>
      <w:rPr>
        <w:rFonts w:ascii="Courier New" w:hAnsi="Courier New" w:cs="Courier New" w:hint="default"/>
      </w:rPr>
    </w:lvl>
    <w:lvl w:ilvl="8" w:tplc="04150005" w:tentative="1">
      <w:start w:val="1"/>
      <w:numFmt w:val="bullet"/>
      <w:lvlText w:val=""/>
      <w:lvlJc w:val="left"/>
      <w:pPr>
        <w:ind w:left="9542" w:hanging="360"/>
      </w:pPr>
      <w:rPr>
        <w:rFonts w:ascii="Wingdings" w:hAnsi="Wingdings" w:hint="default"/>
      </w:rPr>
    </w:lvl>
  </w:abstractNum>
  <w:abstractNum w:abstractNumId="5" w15:restartNumberingAfterBreak="0">
    <w:nsid w:val="7C175B41"/>
    <w:multiLevelType w:val="hybridMultilevel"/>
    <w:tmpl w:val="22FEB3CE"/>
    <w:lvl w:ilvl="0" w:tplc="0415000F">
      <w:start w:val="1"/>
      <w:numFmt w:val="decimal"/>
      <w:lvlText w:val="%1."/>
      <w:lvlJc w:val="left"/>
      <w:pPr>
        <w:ind w:left="4122" w:hanging="360"/>
      </w:pPr>
    </w:lvl>
    <w:lvl w:ilvl="1" w:tplc="04150019" w:tentative="1">
      <w:start w:val="1"/>
      <w:numFmt w:val="lowerLetter"/>
      <w:lvlText w:val="%2."/>
      <w:lvlJc w:val="left"/>
      <w:pPr>
        <w:ind w:left="4842" w:hanging="360"/>
      </w:pPr>
    </w:lvl>
    <w:lvl w:ilvl="2" w:tplc="0415001B" w:tentative="1">
      <w:start w:val="1"/>
      <w:numFmt w:val="lowerRoman"/>
      <w:lvlText w:val="%3."/>
      <w:lvlJc w:val="right"/>
      <w:pPr>
        <w:ind w:left="5562" w:hanging="180"/>
      </w:pPr>
    </w:lvl>
    <w:lvl w:ilvl="3" w:tplc="0415000F" w:tentative="1">
      <w:start w:val="1"/>
      <w:numFmt w:val="decimal"/>
      <w:lvlText w:val="%4."/>
      <w:lvlJc w:val="left"/>
      <w:pPr>
        <w:ind w:left="6282" w:hanging="360"/>
      </w:pPr>
    </w:lvl>
    <w:lvl w:ilvl="4" w:tplc="04150019" w:tentative="1">
      <w:start w:val="1"/>
      <w:numFmt w:val="lowerLetter"/>
      <w:lvlText w:val="%5."/>
      <w:lvlJc w:val="left"/>
      <w:pPr>
        <w:ind w:left="7002" w:hanging="360"/>
      </w:pPr>
    </w:lvl>
    <w:lvl w:ilvl="5" w:tplc="0415001B" w:tentative="1">
      <w:start w:val="1"/>
      <w:numFmt w:val="lowerRoman"/>
      <w:lvlText w:val="%6."/>
      <w:lvlJc w:val="right"/>
      <w:pPr>
        <w:ind w:left="7722" w:hanging="180"/>
      </w:pPr>
    </w:lvl>
    <w:lvl w:ilvl="6" w:tplc="0415000F" w:tentative="1">
      <w:start w:val="1"/>
      <w:numFmt w:val="decimal"/>
      <w:lvlText w:val="%7."/>
      <w:lvlJc w:val="left"/>
      <w:pPr>
        <w:ind w:left="8442" w:hanging="360"/>
      </w:pPr>
    </w:lvl>
    <w:lvl w:ilvl="7" w:tplc="04150019" w:tentative="1">
      <w:start w:val="1"/>
      <w:numFmt w:val="lowerLetter"/>
      <w:lvlText w:val="%8."/>
      <w:lvlJc w:val="left"/>
      <w:pPr>
        <w:ind w:left="9162" w:hanging="360"/>
      </w:pPr>
    </w:lvl>
    <w:lvl w:ilvl="8" w:tplc="0415001B" w:tentative="1">
      <w:start w:val="1"/>
      <w:numFmt w:val="lowerRoman"/>
      <w:lvlText w:val="%9."/>
      <w:lvlJc w:val="right"/>
      <w:pPr>
        <w:ind w:left="9882" w:hanging="180"/>
      </w:p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W_DocType" w:val="Normal"/>
  </w:docVars>
  <w:rsids>
    <w:rsidRoot w:val="00F906BB"/>
    <w:rsid w:val="00014248"/>
    <w:rsid w:val="0001615B"/>
    <w:rsid w:val="00024C54"/>
    <w:rsid w:val="00052C91"/>
    <w:rsid w:val="000666FE"/>
    <w:rsid w:val="000B44EC"/>
    <w:rsid w:val="000D6F3E"/>
    <w:rsid w:val="000E2745"/>
    <w:rsid w:val="000E4988"/>
    <w:rsid w:val="000E6F44"/>
    <w:rsid w:val="00111D1F"/>
    <w:rsid w:val="00172897"/>
    <w:rsid w:val="001B4953"/>
    <w:rsid w:val="001C6AAA"/>
    <w:rsid w:val="001D6CAF"/>
    <w:rsid w:val="001E3946"/>
    <w:rsid w:val="0024308F"/>
    <w:rsid w:val="002A5F34"/>
    <w:rsid w:val="002A6967"/>
    <w:rsid w:val="00350DDE"/>
    <w:rsid w:val="00370848"/>
    <w:rsid w:val="00382B88"/>
    <w:rsid w:val="003A1DD0"/>
    <w:rsid w:val="003B0F35"/>
    <w:rsid w:val="003B4E81"/>
    <w:rsid w:val="003C0479"/>
    <w:rsid w:val="003D0040"/>
    <w:rsid w:val="003F6333"/>
    <w:rsid w:val="004159DF"/>
    <w:rsid w:val="004367F3"/>
    <w:rsid w:val="00454415"/>
    <w:rsid w:val="00463BE2"/>
    <w:rsid w:val="004645FA"/>
    <w:rsid w:val="00466C64"/>
    <w:rsid w:val="004A067D"/>
    <w:rsid w:val="004C1E8E"/>
    <w:rsid w:val="004D7FF2"/>
    <w:rsid w:val="0050404C"/>
    <w:rsid w:val="00511BF7"/>
    <w:rsid w:val="00547524"/>
    <w:rsid w:val="0057368E"/>
    <w:rsid w:val="005B2401"/>
    <w:rsid w:val="00601654"/>
    <w:rsid w:val="0060475C"/>
    <w:rsid w:val="0060642A"/>
    <w:rsid w:val="006144E3"/>
    <w:rsid w:val="00614E59"/>
    <w:rsid w:val="006370B7"/>
    <w:rsid w:val="006611EB"/>
    <w:rsid w:val="0066739C"/>
    <w:rsid w:val="00691FC1"/>
    <w:rsid w:val="00705D27"/>
    <w:rsid w:val="0071728D"/>
    <w:rsid w:val="007472B8"/>
    <w:rsid w:val="007D3FAB"/>
    <w:rsid w:val="00811C03"/>
    <w:rsid w:val="00856D9A"/>
    <w:rsid w:val="008A3CDA"/>
    <w:rsid w:val="008D5418"/>
    <w:rsid w:val="008E7A5B"/>
    <w:rsid w:val="008F3B18"/>
    <w:rsid w:val="008F4287"/>
    <w:rsid w:val="00912E7E"/>
    <w:rsid w:val="0094015B"/>
    <w:rsid w:val="009440B4"/>
    <w:rsid w:val="00946562"/>
    <w:rsid w:val="00962632"/>
    <w:rsid w:val="00963114"/>
    <w:rsid w:val="00995B45"/>
    <w:rsid w:val="009A04E7"/>
    <w:rsid w:val="009E2E6D"/>
    <w:rsid w:val="009E4AF3"/>
    <w:rsid w:val="009F030B"/>
    <w:rsid w:val="00A00EAD"/>
    <w:rsid w:val="00A13DD7"/>
    <w:rsid w:val="00A27E98"/>
    <w:rsid w:val="00A45931"/>
    <w:rsid w:val="00A50154"/>
    <w:rsid w:val="00A865A2"/>
    <w:rsid w:val="00AA0419"/>
    <w:rsid w:val="00AC5B96"/>
    <w:rsid w:val="00AE176E"/>
    <w:rsid w:val="00AF1521"/>
    <w:rsid w:val="00B041B3"/>
    <w:rsid w:val="00B30BE5"/>
    <w:rsid w:val="00B36B8E"/>
    <w:rsid w:val="00B8585A"/>
    <w:rsid w:val="00B91688"/>
    <w:rsid w:val="00BE5D8A"/>
    <w:rsid w:val="00C056B8"/>
    <w:rsid w:val="00C449A3"/>
    <w:rsid w:val="00C53781"/>
    <w:rsid w:val="00CD364F"/>
    <w:rsid w:val="00CE1F32"/>
    <w:rsid w:val="00D31E06"/>
    <w:rsid w:val="00D508B9"/>
    <w:rsid w:val="00D71CB2"/>
    <w:rsid w:val="00DC7779"/>
    <w:rsid w:val="00DF2CB8"/>
    <w:rsid w:val="00DF4EB4"/>
    <w:rsid w:val="00E01A6E"/>
    <w:rsid w:val="00E11A3B"/>
    <w:rsid w:val="00E22E9A"/>
    <w:rsid w:val="00E26554"/>
    <w:rsid w:val="00E552B3"/>
    <w:rsid w:val="00E91963"/>
    <w:rsid w:val="00EA7ED0"/>
    <w:rsid w:val="00EB3673"/>
    <w:rsid w:val="00ED3322"/>
    <w:rsid w:val="00F07795"/>
    <w:rsid w:val="00F17B83"/>
    <w:rsid w:val="00F20EB2"/>
    <w:rsid w:val="00F24554"/>
    <w:rsid w:val="00F57627"/>
    <w:rsid w:val="00F72281"/>
    <w:rsid w:val="00F744B5"/>
    <w:rsid w:val="00F906BB"/>
    <w:rsid w:val="00FB60BC"/>
    <w:rsid w:val="00FD1C60"/>
    <w:rsid w:val="00FD3515"/>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41B8C"/>
  <w15:chartTrackingRefBased/>
  <w15:docId w15:val="{E32BA23E-C799-499A-BB61-4F9223503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367F3"/>
    <w:pPr>
      <w:spacing w:after="120" w:line="324" w:lineRule="auto"/>
      <w:ind w:left="3402"/>
    </w:pPr>
    <w:rPr>
      <w:rFonts w:ascii="Lato Light" w:hAnsi="Lato Light"/>
      <w:sz w:val="24"/>
      <w:szCs w:val="24"/>
    </w:rPr>
  </w:style>
  <w:style w:type="paragraph" w:styleId="Nagwek1">
    <w:name w:val="heading 1"/>
    <w:basedOn w:val="Normalny"/>
    <w:next w:val="Normalny"/>
    <w:link w:val="Nagwek1Znak"/>
    <w:uiPriority w:val="9"/>
    <w:qFormat/>
    <w:rsid w:val="004367F3"/>
    <w:pPr>
      <w:spacing w:before="360" w:line="240" w:lineRule="auto"/>
      <w:outlineLvl w:val="0"/>
    </w:pPr>
    <w:rPr>
      <w:rFonts w:ascii="Lato Black" w:hAnsi="Lato Black"/>
      <w:sz w:val="36"/>
      <w:szCs w:val="36"/>
    </w:rPr>
  </w:style>
  <w:style w:type="paragraph" w:styleId="Nagwek2">
    <w:name w:val="heading 2"/>
    <w:basedOn w:val="Nagwek1"/>
    <w:next w:val="Normalny"/>
    <w:link w:val="Nagwek2Znak"/>
    <w:uiPriority w:val="9"/>
    <w:unhideWhenUsed/>
    <w:qFormat/>
    <w:rsid w:val="004367F3"/>
    <w:pPr>
      <w:outlineLvl w:val="1"/>
    </w:pPr>
    <w:rPr>
      <w:sz w:val="28"/>
      <w:szCs w:val="28"/>
    </w:rPr>
  </w:style>
  <w:style w:type="paragraph" w:styleId="Nagwek3">
    <w:name w:val="heading 3"/>
    <w:basedOn w:val="Nagwek2"/>
    <w:next w:val="Normalny"/>
    <w:link w:val="Nagwek3Znak"/>
    <w:uiPriority w:val="9"/>
    <w:unhideWhenUsed/>
    <w:qFormat/>
    <w:rsid w:val="004367F3"/>
    <w:pPr>
      <w:outlineLvl w:val="2"/>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27E9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27E98"/>
  </w:style>
  <w:style w:type="paragraph" w:styleId="Stopka">
    <w:name w:val="footer"/>
    <w:basedOn w:val="Normalny"/>
    <w:link w:val="StopkaZnak"/>
    <w:uiPriority w:val="99"/>
    <w:unhideWhenUsed/>
    <w:rsid w:val="00A27E9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27E98"/>
  </w:style>
  <w:style w:type="character" w:customStyle="1" w:styleId="Nagwek1Znak">
    <w:name w:val="Nagłówek 1 Znak"/>
    <w:basedOn w:val="Domylnaczcionkaakapitu"/>
    <w:link w:val="Nagwek1"/>
    <w:uiPriority w:val="9"/>
    <w:rsid w:val="004367F3"/>
    <w:rPr>
      <w:rFonts w:ascii="Lato Black" w:hAnsi="Lato Black"/>
      <w:sz w:val="36"/>
      <w:szCs w:val="36"/>
    </w:rPr>
  </w:style>
  <w:style w:type="character" w:customStyle="1" w:styleId="Nagwek2Znak">
    <w:name w:val="Nagłówek 2 Znak"/>
    <w:basedOn w:val="Domylnaczcionkaakapitu"/>
    <w:link w:val="Nagwek2"/>
    <w:uiPriority w:val="9"/>
    <w:rsid w:val="004367F3"/>
    <w:rPr>
      <w:rFonts w:ascii="Lato Black" w:hAnsi="Lato Black"/>
      <w:sz w:val="28"/>
      <w:szCs w:val="28"/>
    </w:rPr>
  </w:style>
  <w:style w:type="character" w:customStyle="1" w:styleId="Nagwek3Znak">
    <w:name w:val="Nagłówek 3 Znak"/>
    <w:basedOn w:val="Domylnaczcionkaakapitu"/>
    <w:link w:val="Nagwek3"/>
    <w:uiPriority w:val="9"/>
    <w:rsid w:val="004367F3"/>
    <w:rPr>
      <w:rFonts w:ascii="Lato Black" w:hAnsi="Lato Black"/>
      <w:sz w:val="24"/>
      <w:szCs w:val="24"/>
    </w:rPr>
  </w:style>
  <w:style w:type="paragraph" w:styleId="Akapitzlist">
    <w:name w:val="List Paragraph"/>
    <w:basedOn w:val="Normalny"/>
    <w:link w:val="AkapitzlistZnak"/>
    <w:uiPriority w:val="34"/>
    <w:qFormat/>
    <w:rsid w:val="008E7A5B"/>
    <w:pPr>
      <w:ind w:left="720"/>
      <w:contextualSpacing/>
    </w:pPr>
  </w:style>
  <w:style w:type="paragraph" w:customStyle="1" w:styleId="Punktory">
    <w:name w:val="Punktory"/>
    <w:basedOn w:val="Akapitzlist"/>
    <w:link w:val="PunktoryZnak"/>
    <w:qFormat/>
    <w:rsid w:val="004367F3"/>
    <w:pPr>
      <w:numPr>
        <w:numId w:val="2"/>
      </w:numPr>
      <w:ind w:left="7768" w:hanging="284"/>
    </w:pPr>
  </w:style>
  <w:style w:type="character" w:customStyle="1" w:styleId="AkapitzlistZnak">
    <w:name w:val="Akapit z listą Znak"/>
    <w:basedOn w:val="Domylnaczcionkaakapitu"/>
    <w:link w:val="Akapitzlist"/>
    <w:uiPriority w:val="34"/>
    <w:rsid w:val="008E7A5B"/>
    <w:rPr>
      <w:rFonts w:ascii="Lato Light" w:hAnsi="Lato Light"/>
      <w:color w:val="707372"/>
      <w:sz w:val="24"/>
      <w:szCs w:val="24"/>
    </w:rPr>
  </w:style>
  <w:style w:type="character" w:customStyle="1" w:styleId="PunktoryZnak">
    <w:name w:val="Punktory Znak"/>
    <w:basedOn w:val="AkapitzlistZnak"/>
    <w:link w:val="Punktory"/>
    <w:rsid w:val="004367F3"/>
    <w:rPr>
      <w:rFonts w:ascii="Lato Light" w:hAnsi="Lato Light"/>
      <w:color w:val="707372"/>
      <w:sz w:val="24"/>
      <w:szCs w:val="24"/>
    </w:rPr>
  </w:style>
  <w:style w:type="paragraph" w:customStyle="1" w:styleId="Wyliczenie">
    <w:name w:val="Wyliczenie"/>
    <w:basedOn w:val="Akapitzlist"/>
    <w:link w:val="WyliczenieZnak"/>
    <w:qFormat/>
    <w:rsid w:val="004367F3"/>
    <w:pPr>
      <w:numPr>
        <w:numId w:val="3"/>
      </w:numPr>
      <w:ind w:left="3970" w:hanging="284"/>
    </w:pPr>
  </w:style>
  <w:style w:type="character" w:customStyle="1" w:styleId="WyliczenieZnak">
    <w:name w:val="Wyliczenie Znak"/>
    <w:basedOn w:val="AkapitzlistZnak"/>
    <w:link w:val="Wyliczenie"/>
    <w:rsid w:val="004367F3"/>
    <w:rPr>
      <w:rFonts w:ascii="Lato Light" w:hAnsi="Lato Light"/>
      <w:color w:val="707372"/>
      <w:sz w:val="24"/>
      <w:szCs w:val="24"/>
    </w:rPr>
  </w:style>
  <w:style w:type="paragraph" w:styleId="Tekstprzypisudolnego">
    <w:name w:val="footnote text"/>
    <w:basedOn w:val="Normalny"/>
    <w:link w:val="TekstprzypisudolnegoZnak"/>
    <w:uiPriority w:val="99"/>
    <w:semiHidden/>
    <w:unhideWhenUsed/>
    <w:rsid w:val="001B495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B4953"/>
    <w:rPr>
      <w:rFonts w:ascii="Lato Light" w:hAnsi="Lato Light"/>
      <w:sz w:val="20"/>
      <w:szCs w:val="20"/>
    </w:rPr>
  </w:style>
  <w:style w:type="character" w:styleId="Odwoanieprzypisudolnego">
    <w:name w:val="footnote reference"/>
    <w:basedOn w:val="Domylnaczcionkaakapitu"/>
    <w:uiPriority w:val="99"/>
    <w:semiHidden/>
    <w:unhideWhenUsed/>
    <w:rsid w:val="001B4953"/>
    <w:rPr>
      <w:vertAlign w:val="superscript"/>
    </w:rPr>
  </w:style>
  <w:style w:type="character" w:styleId="Hipercze">
    <w:name w:val="Hyperlink"/>
    <w:basedOn w:val="Domylnaczcionkaakapitu"/>
    <w:uiPriority w:val="99"/>
    <w:unhideWhenUsed/>
    <w:rsid w:val="00C056B8"/>
    <w:rPr>
      <w:color w:val="0563C1" w:themeColor="hyperlink"/>
      <w:u w:val="single"/>
    </w:rPr>
  </w:style>
  <w:style w:type="paragraph" w:styleId="Poprawka">
    <w:name w:val="Revision"/>
    <w:hidden/>
    <w:uiPriority w:val="99"/>
    <w:semiHidden/>
    <w:rsid w:val="00EB3673"/>
    <w:pPr>
      <w:spacing w:after="0" w:line="240" w:lineRule="auto"/>
    </w:pPr>
    <w:rPr>
      <w:rFonts w:ascii="Lato Light" w:hAnsi="Lato Light"/>
      <w:sz w:val="24"/>
      <w:szCs w:val="24"/>
    </w:rPr>
  </w:style>
  <w:style w:type="character" w:styleId="Odwoaniedokomentarza">
    <w:name w:val="annotation reference"/>
    <w:basedOn w:val="Domylnaczcionkaakapitu"/>
    <w:uiPriority w:val="99"/>
    <w:semiHidden/>
    <w:unhideWhenUsed/>
    <w:rsid w:val="000666FE"/>
    <w:rPr>
      <w:sz w:val="16"/>
      <w:szCs w:val="16"/>
    </w:rPr>
  </w:style>
  <w:style w:type="paragraph" w:styleId="Tekstkomentarza">
    <w:name w:val="annotation text"/>
    <w:basedOn w:val="Normalny"/>
    <w:link w:val="TekstkomentarzaZnak"/>
    <w:uiPriority w:val="99"/>
    <w:unhideWhenUsed/>
    <w:rsid w:val="000666FE"/>
    <w:pPr>
      <w:spacing w:line="240" w:lineRule="auto"/>
    </w:pPr>
    <w:rPr>
      <w:sz w:val="20"/>
      <w:szCs w:val="20"/>
    </w:rPr>
  </w:style>
  <w:style w:type="character" w:customStyle="1" w:styleId="TekstkomentarzaZnak">
    <w:name w:val="Tekst komentarza Znak"/>
    <w:basedOn w:val="Domylnaczcionkaakapitu"/>
    <w:link w:val="Tekstkomentarza"/>
    <w:uiPriority w:val="99"/>
    <w:rsid w:val="000666FE"/>
    <w:rPr>
      <w:rFonts w:ascii="Lato Light" w:hAnsi="Lato Light"/>
      <w:sz w:val="20"/>
      <w:szCs w:val="20"/>
    </w:rPr>
  </w:style>
  <w:style w:type="paragraph" w:styleId="Tematkomentarza">
    <w:name w:val="annotation subject"/>
    <w:basedOn w:val="Tekstkomentarza"/>
    <w:next w:val="Tekstkomentarza"/>
    <w:link w:val="TematkomentarzaZnak"/>
    <w:uiPriority w:val="99"/>
    <w:semiHidden/>
    <w:unhideWhenUsed/>
    <w:rsid w:val="000666FE"/>
    <w:rPr>
      <w:b/>
      <w:bCs/>
    </w:rPr>
  </w:style>
  <w:style w:type="character" w:customStyle="1" w:styleId="TematkomentarzaZnak">
    <w:name w:val="Temat komentarza Znak"/>
    <w:basedOn w:val="TekstkomentarzaZnak"/>
    <w:link w:val="Tematkomentarza"/>
    <w:uiPriority w:val="99"/>
    <w:semiHidden/>
    <w:rsid w:val="000666FE"/>
    <w:rPr>
      <w:rFonts w:ascii="Lato Light" w:hAnsi="Lato Light"/>
      <w:b/>
      <w:bCs/>
      <w:sz w:val="20"/>
      <w:szCs w:val="20"/>
    </w:rPr>
  </w:style>
  <w:style w:type="character" w:customStyle="1" w:styleId="normaltextrun">
    <w:name w:val="normaltextrun"/>
    <w:basedOn w:val="Domylnaczcionkaakapitu"/>
    <w:rsid w:val="00382B88"/>
  </w:style>
  <w:style w:type="paragraph" w:styleId="Tekstdymka">
    <w:name w:val="Balloon Text"/>
    <w:basedOn w:val="Normalny"/>
    <w:link w:val="TekstdymkaZnak"/>
    <w:uiPriority w:val="99"/>
    <w:semiHidden/>
    <w:unhideWhenUsed/>
    <w:rsid w:val="00B9168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916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5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home-affairs.ec.europa.eu/regulation-establishing-eu-talent-pool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17B3DD222C31418D3675BF90B70A66" ma:contentTypeVersion="2" ma:contentTypeDescription="Create a new document." ma:contentTypeScope="" ma:versionID="7dcf00684874fc885290759391dfed64">
  <xsd:schema xmlns:xsd="http://www.w3.org/2001/XMLSchema" xmlns:xs="http://www.w3.org/2001/XMLSchema" xmlns:p="http://schemas.microsoft.com/office/2006/metadata/properties" xmlns:ns2="e587da0c-d763-46c5-a21f-ad6adb185bb2" targetNamespace="http://schemas.microsoft.com/office/2006/metadata/properties" ma:root="true" ma:fieldsID="51cc51629ed452290f82c9e2bd2e0521" ns2:_="">
    <xsd:import namespace="e587da0c-d763-46c5-a21f-ad6adb185bb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7da0c-d763-46c5-a21f-ad6adb185b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2D042D-AA86-4FA3-AAE2-9DD421789D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690BDD-8F5E-4ED1-9186-CAD701B33BC4}">
  <ds:schemaRefs>
    <ds:schemaRef ds:uri="http://schemas.microsoft.com/sharepoint/v3/contenttype/forms"/>
  </ds:schemaRefs>
</ds:datastoreItem>
</file>

<file path=customXml/itemProps3.xml><?xml version="1.0" encoding="utf-8"?>
<ds:datastoreItem xmlns:ds="http://schemas.openxmlformats.org/officeDocument/2006/customXml" ds:itemID="{BCE1A3A4-BAA6-40D8-AC44-17B94944B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87da0c-d763-46c5-a21f-ad6adb185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1449</Words>
  <Characters>8696</Characters>
  <Application>Microsoft Office Word</Application>
  <DocSecurity>0</DocSecurity>
  <Lines>72</Lines>
  <Paragraphs>20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Kancelaria Prezesa Rady Ministrów</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Nowakowski Adam</dc:creator>
  <cp:keywords/>
  <dc:description/>
  <cp:lastModifiedBy>Duszczyk Maciej</cp:lastModifiedBy>
  <cp:revision>3</cp:revision>
  <dcterms:created xsi:type="dcterms:W3CDTF">2025-01-20T19:01:00Z</dcterms:created>
  <dcterms:modified xsi:type="dcterms:W3CDTF">2025-01-20T19:09:00Z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0x0101003217B3DD222C31418D3675BF90B70A66</vt:lpwstr>
  </property>
  <property fmtid="{D5CDD505-2E9C-101B-9397-08002B2CF9AE}" pid="3" name="MSIP_Label_b1df41d6-74a9-4a97-809c-213cd32520cc_Enabled">
    <vt:lpwstr>true</vt:lpwstr>
  </property>
  <property fmtid="{D5CDD505-2E9C-101B-9397-08002B2CF9AE}" pid="4" name="MSIP_Label_b1df41d6-74a9-4a97-809c-213cd32520cc_SetDate">
    <vt:lpwstr>2025-01-10T10:25:33Z</vt:lpwstr>
  </property>
  <property fmtid="{D5CDD505-2E9C-101B-9397-08002B2CF9AE}" pid="5" name="MSIP_Label_b1df41d6-74a9-4a97-809c-213cd32520cc_Method">
    <vt:lpwstr>Standard</vt:lpwstr>
  </property>
  <property fmtid="{D5CDD505-2E9C-101B-9397-08002B2CF9AE}" pid="6" name="MSIP_Label_b1df41d6-74a9-4a97-809c-213cd32520cc_Name">
    <vt:lpwstr>GSCEU - NON PUBLIC Label</vt:lpwstr>
  </property>
  <property fmtid="{D5CDD505-2E9C-101B-9397-08002B2CF9AE}" pid="7" name="MSIP_Label_b1df41d6-74a9-4a97-809c-213cd32520cc_SiteId">
    <vt:lpwstr>03ad1c97-0a4d-4e82-8f93-27291a6a0767</vt:lpwstr>
  </property>
  <property fmtid="{D5CDD505-2E9C-101B-9397-08002B2CF9AE}" pid="8" name="MSIP_Label_b1df41d6-74a9-4a97-809c-213cd32520cc_ActionId">
    <vt:lpwstr>944107aa-d239-4e49-bef6-38f586336987</vt:lpwstr>
  </property>
  <property fmtid="{D5CDD505-2E9C-101B-9397-08002B2CF9AE}" pid="9" name="MSIP_Label_b1df41d6-74a9-4a97-809c-213cd32520cc_ContentBits">
    <vt:lpwstr>0</vt:lpwstr>
  </property>
</Properties>
</file>