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D66AC" w14:textId="27AFAD7A" w:rsidR="0013455B" w:rsidRPr="00F603BE" w:rsidRDefault="0013455B" w:rsidP="0013455B">
      <w:pPr>
        <w:spacing w:after="160" w:line="240" w:lineRule="auto"/>
        <w:ind w:left="0"/>
        <w:jc w:val="center"/>
        <w:rPr>
          <w:rFonts w:eastAsia="Calibri" w:cs="Times New Roman"/>
          <w:b/>
          <w:bCs/>
          <w:sz w:val="28"/>
          <w:szCs w:val="28"/>
          <w:lang w:val="en-US"/>
        </w:rPr>
      </w:pPr>
      <w:r w:rsidRPr="00F603BE">
        <w:rPr>
          <w:rFonts w:eastAsia="Calibri" w:cs="Times New Roman"/>
          <w:b/>
          <w:bCs/>
          <w:sz w:val="28"/>
          <w:szCs w:val="28"/>
          <w:lang w:val="en-US"/>
        </w:rPr>
        <w:t>Informal JHA Ministerial Meeting (Home Affairs)</w:t>
      </w:r>
    </w:p>
    <w:p w14:paraId="66A8B6B7" w14:textId="6A2CBE5A" w:rsidR="0013455B" w:rsidRPr="00F603BE" w:rsidRDefault="0013455B" w:rsidP="0013455B">
      <w:pPr>
        <w:spacing w:after="160" w:line="240" w:lineRule="auto"/>
        <w:ind w:left="0"/>
        <w:jc w:val="center"/>
        <w:rPr>
          <w:rFonts w:eastAsia="Calibri" w:cs="Times New Roman"/>
          <w:b/>
          <w:bCs/>
          <w:sz w:val="28"/>
          <w:szCs w:val="28"/>
          <w:lang w:val="en-US"/>
        </w:rPr>
      </w:pPr>
      <w:r w:rsidRPr="00F603BE">
        <w:rPr>
          <w:rFonts w:eastAsia="Calibri" w:cs="Times New Roman"/>
          <w:b/>
          <w:bCs/>
          <w:sz w:val="28"/>
          <w:szCs w:val="28"/>
          <w:lang w:val="en-US"/>
        </w:rPr>
        <w:t>30 January 2025, Warsaw</w:t>
      </w:r>
    </w:p>
    <w:p w14:paraId="71766956" w14:textId="77777777" w:rsidR="0013455B" w:rsidRPr="00DC2C81" w:rsidRDefault="0013455B" w:rsidP="0013455B">
      <w:pPr>
        <w:spacing w:after="160" w:line="240" w:lineRule="auto"/>
        <w:ind w:left="0"/>
        <w:jc w:val="center"/>
        <w:rPr>
          <w:rFonts w:ascii="Times New Roman" w:eastAsia="Calibri" w:hAnsi="Times New Roman" w:cs="Times New Roman"/>
          <w:b/>
          <w:bCs/>
          <w:sz w:val="32"/>
          <w:szCs w:val="32"/>
          <w:lang w:val="en-US"/>
        </w:rPr>
      </w:pPr>
    </w:p>
    <w:p w14:paraId="020B38B2" w14:textId="12B3F3BE" w:rsidR="008E7A5B" w:rsidRPr="00F603BE" w:rsidRDefault="0013455B" w:rsidP="00F603BE">
      <w:pPr>
        <w:spacing w:after="160" w:line="240" w:lineRule="auto"/>
        <w:ind w:left="2832"/>
        <w:rPr>
          <w:b/>
          <w:sz w:val="28"/>
          <w:szCs w:val="28"/>
          <w:lang w:val="en-US"/>
        </w:rPr>
      </w:pPr>
      <w:r w:rsidRPr="00F603BE">
        <w:rPr>
          <w:rFonts w:eastAsia="Calibri" w:cs="Times New Roman"/>
          <w:b/>
          <w:bCs/>
          <w:sz w:val="28"/>
          <w:szCs w:val="28"/>
          <w:lang w:val="en-US"/>
        </w:rPr>
        <w:t>Working lunch – Discussion paper:</w:t>
      </w:r>
      <w:r w:rsidR="00F603BE" w:rsidRPr="00F603BE">
        <w:rPr>
          <w:rFonts w:eastAsia="Calibri" w:cs="Times New Roman"/>
          <w:b/>
          <w:bCs/>
          <w:sz w:val="28"/>
          <w:szCs w:val="28"/>
          <w:lang w:val="en-US"/>
        </w:rPr>
        <w:t xml:space="preserve"> </w:t>
      </w:r>
      <w:r w:rsidR="00367CF2" w:rsidRPr="00F603BE">
        <w:rPr>
          <w:b/>
          <w:sz w:val="28"/>
          <w:szCs w:val="28"/>
          <w:lang w:val="en-US"/>
        </w:rPr>
        <w:t>Strengthening</w:t>
      </w:r>
      <w:r w:rsidR="00F603BE">
        <w:rPr>
          <w:b/>
          <w:sz w:val="28"/>
          <w:lang w:val="en-US"/>
        </w:rPr>
        <w:t xml:space="preserve"> </w:t>
      </w:r>
      <w:r w:rsidR="00367CF2" w:rsidRPr="00367CF2">
        <w:rPr>
          <w:b/>
          <w:sz w:val="28"/>
          <w:lang w:val="en-US"/>
        </w:rPr>
        <w:t>Europe’s Civil a</w:t>
      </w:r>
      <w:r w:rsidR="00F603BE">
        <w:rPr>
          <w:b/>
          <w:sz w:val="28"/>
          <w:lang w:val="en-US"/>
        </w:rPr>
        <w:t xml:space="preserve">nd Military Preparedness’ – the </w:t>
      </w:r>
      <w:r w:rsidR="00367CF2" w:rsidRPr="00367CF2">
        <w:rPr>
          <w:b/>
          <w:sz w:val="28"/>
          <w:lang w:val="en-US"/>
        </w:rPr>
        <w:t>contribution of the Home Affairs sector to building preparedness</w:t>
      </w:r>
    </w:p>
    <w:p w14:paraId="038AB67F" w14:textId="77777777" w:rsidR="0060475C" w:rsidRPr="00367CF2" w:rsidRDefault="0060475C" w:rsidP="0060475C">
      <w:pPr>
        <w:rPr>
          <w:lang w:val="en-GB"/>
        </w:rPr>
      </w:pPr>
    </w:p>
    <w:p w14:paraId="7B87D198" w14:textId="4994EC9A" w:rsidR="00367CF2" w:rsidRPr="00367CF2" w:rsidRDefault="00367CF2" w:rsidP="00367CF2">
      <w:pPr>
        <w:jc w:val="both"/>
        <w:rPr>
          <w:lang w:val="en-GB"/>
        </w:rPr>
      </w:pPr>
      <w:r w:rsidRPr="00367CF2">
        <w:rPr>
          <w:lang w:val="en-GB"/>
        </w:rPr>
        <w:t>The issue</w:t>
      </w:r>
      <w:r w:rsidR="005E23DA">
        <w:rPr>
          <w:lang w:val="en-GB"/>
        </w:rPr>
        <w:t>s</w:t>
      </w:r>
      <w:r w:rsidRPr="00367CF2">
        <w:rPr>
          <w:lang w:val="en-GB"/>
        </w:rPr>
        <w:t xml:space="preserve"> of security in its broadest sense</w:t>
      </w:r>
      <w:r w:rsidR="005E23DA">
        <w:rPr>
          <w:lang w:val="en-GB"/>
        </w:rPr>
        <w:t xml:space="preserve"> and preparedness</w:t>
      </w:r>
      <w:r w:rsidRPr="00367CF2">
        <w:rPr>
          <w:lang w:val="en-GB"/>
        </w:rPr>
        <w:t xml:space="preserve"> ha</w:t>
      </w:r>
      <w:r w:rsidR="005E23DA">
        <w:rPr>
          <w:lang w:val="en-GB"/>
        </w:rPr>
        <w:t>ve</w:t>
      </w:r>
      <w:r w:rsidRPr="00367CF2">
        <w:rPr>
          <w:lang w:val="en-GB"/>
        </w:rPr>
        <w:t xml:space="preserve"> become a</w:t>
      </w:r>
      <w:r>
        <w:rPr>
          <w:lang w:val="en-GB"/>
        </w:rPr>
        <w:t> </w:t>
      </w:r>
      <w:r w:rsidRPr="00367CF2">
        <w:rPr>
          <w:lang w:val="en-GB"/>
        </w:rPr>
        <w:t xml:space="preserve">priority for the European Union. </w:t>
      </w:r>
      <w:r w:rsidR="00742C38">
        <w:rPr>
          <w:lang w:val="en-GB"/>
        </w:rPr>
        <w:t>Firstly</w:t>
      </w:r>
      <w:r w:rsidRPr="00367CF2">
        <w:rPr>
          <w:lang w:val="en-GB"/>
        </w:rPr>
        <w:t xml:space="preserve">, we are facing threats stemming from the aggressive policies of certain governments and political instability of entire regions of the world, and </w:t>
      </w:r>
      <w:r w:rsidR="00742C38">
        <w:rPr>
          <w:lang w:val="en-GB"/>
        </w:rPr>
        <w:t>secondly</w:t>
      </w:r>
      <w:r w:rsidRPr="00367CF2">
        <w:rPr>
          <w:lang w:val="en-GB"/>
        </w:rPr>
        <w:t xml:space="preserve">, challenges arising from the consequences of climate change. The foresight scenarios indicate that these threats and challenges will not disappear soon. They become more and more complex and simultaneously affect many layers, </w:t>
      </w:r>
      <w:r w:rsidR="00742C38">
        <w:rPr>
          <w:lang w:val="en-GB"/>
        </w:rPr>
        <w:t>calling for</w:t>
      </w:r>
      <w:r w:rsidRPr="00367CF2">
        <w:rPr>
          <w:lang w:val="en-GB"/>
        </w:rPr>
        <w:t xml:space="preserve"> national and European response </w:t>
      </w:r>
      <w:r w:rsidR="00742C38">
        <w:rPr>
          <w:lang w:val="en-GB"/>
        </w:rPr>
        <w:t xml:space="preserve">that </w:t>
      </w:r>
      <w:r w:rsidRPr="00367CF2">
        <w:rPr>
          <w:lang w:val="en-GB"/>
        </w:rPr>
        <w:t xml:space="preserve">needs to be adapted accordingly. </w:t>
      </w:r>
      <w:r w:rsidR="00742C38">
        <w:rPr>
          <w:lang w:val="en-GB"/>
        </w:rPr>
        <w:t>O</w:t>
      </w:r>
      <w:r w:rsidRPr="00367CF2">
        <w:rPr>
          <w:lang w:val="en-GB"/>
        </w:rPr>
        <w:t>ne has to agree with the main conclusion/recommendation of the report, prepared</w:t>
      </w:r>
      <w:r w:rsidR="00742C38">
        <w:rPr>
          <w:lang w:val="en-GB"/>
        </w:rPr>
        <w:t>,</w:t>
      </w:r>
      <w:r w:rsidRPr="00367CF2">
        <w:rPr>
          <w:lang w:val="en-GB"/>
        </w:rPr>
        <w:t xml:space="preserve"> at the request of the President of the European </w:t>
      </w:r>
      <w:r w:rsidR="00AC553A">
        <w:rPr>
          <w:lang w:val="en-GB"/>
        </w:rPr>
        <w:t xml:space="preserve">Commission Ursula von der </w:t>
      </w:r>
      <w:proofErr w:type="spellStart"/>
      <w:r w:rsidR="00AC553A">
        <w:rPr>
          <w:lang w:val="en-GB"/>
        </w:rPr>
        <w:t>Leyen</w:t>
      </w:r>
      <w:proofErr w:type="spellEnd"/>
      <w:r w:rsidR="00742C38">
        <w:rPr>
          <w:lang w:val="en-GB"/>
        </w:rPr>
        <w:t>,</w:t>
      </w:r>
      <w:r w:rsidRPr="00367CF2">
        <w:rPr>
          <w:lang w:val="en-GB"/>
        </w:rPr>
        <w:t xml:space="preserve"> by the former Finnish President </w:t>
      </w:r>
      <w:proofErr w:type="spellStart"/>
      <w:r w:rsidRPr="00367CF2">
        <w:rPr>
          <w:lang w:val="en-GB"/>
        </w:rPr>
        <w:t>Sauli</w:t>
      </w:r>
      <w:proofErr w:type="spellEnd"/>
      <w:r w:rsidRPr="00367CF2">
        <w:rPr>
          <w:lang w:val="en-GB"/>
        </w:rPr>
        <w:t xml:space="preserve"> </w:t>
      </w:r>
      <w:proofErr w:type="spellStart"/>
      <w:r w:rsidR="007A54CD" w:rsidRPr="00367CF2">
        <w:rPr>
          <w:lang w:val="en-GB"/>
        </w:rPr>
        <w:t>Niinistö</w:t>
      </w:r>
      <w:proofErr w:type="spellEnd"/>
      <w:r w:rsidRPr="00367CF2">
        <w:rPr>
          <w:lang w:val="en-GB"/>
        </w:rPr>
        <w:t>, that an adequate level of resilience in the European Union can only be achieved through actions taken in parallel by all actors involved. This requires promoting a new way of thinking, in which security is fundamental to ensuring the development and competitiveness of the European Union.</w:t>
      </w:r>
      <w:r w:rsidR="00D94CD4">
        <w:rPr>
          <w:lang w:val="en-GB"/>
        </w:rPr>
        <w:t xml:space="preserve"> It will also be important in that respect that the White Paper on the Future of European Defence, the </w:t>
      </w:r>
      <w:r w:rsidR="00D94CD4" w:rsidRPr="00407D17">
        <w:rPr>
          <w:lang w:val="en-GB"/>
        </w:rPr>
        <w:t>Internal Security Strategy and the Preparedness Union Strategy</w:t>
      </w:r>
      <w:r w:rsidR="00D94CD4">
        <w:rPr>
          <w:lang w:val="en-GB"/>
        </w:rPr>
        <w:t xml:space="preserve">, all three initiatives to be </w:t>
      </w:r>
      <w:r w:rsidR="00D94CD4">
        <w:rPr>
          <w:lang w:val="en-GB"/>
        </w:rPr>
        <w:lastRenderedPageBreak/>
        <w:t xml:space="preserve">adopted by the Commission in 2025, are </w:t>
      </w:r>
      <w:r w:rsidR="00D94CD4" w:rsidRPr="00407D17">
        <w:rPr>
          <w:lang w:val="en-GB"/>
        </w:rPr>
        <w:t>complementary</w:t>
      </w:r>
      <w:r w:rsidR="00D94CD4">
        <w:rPr>
          <w:lang w:val="en-GB"/>
        </w:rPr>
        <w:t xml:space="preserve"> and</w:t>
      </w:r>
      <w:r w:rsidR="00D94CD4" w:rsidRPr="00407D17">
        <w:rPr>
          <w:lang w:val="en-GB"/>
        </w:rPr>
        <w:t xml:space="preserve"> the interlinks between them</w:t>
      </w:r>
      <w:r w:rsidR="0091168B">
        <w:rPr>
          <w:lang w:val="en-GB"/>
        </w:rPr>
        <w:t xml:space="preserve"> are set.</w:t>
      </w:r>
    </w:p>
    <w:p w14:paraId="2480B28A" w14:textId="5DC50EBB" w:rsidR="00367CF2" w:rsidRPr="00367CF2" w:rsidRDefault="00367CF2" w:rsidP="00367CF2">
      <w:pPr>
        <w:jc w:val="both"/>
        <w:rPr>
          <w:lang w:val="en-GB"/>
        </w:rPr>
      </w:pPr>
      <w:r w:rsidRPr="00367CF2">
        <w:rPr>
          <w:lang w:val="en-GB"/>
        </w:rPr>
        <w:t>The perception of</w:t>
      </w:r>
      <w:r w:rsidR="000A0EEF">
        <w:rPr>
          <w:lang w:val="en-GB"/>
        </w:rPr>
        <w:t xml:space="preserve"> risks and threats related to our broad</w:t>
      </w:r>
      <w:r w:rsidRPr="00367CF2">
        <w:rPr>
          <w:lang w:val="en-GB"/>
        </w:rPr>
        <w:t xml:space="preserve"> security challenges, and therefore of the ways we respond</w:t>
      </w:r>
      <w:r w:rsidR="00D94CD4">
        <w:rPr>
          <w:lang w:val="en-GB"/>
        </w:rPr>
        <w:t xml:space="preserve"> to them, has a </w:t>
      </w:r>
      <w:r w:rsidR="00D94CD4" w:rsidRPr="00F603BE">
        <w:rPr>
          <w:i/>
          <w:iCs/>
          <w:lang w:val="en-GB"/>
        </w:rPr>
        <w:t>regional</w:t>
      </w:r>
      <w:r w:rsidR="00D94CD4">
        <w:rPr>
          <w:lang w:val="en-GB"/>
        </w:rPr>
        <w:t xml:space="preserve"> dimension</w:t>
      </w:r>
      <w:r w:rsidRPr="00367CF2">
        <w:rPr>
          <w:lang w:val="en-GB"/>
        </w:rPr>
        <w:t>. This is due to both the geographical location and climate conditions. For example, we face earthquakes in some areas, while in others fires or floods are much more frequent than average. The same is also true for</w:t>
      </w:r>
      <w:r w:rsidR="00D94CD4">
        <w:rPr>
          <w:lang w:val="en-GB"/>
        </w:rPr>
        <w:t xml:space="preserve"> the</w:t>
      </w:r>
      <w:r w:rsidRPr="00367CF2">
        <w:rPr>
          <w:lang w:val="en-GB"/>
        </w:rPr>
        <w:t xml:space="preserve"> </w:t>
      </w:r>
      <w:r w:rsidRPr="00F603BE">
        <w:rPr>
          <w:i/>
          <w:iCs/>
          <w:lang w:val="en-GB"/>
        </w:rPr>
        <w:t>external</w:t>
      </w:r>
      <w:r w:rsidRPr="00367CF2">
        <w:rPr>
          <w:lang w:val="en-GB"/>
        </w:rPr>
        <w:t xml:space="preserve"> dimension, especially in the context of borders with third countries or </w:t>
      </w:r>
      <w:r w:rsidR="00742C38">
        <w:rPr>
          <w:lang w:val="en-GB"/>
        </w:rPr>
        <w:t>in</w:t>
      </w:r>
      <w:r w:rsidR="00A31A37">
        <w:rPr>
          <w:lang w:val="en-GB"/>
        </w:rPr>
        <w:t xml:space="preserve"> </w:t>
      </w:r>
      <w:r w:rsidRPr="00367CF2">
        <w:rPr>
          <w:lang w:val="en-GB"/>
        </w:rPr>
        <w:t xml:space="preserve">proximity to </w:t>
      </w:r>
      <w:r w:rsidR="00742C38">
        <w:rPr>
          <w:lang w:val="en-GB"/>
        </w:rPr>
        <w:t xml:space="preserve">politically instable </w:t>
      </w:r>
      <w:r w:rsidRPr="00367CF2">
        <w:rPr>
          <w:lang w:val="en-GB"/>
        </w:rPr>
        <w:t xml:space="preserve">regions. </w:t>
      </w:r>
      <w:r w:rsidR="00F630D8" w:rsidRPr="00367CF2">
        <w:rPr>
          <w:lang w:val="en-GB"/>
        </w:rPr>
        <w:t>At the same time</w:t>
      </w:r>
      <w:r w:rsidR="00742C38">
        <w:rPr>
          <w:lang w:val="en-GB"/>
        </w:rPr>
        <w:t>,</w:t>
      </w:r>
      <w:r w:rsidR="00F630D8" w:rsidRPr="00367CF2">
        <w:rPr>
          <w:lang w:val="en-GB"/>
        </w:rPr>
        <w:t xml:space="preserve"> </w:t>
      </w:r>
      <w:r w:rsidR="00F630D8">
        <w:rPr>
          <w:lang w:val="en-GB"/>
        </w:rPr>
        <w:t xml:space="preserve">most of these </w:t>
      </w:r>
      <w:r w:rsidR="00F630D8" w:rsidRPr="00367CF2">
        <w:rPr>
          <w:lang w:val="en-GB"/>
        </w:rPr>
        <w:t xml:space="preserve">threats </w:t>
      </w:r>
      <w:r w:rsidR="00F630D8">
        <w:rPr>
          <w:lang w:val="en-GB"/>
        </w:rPr>
        <w:t>are of strategic i</w:t>
      </w:r>
      <w:r w:rsidR="00AC553A">
        <w:rPr>
          <w:lang w:val="en-GB"/>
        </w:rPr>
        <w:t>mportance for the EU as a whole</w:t>
      </w:r>
      <w:r w:rsidR="00F630D8">
        <w:rPr>
          <w:lang w:val="en-GB"/>
        </w:rPr>
        <w:t xml:space="preserve"> or are of </w:t>
      </w:r>
      <w:r w:rsidR="00F630D8" w:rsidRPr="00367CF2">
        <w:rPr>
          <w:lang w:val="en-GB"/>
        </w:rPr>
        <w:t xml:space="preserve">global nature (e.g. the actions of Russia). </w:t>
      </w:r>
      <w:r w:rsidRPr="00367CF2">
        <w:rPr>
          <w:lang w:val="en-GB"/>
        </w:rPr>
        <w:t xml:space="preserve">A key value of the European Union is solidarity between Member States in the face of challenges </w:t>
      </w:r>
      <w:r w:rsidR="008A6DB3">
        <w:rPr>
          <w:lang w:val="en-GB"/>
        </w:rPr>
        <w:t>or threats of various types. While Member States are the first responders, the EU</w:t>
      </w:r>
      <w:r w:rsidRPr="00367CF2">
        <w:rPr>
          <w:lang w:val="en-GB"/>
        </w:rPr>
        <w:t xml:space="preserve"> provides a unique</w:t>
      </w:r>
      <w:r w:rsidR="000A0EEF">
        <w:rPr>
          <w:lang w:val="en-GB"/>
        </w:rPr>
        <w:t xml:space="preserve"> opportunity</w:t>
      </w:r>
      <w:r w:rsidR="008A6DB3">
        <w:rPr>
          <w:lang w:val="en-GB"/>
        </w:rPr>
        <w:t xml:space="preserve"> in the world </w:t>
      </w:r>
      <w:r w:rsidRPr="00367CF2">
        <w:rPr>
          <w:lang w:val="en-GB"/>
        </w:rPr>
        <w:t xml:space="preserve">to coordinate action and provide mutual support. Instruments such as the EU Civil Protection Mechanism or the Solidarity Fund make it possible to provide effective and much needed assistance to victims of the catastrophic aftermath of natural disasters. However, given the current challenges, this is clearly not enough. If the European Union is to be better prepared </w:t>
      </w:r>
      <w:r w:rsidR="000A0EEF">
        <w:rPr>
          <w:lang w:val="en-GB"/>
        </w:rPr>
        <w:t>an</w:t>
      </w:r>
      <w:r w:rsidR="000B3C19">
        <w:rPr>
          <w:lang w:val="en-GB"/>
        </w:rPr>
        <w:t>d</w:t>
      </w:r>
      <w:r w:rsidR="000A0EEF">
        <w:rPr>
          <w:lang w:val="en-GB"/>
        </w:rPr>
        <w:t xml:space="preserve"> become more resilient to</w:t>
      </w:r>
      <w:r w:rsidR="007A54CD">
        <w:rPr>
          <w:lang w:val="en-GB"/>
        </w:rPr>
        <w:t xml:space="preserve"> all</w:t>
      </w:r>
      <w:r w:rsidRPr="00367CF2">
        <w:rPr>
          <w:lang w:val="en-GB"/>
        </w:rPr>
        <w:t xml:space="preserve"> </w:t>
      </w:r>
      <w:r w:rsidR="000A0EEF">
        <w:rPr>
          <w:lang w:val="en-GB"/>
        </w:rPr>
        <w:t>risks and threats</w:t>
      </w:r>
      <w:r w:rsidRPr="00367CF2">
        <w:rPr>
          <w:lang w:val="en-GB"/>
        </w:rPr>
        <w:t>, an additional effort is needed in the field of civil protection</w:t>
      </w:r>
      <w:r w:rsidR="00A31A37">
        <w:rPr>
          <w:lang w:val="en-GB"/>
        </w:rPr>
        <w:t>, security and defence</w:t>
      </w:r>
      <w:r w:rsidRPr="00367CF2">
        <w:rPr>
          <w:lang w:val="en-GB"/>
        </w:rPr>
        <w:t xml:space="preserve"> before, during and after an emergency</w:t>
      </w:r>
      <w:r w:rsidR="00616931">
        <w:rPr>
          <w:lang w:val="en-GB"/>
        </w:rPr>
        <w:t>.</w:t>
      </w:r>
      <w:r w:rsidRPr="00367CF2">
        <w:rPr>
          <w:lang w:val="en-GB"/>
        </w:rPr>
        <w:t xml:space="preserve"> </w:t>
      </w:r>
    </w:p>
    <w:p w14:paraId="784E2C46" w14:textId="5A7A1941" w:rsidR="00367CF2" w:rsidRPr="00367CF2" w:rsidRDefault="00367CF2" w:rsidP="00367CF2">
      <w:pPr>
        <w:jc w:val="both"/>
        <w:rPr>
          <w:lang w:val="en-GB"/>
        </w:rPr>
      </w:pPr>
      <w:r w:rsidRPr="00367CF2">
        <w:rPr>
          <w:lang w:val="en-GB"/>
        </w:rPr>
        <w:t xml:space="preserve">Ensuring support for the implementation of programmes and projects strengthening security and resilience in the areas identified by the Member States (which are also mentioned in the </w:t>
      </w:r>
      <w:r w:rsidR="00F603BE">
        <w:rPr>
          <w:lang w:val="en-GB"/>
        </w:rPr>
        <w:t xml:space="preserve">President </w:t>
      </w:r>
      <w:bookmarkStart w:id="0" w:name="_GoBack"/>
      <w:bookmarkEnd w:id="0"/>
      <w:proofErr w:type="spellStart"/>
      <w:r w:rsidR="007A54CD" w:rsidRPr="00367CF2">
        <w:rPr>
          <w:lang w:val="en-GB"/>
        </w:rPr>
        <w:t>Niinistö</w:t>
      </w:r>
      <w:proofErr w:type="spellEnd"/>
      <w:r w:rsidRPr="00367CF2">
        <w:rPr>
          <w:lang w:val="en-GB"/>
        </w:rPr>
        <w:t xml:space="preserve"> Report</w:t>
      </w:r>
      <w:r w:rsidR="008A6DB3">
        <w:rPr>
          <w:lang w:val="en-GB"/>
        </w:rPr>
        <w:t>) is vital to the success of a</w:t>
      </w:r>
      <w:r w:rsidRPr="00367CF2">
        <w:rPr>
          <w:lang w:val="en-GB"/>
        </w:rPr>
        <w:t xml:space="preserve"> new European approach to civil protection. It is therefore important to discuss how Cohesion Policy can address these </w:t>
      </w:r>
      <w:r w:rsidRPr="00367CF2">
        <w:rPr>
          <w:lang w:val="en-GB"/>
        </w:rPr>
        <w:lastRenderedPageBreak/>
        <w:t>needs</w:t>
      </w:r>
      <w:r w:rsidR="008A6DB3">
        <w:rPr>
          <w:lang w:val="en-GB"/>
        </w:rPr>
        <w:t xml:space="preserve"> further</w:t>
      </w:r>
      <w:r w:rsidRPr="00367CF2">
        <w:rPr>
          <w:lang w:val="en-GB"/>
        </w:rPr>
        <w:t xml:space="preserve"> or whether a dedicated European fund for civil protection would be needed (e.g. modelled after the European Defence Fund, which is a good example of a</w:t>
      </w:r>
      <w:r>
        <w:rPr>
          <w:lang w:val="en-GB"/>
        </w:rPr>
        <w:t> </w:t>
      </w:r>
      <w:r w:rsidRPr="00367CF2">
        <w:rPr>
          <w:lang w:val="en-GB"/>
        </w:rPr>
        <w:t>Community programming approach to strengthening the European Union in a military context).</w:t>
      </w:r>
    </w:p>
    <w:p w14:paraId="6A0578F5" w14:textId="566BA4DD" w:rsidR="00367CF2" w:rsidRPr="00367CF2" w:rsidRDefault="00367CF2" w:rsidP="00367CF2">
      <w:pPr>
        <w:jc w:val="both"/>
        <w:rPr>
          <w:lang w:val="en-GB"/>
        </w:rPr>
      </w:pPr>
      <w:r w:rsidRPr="00367CF2">
        <w:rPr>
          <w:lang w:val="en-GB"/>
        </w:rPr>
        <w:t xml:space="preserve">A key issue to be discussed is social resilience, i.e. the importance of citizens and civil society organisations. Even the </w:t>
      </w:r>
      <w:r w:rsidR="00541161">
        <w:rPr>
          <w:lang w:val="en-GB"/>
        </w:rPr>
        <w:t>best</w:t>
      </w:r>
      <w:r w:rsidRPr="00367CF2">
        <w:rPr>
          <w:lang w:val="en-GB"/>
        </w:rPr>
        <w:t xml:space="preserve">-functioning state will </w:t>
      </w:r>
      <w:r w:rsidR="00541161">
        <w:rPr>
          <w:lang w:val="en-GB"/>
        </w:rPr>
        <w:t xml:space="preserve">fail to </w:t>
      </w:r>
      <w:r w:rsidRPr="00367CF2">
        <w:rPr>
          <w:lang w:val="en-GB"/>
        </w:rPr>
        <w:t>effective</w:t>
      </w:r>
      <w:r w:rsidR="00541161">
        <w:rPr>
          <w:lang w:val="en-GB"/>
        </w:rPr>
        <w:t>ly</w:t>
      </w:r>
      <w:r w:rsidRPr="00367CF2">
        <w:rPr>
          <w:lang w:val="en-GB"/>
        </w:rPr>
        <w:t xml:space="preserve"> respond to </w:t>
      </w:r>
      <w:r w:rsidR="000F7232">
        <w:rPr>
          <w:lang w:val="en-GB"/>
        </w:rPr>
        <w:t xml:space="preserve">all security </w:t>
      </w:r>
      <w:r w:rsidRPr="00367CF2">
        <w:rPr>
          <w:lang w:val="en-GB"/>
        </w:rPr>
        <w:t xml:space="preserve">challenges if its population is </w:t>
      </w:r>
      <w:r w:rsidR="00541161">
        <w:rPr>
          <w:lang w:val="en-GB"/>
        </w:rPr>
        <w:t>un</w:t>
      </w:r>
      <w:r w:rsidRPr="00367CF2">
        <w:rPr>
          <w:lang w:val="en-GB"/>
        </w:rPr>
        <w:t>aware of the</w:t>
      </w:r>
      <w:r w:rsidR="000F7232">
        <w:rPr>
          <w:lang w:val="en-GB"/>
        </w:rPr>
        <w:t>m</w:t>
      </w:r>
      <w:r w:rsidRPr="00367CF2">
        <w:rPr>
          <w:lang w:val="en-GB"/>
        </w:rPr>
        <w:t xml:space="preserve"> and </w:t>
      </w:r>
      <w:r w:rsidR="00541161">
        <w:rPr>
          <w:lang w:val="en-GB"/>
        </w:rPr>
        <w:t xml:space="preserve">of the </w:t>
      </w:r>
      <w:r w:rsidR="00AC553A">
        <w:rPr>
          <w:lang w:val="en-GB"/>
        </w:rPr>
        <w:t>appropriate behaviour</w:t>
      </w:r>
      <w:r w:rsidR="00541161">
        <w:rPr>
          <w:lang w:val="en-GB"/>
        </w:rPr>
        <w:t>,</w:t>
      </w:r>
      <w:r w:rsidRPr="00367CF2">
        <w:rPr>
          <w:lang w:val="en-GB"/>
        </w:rPr>
        <w:t xml:space="preserve"> and civil society organisations are not integrated into the overall civil protection and civil defence system, including at the stage of developing national strategic documents. It is therefore necessary </w:t>
      </w:r>
      <w:bookmarkStart w:id="1" w:name="_Hlk187415974"/>
      <w:r w:rsidRPr="00367CF2">
        <w:rPr>
          <w:lang w:val="en-GB"/>
        </w:rPr>
        <w:t>to make citizens aware of the risks</w:t>
      </w:r>
      <w:r w:rsidR="000F7232">
        <w:rPr>
          <w:lang w:val="en-GB"/>
        </w:rPr>
        <w:t xml:space="preserve"> and threats</w:t>
      </w:r>
      <w:r w:rsidRPr="00367CF2">
        <w:rPr>
          <w:lang w:val="en-GB"/>
        </w:rPr>
        <w:t xml:space="preserve"> that may occur and to make preparation both at the individual level and of group action</w:t>
      </w:r>
      <w:bookmarkEnd w:id="1"/>
      <w:r w:rsidRPr="00367CF2">
        <w:rPr>
          <w:lang w:val="en-GB"/>
        </w:rPr>
        <w:t>, including through civil society organisations</w:t>
      </w:r>
      <w:r w:rsidR="007A54CD">
        <w:rPr>
          <w:lang w:val="en-GB"/>
        </w:rPr>
        <w:t xml:space="preserve"> and private sector</w:t>
      </w:r>
      <w:r w:rsidRPr="00367CF2">
        <w:rPr>
          <w:lang w:val="en-GB"/>
        </w:rPr>
        <w:t xml:space="preserve">, for when they occur. A kind of </w:t>
      </w:r>
      <w:r w:rsidR="00541161">
        <w:rPr>
          <w:lang w:val="en-GB"/>
        </w:rPr>
        <w:t>‘</w:t>
      </w:r>
      <w:r w:rsidRPr="00367CF2">
        <w:rPr>
          <w:lang w:val="en-GB"/>
        </w:rPr>
        <w:t>culture of risk awareness and proper response</w:t>
      </w:r>
      <w:r w:rsidR="00541161">
        <w:rPr>
          <w:lang w:val="en-GB"/>
        </w:rPr>
        <w:t>’</w:t>
      </w:r>
      <w:r w:rsidRPr="00367CF2">
        <w:rPr>
          <w:lang w:val="en-GB"/>
        </w:rPr>
        <w:t xml:space="preserve"> has to emerge. However, this requires additional activity on the part of the state through the provision of concrete and transparent information, as well as equipping social organisations with the means and tools necessary to deal with the give</w:t>
      </w:r>
      <w:r w:rsidR="008A6DB3">
        <w:rPr>
          <w:lang w:val="en-GB"/>
        </w:rPr>
        <w:t>n situation. It is also worth</w:t>
      </w:r>
      <w:r w:rsidRPr="00367CF2">
        <w:rPr>
          <w:lang w:val="en-GB"/>
        </w:rPr>
        <w:t xml:space="preserve"> consider</w:t>
      </w:r>
      <w:r w:rsidR="008A6DB3">
        <w:rPr>
          <w:lang w:val="en-GB"/>
        </w:rPr>
        <w:t>ing</w:t>
      </w:r>
      <w:r w:rsidRPr="00367CF2">
        <w:rPr>
          <w:lang w:val="en-GB"/>
        </w:rPr>
        <w:t xml:space="preserve"> a unification of </w:t>
      </w:r>
      <w:r w:rsidR="008A6DB3">
        <w:rPr>
          <w:lang w:val="en-GB"/>
        </w:rPr>
        <w:t>emergency signals (sirens) at</w:t>
      </w:r>
      <w:r w:rsidRPr="00367CF2">
        <w:rPr>
          <w:lang w:val="en-GB"/>
        </w:rPr>
        <w:t xml:space="preserve"> the EU level (along the lines of the European emergency number 112) and, subsequently, other elements of the alert and crisis communication system, taking advantage of new technologies.</w:t>
      </w:r>
      <w:r w:rsidR="008A6DB3">
        <w:rPr>
          <w:lang w:val="en-GB"/>
        </w:rPr>
        <w:t xml:space="preserve"> In the IPCR context, the Horizon Scanning Network and the Crisis Communication Network can provide useful fora to this end.</w:t>
      </w:r>
    </w:p>
    <w:p w14:paraId="6EFE2ED6" w14:textId="7D45DF16" w:rsidR="00367CF2" w:rsidRPr="00367CF2" w:rsidRDefault="00367CF2" w:rsidP="00367CF2">
      <w:pPr>
        <w:jc w:val="both"/>
        <w:rPr>
          <w:lang w:val="en-GB"/>
        </w:rPr>
      </w:pPr>
      <w:r w:rsidRPr="00367CF2">
        <w:rPr>
          <w:lang w:val="en-GB"/>
        </w:rPr>
        <w:t xml:space="preserve">Tackling threats is not possible without well-functioning institutions at different levels. Coordination and better </w:t>
      </w:r>
      <w:r w:rsidRPr="00367CF2">
        <w:rPr>
          <w:lang w:val="en-GB"/>
        </w:rPr>
        <w:lastRenderedPageBreak/>
        <w:t xml:space="preserve">situational awareness, both at national and EU level, are therefore crucial. The </w:t>
      </w:r>
      <w:proofErr w:type="spellStart"/>
      <w:r w:rsidR="005A57B7" w:rsidRPr="00367CF2">
        <w:rPr>
          <w:lang w:val="en-GB"/>
        </w:rPr>
        <w:t>Niinistö</w:t>
      </w:r>
      <w:proofErr w:type="spellEnd"/>
      <w:r w:rsidRPr="00367CF2">
        <w:rPr>
          <w:lang w:val="en-GB"/>
        </w:rPr>
        <w:t xml:space="preserve"> Report suggested that the current Emergency Response Coordination Centre should be </w:t>
      </w:r>
      <w:r w:rsidR="000F7232">
        <w:rPr>
          <w:lang w:val="en-GB"/>
        </w:rPr>
        <w:t>further strengthened as the</w:t>
      </w:r>
      <w:r w:rsidRPr="00367CF2">
        <w:rPr>
          <w:lang w:val="en-GB"/>
        </w:rPr>
        <w:t xml:space="preserve"> </w:t>
      </w:r>
      <w:r w:rsidR="000F7232">
        <w:rPr>
          <w:lang w:val="en-GB"/>
        </w:rPr>
        <w:t>EU crisis coordination hub</w:t>
      </w:r>
      <w:r w:rsidRPr="00367CF2">
        <w:rPr>
          <w:lang w:val="en-GB"/>
        </w:rPr>
        <w:t>. This concept still needs to be clarified</w:t>
      </w:r>
      <w:r w:rsidR="00680AC1">
        <w:rPr>
          <w:lang w:val="en-GB"/>
        </w:rPr>
        <w:t xml:space="preserve"> alongside </w:t>
      </w:r>
      <w:r w:rsidR="005A57B7">
        <w:rPr>
          <w:lang w:val="en-GB"/>
        </w:rPr>
        <w:t>further</w:t>
      </w:r>
      <w:r w:rsidRPr="00367CF2">
        <w:rPr>
          <w:lang w:val="en-GB"/>
        </w:rPr>
        <w:t xml:space="preserve"> development of the EU Civil Protection Mechanism </w:t>
      </w:r>
      <w:r w:rsidR="00A31A37">
        <w:rPr>
          <w:lang w:val="en-GB"/>
        </w:rPr>
        <w:t>(and taking into account other crisis response mechanisms being developed, for example</w:t>
      </w:r>
      <w:r w:rsidR="00AC553A">
        <w:rPr>
          <w:lang w:val="en-GB"/>
        </w:rPr>
        <w:t>,</w:t>
      </w:r>
      <w:r w:rsidR="00A31A37">
        <w:rPr>
          <w:lang w:val="en-GB"/>
        </w:rPr>
        <w:t xml:space="preserve"> in the area of cybersecurity) </w:t>
      </w:r>
      <w:r w:rsidRPr="00367CF2">
        <w:rPr>
          <w:lang w:val="en-GB"/>
        </w:rPr>
        <w:t xml:space="preserve">and </w:t>
      </w:r>
      <w:r w:rsidR="008A6DB3">
        <w:rPr>
          <w:lang w:val="en-GB"/>
        </w:rPr>
        <w:t>of the need to take into account the fact that different responses to address different types of situations belong to different actors and frameworks</w:t>
      </w:r>
      <w:r w:rsidR="008A6DB3" w:rsidRPr="00367CF2">
        <w:rPr>
          <w:lang w:val="en-GB"/>
        </w:rPr>
        <w:t xml:space="preserve">. </w:t>
      </w:r>
      <w:r w:rsidR="008A6DB3" w:rsidRPr="008A6DB3">
        <w:rPr>
          <w:lang w:val="en-GB"/>
        </w:rPr>
        <w:t xml:space="preserve">In order to improve operational cooperation in the fight against terrorism and organised crime, the Commission has announced </w:t>
      </w:r>
      <w:r w:rsidR="008A6DB3">
        <w:rPr>
          <w:lang w:val="en-GB"/>
        </w:rPr>
        <w:t>the set-</w:t>
      </w:r>
      <w:r w:rsidR="008A6DB3" w:rsidRPr="008A6DB3">
        <w:rPr>
          <w:lang w:val="en-GB"/>
        </w:rPr>
        <w:t>up of a new European Critical Communication System to be used by public authorities in charge of security and safety.</w:t>
      </w:r>
      <w:r w:rsidR="008A6DB3">
        <w:rPr>
          <w:lang w:val="en-GB"/>
        </w:rPr>
        <w:t xml:space="preserve"> </w:t>
      </w:r>
      <w:r w:rsidRPr="00367CF2">
        <w:rPr>
          <w:lang w:val="en-GB"/>
        </w:rPr>
        <w:t xml:space="preserve">At the same time, a system for joint training and exercises of the civil protection services of Member States certainly needs to be </w:t>
      </w:r>
      <w:proofErr w:type="spellStart"/>
      <w:r w:rsidR="005F412E">
        <w:rPr>
          <w:lang w:val="en-GB"/>
        </w:rPr>
        <w:t>upscaled</w:t>
      </w:r>
      <w:proofErr w:type="spellEnd"/>
      <w:r w:rsidRPr="00367CF2">
        <w:rPr>
          <w:lang w:val="en-GB"/>
        </w:rPr>
        <w:t>. This will enable quick and harmonious delivery of international support.</w:t>
      </w:r>
    </w:p>
    <w:p w14:paraId="2857ADCC" w14:textId="4B21324A" w:rsidR="00367CF2" w:rsidRPr="00367CF2" w:rsidRDefault="00367CF2" w:rsidP="00367CF2">
      <w:pPr>
        <w:jc w:val="both"/>
        <w:rPr>
          <w:lang w:val="en-GB"/>
        </w:rPr>
      </w:pPr>
      <w:r w:rsidRPr="00367CF2">
        <w:rPr>
          <w:lang w:val="en-GB"/>
        </w:rPr>
        <w:t xml:space="preserve">In the context of </w:t>
      </w:r>
      <w:r w:rsidR="00647FED">
        <w:rPr>
          <w:lang w:val="en-GB"/>
        </w:rPr>
        <w:t xml:space="preserve">strengthening </w:t>
      </w:r>
      <w:r w:rsidR="00551BA1">
        <w:rPr>
          <w:lang w:val="en-GB"/>
        </w:rPr>
        <w:t xml:space="preserve">the </w:t>
      </w:r>
      <w:r w:rsidR="00647FED">
        <w:rPr>
          <w:lang w:val="en-GB"/>
        </w:rPr>
        <w:t xml:space="preserve">EU’s capability to deal with all possible scenarios, </w:t>
      </w:r>
      <w:r w:rsidR="00647FED" w:rsidRPr="007F08A5">
        <w:rPr>
          <w:lang w:val="en-IE"/>
        </w:rPr>
        <w:t>military readiness and civilian preparedness need to go hand-in-hand.</w:t>
      </w:r>
      <w:r w:rsidR="00F630D8">
        <w:rPr>
          <w:lang w:val="en-GB"/>
        </w:rPr>
        <w:t xml:space="preserve"> </w:t>
      </w:r>
      <w:r w:rsidR="00647FED">
        <w:rPr>
          <w:lang w:val="en-GB"/>
        </w:rPr>
        <w:t>C</w:t>
      </w:r>
      <w:r w:rsidRPr="00367CF2">
        <w:rPr>
          <w:lang w:val="en-GB"/>
        </w:rPr>
        <w:t xml:space="preserve">ooperation with NATO is of utmost importance, also in terms of assuring critical resources such as water, food, energy, medications, means of communication and capacity to transport materials to deliver them to those in need. This means enhancing </w:t>
      </w:r>
      <w:r w:rsidR="00647FED">
        <w:rPr>
          <w:lang w:val="en-GB"/>
        </w:rPr>
        <w:t xml:space="preserve">investment in </w:t>
      </w:r>
      <w:r w:rsidR="00AC553A">
        <w:rPr>
          <w:lang w:val="en-GB"/>
        </w:rPr>
        <w:t>national and EU</w:t>
      </w:r>
      <w:r w:rsidR="00551BA1">
        <w:rPr>
          <w:lang w:val="en-GB"/>
        </w:rPr>
        <w:t>-</w:t>
      </w:r>
      <w:r w:rsidR="00AC553A">
        <w:rPr>
          <w:lang w:val="en-GB"/>
        </w:rPr>
        <w:t>l</w:t>
      </w:r>
      <w:r w:rsidRPr="00367CF2">
        <w:rPr>
          <w:lang w:val="en-GB"/>
        </w:rPr>
        <w:t xml:space="preserve">evel reserves (e.g. in the framework of the </w:t>
      </w:r>
      <w:proofErr w:type="spellStart"/>
      <w:r w:rsidRPr="00367CF2">
        <w:rPr>
          <w:lang w:val="en-GB"/>
        </w:rPr>
        <w:t>RescEU</w:t>
      </w:r>
      <w:proofErr w:type="spellEnd"/>
      <w:r w:rsidRPr="00367CF2">
        <w:rPr>
          <w:lang w:val="en-GB"/>
        </w:rPr>
        <w:t xml:space="preserve">) and the EU's production capabilities and independence, as well as creating a coherent system to protect critical infrastructure against both sabotage and military attacks. Consequently, it is important to have in place tested plans for sharing critical resources </w:t>
      </w:r>
      <w:r w:rsidRPr="00367CF2">
        <w:rPr>
          <w:lang w:val="en-GB"/>
        </w:rPr>
        <w:lastRenderedPageBreak/>
        <w:t>(e.g. energy or water) between Member States in the event of a</w:t>
      </w:r>
      <w:r>
        <w:rPr>
          <w:lang w:val="en-GB"/>
        </w:rPr>
        <w:t> </w:t>
      </w:r>
      <w:r w:rsidRPr="00367CF2">
        <w:rPr>
          <w:lang w:val="en-GB"/>
        </w:rPr>
        <w:t>shortages in one or more of them.</w:t>
      </w:r>
    </w:p>
    <w:p w14:paraId="46B32DDF" w14:textId="5666665E" w:rsidR="00367CF2" w:rsidRPr="00367CF2" w:rsidRDefault="008A6DB3" w:rsidP="00367CF2">
      <w:pPr>
        <w:jc w:val="both"/>
        <w:rPr>
          <w:lang w:val="en-GB"/>
        </w:rPr>
      </w:pPr>
      <w:r>
        <w:rPr>
          <w:lang w:val="en-GB"/>
        </w:rPr>
        <w:t>A m</w:t>
      </w:r>
      <w:r w:rsidR="00367CF2" w:rsidRPr="00367CF2">
        <w:rPr>
          <w:lang w:val="en-GB"/>
        </w:rPr>
        <w:t>odern approach to civil protection involves the optimal use of all available resources</w:t>
      </w:r>
      <w:r w:rsidR="00FE42FF">
        <w:rPr>
          <w:lang w:val="en-GB"/>
        </w:rPr>
        <w:t>, including use of military assets</w:t>
      </w:r>
      <w:r w:rsidR="00367CF2" w:rsidRPr="00367CF2">
        <w:rPr>
          <w:lang w:val="en-GB"/>
        </w:rPr>
        <w:t xml:space="preserve">. </w:t>
      </w:r>
      <w:r w:rsidR="00A31A37">
        <w:rPr>
          <w:lang w:val="en-GB"/>
        </w:rPr>
        <w:t>The experience of the COVID</w:t>
      </w:r>
      <w:r w:rsidR="0091168B">
        <w:rPr>
          <w:lang w:val="en-GB"/>
        </w:rPr>
        <w:t>-19 p</w:t>
      </w:r>
      <w:r w:rsidR="00367CF2" w:rsidRPr="00367CF2">
        <w:rPr>
          <w:lang w:val="en-GB"/>
        </w:rPr>
        <w:t xml:space="preserve">andemic has shown how weak the resilience of some supply chains is, threatening the livelihoods of entire social groups. Therefore, the issue of preparedness and resilience also involves the private sector, especially actors operating in critical sectors. This implies the need to reshape public-private collaborative partnerships. This may imply new </w:t>
      </w:r>
      <w:r w:rsidR="00F630D8">
        <w:rPr>
          <w:lang w:val="en-GB"/>
        </w:rPr>
        <w:t xml:space="preserve">national and EU </w:t>
      </w:r>
      <w:r w:rsidR="00367CF2" w:rsidRPr="00367CF2">
        <w:rPr>
          <w:lang w:val="en-GB"/>
        </w:rPr>
        <w:t>legislation</w:t>
      </w:r>
      <w:r w:rsidR="00F630D8">
        <w:rPr>
          <w:lang w:val="en-GB"/>
        </w:rPr>
        <w:t>s</w:t>
      </w:r>
      <w:r w:rsidR="00367CF2" w:rsidRPr="00367CF2">
        <w:rPr>
          <w:lang w:val="en-GB"/>
        </w:rPr>
        <w:t xml:space="preserve"> addressing areas such as economic competitiveness, business autonomy, promoting private sector resilience and preparedness, and principles of cooperation in times of crisis.</w:t>
      </w:r>
    </w:p>
    <w:p w14:paraId="62F397C8" w14:textId="15DE536C" w:rsidR="00367CF2" w:rsidRPr="00367CF2" w:rsidRDefault="00367CF2" w:rsidP="00367CF2">
      <w:pPr>
        <w:jc w:val="both"/>
        <w:rPr>
          <w:lang w:val="en-GB"/>
        </w:rPr>
      </w:pPr>
      <w:r w:rsidRPr="00367CF2">
        <w:rPr>
          <w:lang w:val="en-GB"/>
        </w:rPr>
        <w:t>The European Union can no longer rule out becoming part of conflicts of a milita</w:t>
      </w:r>
      <w:r w:rsidR="008A6DB3">
        <w:rPr>
          <w:lang w:val="en-GB"/>
        </w:rPr>
        <w:t>ry nature. That is why the modalities</w:t>
      </w:r>
      <w:r w:rsidRPr="00367CF2">
        <w:rPr>
          <w:lang w:val="en-GB"/>
        </w:rPr>
        <w:t xml:space="preserve"> for </w:t>
      </w:r>
      <w:r w:rsidR="008A6DB3">
        <w:rPr>
          <w:lang w:val="en-GB"/>
        </w:rPr>
        <w:t xml:space="preserve">the interaction between </w:t>
      </w:r>
      <w:r w:rsidRPr="00367CF2">
        <w:rPr>
          <w:lang w:val="en-GB"/>
        </w:rPr>
        <w:t>armed forces and civil defence actors need an urgent update. The capacities of both must be used to their full extent, which is only possible through cooperation and coordination. It is therefore very important that the issues of civil protection and civil defence find their approp</w:t>
      </w:r>
      <w:r w:rsidR="00D94CD4">
        <w:rPr>
          <w:lang w:val="en-GB"/>
        </w:rPr>
        <w:t xml:space="preserve">riate place in the forthcoming </w:t>
      </w:r>
      <w:r w:rsidR="00551BA1">
        <w:rPr>
          <w:lang w:val="en-GB"/>
        </w:rPr>
        <w:t>‘</w:t>
      </w:r>
      <w:r w:rsidR="00D94CD4">
        <w:rPr>
          <w:lang w:val="en-GB"/>
        </w:rPr>
        <w:t>Preparedness Union Strategy</w:t>
      </w:r>
      <w:r w:rsidR="00551BA1">
        <w:rPr>
          <w:lang w:val="en-GB"/>
        </w:rPr>
        <w:t>’</w:t>
      </w:r>
      <w:r w:rsidRPr="00367CF2">
        <w:rPr>
          <w:lang w:val="en-GB"/>
        </w:rPr>
        <w:t xml:space="preserve">. In building </w:t>
      </w:r>
      <w:r w:rsidR="00FE42FF">
        <w:rPr>
          <w:lang w:val="en-GB"/>
        </w:rPr>
        <w:t xml:space="preserve">preparedness </w:t>
      </w:r>
      <w:r w:rsidRPr="00367CF2">
        <w:rPr>
          <w:lang w:val="en-GB"/>
        </w:rPr>
        <w:t>and crisis response, including defence against military attack, cooperation between the institutions managing the military and those providing security and public order is crucial.</w:t>
      </w:r>
    </w:p>
    <w:p w14:paraId="3612B058" w14:textId="3D1DDC2C" w:rsidR="00367CF2" w:rsidRDefault="00367CF2" w:rsidP="00367CF2">
      <w:pPr>
        <w:jc w:val="both"/>
        <w:rPr>
          <w:lang w:val="en-GB"/>
        </w:rPr>
      </w:pPr>
      <w:r w:rsidRPr="00367CF2">
        <w:rPr>
          <w:lang w:val="en-GB"/>
        </w:rPr>
        <w:t>The issues of civil protection and civil defence are multifaceted but essential to increase the sens</w:t>
      </w:r>
      <w:r w:rsidR="00D94CD4">
        <w:rPr>
          <w:lang w:val="en-GB"/>
        </w:rPr>
        <w:t>e of security of EU citizens. As a</w:t>
      </w:r>
      <w:r w:rsidRPr="00367CF2">
        <w:rPr>
          <w:lang w:val="en-GB"/>
        </w:rPr>
        <w:t xml:space="preserve"> consequence additional action is required. We therefore </w:t>
      </w:r>
      <w:r w:rsidR="0091168B">
        <w:rPr>
          <w:lang w:val="en-GB"/>
        </w:rPr>
        <w:t>invite</w:t>
      </w:r>
      <w:r w:rsidRPr="00367CF2">
        <w:rPr>
          <w:lang w:val="en-GB"/>
        </w:rPr>
        <w:t xml:space="preserve"> ministers to res</w:t>
      </w:r>
      <w:r w:rsidR="0091168B">
        <w:rPr>
          <w:lang w:val="en-GB"/>
        </w:rPr>
        <w:t>pond to the following questions:</w:t>
      </w:r>
    </w:p>
    <w:p w14:paraId="066D8570" w14:textId="77777777" w:rsidR="0091168B" w:rsidRDefault="0091168B" w:rsidP="00367CF2">
      <w:pPr>
        <w:jc w:val="both"/>
        <w:rPr>
          <w:lang w:val="en-GB"/>
        </w:rPr>
      </w:pPr>
    </w:p>
    <w:p w14:paraId="68D07E19" w14:textId="77777777" w:rsidR="0091168B" w:rsidRPr="00367CF2" w:rsidRDefault="0091168B" w:rsidP="00367CF2">
      <w:pPr>
        <w:jc w:val="both"/>
        <w:rPr>
          <w:lang w:val="en-GB"/>
        </w:rPr>
      </w:pPr>
    </w:p>
    <w:p w14:paraId="0603EDE6" w14:textId="1F311CFF" w:rsidR="00367CF2" w:rsidRPr="00367CF2" w:rsidRDefault="00367CF2" w:rsidP="00367CF2">
      <w:pPr>
        <w:pStyle w:val="Akapitzlist"/>
        <w:numPr>
          <w:ilvl w:val="0"/>
          <w:numId w:val="4"/>
        </w:numPr>
        <w:jc w:val="both"/>
        <w:rPr>
          <w:b/>
          <w:lang w:val="en-GB"/>
        </w:rPr>
      </w:pPr>
      <w:r w:rsidRPr="00367CF2">
        <w:rPr>
          <w:b/>
          <w:lang w:val="en-GB"/>
        </w:rPr>
        <w:t xml:space="preserve">What measures should be taken as a matter of priority to better prepare the societies of EU Member States for potential </w:t>
      </w:r>
      <w:r w:rsidR="005F412E">
        <w:rPr>
          <w:b/>
          <w:lang w:val="en-GB"/>
        </w:rPr>
        <w:t>security</w:t>
      </w:r>
      <w:r w:rsidR="005F412E" w:rsidRPr="00367CF2">
        <w:rPr>
          <w:b/>
          <w:lang w:val="en-GB"/>
        </w:rPr>
        <w:t xml:space="preserve"> </w:t>
      </w:r>
      <w:r w:rsidRPr="00367CF2">
        <w:rPr>
          <w:b/>
          <w:lang w:val="en-GB"/>
        </w:rPr>
        <w:t>challenges</w:t>
      </w:r>
      <w:r w:rsidR="005F412E">
        <w:rPr>
          <w:b/>
          <w:lang w:val="en-GB"/>
        </w:rPr>
        <w:t xml:space="preserve"> related to new and emerging risks</w:t>
      </w:r>
      <w:r w:rsidRPr="00367CF2">
        <w:rPr>
          <w:b/>
          <w:lang w:val="en-GB"/>
        </w:rPr>
        <w:t xml:space="preserve"> and threats? Is it advisable to work towards a comprehensive and uniform EU-wide alert and crisis communication system to inform citizens of threats?</w:t>
      </w:r>
    </w:p>
    <w:p w14:paraId="5FCA406F" w14:textId="6CF34542" w:rsidR="00367CF2" w:rsidRPr="00367CF2" w:rsidRDefault="00B520CF" w:rsidP="00367CF2">
      <w:pPr>
        <w:pStyle w:val="Akapitzlist"/>
        <w:numPr>
          <w:ilvl w:val="0"/>
          <w:numId w:val="4"/>
        </w:numPr>
        <w:jc w:val="both"/>
        <w:rPr>
          <w:b/>
          <w:lang w:val="en-GB"/>
        </w:rPr>
      </w:pPr>
      <w:r>
        <w:rPr>
          <w:b/>
          <w:lang w:val="en-GB"/>
        </w:rPr>
        <w:t>How can</w:t>
      </w:r>
      <w:r w:rsidR="00367CF2" w:rsidRPr="00367CF2">
        <w:rPr>
          <w:b/>
          <w:lang w:val="en-GB"/>
        </w:rPr>
        <w:t xml:space="preserve"> the European Union and NATO </w:t>
      </w:r>
      <w:r>
        <w:rPr>
          <w:b/>
          <w:lang w:val="en-GB"/>
        </w:rPr>
        <w:t xml:space="preserve">help </w:t>
      </w:r>
      <w:r w:rsidR="0035404A">
        <w:rPr>
          <w:b/>
          <w:lang w:val="en-GB"/>
        </w:rPr>
        <w:t>in boosting societal risk and threat awareness</w:t>
      </w:r>
      <w:r w:rsidRPr="00B520CF">
        <w:rPr>
          <w:b/>
          <w:lang w:val="en-GB"/>
        </w:rPr>
        <w:t xml:space="preserve"> and to </w:t>
      </w:r>
      <w:r w:rsidR="00F630D8">
        <w:rPr>
          <w:b/>
          <w:lang w:val="en-GB"/>
        </w:rPr>
        <w:t xml:space="preserve">further enhance </w:t>
      </w:r>
      <w:r w:rsidRPr="00B520CF">
        <w:rPr>
          <w:b/>
          <w:lang w:val="en-GB"/>
        </w:rPr>
        <w:t>preparation both at individual</w:t>
      </w:r>
      <w:r w:rsidR="0035404A">
        <w:rPr>
          <w:b/>
          <w:lang w:val="en-GB"/>
        </w:rPr>
        <w:t xml:space="preserve"> and organisational</w:t>
      </w:r>
      <w:r w:rsidRPr="00B520CF">
        <w:rPr>
          <w:b/>
          <w:lang w:val="en-GB"/>
        </w:rPr>
        <w:t xml:space="preserve"> level</w:t>
      </w:r>
      <w:r w:rsidR="0035404A">
        <w:rPr>
          <w:b/>
          <w:lang w:val="en-GB"/>
        </w:rPr>
        <w:t xml:space="preserve">. </w:t>
      </w:r>
      <w:r>
        <w:rPr>
          <w:b/>
          <w:lang w:val="en-GB"/>
        </w:rPr>
        <w:t>W</w:t>
      </w:r>
      <w:r w:rsidR="00367CF2" w:rsidRPr="00367CF2">
        <w:rPr>
          <w:b/>
          <w:lang w:val="en-GB"/>
        </w:rPr>
        <w:t>hat should be the cooperation between Member States in this regard? Is the EU's financial involvement in processes of building societal resilience (e.g. in the construction of European critical infrastructures and key services) justified?</w:t>
      </w:r>
    </w:p>
    <w:p w14:paraId="1CA20468" w14:textId="1679E4AC" w:rsidR="003F6333" w:rsidRPr="0091168B" w:rsidRDefault="00D94CD4" w:rsidP="0091168B">
      <w:pPr>
        <w:pStyle w:val="Akapitzlist"/>
        <w:numPr>
          <w:ilvl w:val="0"/>
          <w:numId w:val="4"/>
        </w:numPr>
        <w:jc w:val="both"/>
        <w:rPr>
          <w:b/>
          <w:lang w:val="en-GB"/>
        </w:rPr>
      </w:pPr>
      <w:r>
        <w:rPr>
          <w:b/>
          <w:lang w:val="en-GB"/>
        </w:rPr>
        <w:t xml:space="preserve">From </w:t>
      </w:r>
      <w:r w:rsidR="0091168B">
        <w:rPr>
          <w:b/>
          <w:lang w:val="en-GB"/>
        </w:rPr>
        <w:t xml:space="preserve">your </w:t>
      </w:r>
      <w:r>
        <w:rPr>
          <w:b/>
          <w:lang w:val="en-GB"/>
        </w:rPr>
        <w:t>point of view</w:t>
      </w:r>
      <w:r w:rsidR="00551BA1">
        <w:rPr>
          <w:b/>
          <w:lang w:val="en-GB"/>
        </w:rPr>
        <w:t>,</w:t>
      </w:r>
      <w:r>
        <w:rPr>
          <w:b/>
          <w:lang w:val="en-GB"/>
        </w:rPr>
        <w:t xml:space="preserve"> i</w:t>
      </w:r>
      <w:r w:rsidR="00367CF2" w:rsidRPr="00367CF2">
        <w:rPr>
          <w:b/>
          <w:lang w:val="en-GB"/>
        </w:rPr>
        <w:t>s the current system</w:t>
      </w:r>
      <w:r>
        <w:rPr>
          <w:b/>
          <w:lang w:val="en-GB"/>
        </w:rPr>
        <w:t>s</w:t>
      </w:r>
      <w:r w:rsidR="00367CF2" w:rsidRPr="00367CF2">
        <w:rPr>
          <w:b/>
          <w:lang w:val="en-GB"/>
        </w:rPr>
        <w:t xml:space="preserve"> of cooperation between the </w:t>
      </w:r>
      <w:r>
        <w:rPr>
          <w:b/>
          <w:lang w:val="en-GB"/>
        </w:rPr>
        <w:t xml:space="preserve">national and EU </w:t>
      </w:r>
      <w:r w:rsidR="00367CF2" w:rsidRPr="00367CF2">
        <w:rPr>
          <w:b/>
          <w:lang w:val="en-GB"/>
        </w:rPr>
        <w:t xml:space="preserve">institutions managing the armed forces and those providing </w:t>
      </w:r>
      <w:r w:rsidR="0061014B">
        <w:rPr>
          <w:b/>
          <w:lang w:val="en-GB"/>
        </w:rPr>
        <w:t xml:space="preserve">civil </w:t>
      </w:r>
      <w:r w:rsidR="00367CF2" w:rsidRPr="00367CF2">
        <w:rPr>
          <w:b/>
          <w:lang w:val="en-GB"/>
        </w:rPr>
        <w:t>security and public order</w:t>
      </w:r>
      <w:r w:rsidR="0091168B">
        <w:rPr>
          <w:b/>
          <w:lang w:val="en-GB"/>
        </w:rPr>
        <w:t xml:space="preserve"> (</w:t>
      </w:r>
      <w:r w:rsidR="00A31A37">
        <w:rPr>
          <w:b/>
          <w:lang w:val="en-GB"/>
        </w:rPr>
        <w:t xml:space="preserve">including law enforcement) </w:t>
      </w:r>
      <w:r>
        <w:rPr>
          <w:b/>
          <w:lang w:val="en-GB"/>
        </w:rPr>
        <w:t xml:space="preserve">in your countries </w:t>
      </w:r>
      <w:r w:rsidR="00367CF2" w:rsidRPr="00367CF2">
        <w:rPr>
          <w:b/>
          <w:lang w:val="en-GB"/>
        </w:rPr>
        <w:t>optimal? If not, in what direction should this cooperation be changed?</w:t>
      </w:r>
    </w:p>
    <w:sectPr w:rsidR="003F6333" w:rsidRPr="0091168B" w:rsidSect="004367F3">
      <w:headerReference w:type="default" r:id="rId7"/>
      <w:footerReference w:type="default" r:id="rId8"/>
      <w:pgSz w:w="11906" w:h="16838"/>
      <w:pgMar w:top="2835" w:right="1418" w:bottom="1418" w:left="907"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40B4E" w14:textId="77777777" w:rsidR="00CB7F52" w:rsidRDefault="00CB7F52" w:rsidP="004367F3">
      <w:r>
        <w:separator/>
      </w:r>
    </w:p>
  </w:endnote>
  <w:endnote w:type="continuationSeparator" w:id="0">
    <w:p w14:paraId="76C4DECA" w14:textId="77777777" w:rsidR="00CB7F52" w:rsidRDefault="00CB7F52" w:rsidP="0043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Light">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42877"/>
      <w:docPartObj>
        <w:docPartGallery w:val="Page Numbers (Bottom of Page)"/>
        <w:docPartUnique/>
      </w:docPartObj>
    </w:sdtPr>
    <w:sdtEndPr>
      <w:rPr>
        <w:noProof/>
      </w:rPr>
    </w:sdtEndPr>
    <w:sdtContent>
      <w:p w14:paraId="59382619" w14:textId="4853AD46" w:rsidR="0013455B" w:rsidRDefault="0013455B">
        <w:pPr>
          <w:pStyle w:val="Stopka"/>
          <w:jc w:val="right"/>
        </w:pPr>
        <w:r>
          <w:fldChar w:fldCharType="begin"/>
        </w:r>
        <w:r>
          <w:instrText xml:space="preserve"> PAGE   \* MERGEFORMAT </w:instrText>
        </w:r>
        <w:r>
          <w:fldChar w:fldCharType="separate"/>
        </w:r>
        <w:r w:rsidR="00F603BE">
          <w:rPr>
            <w:noProof/>
          </w:rPr>
          <w:t>6</w:t>
        </w:r>
        <w:r>
          <w:rPr>
            <w:noProof/>
          </w:rPr>
          <w:fldChar w:fldCharType="end"/>
        </w:r>
      </w:p>
    </w:sdtContent>
  </w:sdt>
  <w:p w14:paraId="248D0925" w14:textId="77777777" w:rsidR="0013455B" w:rsidRDefault="001345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D1EE6" w14:textId="77777777" w:rsidR="00CB7F52" w:rsidRDefault="00CB7F52" w:rsidP="004367F3">
      <w:r>
        <w:separator/>
      </w:r>
    </w:p>
  </w:footnote>
  <w:footnote w:type="continuationSeparator" w:id="0">
    <w:p w14:paraId="7A4D6376" w14:textId="77777777" w:rsidR="00CB7F52" w:rsidRDefault="00CB7F52" w:rsidP="00436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32E00" w14:textId="77777777" w:rsidR="00A27E98" w:rsidRPr="008E7A5B" w:rsidRDefault="004367F3" w:rsidP="004367F3">
    <w:pPr>
      <w:pStyle w:val="Nagwek"/>
    </w:pPr>
    <w:r w:rsidRPr="008E7A5B">
      <w:rPr>
        <w:noProof/>
        <w:lang w:eastAsia="pl-PL"/>
      </w:rPr>
      <w:drawing>
        <wp:anchor distT="0" distB="0" distL="114300" distR="114300" simplePos="0" relativeHeight="251660288" behindDoc="1" locked="1" layoutInCell="1" allowOverlap="1" wp14:anchorId="29561C2F" wp14:editId="678401ED">
          <wp:simplePos x="0" y="0"/>
          <wp:positionH relativeFrom="margin">
            <wp:align>left</wp:align>
          </wp:positionH>
          <wp:positionV relativeFrom="page">
            <wp:posOffset>575945</wp:posOffset>
          </wp:positionV>
          <wp:extent cx="4582800" cy="622800"/>
          <wp:effectExtent l="0" t="0" r="0" b="635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owakowski Adam\AppData\Local\Microsoft\Windows\INetCache\Content.Word\znak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82800" cy="62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7AF"/>
    <w:multiLevelType w:val="hybridMultilevel"/>
    <w:tmpl w:val="9AC89502"/>
    <w:lvl w:ilvl="0" w:tplc="04150001">
      <w:start w:val="1"/>
      <w:numFmt w:val="bullet"/>
      <w:lvlText w:val=""/>
      <w:lvlJc w:val="left"/>
      <w:pPr>
        <w:ind w:left="3782" w:hanging="360"/>
      </w:pPr>
      <w:rPr>
        <w:rFonts w:ascii="Symbol" w:hAnsi="Symbol" w:hint="default"/>
      </w:rPr>
    </w:lvl>
    <w:lvl w:ilvl="1" w:tplc="04150003" w:tentative="1">
      <w:start w:val="1"/>
      <w:numFmt w:val="bullet"/>
      <w:lvlText w:val="o"/>
      <w:lvlJc w:val="left"/>
      <w:pPr>
        <w:ind w:left="4502" w:hanging="360"/>
      </w:pPr>
      <w:rPr>
        <w:rFonts w:ascii="Courier New" w:hAnsi="Courier New" w:cs="Courier New" w:hint="default"/>
      </w:rPr>
    </w:lvl>
    <w:lvl w:ilvl="2" w:tplc="04150005" w:tentative="1">
      <w:start w:val="1"/>
      <w:numFmt w:val="bullet"/>
      <w:lvlText w:val=""/>
      <w:lvlJc w:val="left"/>
      <w:pPr>
        <w:ind w:left="5222" w:hanging="360"/>
      </w:pPr>
      <w:rPr>
        <w:rFonts w:ascii="Wingdings" w:hAnsi="Wingdings" w:hint="default"/>
      </w:rPr>
    </w:lvl>
    <w:lvl w:ilvl="3" w:tplc="04150001" w:tentative="1">
      <w:start w:val="1"/>
      <w:numFmt w:val="bullet"/>
      <w:lvlText w:val=""/>
      <w:lvlJc w:val="left"/>
      <w:pPr>
        <w:ind w:left="5942" w:hanging="360"/>
      </w:pPr>
      <w:rPr>
        <w:rFonts w:ascii="Symbol" w:hAnsi="Symbol" w:hint="default"/>
      </w:rPr>
    </w:lvl>
    <w:lvl w:ilvl="4" w:tplc="04150003" w:tentative="1">
      <w:start w:val="1"/>
      <w:numFmt w:val="bullet"/>
      <w:lvlText w:val="o"/>
      <w:lvlJc w:val="left"/>
      <w:pPr>
        <w:ind w:left="6662" w:hanging="360"/>
      </w:pPr>
      <w:rPr>
        <w:rFonts w:ascii="Courier New" w:hAnsi="Courier New" w:cs="Courier New" w:hint="default"/>
      </w:rPr>
    </w:lvl>
    <w:lvl w:ilvl="5" w:tplc="04150005" w:tentative="1">
      <w:start w:val="1"/>
      <w:numFmt w:val="bullet"/>
      <w:lvlText w:val=""/>
      <w:lvlJc w:val="left"/>
      <w:pPr>
        <w:ind w:left="7382" w:hanging="360"/>
      </w:pPr>
      <w:rPr>
        <w:rFonts w:ascii="Wingdings" w:hAnsi="Wingdings" w:hint="default"/>
      </w:rPr>
    </w:lvl>
    <w:lvl w:ilvl="6" w:tplc="04150001" w:tentative="1">
      <w:start w:val="1"/>
      <w:numFmt w:val="bullet"/>
      <w:lvlText w:val=""/>
      <w:lvlJc w:val="left"/>
      <w:pPr>
        <w:ind w:left="8102" w:hanging="360"/>
      </w:pPr>
      <w:rPr>
        <w:rFonts w:ascii="Symbol" w:hAnsi="Symbol" w:hint="default"/>
      </w:rPr>
    </w:lvl>
    <w:lvl w:ilvl="7" w:tplc="04150003" w:tentative="1">
      <w:start w:val="1"/>
      <w:numFmt w:val="bullet"/>
      <w:lvlText w:val="o"/>
      <w:lvlJc w:val="left"/>
      <w:pPr>
        <w:ind w:left="8822" w:hanging="360"/>
      </w:pPr>
      <w:rPr>
        <w:rFonts w:ascii="Courier New" w:hAnsi="Courier New" w:cs="Courier New" w:hint="default"/>
      </w:rPr>
    </w:lvl>
    <w:lvl w:ilvl="8" w:tplc="04150005" w:tentative="1">
      <w:start w:val="1"/>
      <w:numFmt w:val="bullet"/>
      <w:lvlText w:val=""/>
      <w:lvlJc w:val="left"/>
      <w:pPr>
        <w:ind w:left="9542" w:hanging="360"/>
      </w:pPr>
      <w:rPr>
        <w:rFonts w:ascii="Wingdings" w:hAnsi="Wingdings" w:hint="default"/>
      </w:rPr>
    </w:lvl>
  </w:abstractNum>
  <w:abstractNum w:abstractNumId="1" w15:restartNumberingAfterBreak="0">
    <w:nsid w:val="36DF43C0"/>
    <w:multiLevelType w:val="hybridMultilevel"/>
    <w:tmpl w:val="C52CE27C"/>
    <w:lvl w:ilvl="0" w:tplc="C7848F2A">
      <w:start w:val="1"/>
      <w:numFmt w:val="decimal"/>
      <w:lvlText w:val="%1."/>
      <w:lvlJc w:val="left"/>
      <w:pPr>
        <w:ind w:left="3762" w:hanging="360"/>
      </w:pPr>
      <w:rPr>
        <w:rFonts w:hint="default"/>
      </w:rPr>
    </w:lvl>
    <w:lvl w:ilvl="1" w:tplc="04150019" w:tentative="1">
      <w:start w:val="1"/>
      <w:numFmt w:val="lowerLetter"/>
      <w:lvlText w:val="%2."/>
      <w:lvlJc w:val="left"/>
      <w:pPr>
        <w:ind w:left="4482" w:hanging="360"/>
      </w:pPr>
    </w:lvl>
    <w:lvl w:ilvl="2" w:tplc="0415001B" w:tentative="1">
      <w:start w:val="1"/>
      <w:numFmt w:val="lowerRoman"/>
      <w:lvlText w:val="%3."/>
      <w:lvlJc w:val="right"/>
      <w:pPr>
        <w:ind w:left="5202" w:hanging="180"/>
      </w:pPr>
    </w:lvl>
    <w:lvl w:ilvl="3" w:tplc="0415000F" w:tentative="1">
      <w:start w:val="1"/>
      <w:numFmt w:val="decimal"/>
      <w:lvlText w:val="%4."/>
      <w:lvlJc w:val="left"/>
      <w:pPr>
        <w:ind w:left="5922" w:hanging="360"/>
      </w:pPr>
    </w:lvl>
    <w:lvl w:ilvl="4" w:tplc="04150019" w:tentative="1">
      <w:start w:val="1"/>
      <w:numFmt w:val="lowerLetter"/>
      <w:lvlText w:val="%5."/>
      <w:lvlJc w:val="left"/>
      <w:pPr>
        <w:ind w:left="6642" w:hanging="360"/>
      </w:pPr>
    </w:lvl>
    <w:lvl w:ilvl="5" w:tplc="0415001B" w:tentative="1">
      <w:start w:val="1"/>
      <w:numFmt w:val="lowerRoman"/>
      <w:lvlText w:val="%6."/>
      <w:lvlJc w:val="right"/>
      <w:pPr>
        <w:ind w:left="7362" w:hanging="180"/>
      </w:pPr>
    </w:lvl>
    <w:lvl w:ilvl="6" w:tplc="0415000F" w:tentative="1">
      <w:start w:val="1"/>
      <w:numFmt w:val="decimal"/>
      <w:lvlText w:val="%7."/>
      <w:lvlJc w:val="left"/>
      <w:pPr>
        <w:ind w:left="8082" w:hanging="360"/>
      </w:pPr>
    </w:lvl>
    <w:lvl w:ilvl="7" w:tplc="04150019" w:tentative="1">
      <w:start w:val="1"/>
      <w:numFmt w:val="lowerLetter"/>
      <w:lvlText w:val="%8."/>
      <w:lvlJc w:val="left"/>
      <w:pPr>
        <w:ind w:left="8802" w:hanging="360"/>
      </w:pPr>
    </w:lvl>
    <w:lvl w:ilvl="8" w:tplc="0415001B" w:tentative="1">
      <w:start w:val="1"/>
      <w:numFmt w:val="lowerRoman"/>
      <w:lvlText w:val="%9."/>
      <w:lvlJc w:val="right"/>
      <w:pPr>
        <w:ind w:left="9522" w:hanging="180"/>
      </w:pPr>
    </w:lvl>
  </w:abstractNum>
  <w:abstractNum w:abstractNumId="2" w15:restartNumberingAfterBreak="0">
    <w:nsid w:val="67E915B2"/>
    <w:multiLevelType w:val="hybridMultilevel"/>
    <w:tmpl w:val="4A286A68"/>
    <w:lvl w:ilvl="0" w:tplc="9DA0708E">
      <w:start w:val="1"/>
      <w:numFmt w:val="decimal"/>
      <w:pStyle w:val="Wyliczenie"/>
      <w:lvlText w:val="%1."/>
      <w:lvlJc w:val="left"/>
      <w:pPr>
        <w:ind w:left="4122" w:hanging="360"/>
      </w:pPr>
    </w:lvl>
    <w:lvl w:ilvl="1" w:tplc="04150019" w:tentative="1">
      <w:start w:val="1"/>
      <w:numFmt w:val="lowerLetter"/>
      <w:lvlText w:val="%2."/>
      <w:lvlJc w:val="left"/>
      <w:pPr>
        <w:ind w:left="4842" w:hanging="360"/>
      </w:pPr>
    </w:lvl>
    <w:lvl w:ilvl="2" w:tplc="0415001B" w:tentative="1">
      <w:start w:val="1"/>
      <w:numFmt w:val="lowerRoman"/>
      <w:lvlText w:val="%3."/>
      <w:lvlJc w:val="right"/>
      <w:pPr>
        <w:ind w:left="5562" w:hanging="180"/>
      </w:pPr>
    </w:lvl>
    <w:lvl w:ilvl="3" w:tplc="0415000F" w:tentative="1">
      <w:start w:val="1"/>
      <w:numFmt w:val="decimal"/>
      <w:lvlText w:val="%4."/>
      <w:lvlJc w:val="left"/>
      <w:pPr>
        <w:ind w:left="6282" w:hanging="360"/>
      </w:pPr>
    </w:lvl>
    <w:lvl w:ilvl="4" w:tplc="04150019" w:tentative="1">
      <w:start w:val="1"/>
      <w:numFmt w:val="lowerLetter"/>
      <w:lvlText w:val="%5."/>
      <w:lvlJc w:val="left"/>
      <w:pPr>
        <w:ind w:left="7002" w:hanging="360"/>
      </w:pPr>
    </w:lvl>
    <w:lvl w:ilvl="5" w:tplc="0415001B" w:tentative="1">
      <w:start w:val="1"/>
      <w:numFmt w:val="lowerRoman"/>
      <w:lvlText w:val="%6."/>
      <w:lvlJc w:val="right"/>
      <w:pPr>
        <w:ind w:left="7722" w:hanging="180"/>
      </w:pPr>
    </w:lvl>
    <w:lvl w:ilvl="6" w:tplc="0415000F" w:tentative="1">
      <w:start w:val="1"/>
      <w:numFmt w:val="decimal"/>
      <w:lvlText w:val="%7."/>
      <w:lvlJc w:val="left"/>
      <w:pPr>
        <w:ind w:left="8442" w:hanging="360"/>
      </w:pPr>
    </w:lvl>
    <w:lvl w:ilvl="7" w:tplc="04150019" w:tentative="1">
      <w:start w:val="1"/>
      <w:numFmt w:val="lowerLetter"/>
      <w:lvlText w:val="%8."/>
      <w:lvlJc w:val="left"/>
      <w:pPr>
        <w:ind w:left="9162" w:hanging="360"/>
      </w:pPr>
    </w:lvl>
    <w:lvl w:ilvl="8" w:tplc="0415001B" w:tentative="1">
      <w:start w:val="1"/>
      <w:numFmt w:val="lowerRoman"/>
      <w:lvlText w:val="%9."/>
      <w:lvlJc w:val="right"/>
      <w:pPr>
        <w:ind w:left="9882" w:hanging="180"/>
      </w:pPr>
    </w:lvl>
  </w:abstractNum>
  <w:abstractNum w:abstractNumId="3" w15:restartNumberingAfterBreak="0">
    <w:nsid w:val="71F80F38"/>
    <w:multiLevelType w:val="hybridMultilevel"/>
    <w:tmpl w:val="4D54FEA8"/>
    <w:lvl w:ilvl="0" w:tplc="0B1EFA54">
      <w:start w:val="1"/>
      <w:numFmt w:val="bullet"/>
      <w:pStyle w:val="Punktory"/>
      <w:lvlText w:val=""/>
      <w:lvlJc w:val="left"/>
      <w:pPr>
        <w:ind w:left="3782" w:hanging="360"/>
      </w:pPr>
      <w:rPr>
        <w:rFonts w:ascii="Symbol" w:hAnsi="Symbol" w:hint="default"/>
      </w:rPr>
    </w:lvl>
    <w:lvl w:ilvl="1" w:tplc="04150003" w:tentative="1">
      <w:start w:val="1"/>
      <w:numFmt w:val="bullet"/>
      <w:lvlText w:val="o"/>
      <w:lvlJc w:val="left"/>
      <w:pPr>
        <w:ind w:left="4502" w:hanging="360"/>
      </w:pPr>
      <w:rPr>
        <w:rFonts w:ascii="Courier New" w:hAnsi="Courier New" w:cs="Courier New" w:hint="default"/>
      </w:rPr>
    </w:lvl>
    <w:lvl w:ilvl="2" w:tplc="04150005" w:tentative="1">
      <w:start w:val="1"/>
      <w:numFmt w:val="bullet"/>
      <w:lvlText w:val=""/>
      <w:lvlJc w:val="left"/>
      <w:pPr>
        <w:ind w:left="5222" w:hanging="360"/>
      </w:pPr>
      <w:rPr>
        <w:rFonts w:ascii="Wingdings" w:hAnsi="Wingdings" w:hint="default"/>
      </w:rPr>
    </w:lvl>
    <w:lvl w:ilvl="3" w:tplc="04150001" w:tentative="1">
      <w:start w:val="1"/>
      <w:numFmt w:val="bullet"/>
      <w:lvlText w:val=""/>
      <w:lvlJc w:val="left"/>
      <w:pPr>
        <w:ind w:left="5942" w:hanging="360"/>
      </w:pPr>
      <w:rPr>
        <w:rFonts w:ascii="Symbol" w:hAnsi="Symbol" w:hint="default"/>
      </w:rPr>
    </w:lvl>
    <w:lvl w:ilvl="4" w:tplc="04150003" w:tentative="1">
      <w:start w:val="1"/>
      <w:numFmt w:val="bullet"/>
      <w:lvlText w:val="o"/>
      <w:lvlJc w:val="left"/>
      <w:pPr>
        <w:ind w:left="6662" w:hanging="360"/>
      </w:pPr>
      <w:rPr>
        <w:rFonts w:ascii="Courier New" w:hAnsi="Courier New" w:cs="Courier New" w:hint="default"/>
      </w:rPr>
    </w:lvl>
    <w:lvl w:ilvl="5" w:tplc="04150005" w:tentative="1">
      <w:start w:val="1"/>
      <w:numFmt w:val="bullet"/>
      <w:lvlText w:val=""/>
      <w:lvlJc w:val="left"/>
      <w:pPr>
        <w:ind w:left="7382" w:hanging="360"/>
      </w:pPr>
      <w:rPr>
        <w:rFonts w:ascii="Wingdings" w:hAnsi="Wingdings" w:hint="default"/>
      </w:rPr>
    </w:lvl>
    <w:lvl w:ilvl="6" w:tplc="04150001" w:tentative="1">
      <w:start w:val="1"/>
      <w:numFmt w:val="bullet"/>
      <w:lvlText w:val=""/>
      <w:lvlJc w:val="left"/>
      <w:pPr>
        <w:ind w:left="8102" w:hanging="360"/>
      </w:pPr>
      <w:rPr>
        <w:rFonts w:ascii="Symbol" w:hAnsi="Symbol" w:hint="default"/>
      </w:rPr>
    </w:lvl>
    <w:lvl w:ilvl="7" w:tplc="04150003" w:tentative="1">
      <w:start w:val="1"/>
      <w:numFmt w:val="bullet"/>
      <w:lvlText w:val="o"/>
      <w:lvlJc w:val="left"/>
      <w:pPr>
        <w:ind w:left="8822" w:hanging="360"/>
      </w:pPr>
      <w:rPr>
        <w:rFonts w:ascii="Courier New" w:hAnsi="Courier New" w:cs="Courier New" w:hint="default"/>
      </w:rPr>
    </w:lvl>
    <w:lvl w:ilvl="8" w:tplc="04150005" w:tentative="1">
      <w:start w:val="1"/>
      <w:numFmt w:val="bullet"/>
      <w:lvlText w:val=""/>
      <w:lvlJc w:val="left"/>
      <w:pPr>
        <w:ind w:left="9542"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W_DocType" w:val="Normal"/>
  </w:docVars>
  <w:rsids>
    <w:rsidRoot w:val="00F906BB"/>
    <w:rsid w:val="000077BB"/>
    <w:rsid w:val="00014248"/>
    <w:rsid w:val="000A0EEF"/>
    <w:rsid w:val="000B3C19"/>
    <w:rsid w:val="000B44EC"/>
    <w:rsid w:val="000E4988"/>
    <w:rsid w:val="000F7232"/>
    <w:rsid w:val="0013455B"/>
    <w:rsid w:val="002A6353"/>
    <w:rsid w:val="0035404A"/>
    <w:rsid w:val="00367CF2"/>
    <w:rsid w:val="003B4E81"/>
    <w:rsid w:val="003D0040"/>
    <w:rsid w:val="003F6333"/>
    <w:rsid w:val="004159DF"/>
    <w:rsid w:val="0042086A"/>
    <w:rsid w:val="004367F3"/>
    <w:rsid w:val="00466C64"/>
    <w:rsid w:val="004A067D"/>
    <w:rsid w:val="004C1E8E"/>
    <w:rsid w:val="00541161"/>
    <w:rsid w:val="00551BA1"/>
    <w:rsid w:val="005A57B7"/>
    <w:rsid w:val="005E23DA"/>
    <w:rsid w:val="005F0DB4"/>
    <w:rsid w:val="005F412E"/>
    <w:rsid w:val="0060475C"/>
    <w:rsid w:val="0061014B"/>
    <w:rsid w:val="00616931"/>
    <w:rsid w:val="00647FED"/>
    <w:rsid w:val="0066739C"/>
    <w:rsid w:val="00680AC1"/>
    <w:rsid w:val="0071728D"/>
    <w:rsid w:val="0072788A"/>
    <w:rsid w:val="00742C38"/>
    <w:rsid w:val="007472B8"/>
    <w:rsid w:val="007A54CD"/>
    <w:rsid w:val="007F08A5"/>
    <w:rsid w:val="00856D9A"/>
    <w:rsid w:val="00864C85"/>
    <w:rsid w:val="00890AA3"/>
    <w:rsid w:val="008A6DB3"/>
    <w:rsid w:val="008B56FA"/>
    <w:rsid w:val="008E2319"/>
    <w:rsid w:val="008E7A5B"/>
    <w:rsid w:val="008F3B18"/>
    <w:rsid w:val="0091168B"/>
    <w:rsid w:val="009440B4"/>
    <w:rsid w:val="00962632"/>
    <w:rsid w:val="009A456D"/>
    <w:rsid w:val="009E4AF3"/>
    <w:rsid w:val="009E4D13"/>
    <w:rsid w:val="009F60F3"/>
    <w:rsid w:val="00A23501"/>
    <w:rsid w:val="00A27E98"/>
    <w:rsid w:val="00A316FB"/>
    <w:rsid w:val="00A31A37"/>
    <w:rsid w:val="00A8558D"/>
    <w:rsid w:val="00AC553A"/>
    <w:rsid w:val="00B041B3"/>
    <w:rsid w:val="00B520CF"/>
    <w:rsid w:val="00BA257A"/>
    <w:rsid w:val="00BD08D0"/>
    <w:rsid w:val="00BE0CC7"/>
    <w:rsid w:val="00BE5D8A"/>
    <w:rsid w:val="00BF3511"/>
    <w:rsid w:val="00C664B9"/>
    <w:rsid w:val="00CB3215"/>
    <w:rsid w:val="00CB7F52"/>
    <w:rsid w:val="00CF0F43"/>
    <w:rsid w:val="00D94CD4"/>
    <w:rsid w:val="00DC7779"/>
    <w:rsid w:val="00DF2CB8"/>
    <w:rsid w:val="00E01A6E"/>
    <w:rsid w:val="00EA7ED0"/>
    <w:rsid w:val="00F00A2E"/>
    <w:rsid w:val="00F272D4"/>
    <w:rsid w:val="00F603BE"/>
    <w:rsid w:val="00F630D8"/>
    <w:rsid w:val="00F744B5"/>
    <w:rsid w:val="00F906BB"/>
    <w:rsid w:val="00FE4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5DC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67F3"/>
    <w:pPr>
      <w:spacing w:after="120" w:line="324" w:lineRule="auto"/>
      <w:ind w:left="3402"/>
    </w:pPr>
    <w:rPr>
      <w:rFonts w:ascii="Lato Light" w:hAnsi="Lato Light"/>
      <w:sz w:val="24"/>
      <w:szCs w:val="24"/>
    </w:rPr>
  </w:style>
  <w:style w:type="paragraph" w:styleId="Nagwek1">
    <w:name w:val="heading 1"/>
    <w:basedOn w:val="Normalny"/>
    <w:next w:val="Normalny"/>
    <w:link w:val="Nagwek1Znak"/>
    <w:uiPriority w:val="9"/>
    <w:qFormat/>
    <w:rsid w:val="004367F3"/>
    <w:pPr>
      <w:spacing w:before="360" w:line="240" w:lineRule="auto"/>
      <w:outlineLvl w:val="0"/>
    </w:pPr>
    <w:rPr>
      <w:rFonts w:ascii="Lato Black" w:hAnsi="Lato Black"/>
      <w:sz w:val="36"/>
      <w:szCs w:val="36"/>
    </w:rPr>
  </w:style>
  <w:style w:type="paragraph" w:styleId="Nagwek2">
    <w:name w:val="heading 2"/>
    <w:basedOn w:val="Nagwek1"/>
    <w:next w:val="Normalny"/>
    <w:link w:val="Nagwek2Znak"/>
    <w:uiPriority w:val="9"/>
    <w:unhideWhenUsed/>
    <w:qFormat/>
    <w:rsid w:val="004367F3"/>
    <w:pPr>
      <w:outlineLvl w:val="1"/>
    </w:pPr>
    <w:rPr>
      <w:sz w:val="28"/>
      <w:szCs w:val="28"/>
    </w:rPr>
  </w:style>
  <w:style w:type="paragraph" w:styleId="Nagwek3">
    <w:name w:val="heading 3"/>
    <w:basedOn w:val="Nagwek2"/>
    <w:next w:val="Normalny"/>
    <w:link w:val="Nagwek3Znak"/>
    <w:uiPriority w:val="9"/>
    <w:unhideWhenUsed/>
    <w:qFormat/>
    <w:rsid w:val="004367F3"/>
    <w:pPr>
      <w:outlineLvl w:val="2"/>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7E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7E98"/>
  </w:style>
  <w:style w:type="paragraph" w:styleId="Stopka">
    <w:name w:val="footer"/>
    <w:basedOn w:val="Normalny"/>
    <w:link w:val="StopkaZnak"/>
    <w:uiPriority w:val="99"/>
    <w:unhideWhenUsed/>
    <w:rsid w:val="00A27E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7E98"/>
  </w:style>
  <w:style w:type="character" w:customStyle="1" w:styleId="Nagwek1Znak">
    <w:name w:val="Nagłówek 1 Znak"/>
    <w:basedOn w:val="Domylnaczcionkaakapitu"/>
    <w:link w:val="Nagwek1"/>
    <w:uiPriority w:val="9"/>
    <w:rsid w:val="004367F3"/>
    <w:rPr>
      <w:rFonts w:ascii="Lato Black" w:hAnsi="Lato Black"/>
      <w:sz w:val="36"/>
      <w:szCs w:val="36"/>
    </w:rPr>
  </w:style>
  <w:style w:type="character" w:customStyle="1" w:styleId="Nagwek2Znak">
    <w:name w:val="Nagłówek 2 Znak"/>
    <w:basedOn w:val="Domylnaczcionkaakapitu"/>
    <w:link w:val="Nagwek2"/>
    <w:uiPriority w:val="9"/>
    <w:rsid w:val="004367F3"/>
    <w:rPr>
      <w:rFonts w:ascii="Lato Black" w:hAnsi="Lato Black"/>
      <w:sz w:val="28"/>
      <w:szCs w:val="28"/>
    </w:rPr>
  </w:style>
  <w:style w:type="character" w:customStyle="1" w:styleId="Nagwek3Znak">
    <w:name w:val="Nagłówek 3 Znak"/>
    <w:basedOn w:val="Domylnaczcionkaakapitu"/>
    <w:link w:val="Nagwek3"/>
    <w:uiPriority w:val="9"/>
    <w:rsid w:val="004367F3"/>
    <w:rPr>
      <w:rFonts w:ascii="Lato Black" w:hAnsi="Lato Black"/>
      <w:sz w:val="24"/>
      <w:szCs w:val="24"/>
    </w:rPr>
  </w:style>
  <w:style w:type="paragraph" w:styleId="Akapitzlist">
    <w:name w:val="List Paragraph"/>
    <w:basedOn w:val="Normalny"/>
    <w:link w:val="AkapitzlistZnak"/>
    <w:uiPriority w:val="34"/>
    <w:qFormat/>
    <w:rsid w:val="008E7A5B"/>
    <w:pPr>
      <w:ind w:left="720"/>
      <w:contextualSpacing/>
    </w:pPr>
  </w:style>
  <w:style w:type="paragraph" w:customStyle="1" w:styleId="Punktory">
    <w:name w:val="Punktory"/>
    <w:basedOn w:val="Akapitzlist"/>
    <w:link w:val="PunktoryZnak"/>
    <w:qFormat/>
    <w:rsid w:val="004367F3"/>
    <w:pPr>
      <w:numPr>
        <w:numId w:val="2"/>
      </w:numPr>
      <w:ind w:left="7768" w:hanging="284"/>
    </w:pPr>
  </w:style>
  <w:style w:type="character" w:customStyle="1" w:styleId="AkapitzlistZnak">
    <w:name w:val="Akapit z listą Znak"/>
    <w:basedOn w:val="Domylnaczcionkaakapitu"/>
    <w:link w:val="Akapitzlist"/>
    <w:uiPriority w:val="34"/>
    <w:rsid w:val="008E7A5B"/>
    <w:rPr>
      <w:rFonts w:ascii="Lato Light" w:hAnsi="Lato Light"/>
      <w:color w:val="707372"/>
      <w:sz w:val="24"/>
      <w:szCs w:val="24"/>
    </w:rPr>
  </w:style>
  <w:style w:type="character" w:customStyle="1" w:styleId="PunktoryZnak">
    <w:name w:val="Punktory Znak"/>
    <w:basedOn w:val="AkapitzlistZnak"/>
    <w:link w:val="Punktory"/>
    <w:rsid w:val="004367F3"/>
    <w:rPr>
      <w:rFonts w:ascii="Lato Light" w:hAnsi="Lato Light"/>
      <w:color w:val="707372"/>
      <w:sz w:val="24"/>
      <w:szCs w:val="24"/>
    </w:rPr>
  </w:style>
  <w:style w:type="paragraph" w:customStyle="1" w:styleId="Wyliczenie">
    <w:name w:val="Wyliczenie"/>
    <w:basedOn w:val="Akapitzlist"/>
    <w:link w:val="WyliczenieZnak"/>
    <w:qFormat/>
    <w:rsid w:val="004367F3"/>
    <w:pPr>
      <w:numPr>
        <w:numId w:val="3"/>
      </w:numPr>
      <w:ind w:left="3970" w:hanging="284"/>
    </w:pPr>
  </w:style>
  <w:style w:type="character" w:customStyle="1" w:styleId="WyliczenieZnak">
    <w:name w:val="Wyliczenie Znak"/>
    <w:basedOn w:val="AkapitzlistZnak"/>
    <w:link w:val="Wyliczenie"/>
    <w:rsid w:val="004367F3"/>
    <w:rPr>
      <w:rFonts w:ascii="Lato Light" w:hAnsi="Lato Light"/>
      <w:color w:val="707372"/>
      <w:sz w:val="24"/>
      <w:szCs w:val="24"/>
    </w:rPr>
  </w:style>
  <w:style w:type="paragraph" w:styleId="Tekstdymka">
    <w:name w:val="Balloon Text"/>
    <w:basedOn w:val="Normalny"/>
    <w:link w:val="TekstdymkaZnak"/>
    <w:uiPriority w:val="99"/>
    <w:semiHidden/>
    <w:unhideWhenUsed/>
    <w:rsid w:val="009E4D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4D13"/>
    <w:rPr>
      <w:rFonts w:ascii="Segoe UI" w:hAnsi="Segoe UI" w:cs="Segoe UI"/>
      <w:sz w:val="18"/>
      <w:szCs w:val="18"/>
    </w:rPr>
  </w:style>
  <w:style w:type="paragraph" w:styleId="Poprawka">
    <w:name w:val="Revision"/>
    <w:hidden/>
    <w:uiPriority w:val="99"/>
    <w:semiHidden/>
    <w:rsid w:val="007A54CD"/>
    <w:pPr>
      <w:spacing w:after="0" w:line="240" w:lineRule="auto"/>
    </w:pPr>
    <w:rPr>
      <w:rFonts w:ascii="Lato Light" w:hAnsi="Lato Light"/>
      <w:sz w:val="24"/>
      <w:szCs w:val="24"/>
    </w:rPr>
  </w:style>
  <w:style w:type="character" w:styleId="Odwoaniedokomentarza">
    <w:name w:val="annotation reference"/>
    <w:basedOn w:val="Domylnaczcionkaakapitu"/>
    <w:uiPriority w:val="99"/>
    <w:semiHidden/>
    <w:unhideWhenUsed/>
    <w:rsid w:val="007A54CD"/>
    <w:rPr>
      <w:sz w:val="16"/>
      <w:szCs w:val="16"/>
    </w:rPr>
  </w:style>
  <w:style w:type="paragraph" w:styleId="Tekstkomentarza">
    <w:name w:val="annotation text"/>
    <w:basedOn w:val="Normalny"/>
    <w:link w:val="TekstkomentarzaZnak"/>
    <w:uiPriority w:val="99"/>
    <w:unhideWhenUsed/>
    <w:rsid w:val="007A54CD"/>
    <w:pPr>
      <w:spacing w:line="240" w:lineRule="auto"/>
    </w:pPr>
    <w:rPr>
      <w:sz w:val="20"/>
      <w:szCs w:val="20"/>
    </w:rPr>
  </w:style>
  <w:style w:type="character" w:customStyle="1" w:styleId="TekstkomentarzaZnak">
    <w:name w:val="Tekst komentarza Znak"/>
    <w:basedOn w:val="Domylnaczcionkaakapitu"/>
    <w:link w:val="Tekstkomentarza"/>
    <w:uiPriority w:val="99"/>
    <w:rsid w:val="007A54CD"/>
    <w:rPr>
      <w:rFonts w:ascii="Lato Light" w:hAnsi="Lato Light"/>
      <w:sz w:val="20"/>
      <w:szCs w:val="20"/>
    </w:rPr>
  </w:style>
  <w:style w:type="paragraph" w:styleId="Tematkomentarza">
    <w:name w:val="annotation subject"/>
    <w:basedOn w:val="Tekstkomentarza"/>
    <w:next w:val="Tekstkomentarza"/>
    <w:link w:val="TematkomentarzaZnak"/>
    <w:uiPriority w:val="99"/>
    <w:semiHidden/>
    <w:unhideWhenUsed/>
    <w:rsid w:val="007A54CD"/>
    <w:rPr>
      <w:b/>
      <w:bCs/>
    </w:rPr>
  </w:style>
  <w:style w:type="character" w:customStyle="1" w:styleId="TematkomentarzaZnak">
    <w:name w:val="Temat komentarza Znak"/>
    <w:basedOn w:val="TekstkomentarzaZnak"/>
    <w:link w:val="Tematkomentarza"/>
    <w:uiPriority w:val="99"/>
    <w:semiHidden/>
    <w:rsid w:val="007A54CD"/>
    <w:rPr>
      <w:rFonts w:ascii="Lato Light" w:hAnsi="Lato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1393</Words>
  <Characters>8363</Characters>
  <Application>Microsoft Office Word</Application>
  <DocSecurity>0</DocSecurity>
  <Lines>69</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2025-01-20T19:48:00Z</dcterms:created>
  <dcterms:modified xsi:type="dcterms:W3CDTF">2025-01-20T19:48:00Z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2025-01-10T16:04:52Z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c62ac2f5-4f7a-4b89-a93b-9a4d802b00f2</vt:lpwstr>
  </property>
  <property fmtid="{D5CDD505-2E9C-101B-9397-08002B2CF9AE}" pid="8" name="MSIP_Label_6bd9ddd1-4d20-43f6-abfa-fc3c07406f94_ContentBits">
    <vt:lpwstr>0</vt:lpwstr>
  </property>
  <property fmtid="{D5CDD505-2E9C-101B-9397-08002B2CF9AE}" pid="9" name="MSIP_Label_b1df41d6-74a9-4a97-809c-213cd32520cc_Enabled">
    <vt:lpwstr>true</vt:lpwstr>
  </property>
  <property fmtid="{D5CDD505-2E9C-101B-9397-08002B2CF9AE}" pid="10" name="MSIP_Label_b1df41d6-74a9-4a97-809c-213cd32520cc_SetDate">
    <vt:lpwstr>2025-01-20T11:37:41Z</vt:lpwstr>
  </property>
  <property fmtid="{D5CDD505-2E9C-101B-9397-08002B2CF9AE}" pid="11" name="MSIP_Label_b1df41d6-74a9-4a97-809c-213cd32520cc_Method">
    <vt:lpwstr>Standard</vt:lpwstr>
  </property>
  <property fmtid="{D5CDD505-2E9C-101B-9397-08002B2CF9AE}" pid="12" name="MSIP_Label_b1df41d6-74a9-4a97-809c-213cd32520cc_Name">
    <vt:lpwstr>GSCEU - NON PUBLIC Label</vt:lpwstr>
  </property>
  <property fmtid="{D5CDD505-2E9C-101B-9397-08002B2CF9AE}" pid="13" name="MSIP_Label_b1df41d6-74a9-4a97-809c-213cd32520cc_SiteId">
    <vt:lpwstr>03ad1c97-0a4d-4e82-8f93-27291a6a0767</vt:lpwstr>
  </property>
  <property fmtid="{D5CDD505-2E9C-101B-9397-08002B2CF9AE}" pid="14" name="MSIP_Label_b1df41d6-74a9-4a97-809c-213cd32520cc_ActionId">
    <vt:lpwstr>8c26ac8a-8ce7-4ee6-b406-ce0c9c27fa8a</vt:lpwstr>
  </property>
  <property fmtid="{D5CDD505-2E9C-101B-9397-08002B2CF9AE}" pid="15" name="MSIP_Label_b1df41d6-74a9-4a97-809c-213cd32520cc_ContentBits">
    <vt:lpwstr>0</vt:lpwstr>
  </property>
</Properties>
</file>