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A880F" w14:textId="77777777" w:rsidR="00101F81" w:rsidRDefault="00101F81" w:rsidP="00101F81">
      <w:pPr>
        <w:spacing w:line="216" w:lineRule="auto"/>
        <w:rPr>
          <w:sz w:val="48"/>
          <w:szCs w:val="48"/>
        </w:rPr>
      </w:pPr>
    </w:p>
    <w:p w14:paraId="0CE28F4E" w14:textId="6DBAB0C9" w:rsidR="00101F81" w:rsidRDefault="00101F81" w:rsidP="00101F81">
      <w:pPr>
        <w:spacing w:line="216" w:lineRule="auto"/>
        <w:rPr>
          <w:sz w:val="48"/>
          <w:szCs w:val="48"/>
        </w:rPr>
      </w:pPr>
      <w:bookmarkStart w:id="0" w:name="_Hlk188612190"/>
      <w:r>
        <w:rPr>
          <w:sz w:val="48"/>
          <w:szCs w:val="48"/>
        </w:rPr>
        <w:t>202</w:t>
      </w:r>
      <w:r w:rsidR="00CF0051">
        <w:rPr>
          <w:sz w:val="48"/>
          <w:szCs w:val="48"/>
        </w:rPr>
        <w:t>5</w:t>
      </w:r>
      <w:r>
        <w:rPr>
          <w:sz w:val="48"/>
          <w:szCs w:val="48"/>
        </w:rPr>
        <w:t xml:space="preserve"> Rule of Law Report - targeted stakeholder consultation</w:t>
      </w:r>
    </w:p>
    <w:p w14:paraId="6AA04D5E" w14:textId="77777777" w:rsidR="00101F81" w:rsidRDefault="00101F81" w:rsidP="00101F81">
      <w:pPr>
        <w:spacing w:line="216" w:lineRule="auto"/>
      </w:pPr>
    </w:p>
    <w:p w14:paraId="22C50B88" w14:textId="3EB6D62A" w:rsidR="00101F81" w:rsidRDefault="00101F81" w:rsidP="00101F81">
      <w:pPr>
        <w:rPr>
          <w:sz w:val="28"/>
          <w:szCs w:val="28"/>
        </w:rPr>
      </w:pPr>
      <w:r w:rsidRPr="00DA2D4B">
        <w:rPr>
          <w:sz w:val="28"/>
          <w:szCs w:val="28"/>
        </w:rPr>
        <w:t xml:space="preserve">Submission by </w:t>
      </w:r>
      <w:proofErr w:type="spellStart"/>
      <w:r w:rsidRPr="00DA2D4B">
        <w:rPr>
          <w:sz w:val="28"/>
          <w:szCs w:val="28"/>
        </w:rPr>
        <w:t>ILGA-Europe</w:t>
      </w:r>
      <w:proofErr w:type="spellEnd"/>
      <w:r w:rsidRPr="00DA2D4B">
        <w:rPr>
          <w:sz w:val="28"/>
          <w:szCs w:val="28"/>
        </w:rPr>
        <w:t xml:space="preserve"> and organisations</w:t>
      </w:r>
      <w:r>
        <w:rPr>
          <w:sz w:val="28"/>
          <w:szCs w:val="28"/>
        </w:rPr>
        <w:t xml:space="preserve"> </w:t>
      </w:r>
      <w:proofErr w:type="spellStart"/>
      <w:r w:rsidR="00CF0051">
        <w:rPr>
          <w:sz w:val="28"/>
          <w:szCs w:val="28"/>
        </w:rPr>
        <w:t>Prisme</w:t>
      </w:r>
      <w:proofErr w:type="spellEnd"/>
      <w:r w:rsidR="00CF0051">
        <w:rPr>
          <w:sz w:val="28"/>
          <w:szCs w:val="28"/>
        </w:rPr>
        <w:t xml:space="preserve"> (Belgium), </w:t>
      </w:r>
      <w:proofErr w:type="spellStart"/>
      <w:r w:rsidR="00F104B2">
        <w:rPr>
          <w:sz w:val="28"/>
          <w:szCs w:val="28"/>
        </w:rPr>
        <w:t>Deystvie</w:t>
      </w:r>
      <w:proofErr w:type="spellEnd"/>
      <w:r w:rsidR="005452AC">
        <w:rPr>
          <w:sz w:val="28"/>
          <w:szCs w:val="28"/>
        </w:rPr>
        <w:t xml:space="preserve"> (Bulgaria), </w:t>
      </w:r>
      <w:r w:rsidR="00377B38">
        <w:rPr>
          <w:sz w:val="28"/>
          <w:szCs w:val="28"/>
        </w:rPr>
        <w:t xml:space="preserve">Queer Cyprus (Cyprus), </w:t>
      </w:r>
      <w:r w:rsidRPr="007F7E21">
        <w:rPr>
          <w:sz w:val="28"/>
          <w:szCs w:val="28"/>
        </w:rPr>
        <w:t>Háttér Társaság</w:t>
      </w:r>
      <w:r w:rsidR="00CF0051">
        <w:rPr>
          <w:sz w:val="28"/>
          <w:szCs w:val="28"/>
        </w:rPr>
        <w:t>, Budapest Pride</w:t>
      </w:r>
      <w:r w:rsidRPr="007F7E21">
        <w:rPr>
          <w:sz w:val="28"/>
          <w:szCs w:val="28"/>
        </w:rPr>
        <w:t xml:space="preserve"> (Hungary), </w:t>
      </w:r>
      <w:proofErr w:type="spellStart"/>
      <w:r w:rsidR="00CF0051">
        <w:rPr>
          <w:sz w:val="28"/>
          <w:szCs w:val="28"/>
        </w:rPr>
        <w:t>Arcigay</w:t>
      </w:r>
      <w:proofErr w:type="spellEnd"/>
      <w:r w:rsidR="00F104B2">
        <w:rPr>
          <w:sz w:val="28"/>
          <w:szCs w:val="28"/>
        </w:rPr>
        <w:t xml:space="preserve"> (Italy),</w:t>
      </w:r>
      <w:r w:rsidR="00DF6A94">
        <w:rPr>
          <w:sz w:val="28"/>
          <w:szCs w:val="28"/>
        </w:rPr>
        <w:t xml:space="preserve"> </w:t>
      </w:r>
      <w:r w:rsidRPr="007F7E21">
        <w:rPr>
          <w:bCs/>
          <w:iCs/>
          <w:sz w:val="28"/>
          <w:szCs w:val="28"/>
        </w:rPr>
        <w:t>KPH (Poland),</w:t>
      </w:r>
      <w:r>
        <w:rPr>
          <w:bCs/>
          <w:iCs/>
          <w:sz w:val="28"/>
          <w:szCs w:val="28"/>
        </w:rPr>
        <w:t xml:space="preserve"> ACCEPT </w:t>
      </w:r>
      <w:r w:rsidR="00BA5EB4">
        <w:rPr>
          <w:bCs/>
          <w:iCs/>
          <w:sz w:val="28"/>
          <w:szCs w:val="28"/>
        </w:rPr>
        <w:t xml:space="preserve">Romania </w:t>
      </w:r>
      <w:r>
        <w:rPr>
          <w:bCs/>
          <w:iCs/>
          <w:sz w:val="28"/>
          <w:szCs w:val="28"/>
        </w:rPr>
        <w:t>(Romania),</w:t>
      </w:r>
      <w:r w:rsidRPr="00DA2D4B">
        <w:rPr>
          <w:sz w:val="28"/>
          <w:szCs w:val="28"/>
        </w:rPr>
        <w:t xml:space="preserve"> </w:t>
      </w:r>
      <w:proofErr w:type="spellStart"/>
      <w:r w:rsidR="008269DD">
        <w:rPr>
          <w:sz w:val="28"/>
          <w:szCs w:val="28"/>
        </w:rPr>
        <w:t>Saplinq</w:t>
      </w:r>
      <w:proofErr w:type="spellEnd"/>
      <w:r w:rsidR="008269DD">
        <w:rPr>
          <w:sz w:val="28"/>
          <w:szCs w:val="28"/>
        </w:rPr>
        <w:t xml:space="preserve"> (Slovakia), </w:t>
      </w:r>
      <w:proofErr w:type="spellStart"/>
      <w:r w:rsidR="007865DF" w:rsidRPr="007865DF">
        <w:rPr>
          <w:bCs/>
          <w:sz w:val="28"/>
          <w:szCs w:val="28"/>
        </w:rPr>
        <w:t>Euforia</w:t>
      </w:r>
      <w:proofErr w:type="spellEnd"/>
      <w:r w:rsidR="007865DF" w:rsidRPr="007865DF">
        <w:rPr>
          <w:bCs/>
          <w:sz w:val="28"/>
          <w:szCs w:val="28"/>
        </w:rPr>
        <w:t xml:space="preserve"> </w:t>
      </w:r>
      <w:proofErr w:type="spellStart"/>
      <w:r w:rsidR="007865DF" w:rsidRPr="007865DF">
        <w:rPr>
          <w:bCs/>
          <w:sz w:val="28"/>
          <w:szCs w:val="28"/>
        </w:rPr>
        <w:t>Familias</w:t>
      </w:r>
      <w:proofErr w:type="spellEnd"/>
      <w:r w:rsidR="007865DF" w:rsidRPr="007865DF">
        <w:rPr>
          <w:bCs/>
          <w:sz w:val="28"/>
          <w:szCs w:val="28"/>
        </w:rPr>
        <w:t xml:space="preserve"> Trans-</w:t>
      </w:r>
      <w:proofErr w:type="spellStart"/>
      <w:r w:rsidR="007865DF" w:rsidRPr="007865DF">
        <w:rPr>
          <w:bCs/>
          <w:sz w:val="28"/>
          <w:szCs w:val="28"/>
        </w:rPr>
        <w:t>Aliadas</w:t>
      </w:r>
      <w:proofErr w:type="spellEnd"/>
      <w:r w:rsidR="00CF0051" w:rsidRPr="007865DF">
        <w:rPr>
          <w:sz w:val="28"/>
          <w:szCs w:val="28"/>
        </w:rPr>
        <w:t xml:space="preserve"> </w:t>
      </w:r>
      <w:r w:rsidR="00CF0051">
        <w:rPr>
          <w:sz w:val="28"/>
          <w:szCs w:val="28"/>
        </w:rPr>
        <w:t>(Spain).</w:t>
      </w:r>
    </w:p>
    <w:p w14:paraId="430AD8DC" w14:textId="77777777" w:rsidR="00453880" w:rsidRPr="00DA2D4B" w:rsidRDefault="00453880" w:rsidP="00101F81">
      <w:pPr>
        <w:rPr>
          <w:sz w:val="28"/>
          <w:szCs w:val="28"/>
        </w:rPr>
      </w:pPr>
    </w:p>
    <w:p w14:paraId="7C5827F6" w14:textId="49BF6A9C" w:rsidR="00101F81" w:rsidRDefault="00101F81" w:rsidP="00101F81">
      <w:pPr>
        <w:rPr>
          <w:rStyle w:val="Hyperlink"/>
        </w:rPr>
      </w:pPr>
      <w:proofErr w:type="spellStart"/>
      <w:r w:rsidRPr="00FC6A36">
        <w:t>ILGA-Europe</w:t>
      </w:r>
      <w:proofErr w:type="spellEnd"/>
      <w:r w:rsidRPr="00FC6A36">
        <w:t xml:space="preserve"> are an independent, international LGBTI rights non-governmental umbrella organisation bringing together over </w:t>
      </w:r>
      <w:r w:rsidR="00D23CA2">
        <w:t>7</w:t>
      </w:r>
      <w:r w:rsidRPr="00FC6A36">
        <w:t xml:space="preserve">00 organisations from 54 countries in Europe and Central Asia. We are part of the wider international ILGA organisation, but </w:t>
      </w:r>
      <w:proofErr w:type="spellStart"/>
      <w:r w:rsidRPr="00FC6A36">
        <w:t>ILGA-Europe</w:t>
      </w:r>
      <w:proofErr w:type="spellEnd"/>
      <w:r w:rsidRPr="00FC6A36">
        <w:t xml:space="preserve"> were established as a separate region of ILGA and an independent legal entity in 1996. ILGA itself was created in 1978. </w:t>
      </w:r>
      <w:hyperlink r:id="rId8" w:history="1">
        <w:r w:rsidRPr="00FC6A36">
          <w:rPr>
            <w:rStyle w:val="Hyperlink"/>
          </w:rPr>
          <w:t>https://www.ilga-europe.org/who-we-are/what-ilga-europe</w:t>
        </w:r>
      </w:hyperlink>
    </w:p>
    <w:bookmarkEnd w:id="0"/>
    <w:p w14:paraId="1651BE2F" w14:textId="77777777" w:rsidR="00453880" w:rsidRDefault="00453880" w:rsidP="00101F81">
      <w:pPr>
        <w:rPr>
          <w:rStyle w:val="Hyperlink"/>
        </w:rPr>
      </w:pPr>
    </w:p>
    <w:sdt>
      <w:sdtPr>
        <w:rPr>
          <w:rFonts w:asciiTheme="minorHAnsi" w:eastAsiaTheme="minorHAnsi" w:hAnsiTheme="minorHAnsi" w:cstheme="minorBidi"/>
          <w:color w:val="auto"/>
          <w:sz w:val="22"/>
          <w:szCs w:val="22"/>
          <w:u w:val="single"/>
          <w:lang w:val="en-GB" w:eastAsia="en-GB"/>
        </w:rPr>
        <w:id w:val="1276597023"/>
        <w:docPartObj>
          <w:docPartGallery w:val="Table of Contents"/>
          <w:docPartUnique/>
        </w:docPartObj>
      </w:sdtPr>
      <w:sdtEndPr>
        <w:rPr>
          <w:rFonts w:ascii="Calibri" w:hAnsi="Calibri" w:cs="Calibri"/>
          <w:b/>
          <w:bCs/>
          <w:noProof/>
        </w:rPr>
      </w:sdtEndPr>
      <w:sdtContent>
        <w:p w14:paraId="0E492D71" w14:textId="6C48204A" w:rsidR="00A532A6" w:rsidRDefault="00A532A6">
          <w:pPr>
            <w:pStyle w:val="TOCHeading"/>
          </w:pPr>
          <w:r>
            <w:t>Contents</w:t>
          </w:r>
        </w:p>
        <w:p w14:paraId="52FB02CD" w14:textId="4138A6DC" w:rsidR="006912BE" w:rsidRDefault="00A532A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88863986" w:history="1">
            <w:r w:rsidR="006912BE" w:rsidRPr="0095744A">
              <w:rPr>
                <w:rStyle w:val="Hyperlink"/>
                <w:noProof/>
              </w:rPr>
              <w:t>Horizontal developments</w:t>
            </w:r>
            <w:r w:rsidR="006912BE">
              <w:rPr>
                <w:noProof/>
                <w:webHidden/>
              </w:rPr>
              <w:tab/>
            </w:r>
            <w:r w:rsidR="006912BE">
              <w:rPr>
                <w:noProof/>
                <w:webHidden/>
              </w:rPr>
              <w:fldChar w:fldCharType="begin"/>
            </w:r>
            <w:r w:rsidR="006912BE">
              <w:rPr>
                <w:noProof/>
                <w:webHidden/>
              </w:rPr>
              <w:instrText xml:space="preserve"> PAGEREF _Toc188863986 \h </w:instrText>
            </w:r>
            <w:r w:rsidR="006912BE">
              <w:rPr>
                <w:noProof/>
                <w:webHidden/>
              </w:rPr>
            </w:r>
            <w:r w:rsidR="006912BE">
              <w:rPr>
                <w:noProof/>
                <w:webHidden/>
              </w:rPr>
              <w:fldChar w:fldCharType="separate"/>
            </w:r>
            <w:r w:rsidR="00A71ABB">
              <w:rPr>
                <w:noProof/>
                <w:webHidden/>
              </w:rPr>
              <w:t>1</w:t>
            </w:r>
            <w:r w:rsidR="006912BE">
              <w:rPr>
                <w:noProof/>
                <w:webHidden/>
              </w:rPr>
              <w:fldChar w:fldCharType="end"/>
            </w:r>
          </w:hyperlink>
        </w:p>
        <w:p w14:paraId="02A75E86" w14:textId="67B075F7" w:rsidR="006912BE" w:rsidRDefault="00C63176">
          <w:pPr>
            <w:pStyle w:val="TOC1"/>
            <w:tabs>
              <w:tab w:val="right" w:leader="dot" w:pos="9016"/>
            </w:tabs>
            <w:rPr>
              <w:rFonts w:eastAsiaTheme="minorEastAsia"/>
              <w:noProof/>
              <w:lang w:eastAsia="en-GB"/>
            </w:rPr>
          </w:pPr>
          <w:hyperlink w:anchor="_Toc188863987" w:history="1">
            <w:r w:rsidR="006912BE" w:rsidRPr="0095744A">
              <w:rPr>
                <w:rStyle w:val="Hyperlink"/>
                <w:noProof/>
              </w:rPr>
              <w:t>Belgium</w:t>
            </w:r>
            <w:r w:rsidR="006912BE">
              <w:rPr>
                <w:noProof/>
                <w:webHidden/>
              </w:rPr>
              <w:tab/>
            </w:r>
            <w:r w:rsidR="006912BE">
              <w:rPr>
                <w:noProof/>
                <w:webHidden/>
              </w:rPr>
              <w:fldChar w:fldCharType="begin"/>
            </w:r>
            <w:r w:rsidR="006912BE">
              <w:rPr>
                <w:noProof/>
                <w:webHidden/>
              </w:rPr>
              <w:instrText xml:space="preserve"> PAGEREF _Toc188863987 \h </w:instrText>
            </w:r>
            <w:r w:rsidR="006912BE">
              <w:rPr>
                <w:noProof/>
                <w:webHidden/>
              </w:rPr>
            </w:r>
            <w:r w:rsidR="006912BE">
              <w:rPr>
                <w:noProof/>
                <w:webHidden/>
              </w:rPr>
              <w:fldChar w:fldCharType="separate"/>
            </w:r>
            <w:r w:rsidR="00A71ABB">
              <w:rPr>
                <w:noProof/>
                <w:webHidden/>
              </w:rPr>
              <w:t>3</w:t>
            </w:r>
            <w:r w:rsidR="006912BE">
              <w:rPr>
                <w:noProof/>
                <w:webHidden/>
              </w:rPr>
              <w:fldChar w:fldCharType="end"/>
            </w:r>
          </w:hyperlink>
        </w:p>
        <w:p w14:paraId="69E1EB4E" w14:textId="5F7EE740" w:rsidR="006912BE" w:rsidRDefault="00C63176">
          <w:pPr>
            <w:pStyle w:val="TOC1"/>
            <w:tabs>
              <w:tab w:val="right" w:leader="dot" w:pos="9016"/>
            </w:tabs>
            <w:rPr>
              <w:rFonts w:eastAsiaTheme="minorEastAsia"/>
              <w:noProof/>
              <w:lang w:eastAsia="en-GB"/>
            </w:rPr>
          </w:pPr>
          <w:hyperlink w:anchor="_Toc188863988" w:history="1">
            <w:r w:rsidR="006912BE" w:rsidRPr="0095744A">
              <w:rPr>
                <w:rStyle w:val="Hyperlink"/>
                <w:noProof/>
              </w:rPr>
              <w:t>Bulgaria</w:t>
            </w:r>
            <w:r w:rsidR="006912BE">
              <w:rPr>
                <w:noProof/>
                <w:webHidden/>
              </w:rPr>
              <w:tab/>
            </w:r>
            <w:r w:rsidR="006912BE">
              <w:rPr>
                <w:noProof/>
                <w:webHidden/>
              </w:rPr>
              <w:fldChar w:fldCharType="begin"/>
            </w:r>
            <w:r w:rsidR="006912BE">
              <w:rPr>
                <w:noProof/>
                <w:webHidden/>
              </w:rPr>
              <w:instrText xml:space="preserve"> PAGEREF _Toc188863988 \h </w:instrText>
            </w:r>
            <w:r w:rsidR="006912BE">
              <w:rPr>
                <w:noProof/>
                <w:webHidden/>
              </w:rPr>
            </w:r>
            <w:r w:rsidR="006912BE">
              <w:rPr>
                <w:noProof/>
                <w:webHidden/>
              </w:rPr>
              <w:fldChar w:fldCharType="separate"/>
            </w:r>
            <w:r w:rsidR="00A71ABB">
              <w:rPr>
                <w:noProof/>
                <w:webHidden/>
              </w:rPr>
              <w:t>5</w:t>
            </w:r>
            <w:r w:rsidR="006912BE">
              <w:rPr>
                <w:noProof/>
                <w:webHidden/>
              </w:rPr>
              <w:fldChar w:fldCharType="end"/>
            </w:r>
          </w:hyperlink>
        </w:p>
        <w:p w14:paraId="1B0D0B1F" w14:textId="4DFA4FB2" w:rsidR="006912BE" w:rsidRDefault="00C63176">
          <w:pPr>
            <w:pStyle w:val="TOC1"/>
            <w:tabs>
              <w:tab w:val="right" w:leader="dot" w:pos="9016"/>
            </w:tabs>
            <w:rPr>
              <w:rFonts w:eastAsiaTheme="minorEastAsia"/>
              <w:noProof/>
              <w:lang w:eastAsia="en-GB"/>
            </w:rPr>
          </w:pPr>
          <w:hyperlink w:anchor="_Toc188863989" w:history="1">
            <w:r w:rsidR="006912BE" w:rsidRPr="0095744A">
              <w:rPr>
                <w:rStyle w:val="Hyperlink"/>
                <w:noProof/>
              </w:rPr>
              <w:t>Cyprus</w:t>
            </w:r>
            <w:r w:rsidR="006912BE">
              <w:rPr>
                <w:noProof/>
                <w:webHidden/>
              </w:rPr>
              <w:tab/>
            </w:r>
            <w:r w:rsidR="006912BE">
              <w:rPr>
                <w:noProof/>
                <w:webHidden/>
              </w:rPr>
              <w:fldChar w:fldCharType="begin"/>
            </w:r>
            <w:r w:rsidR="006912BE">
              <w:rPr>
                <w:noProof/>
                <w:webHidden/>
              </w:rPr>
              <w:instrText xml:space="preserve"> PAGEREF _Toc188863989 \h </w:instrText>
            </w:r>
            <w:r w:rsidR="006912BE">
              <w:rPr>
                <w:noProof/>
                <w:webHidden/>
              </w:rPr>
            </w:r>
            <w:r w:rsidR="006912BE">
              <w:rPr>
                <w:noProof/>
                <w:webHidden/>
              </w:rPr>
              <w:fldChar w:fldCharType="separate"/>
            </w:r>
            <w:r w:rsidR="00A71ABB">
              <w:rPr>
                <w:noProof/>
                <w:webHidden/>
              </w:rPr>
              <w:t>8</w:t>
            </w:r>
            <w:r w:rsidR="006912BE">
              <w:rPr>
                <w:noProof/>
                <w:webHidden/>
              </w:rPr>
              <w:fldChar w:fldCharType="end"/>
            </w:r>
          </w:hyperlink>
        </w:p>
        <w:p w14:paraId="5E707170" w14:textId="4DFE52BE" w:rsidR="006912BE" w:rsidRDefault="00C63176">
          <w:pPr>
            <w:pStyle w:val="TOC1"/>
            <w:tabs>
              <w:tab w:val="right" w:leader="dot" w:pos="9016"/>
            </w:tabs>
            <w:rPr>
              <w:rFonts w:eastAsiaTheme="minorEastAsia"/>
              <w:noProof/>
              <w:lang w:eastAsia="en-GB"/>
            </w:rPr>
          </w:pPr>
          <w:hyperlink w:anchor="_Toc188863990" w:history="1">
            <w:r w:rsidR="006912BE" w:rsidRPr="0095744A">
              <w:rPr>
                <w:rStyle w:val="Hyperlink"/>
                <w:rFonts w:eastAsia="Calibri"/>
                <w:noProof/>
                <w:lang w:val="hu-HU"/>
              </w:rPr>
              <w:t>Hungary</w:t>
            </w:r>
            <w:r w:rsidR="006912BE">
              <w:rPr>
                <w:noProof/>
                <w:webHidden/>
              </w:rPr>
              <w:tab/>
            </w:r>
            <w:r w:rsidR="006912BE">
              <w:rPr>
                <w:noProof/>
                <w:webHidden/>
              </w:rPr>
              <w:fldChar w:fldCharType="begin"/>
            </w:r>
            <w:r w:rsidR="006912BE">
              <w:rPr>
                <w:noProof/>
                <w:webHidden/>
              </w:rPr>
              <w:instrText xml:space="preserve"> PAGEREF _Toc188863990 \h </w:instrText>
            </w:r>
            <w:r w:rsidR="006912BE">
              <w:rPr>
                <w:noProof/>
                <w:webHidden/>
              </w:rPr>
            </w:r>
            <w:r w:rsidR="006912BE">
              <w:rPr>
                <w:noProof/>
                <w:webHidden/>
              </w:rPr>
              <w:fldChar w:fldCharType="separate"/>
            </w:r>
            <w:r w:rsidR="00A71ABB">
              <w:rPr>
                <w:noProof/>
                <w:webHidden/>
              </w:rPr>
              <w:t>10</w:t>
            </w:r>
            <w:r w:rsidR="006912BE">
              <w:rPr>
                <w:noProof/>
                <w:webHidden/>
              </w:rPr>
              <w:fldChar w:fldCharType="end"/>
            </w:r>
          </w:hyperlink>
        </w:p>
        <w:p w14:paraId="1ABCB2FA" w14:textId="46C370E8" w:rsidR="006912BE" w:rsidRDefault="00C63176">
          <w:pPr>
            <w:pStyle w:val="TOC1"/>
            <w:tabs>
              <w:tab w:val="right" w:leader="dot" w:pos="9016"/>
            </w:tabs>
            <w:rPr>
              <w:rFonts w:eastAsiaTheme="minorEastAsia"/>
              <w:noProof/>
              <w:lang w:eastAsia="en-GB"/>
            </w:rPr>
          </w:pPr>
          <w:hyperlink w:anchor="_Toc188863991" w:history="1">
            <w:r w:rsidR="006912BE" w:rsidRPr="0095744A">
              <w:rPr>
                <w:rStyle w:val="Hyperlink"/>
                <w:noProof/>
              </w:rPr>
              <w:t>Italy</w:t>
            </w:r>
            <w:r w:rsidR="006912BE">
              <w:rPr>
                <w:noProof/>
                <w:webHidden/>
              </w:rPr>
              <w:tab/>
            </w:r>
            <w:r w:rsidR="006912BE">
              <w:rPr>
                <w:noProof/>
                <w:webHidden/>
              </w:rPr>
              <w:fldChar w:fldCharType="begin"/>
            </w:r>
            <w:r w:rsidR="006912BE">
              <w:rPr>
                <w:noProof/>
                <w:webHidden/>
              </w:rPr>
              <w:instrText xml:space="preserve"> PAGEREF _Toc188863991 \h </w:instrText>
            </w:r>
            <w:r w:rsidR="006912BE">
              <w:rPr>
                <w:noProof/>
                <w:webHidden/>
              </w:rPr>
            </w:r>
            <w:r w:rsidR="006912BE">
              <w:rPr>
                <w:noProof/>
                <w:webHidden/>
              </w:rPr>
              <w:fldChar w:fldCharType="separate"/>
            </w:r>
            <w:r w:rsidR="00A71ABB">
              <w:rPr>
                <w:noProof/>
                <w:webHidden/>
              </w:rPr>
              <w:t>21</w:t>
            </w:r>
            <w:r w:rsidR="006912BE">
              <w:rPr>
                <w:noProof/>
                <w:webHidden/>
              </w:rPr>
              <w:fldChar w:fldCharType="end"/>
            </w:r>
          </w:hyperlink>
        </w:p>
        <w:p w14:paraId="542AD9C4" w14:textId="7833B311" w:rsidR="006912BE" w:rsidRDefault="00C63176">
          <w:pPr>
            <w:pStyle w:val="TOC1"/>
            <w:tabs>
              <w:tab w:val="right" w:leader="dot" w:pos="9016"/>
            </w:tabs>
            <w:rPr>
              <w:rFonts w:eastAsiaTheme="minorEastAsia"/>
              <w:noProof/>
              <w:lang w:eastAsia="en-GB"/>
            </w:rPr>
          </w:pPr>
          <w:hyperlink w:anchor="_Toc188863992" w:history="1">
            <w:r w:rsidR="006912BE" w:rsidRPr="0095744A">
              <w:rPr>
                <w:rStyle w:val="Hyperlink"/>
                <w:noProof/>
              </w:rPr>
              <w:t>Poland</w:t>
            </w:r>
            <w:r w:rsidR="006912BE">
              <w:rPr>
                <w:noProof/>
                <w:webHidden/>
              </w:rPr>
              <w:tab/>
            </w:r>
            <w:r w:rsidR="006912BE">
              <w:rPr>
                <w:noProof/>
                <w:webHidden/>
              </w:rPr>
              <w:fldChar w:fldCharType="begin"/>
            </w:r>
            <w:r w:rsidR="006912BE">
              <w:rPr>
                <w:noProof/>
                <w:webHidden/>
              </w:rPr>
              <w:instrText xml:space="preserve"> PAGEREF _Toc188863992 \h </w:instrText>
            </w:r>
            <w:r w:rsidR="006912BE">
              <w:rPr>
                <w:noProof/>
                <w:webHidden/>
              </w:rPr>
            </w:r>
            <w:r w:rsidR="006912BE">
              <w:rPr>
                <w:noProof/>
                <w:webHidden/>
              </w:rPr>
              <w:fldChar w:fldCharType="separate"/>
            </w:r>
            <w:r w:rsidR="00A71ABB">
              <w:rPr>
                <w:noProof/>
                <w:webHidden/>
              </w:rPr>
              <w:t>23</w:t>
            </w:r>
            <w:r w:rsidR="006912BE">
              <w:rPr>
                <w:noProof/>
                <w:webHidden/>
              </w:rPr>
              <w:fldChar w:fldCharType="end"/>
            </w:r>
          </w:hyperlink>
        </w:p>
        <w:p w14:paraId="0AF10FD8" w14:textId="546DA2D5" w:rsidR="006912BE" w:rsidRDefault="00C63176">
          <w:pPr>
            <w:pStyle w:val="TOC1"/>
            <w:tabs>
              <w:tab w:val="right" w:leader="dot" w:pos="9016"/>
            </w:tabs>
            <w:rPr>
              <w:rFonts w:eastAsiaTheme="minorEastAsia"/>
              <w:noProof/>
              <w:lang w:eastAsia="en-GB"/>
            </w:rPr>
          </w:pPr>
          <w:hyperlink w:anchor="_Toc188863993" w:history="1">
            <w:r w:rsidR="006912BE" w:rsidRPr="0095744A">
              <w:rPr>
                <w:rStyle w:val="Hyperlink"/>
                <w:noProof/>
              </w:rPr>
              <w:t>Romania</w:t>
            </w:r>
            <w:r w:rsidR="006912BE">
              <w:rPr>
                <w:noProof/>
                <w:webHidden/>
              </w:rPr>
              <w:tab/>
            </w:r>
            <w:r w:rsidR="006912BE">
              <w:rPr>
                <w:noProof/>
                <w:webHidden/>
              </w:rPr>
              <w:fldChar w:fldCharType="begin"/>
            </w:r>
            <w:r w:rsidR="006912BE">
              <w:rPr>
                <w:noProof/>
                <w:webHidden/>
              </w:rPr>
              <w:instrText xml:space="preserve"> PAGEREF _Toc188863993 \h </w:instrText>
            </w:r>
            <w:r w:rsidR="006912BE">
              <w:rPr>
                <w:noProof/>
                <w:webHidden/>
              </w:rPr>
            </w:r>
            <w:r w:rsidR="006912BE">
              <w:rPr>
                <w:noProof/>
                <w:webHidden/>
              </w:rPr>
              <w:fldChar w:fldCharType="separate"/>
            </w:r>
            <w:r w:rsidR="00A71ABB">
              <w:rPr>
                <w:noProof/>
                <w:webHidden/>
              </w:rPr>
              <w:t>29</w:t>
            </w:r>
            <w:r w:rsidR="006912BE">
              <w:rPr>
                <w:noProof/>
                <w:webHidden/>
              </w:rPr>
              <w:fldChar w:fldCharType="end"/>
            </w:r>
          </w:hyperlink>
        </w:p>
        <w:p w14:paraId="5CF98A90" w14:textId="3AE59AC1" w:rsidR="006912BE" w:rsidRDefault="00C63176">
          <w:pPr>
            <w:pStyle w:val="TOC1"/>
            <w:tabs>
              <w:tab w:val="right" w:leader="dot" w:pos="9016"/>
            </w:tabs>
            <w:rPr>
              <w:rFonts w:eastAsiaTheme="minorEastAsia"/>
              <w:noProof/>
              <w:lang w:eastAsia="en-GB"/>
            </w:rPr>
          </w:pPr>
          <w:hyperlink w:anchor="_Toc188863994" w:history="1">
            <w:r w:rsidR="006912BE" w:rsidRPr="0095744A">
              <w:rPr>
                <w:rStyle w:val="Hyperlink"/>
                <w:noProof/>
              </w:rPr>
              <w:t>Slovakia</w:t>
            </w:r>
            <w:r w:rsidR="006912BE">
              <w:rPr>
                <w:noProof/>
                <w:webHidden/>
              </w:rPr>
              <w:tab/>
            </w:r>
            <w:r w:rsidR="006912BE">
              <w:rPr>
                <w:noProof/>
                <w:webHidden/>
              </w:rPr>
              <w:fldChar w:fldCharType="begin"/>
            </w:r>
            <w:r w:rsidR="006912BE">
              <w:rPr>
                <w:noProof/>
                <w:webHidden/>
              </w:rPr>
              <w:instrText xml:space="preserve"> PAGEREF _Toc188863994 \h </w:instrText>
            </w:r>
            <w:r w:rsidR="006912BE">
              <w:rPr>
                <w:noProof/>
                <w:webHidden/>
              </w:rPr>
            </w:r>
            <w:r w:rsidR="006912BE">
              <w:rPr>
                <w:noProof/>
                <w:webHidden/>
              </w:rPr>
              <w:fldChar w:fldCharType="separate"/>
            </w:r>
            <w:r w:rsidR="00A71ABB">
              <w:rPr>
                <w:noProof/>
                <w:webHidden/>
              </w:rPr>
              <w:t>35</w:t>
            </w:r>
            <w:r w:rsidR="006912BE">
              <w:rPr>
                <w:noProof/>
                <w:webHidden/>
              </w:rPr>
              <w:fldChar w:fldCharType="end"/>
            </w:r>
          </w:hyperlink>
        </w:p>
        <w:p w14:paraId="6C459FE2" w14:textId="52B96724" w:rsidR="006912BE" w:rsidRDefault="00C63176">
          <w:pPr>
            <w:pStyle w:val="TOC1"/>
            <w:tabs>
              <w:tab w:val="right" w:leader="dot" w:pos="9016"/>
            </w:tabs>
            <w:rPr>
              <w:rFonts w:eastAsiaTheme="minorEastAsia"/>
              <w:noProof/>
              <w:lang w:eastAsia="en-GB"/>
            </w:rPr>
          </w:pPr>
          <w:hyperlink w:anchor="_Toc188863995" w:history="1">
            <w:r w:rsidR="006912BE" w:rsidRPr="0095744A">
              <w:rPr>
                <w:rStyle w:val="Hyperlink"/>
                <w:noProof/>
              </w:rPr>
              <w:t>Spain</w:t>
            </w:r>
            <w:r w:rsidR="006912BE">
              <w:rPr>
                <w:noProof/>
                <w:webHidden/>
              </w:rPr>
              <w:tab/>
            </w:r>
            <w:r w:rsidR="006912BE">
              <w:rPr>
                <w:noProof/>
                <w:webHidden/>
              </w:rPr>
              <w:fldChar w:fldCharType="begin"/>
            </w:r>
            <w:r w:rsidR="006912BE">
              <w:rPr>
                <w:noProof/>
                <w:webHidden/>
              </w:rPr>
              <w:instrText xml:space="preserve"> PAGEREF _Toc188863995 \h </w:instrText>
            </w:r>
            <w:r w:rsidR="006912BE">
              <w:rPr>
                <w:noProof/>
                <w:webHidden/>
              </w:rPr>
            </w:r>
            <w:r w:rsidR="006912BE">
              <w:rPr>
                <w:noProof/>
                <w:webHidden/>
              </w:rPr>
              <w:fldChar w:fldCharType="separate"/>
            </w:r>
            <w:r w:rsidR="00A71ABB">
              <w:rPr>
                <w:noProof/>
                <w:webHidden/>
              </w:rPr>
              <w:t>39</w:t>
            </w:r>
            <w:r w:rsidR="006912BE">
              <w:rPr>
                <w:noProof/>
                <w:webHidden/>
              </w:rPr>
              <w:fldChar w:fldCharType="end"/>
            </w:r>
          </w:hyperlink>
        </w:p>
        <w:p w14:paraId="28610220" w14:textId="3C2ADA07" w:rsidR="00A532A6" w:rsidRDefault="00A532A6">
          <w:r>
            <w:rPr>
              <w:b/>
              <w:bCs/>
              <w:noProof/>
            </w:rPr>
            <w:fldChar w:fldCharType="end"/>
          </w:r>
        </w:p>
      </w:sdtContent>
    </w:sdt>
    <w:p w14:paraId="5D01F41D" w14:textId="77777777" w:rsidR="00101F81" w:rsidRDefault="00101F81" w:rsidP="00101F81"/>
    <w:p w14:paraId="2EFEDE2B" w14:textId="77777777" w:rsidR="00101F81" w:rsidRDefault="00101F81" w:rsidP="00101F81"/>
    <w:p w14:paraId="029DE51A" w14:textId="77777777" w:rsidR="00101F81" w:rsidRDefault="00101F81" w:rsidP="00101F81"/>
    <w:p w14:paraId="7E6AC2E0" w14:textId="77777777" w:rsidR="00101F81" w:rsidRDefault="00101F81" w:rsidP="00101F81"/>
    <w:p w14:paraId="60C30090" w14:textId="77777777" w:rsidR="00101F81" w:rsidRDefault="00101F81" w:rsidP="00101F81"/>
    <w:p w14:paraId="33F98887" w14:textId="77777777" w:rsidR="00101F81" w:rsidRDefault="00101F81" w:rsidP="00101F81"/>
    <w:p w14:paraId="06F77252" w14:textId="77777777" w:rsidR="00101F81" w:rsidRDefault="00101F81" w:rsidP="00101F81"/>
    <w:p w14:paraId="5DE96E02" w14:textId="77777777" w:rsidR="00101F81" w:rsidRDefault="00101F81" w:rsidP="00101F81"/>
    <w:p w14:paraId="5F2E21BC" w14:textId="77777777" w:rsidR="00101F81" w:rsidRDefault="00101F81" w:rsidP="00101F81"/>
    <w:p w14:paraId="4A852B50" w14:textId="58F9DB54" w:rsidR="00101F81" w:rsidRDefault="00101F81" w:rsidP="00101F81"/>
    <w:p w14:paraId="045FFF95" w14:textId="59BA2FC2" w:rsidR="00453880" w:rsidRDefault="00453880" w:rsidP="00101F81"/>
    <w:p w14:paraId="56C7023D" w14:textId="254B5EDC" w:rsidR="00C227D9" w:rsidRDefault="00C227D9" w:rsidP="00101F81"/>
    <w:p w14:paraId="5782F716" w14:textId="77777777" w:rsidR="001640B6" w:rsidRDefault="001640B6" w:rsidP="00101F81"/>
    <w:p w14:paraId="71DB766C" w14:textId="77777777" w:rsidR="00101F81" w:rsidRDefault="00101F81" w:rsidP="00453880">
      <w:pPr>
        <w:pStyle w:val="Heading1"/>
        <w:spacing w:after="240"/>
      </w:pPr>
      <w:bookmarkStart w:id="1" w:name="_Toc188863986"/>
      <w:r>
        <w:lastRenderedPageBreak/>
        <w:t>Horizontal developments</w:t>
      </w:r>
      <w:bookmarkEnd w:id="1"/>
    </w:p>
    <w:p w14:paraId="1A5EE427" w14:textId="198CC85A" w:rsidR="00D23CA2" w:rsidRDefault="00D23CA2" w:rsidP="00D23CA2">
      <w:pPr>
        <w:spacing w:after="240"/>
        <w:jc w:val="both"/>
      </w:pPr>
      <w:bookmarkStart w:id="2" w:name="_Hlk188610062"/>
      <w:r w:rsidRPr="00D23CA2">
        <w:t xml:space="preserve">This submission </w:t>
      </w:r>
      <w:r w:rsidR="0033345E">
        <w:t>brings together</w:t>
      </w:r>
      <w:r w:rsidRPr="00D23CA2">
        <w:t xml:space="preserve"> </w:t>
      </w:r>
      <w:r w:rsidR="00546CD2">
        <w:t>nine</w:t>
      </w:r>
      <w:r w:rsidRPr="00D23CA2">
        <w:t xml:space="preserve"> country submissions compiled by </w:t>
      </w:r>
      <w:proofErr w:type="spellStart"/>
      <w:r w:rsidRPr="00D23CA2">
        <w:t>ILGA-Europe</w:t>
      </w:r>
      <w:proofErr w:type="spellEnd"/>
      <w:r w:rsidRPr="00D23CA2">
        <w:t>, with the expert</w:t>
      </w:r>
      <w:r>
        <w:t xml:space="preserve"> </w:t>
      </w:r>
      <w:r w:rsidRPr="00D23CA2">
        <w:t>input of its member organisations in the Member States</w:t>
      </w:r>
      <w:r w:rsidR="0033345E">
        <w:t>, namely</w:t>
      </w:r>
      <w:r w:rsidRPr="00D23CA2">
        <w:t xml:space="preserve"> </w:t>
      </w:r>
      <w:r w:rsidR="0033345E">
        <w:t>-</w:t>
      </w:r>
      <w:r w:rsidRPr="00D23CA2">
        <w:t xml:space="preserve"> </w:t>
      </w:r>
      <w:r w:rsidR="0033345E">
        <w:t xml:space="preserve">1. </w:t>
      </w:r>
      <w:r w:rsidRPr="00D23CA2">
        <w:t>Bulgaria (</w:t>
      </w:r>
      <w:proofErr w:type="spellStart"/>
      <w:r>
        <w:t>Deystvie</w:t>
      </w:r>
      <w:proofErr w:type="spellEnd"/>
      <w:r w:rsidRPr="00D23CA2">
        <w:t>)</w:t>
      </w:r>
      <w:r w:rsidR="00C50C1C">
        <w:t xml:space="preserve">, </w:t>
      </w:r>
      <w:r w:rsidR="0033345E">
        <w:t xml:space="preserve">2. </w:t>
      </w:r>
      <w:r w:rsidR="002360B5">
        <w:t>Belgium (</w:t>
      </w:r>
      <w:proofErr w:type="spellStart"/>
      <w:r w:rsidR="002360B5">
        <w:t>Prisme</w:t>
      </w:r>
      <w:proofErr w:type="spellEnd"/>
      <w:r w:rsidR="002360B5">
        <w:t xml:space="preserve">), 3. Cyprus (Queer Cyprus), 4. </w:t>
      </w:r>
      <w:r w:rsidRPr="00D23CA2">
        <w:t>Hungary (Háttér Társaság</w:t>
      </w:r>
      <w:r w:rsidR="002360B5">
        <w:t xml:space="preserve"> and Budapest Pride</w:t>
      </w:r>
      <w:r w:rsidRPr="00D23CA2">
        <w:t>)</w:t>
      </w:r>
      <w:r>
        <w:t xml:space="preserve">, </w:t>
      </w:r>
      <w:r w:rsidR="002360B5">
        <w:t>5</w:t>
      </w:r>
      <w:r w:rsidR="0033345E">
        <w:t xml:space="preserve">. </w:t>
      </w:r>
      <w:r>
        <w:t xml:space="preserve">Italy </w:t>
      </w:r>
      <w:r w:rsidRPr="00D23CA2">
        <w:t>(</w:t>
      </w:r>
      <w:proofErr w:type="spellStart"/>
      <w:r w:rsidR="002360B5">
        <w:t>Arcigay</w:t>
      </w:r>
      <w:proofErr w:type="spellEnd"/>
      <w:r w:rsidR="002360B5">
        <w:t>),</w:t>
      </w:r>
      <w:r w:rsidRPr="00D23CA2">
        <w:t xml:space="preserve"> </w:t>
      </w:r>
      <w:r w:rsidR="002360B5">
        <w:t>6</w:t>
      </w:r>
      <w:r w:rsidR="0033345E">
        <w:t xml:space="preserve">. </w:t>
      </w:r>
      <w:r w:rsidRPr="00D23CA2">
        <w:t xml:space="preserve">Poland (KPH), </w:t>
      </w:r>
      <w:r w:rsidR="002360B5">
        <w:t>7</w:t>
      </w:r>
      <w:r w:rsidR="0033345E">
        <w:t xml:space="preserve">. </w:t>
      </w:r>
      <w:r w:rsidRPr="00D23CA2">
        <w:t>Romania (ACCEPT Romania),</w:t>
      </w:r>
      <w:r w:rsidR="00C50C1C">
        <w:t xml:space="preserve"> </w:t>
      </w:r>
      <w:r w:rsidR="002360B5">
        <w:t>8</w:t>
      </w:r>
      <w:r w:rsidR="0033345E">
        <w:t xml:space="preserve">. </w:t>
      </w:r>
      <w:r w:rsidRPr="00D23CA2">
        <w:t xml:space="preserve"> Slov</w:t>
      </w:r>
      <w:r w:rsidR="002360B5">
        <w:t>akia</w:t>
      </w:r>
      <w:r>
        <w:t xml:space="preserve"> </w:t>
      </w:r>
      <w:r w:rsidRPr="00D23CA2">
        <w:t>(</w:t>
      </w:r>
      <w:proofErr w:type="spellStart"/>
      <w:r w:rsidR="008269DD">
        <w:t>Saplinq</w:t>
      </w:r>
      <w:proofErr w:type="spellEnd"/>
      <w:r w:rsidRPr="00D23CA2">
        <w:t xml:space="preserve">), and </w:t>
      </w:r>
      <w:r w:rsidR="008269DD">
        <w:t>9</w:t>
      </w:r>
      <w:r w:rsidR="0033345E">
        <w:t xml:space="preserve">. </w:t>
      </w:r>
      <w:r w:rsidRPr="00D23CA2">
        <w:t>Spain (</w:t>
      </w:r>
      <w:proofErr w:type="spellStart"/>
      <w:r w:rsidR="008269DD" w:rsidRPr="008269DD">
        <w:rPr>
          <w:bCs/>
        </w:rPr>
        <w:t>Euforia</w:t>
      </w:r>
      <w:proofErr w:type="spellEnd"/>
      <w:r w:rsidR="008269DD">
        <w:rPr>
          <w:bCs/>
        </w:rPr>
        <w:t>.</w:t>
      </w:r>
      <w:r w:rsidR="008269DD" w:rsidRPr="008269DD">
        <w:rPr>
          <w:bCs/>
        </w:rPr>
        <w:t xml:space="preserve"> </w:t>
      </w:r>
      <w:proofErr w:type="spellStart"/>
      <w:r w:rsidR="008269DD" w:rsidRPr="008269DD">
        <w:rPr>
          <w:bCs/>
        </w:rPr>
        <w:t>Familias</w:t>
      </w:r>
      <w:proofErr w:type="spellEnd"/>
      <w:r w:rsidR="008269DD" w:rsidRPr="008269DD">
        <w:rPr>
          <w:bCs/>
        </w:rPr>
        <w:t xml:space="preserve"> Trans-</w:t>
      </w:r>
      <w:proofErr w:type="spellStart"/>
      <w:r w:rsidR="008269DD" w:rsidRPr="008269DD">
        <w:rPr>
          <w:bCs/>
        </w:rPr>
        <w:t>Aliadas</w:t>
      </w:r>
      <w:proofErr w:type="spellEnd"/>
      <w:r w:rsidRPr="00D23CA2">
        <w:t>).</w:t>
      </w:r>
      <w:r w:rsidR="00F80C45">
        <w:t xml:space="preserve"> Recommendations are included in the chapters where organisations chose to issue them.</w:t>
      </w:r>
    </w:p>
    <w:p w14:paraId="11E4013A" w14:textId="7FDE2D80" w:rsidR="00C37E52" w:rsidRDefault="00C37E52" w:rsidP="00453880">
      <w:pPr>
        <w:spacing w:after="240"/>
        <w:jc w:val="both"/>
      </w:pPr>
      <w:r>
        <w:t>The developments encompassed in this submission point to systematic attacks on the fundamental rights of LGBTI people</w:t>
      </w:r>
      <w:r w:rsidR="002F2CEB">
        <w:t xml:space="preserve"> in some countries</w:t>
      </w:r>
      <w:r w:rsidR="0003532B">
        <w:t>,</w:t>
      </w:r>
      <w:r w:rsidR="00731F31">
        <w:t xml:space="preserve"> often</w:t>
      </w:r>
      <w:r>
        <w:t xml:space="preserve"> enabled by </w:t>
      </w:r>
      <w:r w:rsidR="002F2CEB">
        <w:t xml:space="preserve">a deliberate </w:t>
      </w:r>
      <w:r>
        <w:t>weakening of rule of law and democratic structures</w:t>
      </w:r>
      <w:r w:rsidR="002F2CEB">
        <w:t xml:space="preserve"> by</w:t>
      </w:r>
      <w:r w:rsidR="00731F31">
        <w:t xml:space="preserve"> </w:t>
      </w:r>
      <w:r w:rsidR="00BE0752">
        <w:t>those in power</w:t>
      </w:r>
      <w:r>
        <w:t xml:space="preserve">. </w:t>
      </w:r>
      <w:r w:rsidR="0033345E">
        <w:t>This contribution focuse</w:t>
      </w:r>
      <w:r w:rsidR="00C50C1C">
        <w:t>s</w:t>
      </w:r>
      <w:r w:rsidR="00B8498E">
        <w:t xml:space="preserve"> </w:t>
      </w:r>
      <w:r w:rsidR="0033345E">
        <w:t xml:space="preserve">on </w:t>
      </w:r>
      <w:r w:rsidR="0039154C">
        <w:t xml:space="preserve">rule of law </w:t>
      </w:r>
      <w:r w:rsidR="0033345E">
        <w:t xml:space="preserve">violations </w:t>
      </w:r>
      <w:r w:rsidR="00B8498E">
        <w:t xml:space="preserve">which impact the rights </w:t>
      </w:r>
      <w:r w:rsidR="0033345E">
        <w:t xml:space="preserve">of LGBTI </w:t>
      </w:r>
      <w:r w:rsidR="00B8498E">
        <w:t xml:space="preserve">people </w:t>
      </w:r>
      <w:r w:rsidR="0033345E">
        <w:t xml:space="preserve">and </w:t>
      </w:r>
      <w:r w:rsidR="00B8498E">
        <w:t xml:space="preserve">therefore </w:t>
      </w:r>
      <w:r w:rsidR="0033345E">
        <w:t>does</w:t>
      </w:r>
      <w:r>
        <w:t xml:space="preserve"> not include all fundamental rights violations against LGBTI people, or all restrictions experienced by LGBTI civil society in the respective countries. </w:t>
      </w:r>
    </w:p>
    <w:p w14:paraId="0786DF60" w14:textId="314B5664" w:rsidR="00BF473A" w:rsidRDefault="002B24E7" w:rsidP="00453880">
      <w:pPr>
        <w:spacing w:after="240"/>
        <w:jc w:val="both"/>
      </w:pPr>
      <w:r>
        <w:t>E</w:t>
      </w:r>
      <w:r w:rsidR="00BF473A">
        <w:t xml:space="preserve">ight of the nine submissions </w:t>
      </w:r>
      <w:r>
        <w:t>reported problems with smear campaigns, disinformation, misinformation, hate speech and discriminatory speech against LGBTI persons, spread by different actors, most notably far-right politicians, media outlets and social media accounts. Unfortunately, disinformation is also</w:t>
      </w:r>
      <w:r w:rsidR="00BF473A">
        <w:t xml:space="preserve"> </w:t>
      </w:r>
      <w:r>
        <w:t xml:space="preserve">spread by those who do not understand that they have been given false information, which has resulted in widespread misinformation about LGBTI people. </w:t>
      </w:r>
      <w:r w:rsidR="0032284E">
        <w:t>In our previous submissions to this consultation we highlighted how such narratives are often used by politicians seeking to polarise society in the aim to win elections. This year this point was clearly exemplified during the Romanian election period, which saw a surge in anti-LGBTI narratives particularly online, in the aim to discredit political opponents.</w:t>
      </w:r>
      <w:r w:rsidR="00F56C1C">
        <w:t xml:space="preserve"> These elections also clearly showed that these narratives are also spread by</w:t>
      </w:r>
      <w:r w:rsidR="0032284E">
        <w:t xml:space="preserve"> </w:t>
      </w:r>
      <w:r w:rsidR="002F2CEB">
        <w:t>organised foreign interference, including cyber</w:t>
      </w:r>
      <w:r w:rsidR="00F56C1C">
        <w:t>-</w:t>
      </w:r>
      <w:r w:rsidR="002F2CEB">
        <w:t xml:space="preserve">attacks and social media manipulation. </w:t>
      </w:r>
      <w:r w:rsidR="0032284E">
        <w:t xml:space="preserve">Most importantly, we also can see how these narratives translate into real hatred and violent actions. </w:t>
      </w:r>
    </w:p>
    <w:p w14:paraId="7DC6ECDE" w14:textId="3D7AA8A5" w:rsidR="0032284E" w:rsidRDefault="0032284E" w:rsidP="00453880">
      <w:pPr>
        <w:spacing w:after="240"/>
        <w:jc w:val="both"/>
      </w:pPr>
      <w:r>
        <w:t xml:space="preserve">Such narratives and lack of sufficient implementation of hate crime and hate speech provisions have </w:t>
      </w:r>
      <w:r w:rsidR="002F2CEB">
        <w:t>normalised violence against LGBTI people and this is also reflected more and more in laws and legislative proposals actively attacking fundamental rights and dignity of LGBTI people</w:t>
      </w:r>
      <w:r>
        <w:t xml:space="preserve">. This year we saw anti-LGBTI laws, often using the terminology of combating “LGBTI propaganda” or “LGBTI ideology” </w:t>
      </w:r>
      <w:r w:rsidR="00544777">
        <w:t>reported on</w:t>
      </w:r>
      <w:r>
        <w:t xml:space="preserve"> in six of the nine countries which contributed to our submission. While in Hungary the anti-LGBTI law adopted in 2021 continues to be implemented, anti-LGBTI legislation was adopted in 2024 in Bulgaria and Italy, protections for LGBTI persons were repealed in a region of Spain, and anti-LGBTI legislation was tabled in</w:t>
      </w:r>
      <w:r w:rsidR="00544777">
        <w:t xml:space="preserve"> parliament in</w:t>
      </w:r>
      <w:r>
        <w:t xml:space="preserve"> Romania and Slovakia. In all cases these legislation</w:t>
      </w:r>
      <w:r w:rsidR="00544777">
        <w:t>s</w:t>
      </w:r>
      <w:r>
        <w:t xml:space="preserve"> are incompatible with international and European standards for protection of LGBTI people against discrimination and for the access of LGBTI people to enjoy their rights fully, and in some cases are incompatible with the Member States’ own domestic legislation, such as the Constitution.</w:t>
      </w:r>
    </w:p>
    <w:p w14:paraId="2086A55A" w14:textId="77777777" w:rsidR="00544777" w:rsidRDefault="00544777" w:rsidP="00453880">
      <w:pPr>
        <w:spacing w:after="240"/>
        <w:jc w:val="both"/>
      </w:pPr>
      <w:r>
        <w:t xml:space="preserve">In the meantime, efforts of LGBTI persons and civil society organisations to challenge discriminatory legislation, actions of the government or lack of protections for LGBTI people face structural challenges in seven of the nine countries. </w:t>
      </w:r>
    </w:p>
    <w:p w14:paraId="1280E729" w14:textId="3741CBEE" w:rsidR="0032284E" w:rsidRDefault="00544777" w:rsidP="00453880">
      <w:pPr>
        <w:spacing w:after="240"/>
        <w:jc w:val="both"/>
      </w:pPr>
      <w:r>
        <w:t xml:space="preserve">In Bulgaria, Hungary, Romania and Poland there is still, as reported in previous years, consistent lack of implementation of judgements of the Court of Justice of the EU (CJEU) and the European Court of Human Rights (ECtHR) in cases related to equality for LGBTI families (legal recognition of same-sex couples and of same-sex parents) and in cases related to legal gender recognition </w:t>
      </w:r>
      <w:r w:rsidRPr="00544777">
        <w:t>(LGR) – the procedure in which trans and intersex people can change their legal gender in identity documents</w:t>
      </w:r>
      <w:r>
        <w:t xml:space="preserve">. Notably in October 2024, in CJEU </w:t>
      </w:r>
      <w:hyperlink r:id="rId9" w:anchor=":~:text=Arian%20Mirzarafie-Ahi,%20a%20transgender%20man%20with%20Romanian%20and%20British%20citizenship," w:history="1">
        <w:r>
          <w:rPr>
            <w:rStyle w:val="Hyperlink"/>
            <w:color w:val="0563C1"/>
          </w:rPr>
          <w:t>case C-4/23 Mirin</w:t>
        </w:r>
      </w:hyperlink>
      <w:r>
        <w:t xml:space="preserve">, the CJEU ruled that EU Member States must respect and recognise the legal gender identity of individuals as granted by other EU countries, in </w:t>
      </w:r>
      <w:r>
        <w:lastRenderedPageBreak/>
        <w:t>order to protect the EU right to free movement and residence rights, as well as the right to personal identity.</w:t>
      </w:r>
    </w:p>
    <w:p w14:paraId="12E8E028" w14:textId="251C8317" w:rsidR="00544777" w:rsidRDefault="00544777" w:rsidP="00453880">
      <w:pPr>
        <w:spacing w:after="240"/>
        <w:jc w:val="both"/>
      </w:pPr>
      <w:r>
        <w:t>Inadequate consultation processes for laws that impact LGBTI persons and their rights was reported in Slovakia, Romania, Hungary and Cyprus</w:t>
      </w:r>
      <w:r w:rsidR="004B662C">
        <w:t>;</w:t>
      </w:r>
      <w:r>
        <w:t xml:space="preserve"> funding restrictions on civil society organisations working for the LGBTI community or on LGBTI-related issues were reported in Slovakia</w:t>
      </w:r>
      <w:r w:rsidR="006E660C">
        <w:t>, Spain and Cyprus</w:t>
      </w:r>
      <w:r w:rsidR="004B662C">
        <w:t>;</w:t>
      </w:r>
      <w:r w:rsidR="006E660C">
        <w:t xml:space="preserve"> and problems with access to justice for LGBTI persons was reported in Slovakia, Romania, Poland and Hungary. Notably, neo-judges affecting LGBTI cases remained an issue in Poland this year, and the functions of the Prosecutor General and the Minister of Justice have still not been separated. The use of fast-track procedures has been reported especially when anti-LGBTI legislation is attempted to be adopted</w:t>
      </w:r>
      <w:r w:rsidR="004B662C">
        <w:t>,</w:t>
      </w:r>
      <w:r w:rsidR="006E660C">
        <w:t xml:space="preserve"> in a number of the countries.</w:t>
      </w:r>
    </w:p>
    <w:p w14:paraId="246F28C5" w14:textId="1E809F72" w:rsidR="00C331DC" w:rsidRDefault="004B662C" w:rsidP="003D244B">
      <w:pPr>
        <w:spacing w:after="240"/>
        <w:jc w:val="both"/>
      </w:pPr>
      <w:r>
        <w:t xml:space="preserve">Independence of the media remains a serious concern in Hungary, Romania and Slovakia, the latter having adopted a law in June 2024 which grants significantly more control over the public broadcaster to the government. </w:t>
      </w:r>
      <w:r w:rsidR="006D0CC9">
        <w:t>The right to freedom of assembly is increasingly threatened through restrictive legislation in Italy and Slovakia, which will have significant impact on the work of civil society organisations, in particular grassroots organisations. Meanwhile in Hungary the Act on the Protection of National Sovereignty began to be implemented, with the Sovereignty Protection Office</w:t>
      </w:r>
      <w:r w:rsidR="003565E3">
        <w:t xml:space="preserve"> (SPO)</w:t>
      </w:r>
      <w:r w:rsidR="006D0CC9">
        <w:t xml:space="preserve"> investigating watchdog CSOs and publishing reports criticising their work and funding, such as criticising</w:t>
      </w:r>
      <w:r w:rsidR="003D244B">
        <w:t xml:space="preserve"> CSOs for their regranting activities via the EU CERV programme (including listing ILGA-Europe’s member organisation Háttér Society, in relation to this). It is important to see these government led and implemented smear campaigns against CSOs in the context of the</w:t>
      </w:r>
      <w:r w:rsidR="003565E3">
        <w:t xml:space="preserve"> aforementioned</w:t>
      </w:r>
      <w:r w:rsidR="003D244B">
        <w:t xml:space="preserve"> rising hateful narrative online and in the media. For example, </w:t>
      </w:r>
      <w:bookmarkStart w:id="3" w:name="_Hlk189050566"/>
      <w:r w:rsidR="003D244B">
        <w:t>the SPO</w:t>
      </w:r>
      <w:r w:rsidR="003565E3">
        <w:t>’</w:t>
      </w:r>
      <w:r w:rsidR="003D244B">
        <w:t>s report criticising receipt of EU funding was published in December 2024, the same month that CSOs in Hungary were described as “agents of foreign interest” by social media accounts, for contributing to this report – the European Commission’s Rule of Law report.</w:t>
      </w:r>
      <w:r w:rsidR="003565E3">
        <w:t xml:space="preserve"> There is a growing trend of democratic processes and norms, such as consultation of and funding of CSOs, being challenged and smeared as contrary to the interests of the nation. </w:t>
      </w:r>
    </w:p>
    <w:bookmarkEnd w:id="2"/>
    <w:bookmarkEnd w:id="3"/>
    <w:p w14:paraId="46C579D3" w14:textId="4DC71E92" w:rsidR="00C331DC" w:rsidRDefault="00C331DC" w:rsidP="00C37E52">
      <w:pPr>
        <w:jc w:val="both"/>
      </w:pPr>
    </w:p>
    <w:p w14:paraId="6AECAA9E" w14:textId="0CFFACE0" w:rsidR="00C331DC" w:rsidRDefault="00C331DC" w:rsidP="00C37E52">
      <w:pPr>
        <w:jc w:val="both"/>
      </w:pPr>
    </w:p>
    <w:p w14:paraId="4797B47D" w14:textId="774C3BA3" w:rsidR="000630D1" w:rsidRDefault="000630D1" w:rsidP="00C37E52">
      <w:pPr>
        <w:jc w:val="both"/>
      </w:pPr>
    </w:p>
    <w:p w14:paraId="4298D60C" w14:textId="7C5871AF" w:rsidR="00453880" w:rsidRDefault="00453880" w:rsidP="00C37E52">
      <w:pPr>
        <w:jc w:val="both"/>
      </w:pPr>
    </w:p>
    <w:p w14:paraId="680E32EB" w14:textId="2252E38A" w:rsidR="00453880" w:rsidRDefault="00453880" w:rsidP="00C37E52">
      <w:pPr>
        <w:jc w:val="both"/>
      </w:pPr>
    </w:p>
    <w:p w14:paraId="60EFD7C8" w14:textId="3396BD08" w:rsidR="00453880" w:rsidRDefault="00453880" w:rsidP="00C37E52">
      <w:pPr>
        <w:jc w:val="both"/>
      </w:pPr>
    </w:p>
    <w:p w14:paraId="38DEA81C" w14:textId="50E40998" w:rsidR="00680758" w:rsidRDefault="00680758" w:rsidP="00C37E52">
      <w:pPr>
        <w:jc w:val="both"/>
      </w:pPr>
    </w:p>
    <w:p w14:paraId="5750FABD" w14:textId="1F20E9DC" w:rsidR="00680758" w:rsidRDefault="00680758" w:rsidP="00C37E52">
      <w:pPr>
        <w:jc w:val="both"/>
      </w:pPr>
    </w:p>
    <w:p w14:paraId="7669D5D7" w14:textId="64143A0E" w:rsidR="00680758" w:rsidRDefault="00680758" w:rsidP="00C37E52">
      <w:pPr>
        <w:jc w:val="both"/>
      </w:pPr>
    </w:p>
    <w:p w14:paraId="7704133C" w14:textId="7262D111" w:rsidR="006A75ED" w:rsidRDefault="006A75ED" w:rsidP="00C37E52">
      <w:pPr>
        <w:jc w:val="both"/>
      </w:pPr>
    </w:p>
    <w:p w14:paraId="53FB6526" w14:textId="7BA735A3" w:rsidR="006A75ED" w:rsidRDefault="006A75ED" w:rsidP="00C37E52">
      <w:pPr>
        <w:jc w:val="both"/>
      </w:pPr>
    </w:p>
    <w:p w14:paraId="58C19876" w14:textId="3E9F4410" w:rsidR="006A75ED" w:rsidRDefault="006A75ED" w:rsidP="00C37E52">
      <w:pPr>
        <w:jc w:val="both"/>
      </w:pPr>
    </w:p>
    <w:p w14:paraId="7F02E257" w14:textId="4C61F6E5" w:rsidR="006A75ED" w:rsidRDefault="006A75ED" w:rsidP="00C37E52">
      <w:pPr>
        <w:jc w:val="both"/>
      </w:pPr>
    </w:p>
    <w:p w14:paraId="65497EB0" w14:textId="4E1FECC6" w:rsidR="006A75ED" w:rsidRDefault="006A75ED" w:rsidP="00C37E52">
      <w:pPr>
        <w:jc w:val="both"/>
      </w:pPr>
    </w:p>
    <w:p w14:paraId="39CB4D4F" w14:textId="2FCEABAD" w:rsidR="006A75ED" w:rsidRDefault="006A75ED" w:rsidP="00C37E52">
      <w:pPr>
        <w:jc w:val="both"/>
      </w:pPr>
    </w:p>
    <w:p w14:paraId="269CD25B" w14:textId="67D663B9" w:rsidR="006A75ED" w:rsidRDefault="006A75ED" w:rsidP="00C37E52">
      <w:pPr>
        <w:jc w:val="both"/>
      </w:pPr>
    </w:p>
    <w:p w14:paraId="26BC9630" w14:textId="51E40EAF" w:rsidR="006A75ED" w:rsidRDefault="006A75ED" w:rsidP="00C37E52">
      <w:pPr>
        <w:jc w:val="both"/>
      </w:pPr>
    </w:p>
    <w:p w14:paraId="3514206C" w14:textId="2E854257" w:rsidR="006A75ED" w:rsidRDefault="006A75ED" w:rsidP="00C37E52">
      <w:pPr>
        <w:jc w:val="both"/>
      </w:pPr>
    </w:p>
    <w:p w14:paraId="494ECFF5" w14:textId="6D063A67" w:rsidR="006A75ED" w:rsidRDefault="006A75ED" w:rsidP="00C37E52">
      <w:pPr>
        <w:jc w:val="both"/>
      </w:pPr>
    </w:p>
    <w:p w14:paraId="22FB6839" w14:textId="6E59C6F7" w:rsidR="006A75ED" w:rsidRDefault="006A75ED" w:rsidP="00C37E52">
      <w:pPr>
        <w:jc w:val="both"/>
      </w:pPr>
    </w:p>
    <w:p w14:paraId="778FF9DB" w14:textId="69714616" w:rsidR="00785E42" w:rsidRDefault="00785E42" w:rsidP="00C37E52">
      <w:pPr>
        <w:jc w:val="both"/>
      </w:pPr>
    </w:p>
    <w:p w14:paraId="547B7C47" w14:textId="77777777" w:rsidR="00FA7464" w:rsidRPr="008D0C84" w:rsidRDefault="00FA7464" w:rsidP="00FA7464">
      <w:pPr>
        <w:pStyle w:val="Heading1"/>
      </w:pPr>
      <w:bookmarkStart w:id="4" w:name="_Toc188254160"/>
      <w:bookmarkStart w:id="5" w:name="_Toc188863987"/>
      <w:r>
        <w:lastRenderedPageBreak/>
        <w:t>Belgium</w:t>
      </w:r>
      <w:bookmarkEnd w:id="4"/>
      <w:bookmarkEnd w:id="5"/>
    </w:p>
    <w:p w14:paraId="205B88CF" w14:textId="77777777" w:rsidR="00FA7464" w:rsidRPr="00F37F63" w:rsidRDefault="00FA7464" w:rsidP="00FA7464">
      <w:pPr>
        <w:spacing w:before="240"/>
        <w:jc w:val="both"/>
        <w:rPr>
          <w:b/>
          <w:iCs/>
          <w:color w:val="2F5496" w:themeColor="accent1" w:themeShade="BF"/>
          <w:sz w:val="24"/>
          <w:szCs w:val="24"/>
          <w:u w:val="single"/>
        </w:rPr>
      </w:pPr>
      <w:r w:rsidRPr="00F37F63">
        <w:rPr>
          <w:b/>
          <w:iCs/>
          <w:color w:val="2F5496" w:themeColor="accent1" w:themeShade="BF"/>
          <w:sz w:val="24"/>
          <w:szCs w:val="24"/>
          <w:u w:val="single"/>
        </w:rPr>
        <w:t>III. Media Freedom and Pluralism</w:t>
      </w:r>
    </w:p>
    <w:p w14:paraId="729C3EF1" w14:textId="77777777" w:rsidR="00FA7464" w:rsidRDefault="00FA7464" w:rsidP="00FA7464">
      <w:pPr>
        <w:spacing w:before="240" w:after="240"/>
        <w:rPr>
          <w:color w:val="2F5496" w:themeColor="accent1" w:themeShade="BF"/>
          <w:sz w:val="24"/>
          <w:szCs w:val="24"/>
        </w:rPr>
      </w:pPr>
      <w:r>
        <w:rPr>
          <w:color w:val="2F5496" w:themeColor="accent1" w:themeShade="BF"/>
          <w:sz w:val="24"/>
          <w:szCs w:val="24"/>
        </w:rPr>
        <w:t>Any other developments related to media pluralism and freedom – please specify</w:t>
      </w:r>
    </w:p>
    <w:p w14:paraId="6F27AA45" w14:textId="77777777" w:rsidR="00FA7464" w:rsidRDefault="00FA7464" w:rsidP="00FA7464">
      <w:pPr>
        <w:jc w:val="both"/>
        <w:rPr>
          <w:iCs/>
        </w:rPr>
      </w:pPr>
      <w:r w:rsidRPr="00B4528C">
        <w:rPr>
          <w:iCs/>
        </w:rPr>
        <w:t>In Belgium, media freedom and the protection of journalists are generally well respected, including on topics related to LGBTI people. When there have been incidents, such an RTBF</w:t>
      </w:r>
      <w:r>
        <w:rPr>
          <w:iCs/>
        </w:rPr>
        <w:t xml:space="preserve"> </w:t>
      </w:r>
      <w:r w:rsidRPr="003A7416">
        <w:rPr>
          <w:iCs/>
        </w:rPr>
        <w:t>(Radio-</w:t>
      </w:r>
      <w:proofErr w:type="spellStart"/>
      <w:r w:rsidRPr="003A7416">
        <w:rPr>
          <w:iCs/>
        </w:rPr>
        <w:t>télévision</w:t>
      </w:r>
      <w:proofErr w:type="spellEnd"/>
      <w:r w:rsidRPr="003A7416">
        <w:rPr>
          <w:iCs/>
        </w:rPr>
        <w:t xml:space="preserve"> </w:t>
      </w:r>
      <w:proofErr w:type="spellStart"/>
      <w:r w:rsidRPr="003A7416">
        <w:rPr>
          <w:iCs/>
        </w:rPr>
        <w:t>belge</w:t>
      </w:r>
      <w:proofErr w:type="spellEnd"/>
      <w:r w:rsidRPr="003A7416">
        <w:rPr>
          <w:iCs/>
        </w:rPr>
        <w:t xml:space="preserve"> de la </w:t>
      </w:r>
      <w:proofErr w:type="spellStart"/>
      <w:r w:rsidRPr="003A7416">
        <w:rPr>
          <w:iCs/>
        </w:rPr>
        <w:t>Communauté</w:t>
      </w:r>
      <w:proofErr w:type="spellEnd"/>
      <w:r w:rsidRPr="003A7416">
        <w:rPr>
          <w:iCs/>
        </w:rPr>
        <w:t xml:space="preserve"> </w:t>
      </w:r>
      <w:proofErr w:type="spellStart"/>
      <w:r w:rsidRPr="003A7416">
        <w:rPr>
          <w:iCs/>
        </w:rPr>
        <w:t>française</w:t>
      </w:r>
      <w:proofErr w:type="spellEnd"/>
      <w:r w:rsidRPr="003A7416">
        <w:rPr>
          <w:iCs/>
        </w:rPr>
        <w:t>)</w:t>
      </w:r>
      <w:r>
        <w:rPr>
          <w:iCs/>
        </w:rPr>
        <w:t xml:space="preserve"> </w:t>
      </w:r>
      <w:r w:rsidRPr="00B4528C">
        <w:rPr>
          <w:iCs/>
        </w:rPr>
        <w:t xml:space="preserve">broadcast in September 2024 which was perceived by many viewers as transphobic, the authorities and media outlet responded well. In this case, the Belgian Higher </w:t>
      </w:r>
      <w:proofErr w:type="spellStart"/>
      <w:r w:rsidRPr="00B4528C">
        <w:rPr>
          <w:iCs/>
        </w:rPr>
        <w:t>Audiovisual</w:t>
      </w:r>
      <w:proofErr w:type="spellEnd"/>
      <w:r w:rsidRPr="00B4528C">
        <w:rPr>
          <w:iCs/>
        </w:rPr>
        <w:t xml:space="preserve"> Council (Conseil </w:t>
      </w:r>
      <w:proofErr w:type="spellStart"/>
      <w:r w:rsidRPr="00B4528C">
        <w:rPr>
          <w:iCs/>
        </w:rPr>
        <w:t>Supérieur</w:t>
      </w:r>
      <w:proofErr w:type="spellEnd"/>
      <w:r w:rsidRPr="00B4528C">
        <w:rPr>
          <w:iCs/>
        </w:rPr>
        <w:t xml:space="preserve"> de </w:t>
      </w:r>
      <w:proofErr w:type="spellStart"/>
      <w:r w:rsidRPr="00B4528C">
        <w:rPr>
          <w:iCs/>
        </w:rPr>
        <w:t>l’Audiovisuel</w:t>
      </w:r>
      <w:proofErr w:type="spellEnd"/>
      <w:r w:rsidRPr="00B4528C">
        <w:rPr>
          <w:iCs/>
        </w:rPr>
        <w:t xml:space="preserve">, CSA) launched an investigation following numerous complaints. RTBF initiated a constructive dialogue with people of the LGBTI community to take steps to avoid such problems in the future. </w:t>
      </w:r>
    </w:p>
    <w:p w14:paraId="5FBC09AF" w14:textId="77777777" w:rsidR="00FA7464" w:rsidRPr="00B4528C" w:rsidRDefault="00FA7464" w:rsidP="00FA7464">
      <w:pPr>
        <w:jc w:val="both"/>
        <w:rPr>
          <w:iCs/>
        </w:rPr>
      </w:pPr>
    </w:p>
    <w:p w14:paraId="4BCC58B6" w14:textId="77777777" w:rsidR="00FA7464" w:rsidRPr="00B4528C" w:rsidRDefault="00FA7464" w:rsidP="00FA7464">
      <w:pPr>
        <w:jc w:val="both"/>
        <w:rPr>
          <w:iCs/>
          <w:lang w:val="en-US"/>
        </w:rPr>
      </w:pPr>
      <w:r w:rsidRPr="00B4528C">
        <w:rPr>
          <w:iCs/>
          <w:lang w:val="en-US"/>
        </w:rPr>
        <w:t>In 2024 Article 150 of the Belgian Constitution was opened for amendments, which could lead to the prosecution of press offenses (</w:t>
      </w:r>
      <w:r w:rsidRPr="00B4528C">
        <w:rPr>
          <w:iCs/>
        </w:rPr>
        <w:t xml:space="preserve">including </w:t>
      </w:r>
      <w:r>
        <w:rPr>
          <w:iCs/>
        </w:rPr>
        <w:t>LGBTI-</w:t>
      </w:r>
      <w:r w:rsidRPr="00B4528C">
        <w:rPr>
          <w:iCs/>
        </w:rPr>
        <w:t xml:space="preserve">phobic </w:t>
      </w:r>
      <w:r>
        <w:rPr>
          <w:iCs/>
        </w:rPr>
        <w:t xml:space="preserve">online </w:t>
      </w:r>
      <w:r w:rsidRPr="00B4528C">
        <w:rPr>
          <w:iCs/>
        </w:rPr>
        <w:t xml:space="preserve">hate) in a correctional court rather than the </w:t>
      </w:r>
      <w:r>
        <w:rPr>
          <w:iCs/>
        </w:rPr>
        <w:t>higher</w:t>
      </w:r>
      <w:r w:rsidRPr="00B4528C">
        <w:rPr>
          <w:iCs/>
        </w:rPr>
        <w:t xml:space="preserve"> criminal court.</w:t>
      </w:r>
      <w:r>
        <w:rPr>
          <w:iCs/>
        </w:rPr>
        <w:t xml:space="preserve"> Since trials at the higher criminal court are more arduous and</w:t>
      </w:r>
      <w:r w:rsidRPr="008D0C84">
        <w:rPr>
          <w:iCs/>
        </w:rPr>
        <w:t xml:space="preserve"> costly</w:t>
      </w:r>
      <w:r>
        <w:rPr>
          <w:iCs/>
        </w:rPr>
        <w:t xml:space="preserve">, also involving a jury, </w:t>
      </w:r>
      <w:r w:rsidRPr="008D0C84">
        <w:rPr>
          <w:iCs/>
        </w:rPr>
        <w:t xml:space="preserve">it is almost never organized for a press offense. </w:t>
      </w:r>
      <w:r>
        <w:rPr>
          <w:iCs/>
        </w:rPr>
        <w:t xml:space="preserve">This has meant that in practice, </w:t>
      </w:r>
      <w:r w:rsidRPr="008D0C84">
        <w:rPr>
          <w:iCs/>
        </w:rPr>
        <w:t xml:space="preserve">a press offense related to </w:t>
      </w:r>
      <w:r>
        <w:rPr>
          <w:iCs/>
        </w:rPr>
        <w:t>LGBTI-phobia</w:t>
      </w:r>
      <w:r w:rsidRPr="008D0C84">
        <w:rPr>
          <w:iCs/>
        </w:rPr>
        <w:t xml:space="preserve"> almost never leads to a trial. The correctional court</w:t>
      </w:r>
      <w:r>
        <w:rPr>
          <w:iCs/>
        </w:rPr>
        <w:t>,</w:t>
      </w:r>
      <w:r w:rsidRPr="008D0C84">
        <w:rPr>
          <w:iCs/>
        </w:rPr>
        <w:t xml:space="preserve"> on the other hand</w:t>
      </w:r>
      <w:r>
        <w:rPr>
          <w:iCs/>
        </w:rPr>
        <w:t>,</w:t>
      </w:r>
      <w:r w:rsidRPr="008D0C84">
        <w:rPr>
          <w:iCs/>
        </w:rPr>
        <w:t xml:space="preserve"> is a lighter process, not involving a jury, and can be organized much more rapidly.</w:t>
      </w:r>
      <w:r>
        <w:rPr>
          <w:iCs/>
        </w:rPr>
        <w:t xml:space="preserve"> Therefore if Article 150 is amended to include this change, LGBTI-phobic online hate is significantly more likely to be brought to court. </w:t>
      </w:r>
      <w:r w:rsidRPr="008D0C84">
        <w:rPr>
          <w:iCs/>
        </w:rPr>
        <w:t xml:space="preserve"> </w:t>
      </w:r>
    </w:p>
    <w:p w14:paraId="79742BA9" w14:textId="77777777" w:rsidR="00FA7464" w:rsidRPr="003A7416" w:rsidRDefault="00FA7464" w:rsidP="00FA7464">
      <w:pPr>
        <w:spacing w:after="240"/>
        <w:rPr>
          <w:lang w:val="en-US"/>
        </w:rPr>
      </w:pPr>
    </w:p>
    <w:p w14:paraId="78BBE1A9" w14:textId="77777777" w:rsidR="00FA7464" w:rsidRPr="00D03469" w:rsidRDefault="00FA7464" w:rsidP="00FA7464">
      <w:pPr>
        <w:rPr>
          <w:rFonts w:ascii="FreeSans" w:hAnsi="FreeSans" w:cs="FreeSans"/>
          <w:b/>
          <w:iCs/>
          <w:color w:val="2F5496" w:themeColor="accent1" w:themeShade="BF"/>
          <w:sz w:val="24"/>
          <w:szCs w:val="24"/>
          <w:u w:val="single"/>
        </w:rPr>
      </w:pPr>
      <w:r w:rsidRPr="00D03469">
        <w:rPr>
          <w:rFonts w:ascii="FreeSans" w:hAnsi="FreeSans" w:cs="FreeSans"/>
          <w:b/>
          <w:iCs/>
          <w:color w:val="2F5496" w:themeColor="accent1" w:themeShade="BF"/>
          <w:sz w:val="24"/>
          <w:szCs w:val="24"/>
          <w:u w:val="single"/>
        </w:rPr>
        <w:t>IV. Other institutional issues related to checks and balances</w:t>
      </w:r>
    </w:p>
    <w:p w14:paraId="5ACD068E" w14:textId="77777777" w:rsidR="00FA7464" w:rsidRDefault="00FA7464" w:rsidP="00FA7464">
      <w:pPr>
        <w:rPr>
          <w:b/>
          <w:color w:val="2F5496" w:themeColor="accent1" w:themeShade="BF"/>
          <w:sz w:val="24"/>
          <w:szCs w:val="24"/>
        </w:rPr>
      </w:pPr>
      <w:r w:rsidRPr="00D03469">
        <w:rPr>
          <w:b/>
          <w:color w:val="2F5496" w:themeColor="accent1" w:themeShade="BF"/>
          <w:sz w:val="24"/>
          <w:szCs w:val="24"/>
        </w:rPr>
        <w:t>A. The process for preparing and enacting laws</w:t>
      </w:r>
    </w:p>
    <w:p w14:paraId="068160AA" w14:textId="77777777" w:rsidR="00FA7464" w:rsidRPr="003A7416" w:rsidRDefault="00FA7464" w:rsidP="00FA7464">
      <w:pPr>
        <w:spacing w:before="240" w:after="240"/>
        <w:rPr>
          <w:color w:val="2F5496" w:themeColor="accent1" w:themeShade="BF"/>
          <w:sz w:val="24"/>
          <w:szCs w:val="24"/>
        </w:rPr>
      </w:pPr>
      <w:r w:rsidRPr="00D03469">
        <w:rPr>
          <w:color w:val="2F5496" w:themeColor="accent1" w:themeShade="BF"/>
          <w:sz w:val="24"/>
          <w:szCs w:val="24"/>
        </w:rPr>
        <w:t xml:space="preserve">Framework, policy and use of impact assessments and evidence-based policy-making, stakeholders'[1]/public consultations </w:t>
      </w:r>
      <w:r w:rsidRPr="00377B38">
        <w:rPr>
          <w:color w:val="2F5496" w:themeColor="accent1" w:themeShade="BF"/>
          <w:sz w:val="24"/>
          <w:szCs w:val="24"/>
        </w:rPr>
        <w:t>(including rules and practices on the transparent participation of civil society to policy</w:t>
      </w:r>
      <w:r>
        <w:rPr>
          <w:color w:val="2F5496" w:themeColor="accent1" w:themeShade="BF"/>
          <w:sz w:val="24"/>
          <w:szCs w:val="24"/>
        </w:rPr>
        <w:t xml:space="preserve"> </w:t>
      </w:r>
      <w:r w:rsidRPr="00377B38">
        <w:rPr>
          <w:color w:val="2F5496" w:themeColor="accent1" w:themeShade="BF"/>
          <w:sz w:val="24"/>
          <w:szCs w:val="24"/>
        </w:rPr>
        <w:t>development and decision-making processes</w:t>
      </w:r>
      <w:r w:rsidRPr="00D03469">
        <w:rPr>
          <w:color w:val="2F5496" w:themeColor="accent1" w:themeShade="BF"/>
          <w:sz w:val="24"/>
          <w:szCs w:val="24"/>
        </w:rPr>
        <w:t>), and transparency and quality of the legislative process</w:t>
      </w:r>
      <w:r w:rsidRPr="00377B38">
        <w:rPr>
          <w:rFonts w:ascii="FreeSans" w:hAnsi="FreeSans" w:cs="FreeSans"/>
          <w:color w:val="333333"/>
          <w:sz w:val="21"/>
          <w:szCs w:val="21"/>
          <w:lang w:eastAsia="en-US"/>
        </w:rPr>
        <w:t xml:space="preserve"> </w:t>
      </w:r>
      <w:r w:rsidRPr="00377B38">
        <w:rPr>
          <w:color w:val="2F5496" w:themeColor="accent1" w:themeShade="BF"/>
          <w:sz w:val="24"/>
          <w:szCs w:val="24"/>
        </w:rPr>
        <w:t>both</w:t>
      </w:r>
      <w:r>
        <w:rPr>
          <w:color w:val="2F5496" w:themeColor="accent1" w:themeShade="BF"/>
          <w:sz w:val="24"/>
          <w:szCs w:val="24"/>
        </w:rPr>
        <w:t xml:space="preserve"> </w:t>
      </w:r>
      <w:r w:rsidRPr="00377B38">
        <w:rPr>
          <w:color w:val="2F5496" w:themeColor="accent1" w:themeShade="BF"/>
          <w:sz w:val="24"/>
          <w:szCs w:val="24"/>
        </w:rPr>
        <w:t>in the preparatory and the parliamentary phase</w:t>
      </w:r>
    </w:p>
    <w:p w14:paraId="2C65FC87" w14:textId="77777777" w:rsidR="00FA7464" w:rsidRPr="004913FD" w:rsidRDefault="00FA7464" w:rsidP="00FA7464">
      <w:pPr>
        <w:jc w:val="both"/>
        <w:rPr>
          <w:iCs/>
        </w:rPr>
      </w:pPr>
      <w:r w:rsidRPr="004913FD">
        <w:rPr>
          <w:iCs/>
        </w:rPr>
        <w:t>LGBTI civil society organisations (CSOs) are relatively well involved in policy development. For example, the Federal Action Plan ‘</w:t>
      </w:r>
      <w:hyperlink r:id="rId10" w:history="1">
        <w:r w:rsidRPr="004913FD">
          <w:rPr>
            <w:rStyle w:val="Hyperlink"/>
            <w:iCs/>
          </w:rPr>
          <w:t>For an LGBTQI+ friendly Belgium – 2021-2024</w:t>
        </w:r>
      </w:hyperlink>
      <w:r w:rsidRPr="004913FD">
        <w:rPr>
          <w:iCs/>
        </w:rPr>
        <w:t xml:space="preserve">’ was developed in collaboration with LGBTI CSOs. </w:t>
      </w:r>
    </w:p>
    <w:p w14:paraId="5F95854F" w14:textId="77777777" w:rsidR="00FA7464" w:rsidRDefault="00FA7464" w:rsidP="00FA7464"/>
    <w:p w14:paraId="0627FF5F" w14:textId="77777777" w:rsidR="00FA7464" w:rsidRDefault="00FA7464" w:rsidP="00FA7464">
      <w:pPr>
        <w:spacing w:after="240"/>
        <w:rPr>
          <w:b/>
          <w:color w:val="2F5496" w:themeColor="accent1" w:themeShade="BF"/>
          <w:sz w:val="24"/>
          <w:szCs w:val="24"/>
        </w:rPr>
      </w:pPr>
      <w:r>
        <w:rPr>
          <w:b/>
          <w:color w:val="2F5496" w:themeColor="accent1" w:themeShade="BF"/>
          <w:sz w:val="24"/>
          <w:szCs w:val="24"/>
        </w:rPr>
        <w:t>D</w:t>
      </w:r>
      <w:r w:rsidRPr="00D03469">
        <w:rPr>
          <w:b/>
          <w:color w:val="2F5496" w:themeColor="accent1" w:themeShade="BF"/>
          <w:sz w:val="24"/>
          <w:szCs w:val="24"/>
        </w:rPr>
        <w:t xml:space="preserve">. The </w:t>
      </w:r>
      <w:r>
        <w:rPr>
          <w:b/>
          <w:color w:val="2F5496" w:themeColor="accent1" w:themeShade="BF"/>
          <w:sz w:val="24"/>
          <w:szCs w:val="24"/>
        </w:rPr>
        <w:t>enabling framework for civil society</w:t>
      </w:r>
    </w:p>
    <w:p w14:paraId="477C808E" w14:textId="77777777" w:rsidR="00FA7464" w:rsidRPr="00525840" w:rsidRDefault="00FA7464" w:rsidP="00FA7464">
      <w:pPr>
        <w:spacing w:after="240"/>
        <w:rPr>
          <w:color w:val="2F5496" w:themeColor="accent1" w:themeShade="BF"/>
          <w:sz w:val="24"/>
          <w:szCs w:val="24"/>
        </w:rPr>
      </w:pPr>
      <w:r w:rsidRPr="00525840">
        <w:rPr>
          <w:color w:val="2F5496" w:themeColor="accent1" w:themeShade="BF"/>
          <w:sz w:val="24"/>
          <w:szCs w:val="24"/>
        </w:rPr>
        <w:t>Rules and practices having an impact on the effective operation and safety of civil society organisations and human rights defenders. This includes measures for protection from attacks – verbal, physical or online –, intimidation, legal threats incl. SLAPPs, negative narratives or smear campaigns, measures capable of affecting the public perception of civil society organisations, etc. It also includes measures to monitor threats or attacks and dedicated support services.</w:t>
      </w:r>
    </w:p>
    <w:p w14:paraId="0E5CA566" w14:textId="53BD257A" w:rsidR="00FA7464" w:rsidRDefault="00FA7464" w:rsidP="00FA7464">
      <w:pPr>
        <w:jc w:val="both"/>
        <w:rPr>
          <w:iCs/>
        </w:rPr>
      </w:pPr>
      <w:r w:rsidRPr="00B4528C">
        <w:rPr>
          <w:iCs/>
        </w:rPr>
        <w:t>Belgian LGBTI CSOs and human rights defenders are generally well supported. However, despite a progressive legal framework, LGBTI persons still face violence, intimidation, and harassment, both in the streets and on social media.</w:t>
      </w:r>
      <w:r w:rsidRPr="00B4528C">
        <w:t xml:space="preserve"> </w:t>
      </w:r>
      <w:proofErr w:type="spellStart"/>
      <w:r w:rsidRPr="00B4528C">
        <w:rPr>
          <w:iCs/>
        </w:rPr>
        <w:t>Unia</w:t>
      </w:r>
      <w:proofErr w:type="spellEnd"/>
      <w:r w:rsidRPr="00B4528C">
        <w:rPr>
          <w:iCs/>
        </w:rPr>
        <w:t xml:space="preserve"> has recorded an increase in cases of discrimination, hate crime </w:t>
      </w:r>
      <w:r w:rsidRPr="00B4528C">
        <w:rPr>
          <w:iCs/>
        </w:rPr>
        <w:lastRenderedPageBreak/>
        <w:t xml:space="preserve">and hate speech related to sexual orientation, particularly in the last four years in which the rate of increase has also been rising.  </w:t>
      </w:r>
    </w:p>
    <w:p w14:paraId="1A538A3F" w14:textId="77777777" w:rsidR="00FA7464" w:rsidRPr="00B4528C" w:rsidRDefault="00FA7464" w:rsidP="00FA7464">
      <w:pPr>
        <w:jc w:val="both"/>
        <w:rPr>
          <w:iCs/>
        </w:rPr>
      </w:pPr>
    </w:p>
    <w:p w14:paraId="1341FD6B" w14:textId="77777777" w:rsidR="00FA7464" w:rsidRDefault="00FA7464" w:rsidP="00FA7464">
      <w:pPr>
        <w:jc w:val="both"/>
        <w:rPr>
          <w:iCs/>
          <w:lang w:val="en"/>
        </w:rPr>
      </w:pPr>
      <w:bookmarkStart w:id="6" w:name="_Hlk188440379"/>
      <w:r w:rsidRPr="00B4528C">
        <w:rPr>
          <w:iCs/>
          <w:lang w:val="en"/>
        </w:rPr>
        <w:t xml:space="preserve">In March 2024 </w:t>
      </w:r>
      <w:r w:rsidRPr="00B4528C">
        <w:rPr>
          <w:iCs/>
        </w:rPr>
        <w:t xml:space="preserve">Circular </w:t>
      </w:r>
      <w:hyperlink r:id="rId11" w:history="1">
        <w:r w:rsidRPr="00B4528C">
          <w:rPr>
            <w:rStyle w:val="Hyperlink"/>
            <w:iCs/>
          </w:rPr>
          <w:t>COL13</w:t>
        </w:r>
      </w:hyperlink>
      <w:r w:rsidRPr="00B4528C">
        <w:rPr>
          <w:iCs/>
        </w:rPr>
        <w:t xml:space="preserve">/2013 was amended in order to improve </w:t>
      </w:r>
      <w:r w:rsidRPr="00B4528C">
        <w:rPr>
          <w:iCs/>
          <w:lang w:val="en"/>
        </w:rPr>
        <w:t xml:space="preserve">the system for recording discrimination complaints, making it possible to identify various grounds of discrimination, including </w:t>
      </w:r>
      <w:bookmarkEnd w:id="6"/>
      <w:r>
        <w:rPr>
          <w:iCs/>
          <w:lang w:val="en"/>
        </w:rPr>
        <w:t>sexual orientation and gender identity.</w:t>
      </w:r>
      <w:r w:rsidRPr="00B4528C">
        <w:rPr>
          <w:iCs/>
          <w:lang w:val="en"/>
        </w:rPr>
        <w:t xml:space="preserve"> COL13/2013 sets out guidelines for public prosecutors, </w:t>
      </w:r>
      <w:proofErr w:type="spellStart"/>
      <w:r w:rsidRPr="00B4528C">
        <w:rPr>
          <w:iCs/>
          <w:lang w:val="en"/>
        </w:rPr>
        <w:t>labour</w:t>
      </w:r>
      <w:proofErr w:type="spellEnd"/>
      <w:r w:rsidRPr="00B4528C">
        <w:rPr>
          <w:iCs/>
          <w:lang w:val="en"/>
        </w:rPr>
        <w:t xml:space="preserve"> auditors, police services and inspection services.</w:t>
      </w:r>
    </w:p>
    <w:p w14:paraId="65A3B0A9" w14:textId="77777777" w:rsidR="00FA7464" w:rsidRPr="00EA1A03" w:rsidRDefault="00FA7464" w:rsidP="00FA7464">
      <w:pPr>
        <w:rPr>
          <w:lang w:val="en"/>
        </w:rPr>
      </w:pPr>
    </w:p>
    <w:p w14:paraId="2F88ADEF" w14:textId="77777777" w:rsidR="00B4528C" w:rsidRPr="00376A58" w:rsidRDefault="00B4528C" w:rsidP="00B4528C">
      <w:pPr>
        <w:jc w:val="both"/>
        <w:rPr>
          <w:iCs/>
          <w:lang w:val="en"/>
        </w:rPr>
      </w:pPr>
    </w:p>
    <w:p w14:paraId="549E82CD" w14:textId="77777777" w:rsidR="00B4528C" w:rsidRPr="00B4528C" w:rsidRDefault="00B4528C" w:rsidP="00B4528C">
      <w:pPr>
        <w:rPr>
          <w:iCs/>
          <w:lang w:val="en-US"/>
        </w:rPr>
      </w:pPr>
    </w:p>
    <w:p w14:paraId="00314ADC" w14:textId="19095028" w:rsidR="004913FD" w:rsidRDefault="004913FD" w:rsidP="004913FD">
      <w:pPr>
        <w:rPr>
          <w:lang w:val="en"/>
        </w:rPr>
      </w:pPr>
    </w:p>
    <w:p w14:paraId="1554E0BB" w14:textId="743E235F" w:rsidR="00376A58" w:rsidRDefault="00376A58" w:rsidP="004913FD">
      <w:pPr>
        <w:rPr>
          <w:lang w:val="en"/>
        </w:rPr>
      </w:pPr>
    </w:p>
    <w:p w14:paraId="0EDFF19F" w14:textId="1CB69A64" w:rsidR="00376A58" w:rsidRDefault="00376A58" w:rsidP="004913FD">
      <w:pPr>
        <w:rPr>
          <w:lang w:val="en"/>
        </w:rPr>
      </w:pPr>
    </w:p>
    <w:p w14:paraId="244DA9F9" w14:textId="1E627ABA" w:rsidR="00376A58" w:rsidRDefault="00376A58" w:rsidP="004913FD">
      <w:pPr>
        <w:rPr>
          <w:lang w:val="en"/>
        </w:rPr>
      </w:pPr>
    </w:p>
    <w:p w14:paraId="430AFD19" w14:textId="23E9A5ED" w:rsidR="00376A58" w:rsidRDefault="00376A58" w:rsidP="004913FD">
      <w:pPr>
        <w:rPr>
          <w:lang w:val="en"/>
        </w:rPr>
      </w:pPr>
    </w:p>
    <w:p w14:paraId="558F2EF1" w14:textId="472B7FDB" w:rsidR="00376A58" w:rsidRDefault="00376A58" w:rsidP="004913FD">
      <w:pPr>
        <w:rPr>
          <w:lang w:val="en"/>
        </w:rPr>
      </w:pPr>
    </w:p>
    <w:p w14:paraId="6AD4D5E3" w14:textId="5D7C079C" w:rsidR="00376A58" w:rsidRDefault="00376A58" w:rsidP="004913FD">
      <w:pPr>
        <w:rPr>
          <w:lang w:val="en"/>
        </w:rPr>
      </w:pPr>
    </w:p>
    <w:p w14:paraId="7A3CE5A7" w14:textId="2989B605" w:rsidR="00376A58" w:rsidRDefault="00376A58" w:rsidP="004913FD">
      <w:pPr>
        <w:rPr>
          <w:lang w:val="en"/>
        </w:rPr>
      </w:pPr>
    </w:p>
    <w:p w14:paraId="231896D7" w14:textId="700AD911" w:rsidR="00376A58" w:rsidRDefault="00376A58" w:rsidP="004913FD">
      <w:pPr>
        <w:rPr>
          <w:lang w:val="en"/>
        </w:rPr>
      </w:pPr>
    </w:p>
    <w:p w14:paraId="6B3666B2" w14:textId="7FFDDC8A" w:rsidR="00376A58" w:rsidRDefault="00376A58" w:rsidP="004913FD">
      <w:pPr>
        <w:rPr>
          <w:lang w:val="en"/>
        </w:rPr>
      </w:pPr>
    </w:p>
    <w:p w14:paraId="49029B62" w14:textId="25223C03" w:rsidR="00376A58" w:rsidRDefault="00376A58" w:rsidP="004913FD">
      <w:pPr>
        <w:rPr>
          <w:lang w:val="en"/>
        </w:rPr>
      </w:pPr>
    </w:p>
    <w:p w14:paraId="2D65005B" w14:textId="2F03E5BE" w:rsidR="00376A58" w:rsidRDefault="00376A58" w:rsidP="004913FD">
      <w:pPr>
        <w:rPr>
          <w:lang w:val="en"/>
        </w:rPr>
      </w:pPr>
    </w:p>
    <w:p w14:paraId="439179F9" w14:textId="2ED71C27" w:rsidR="00376A58" w:rsidRDefault="00376A58" w:rsidP="004913FD">
      <w:pPr>
        <w:rPr>
          <w:lang w:val="en"/>
        </w:rPr>
      </w:pPr>
    </w:p>
    <w:p w14:paraId="0D5FD46B" w14:textId="6BFC07AF" w:rsidR="00376A58" w:rsidRDefault="00376A58" w:rsidP="004913FD">
      <w:pPr>
        <w:rPr>
          <w:lang w:val="en"/>
        </w:rPr>
      </w:pPr>
    </w:p>
    <w:p w14:paraId="3EBFAD19" w14:textId="41BFF54E" w:rsidR="00376A58" w:rsidRDefault="00376A58" w:rsidP="004913FD">
      <w:pPr>
        <w:rPr>
          <w:lang w:val="en"/>
        </w:rPr>
      </w:pPr>
    </w:p>
    <w:p w14:paraId="7C327DC2" w14:textId="43A2E70E" w:rsidR="00376A58" w:rsidRDefault="00376A58" w:rsidP="004913FD">
      <w:pPr>
        <w:rPr>
          <w:lang w:val="en"/>
        </w:rPr>
      </w:pPr>
    </w:p>
    <w:p w14:paraId="5B86DC46" w14:textId="3AF8D4C5" w:rsidR="00376A58" w:rsidRDefault="00376A58" w:rsidP="004913FD">
      <w:pPr>
        <w:rPr>
          <w:lang w:val="en"/>
        </w:rPr>
      </w:pPr>
    </w:p>
    <w:p w14:paraId="77075637" w14:textId="794208C2" w:rsidR="00376A58" w:rsidRDefault="00376A58" w:rsidP="004913FD">
      <w:pPr>
        <w:rPr>
          <w:lang w:val="en"/>
        </w:rPr>
      </w:pPr>
    </w:p>
    <w:p w14:paraId="7556F14F" w14:textId="1A6E9B4F" w:rsidR="00376A58" w:rsidRDefault="00376A58" w:rsidP="004913FD">
      <w:pPr>
        <w:rPr>
          <w:lang w:val="en"/>
        </w:rPr>
      </w:pPr>
    </w:p>
    <w:p w14:paraId="2048D9ED" w14:textId="1E56C382" w:rsidR="00376A58" w:rsidRDefault="00376A58" w:rsidP="004913FD">
      <w:pPr>
        <w:rPr>
          <w:lang w:val="en"/>
        </w:rPr>
      </w:pPr>
    </w:p>
    <w:p w14:paraId="01972121" w14:textId="350BADD5" w:rsidR="00376A58" w:rsidRDefault="00376A58" w:rsidP="004913FD">
      <w:pPr>
        <w:rPr>
          <w:lang w:val="en"/>
        </w:rPr>
      </w:pPr>
    </w:p>
    <w:p w14:paraId="1C1887DB" w14:textId="4C618AA4" w:rsidR="00376A58" w:rsidRDefault="00376A58" w:rsidP="004913FD">
      <w:pPr>
        <w:rPr>
          <w:lang w:val="en"/>
        </w:rPr>
      </w:pPr>
    </w:p>
    <w:p w14:paraId="551080F4" w14:textId="2C34298F" w:rsidR="00376A58" w:rsidRDefault="00376A58" w:rsidP="004913FD">
      <w:pPr>
        <w:rPr>
          <w:lang w:val="en"/>
        </w:rPr>
      </w:pPr>
    </w:p>
    <w:p w14:paraId="682B13D6" w14:textId="323C9807" w:rsidR="00376A58" w:rsidRDefault="00376A58" w:rsidP="004913FD">
      <w:pPr>
        <w:rPr>
          <w:lang w:val="en"/>
        </w:rPr>
      </w:pPr>
    </w:p>
    <w:p w14:paraId="59A0FFCF" w14:textId="573590C9" w:rsidR="00376A58" w:rsidRDefault="00376A58" w:rsidP="004913FD">
      <w:pPr>
        <w:rPr>
          <w:lang w:val="en"/>
        </w:rPr>
      </w:pPr>
    </w:p>
    <w:p w14:paraId="3D004C28" w14:textId="2E8C50D2" w:rsidR="00376A58" w:rsidRDefault="00376A58" w:rsidP="004913FD">
      <w:pPr>
        <w:rPr>
          <w:lang w:val="en"/>
        </w:rPr>
      </w:pPr>
    </w:p>
    <w:p w14:paraId="5805528B" w14:textId="0223C413" w:rsidR="00376A58" w:rsidRDefault="00376A58" w:rsidP="004913FD">
      <w:pPr>
        <w:rPr>
          <w:lang w:val="en"/>
        </w:rPr>
      </w:pPr>
    </w:p>
    <w:p w14:paraId="3125B5E4" w14:textId="1BDF6168" w:rsidR="00376A58" w:rsidRDefault="00376A58" w:rsidP="004913FD">
      <w:pPr>
        <w:rPr>
          <w:lang w:val="en"/>
        </w:rPr>
      </w:pPr>
    </w:p>
    <w:p w14:paraId="63A899A9" w14:textId="07F68F69" w:rsidR="00376A58" w:rsidRDefault="00376A58" w:rsidP="004913FD">
      <w:pPr>
        <w:rPr>
          <w:lang w:val="en"/>
        </w:rPr>
      </w:pPr>
    </w:p>
    <w:p w14:paraId="18E85D27" w14:textId="2C0D81E8" w:rsidR="00376A58" w:rsidRDefault="00376A58" w:rsidP="004913FD">
      <w:pPr>
        <w:rPr>
          <w:lang w:val="en"/>
        </w:rPr>
      </w:pPr>
    </w:p>
    <w:p w14:paraId="1D3D6192" w14:textId="7A77060F" w:rsidR="00376A58" w:rsidRDefault="00376A58" w:rsidP="004913FD">
      <w:pPr>
        <w:rPr>
          <w:lang w:val="en"/>
        </w:rPr>
      </w:pPr>
    </w:p>
    <w:p w14:paraId="43306B2E" w14:textId="202554F4" w:rsidR="00376A58" w:rsidRDefault="00376A58" w:rsidP="004913FD">
      <w:pPr>
        <w:rPr>
          <w:lang w:val="en"/>
        </w:rPr>
      </w:pPr>
    </w:p>
    <w:p w14:paraId="5338E244" w14:textId="2A63EAF4" w:rsidR="00376A58" w:rsidRDefault="00376A58" w:rsidP="004913FD">
      <w:pPr>
        <w:rPr>
          <w:lang w:val="en"/>
        </w:rPr>
      </w:pPr>
    </w:p>
    <w:p w14:paraId="56395CF8" w14:textId="64B8982E" w:rsidR="00376A58" w:rsidRDefault="00376A58" w:rsidP="004913FD">
      <w:pPr>
        <w:rPr>
          <w:lang w:val="en"/>
        </w:rPr>
      </w:pPr>
    </w:p>
    <w:p w14:paraId="18B2F67A" w14:textId="7134E426" w:rsidR="00376A58" w:rsidRDefault="00376A58" w:rsidP="004913FD">
      <w:pPr>
        <w:rPr>
          <w:lang w:val="en"/>
        </w:rPr>
      </w:pPr>
    </w:p>
    <w:p w14:paraId="15217B72" w14:textId="07B110D6" w:rsidR="00376A58" w:rsidRDefault="00376A58" w:rsidP="004913FD">
      <w:pPr>
        <w:rPr>
          <w:lang w:val="en"/>
        </w:rPr>
      </w:pPr>
    </w:p>
    <w:p w14:paraId="2EDF85C9" w14:textId="62DE5BEC" w:rsidR="00376A58" w:rsidRDefault="00376A58" w:rsidP="004913FD">
      <w:pPr>
        <w:rPr>
          <w:lang w:val="en"/>
        </w:rPr>
      </w:pPr>
    </w:p>
    <w:p w14:paraId="07795B68" w14:textId="5EB68CD7" w:rsidR="00376A58" w:rsidRDefault="00376A58" w:rsidP="004913FD">
      <w:pPr>
        <w:rPr>
          <w:lang w:val="en"/>
        </w:rPr>
      </w:pPr>
    </w:p>
    <w:p w14:paraId="1C45F24B" w14:textId="77777777" w:rsidR="00376A58" w:rsidRPr="00B4528C" w:rsidRDefault="00376A58" w:rsidP="004913FD">
      <w:pPr>
        <w:rPr>
          <w:lang w:val="en"/>
        </w:rPr>
      </w:pPr>
    </w:p>
    <w:p w14:paraId="123CFE4C" w14:textId="77777777" w:rsidR="00FA7464" w:rsidRDefault="00FA7464" w:rsidP="00FA7464">
      <w:pPr>
        <w:jc w:val="both"/>
        <w:rPr>
          <w:u w:val="single"/>
        </w:rPr>
      </w:pPr>
    </w:p>
    <w:p w14:paraId="48F458E4" w14:textId="04DD92A9" w:rsidR="00FA7464" w:rsidRPr="00FA7464" w:rsidRDefault="00FA7464" w:rsidP="00FA7464">
      <w:pPr>
        <w:pStyle w:val="Heading1"/>
      </w:pPr>
      <w:bookmarkStart w:id="7" w:name="_Toc187755141"/>
      <w:bookmarkStart w:id="8" w:name="_Toc188863988"/>
      <w:r w:rsidRPr="00FA7464">
        <w:lastRenderedPageBreak/>
        <w:t>Bulgaria</w:t>
      </w:r>
      <w:bookmarkEnd w:id="7"/>
      <w:bookmarkEnd w:id="8"/>
    </w:p>
    <w:p w14:paraId="6102EDE8" w14:textId="77777777" w:rsidR="00FA7464" w:rsidRDefault="00FA7464" w:rsidP="00FA7464"/>
    <w:p w14:paraId="486DB745" w14:textId="77777777" w:rsidR="00FA7464" w:rsidRPr="00D03469" w:rsidRDefault="00FA7464" w:rsidP="00FA7464">
      <w:pPr>
        <w:rPr>
          <w:rFonts w:ascii="FreeSans" w:hAnsi="FreeSans" w:cs="FreeSans"/>
          <w:b/>
          <w:iCs/>
          <w:color w:val="2F5496" w:themeColor="accent1" w:themeShade="BF"/>
          <w:sz w:val="24"/>
          <w:szCs w:val="24"/>
          <w:u w:val="single"/>
        </w:rPr>
      </w:pPr>
      <w:r w:rsidRPr="00D03469">
        <w:rPr>
          <w:rFonts w:ascii="FreeSans" w:hAnsi="FreeSans" w:cs="FreeSans"/>
          <w:b/>
          <w:iCs/>
          <w:color w:val="2F5496" w:themeColor="accent1" w:themeShade="BF"/>
          <w:sz w:val="24"/>
          <w:szCs w:val="24"/>
          <w:u w:val="single"/>
        </w:rPr>
        <w:t>IV. Other institutional issues related to checks and balances</w:t>
      </w:r>
    </w:p>
    <w:p w14:paraId="341CB1AD" w14:textId="77777777" w:rsidR="00FA7464" w:rsidRPr="0023397C" w:rsidRDefault="00FA7464" w:rsidP="00FA7464">
      <w:pPr>
        <w:spacing w:after="240"/>
        <w:rPr>
          <w:b/>
          <w:color w:val="2F5496" w:themeColor="accent1" w:themeShade="BF"/>
          <w:sz w:val="24"/>
          <w:szCs w:val="24"/>
        </w:rPr>
      </w:pPr>
      <w:r w:rsidRPr="0023397C">
        <w:rPr>
          <w:b/>
          <w:color w:val="2F5496" w:themeColor="accent1" w:themeShade="BF"/>
          <w:sz w:val="24"/>
          <w:szCs w:val="24"/>
        </w:rPr>
        <w:t>C. Accessibility and judicial review of administrative decisions</w:t>
      </w:r>
    </w:p>
    <w:p w14:paraId="4BD90AFF" w14:textId="77777777" w:rsidR="00FA7464" w:rsidRDefault="00FA7464" w:rsidP="00FA7464">
      <w:pPr>
        <w:spacing w:after="240"/>
        <w:jc w:val="both"/>
        <w:rPr>
          <w:color w:val="2F5496" w:themeColor="accent1" w:themeShade="BF"/>
          <w:sz w:val="24"/>
          <w:szCs w:val="24"/>
        </w:rPr>
      </w:pPr>
      <w:r w:rsidRPr="00D249E2">
        <w:rPr>
          <w:color w:val="2F5496" w:themeColor="accent1" w:themeShade="BF"/>
          <w:sz w:val="24"/>
          <w:szCs w:val="24"/>
        </w:rPr>
        <w:t>Implementation of final judgments by the public administration and State institutions and follow-up given to supranational judgments, including decisions from the European Court of Human Rights, as well as available remedies in case of non-implementation</w:t>
      </w:r>
    </w:p>
    <w:p w14:paraId="6087A79C" w14:textId="77777777" w:rsidR="00FA7464" w:rsidRPr="00FA7464" w:rsidRDefault="00FA7464" w:rsidP="00FA7464">
      <w:pPr>
        <w:spacing w:after="240"/>
        <w:jc w:val="both"/>
        <w:rPr>
          <w:b/>
        </w:rPr>
      </w:pPr>
      <w:r w:rsidRPr="00FA7464">
        <w:rPr>
          <w:b/>
        </w:rPr>
        <w:t>Non-implementation of CJEU and ECtHR judgements</w:t>
      </w:r>
    </w:p>
    <w:p w14:paraId="4F35F6BE" w14:textId="77777777" w:rsidR="00FA7464" w:rsidRPr="00FA7464" w:rsidRDefault="00FA7464" w:rsidP="00FA7464">
      <w:pPr>
        <w:jc w:val="both"/>
        <w:rPr>
          <w:u w:val="single"/>
        </w:rPr>
      </w:pPr>
      <w:r w:rsidRPr="00FA7464">
        <w:rPr>
          <w:u w:val="single"/>
        </w:rPr>
        <w:t>Birth certificates of children born in same-sex families</w:t>
      </w:r>
    </w:p>
    <w:p w14:paraId="6447C684" w14:textId="4F5AEDB9" w:rsidR="00FA7464" w:rsidRDefault="00FA7464" w:rsidP="00FA7464">
      <w:pPr>
        <w:jc w:val="both"/>
      </w:pPr>
      <w:r w:rsidRPr="000A7F3E">
        <w:t>On 1 March 2023 the Supreme Administrative Court disregarded the judgement of the Court of Justice of the EU</w:t>
      </w:r>
      <w:r w:rsidR="00C63176">
        <w:t xml:space="preserve"> (CJEU)</w:t>
      </w:r>
      <w:r w:rsidRPr="000A7F3E">
        <w:t xml:space="preserve"> on </w:t>
      </w:r>
      <w:hyperlink r:id="rId12" w:history="1">
        <w:r w:rsidRPr="000A7F3E">
          <w:rPr>
            <w:rStyle w:val="Hyperlink"/>
            <w:lang w:eastAsia="bg-BG"/>
          </w:rPr>
          <w:t xml:space="preserve">C-490/2020 V.M.A. v. </w:t>
        </w:r>
        <w:proofErr w:type="spellStart"/>
        <w:r w:rsidRPr="000A7F3E">
          <w:rPr>
            <w:rStyle w:val="Hyperlink"/>
            <w:lang w:eastAsia="bg-BG"/>
          </w:rPr>
          <w:t>Pancharevo</w:t>
        </w:r>
        <w:proofErr w:type="spellEnd"/>
        <w:r w:rsidRPr="000A7F3E">
          <w:rPr>
            <w:rStyle w:val="Hyperlink"/>
            <w:lang w:eastAsia="bg-BG"/>
          </w:rPr>
          <w:t xml:space="preserve"> municipality, Bulgaria</w:t>
        </w:r>
      </w:hyperlink>
      <w:r w:rsidRPr="000A7F3E">
        <w:t xml:space="preserve"> on the recognition of birth certificates of children born in same-sex families, leaving the child born to a Bulgarian mother and Spanish mother stateless. </w:t>
      </w:r>
    </w:p>
    <w:p w14:paraId="6D51FD85" w14:textId="77777777" w:rsidR="00FA7464" w:rsidRPr="000A7F3E" w:rsidRDefault="00FA7464" w:rsidP="00FA7464">
      <w:pPr>
        <w:jc w:val="both"/>
      </w:pPr>
    </w:p>
    <w:p w14:paraId="30979A95" w14:textId="7D77DABD" w:rsidR="00FA7464" w:rsidRDefault="00FA7464" w:rsidP="00FA7464">
      <w:pPr>
        <w:jc w:val="both"/>
      </w:pPr>
      <w:r w:rsidRPr="000A7F3E">
        <w:t>The CJEU had found in December 2021 that it is contrary to the fundamental rights guaranteed by Articles 7 and 24 of the EU’s Charter of Fundamental Rights for the baby of same-sex parents to be deprived of the relationship with one of her parents when exercising her right of free movement or for her exercise of that right to be made impossible or excessively difficult on the ground that her parents are of the same sex. The ruling effectively said that if one EU country recognises a child’s parental relationship, then all EU countries should do the same to guarantee the child’s right to freedom of movement across the region, a right granted to all EU citizens. This situation has yet to be remedied by Bulgaria in line with the CJEU judgement.</w:t>
      </w:r>
    </w:p>
    <w:p w14:paraId="7A0F7593" w14:textId="77777777" w:rsidR="00FA7464" w:rsidRPr="000A7F3E" w:rsidRDefault="00FA7464" w:rsidP="00FA7464">
      <w:pPr>
        <w:jc w:val="both"/>
      </w:pPr>
    </w:p>
    <w:p w14:paraId="43121DCC" w14:textId="1AC87C64" w:rsidR="00FA7464" w:rsidRDefault="00FA7464" w:rsidP="00FA7464">
      <w:pPr>
        <w:jc w:val="both"/>
        <w:rPr>
          <w:lang w:val="bg-BG"/>
        </w:rPr>
      </w:pPr>
      <w:r w:rsidRPr="000A7F3E">
        <w:t xml:space="preserve">Bulgarian Courts and municipalities continue to ignore and refuse to implement the C-490/2020 ruling. This can be confirmed by the complaints submitted to the European Commission for breach of EU law – complaints with reference numbers: </w:t>
      </w:r>
      <w:r w:rsidRPr="000A7F3E">
        <w:rPr>
          <w:lang w:val="bg-BG"/>
        </w:rPr>
        <w:t xml:space="preserve">№ </w:t>
      </w:r>
      <w:r w:rsidRPr="000A7F3E">
        <w:t xml:space="preserve">CPLT(2023)02909, CPLT(2023)02910, CPLT(2023)02911, CPLT(2023)02912, CPLT(2023)02913, CPLT(2023)01724 which specifically concerns the case of V.M.A. Additionally, there is a pending case before the Administrative Court of Sofia city which concerns the issuance of </w:t>
      </w:r>
      <w:r w:rsidR="00C63176">
        <w:t xml:space="preserve">a </w:t>
      </w:r>
      <w:r w:rsidRPr="000A7F3E">
        <w:t xml:space="preserve">birth certificate between the same parties as the V.M.A. case – </w:t>
      </w:r>
      <w:proofErr w:type="spellStart"/>
      <w:r w:rsidRPr="000A7F3E">
        <w:t>adm.court</w:t>
      </w:r>
      <w:proofErr w:type="spellEnd"/>
      <w:r w:rsidRPr="000A7F3E">
        <w:t xml:space="preserve"> case </w:t>
      </w:r>
      <w:r w:rsidRPr="000A7F3E">
        <w:rPr>
          <w:lang w:val="bg-BG"/>
        </w:rPr>
        <w:t xml:space="preserve">№ 20247010708156/2024. </w:t>
      </w:r>
    </w:p>
    <w:p w14:paraId="32E485A5" w14:textId="77777777" w:rsidR="00FA7464" w:rsidRPr="000A7F3E" w:rsidRDefault="00FA7464" w:rsidP="00FA7464">
      <w:pPr>
        <w:jc w:val="both"/>
        <w:rPr>
          <w:lang w:val="bg-BG"/>
        </w:rPr>
      </w:pPr>
    </w:p>
    <w:p w14:paraId="290DE285" w14:textId="77777777" w:rsidR="00FA7464" w:rsidRPr="00FA7464" w:rsidRDefault="00FA7464" w:rsidP="00FA7464">
      <w:pPr>
        <w:jc w:val="both"/>
        <w:rPr>
          <w:u w:val="single"/>
        </w:rPr>
      </w:pPr>
      <w:r w:rsidRPr="00FA7464">
        <w:rPr>
          <w:u w:val="single"/>
        </w:rPr>
        <w:t>Legal gender recognition</w:t>
      </w:r>
    </w:p>
    <w:p w14:paraId="14B7BFC4" w14:textId="791D1FE7" w:rsidR="00FA7464" w:rsidRDefault="00FA7464" w:rsidP="00FA7464">
      <w:pPr>
        <w:jc w:val="both"/>
      </w:pPr>
      <w:r w:rsidRPr="000A7F3E">
        <w:t>A</w:t>
      </w:r>
      <w:r w:rsidRPr="000A7F3E">
        <w:rPr>
          <w:lang w:val="bg-BG"/>
        </w:rPr>
        <w:t xml:space="preserve"> significant body of </w:t>
      </w:r>
      <w:r w:rsidR="009C77DD">
        <w:t>European Court of Human Rights (</w:t>
      </w:r>
      <w:r w:rsidRPr="000A7F3E">
        <w:rPr>
          <w:lang w:val="bg-BG"/>
        </w:rPr>
        <w:t>E</w:t>
      </w:r>
      <w:r w:rsidR="009C77DD" w:rsidRPr="000A7F3E">
        <w:rPr>
          <w:lang w:val="bg-BG"/>
        </w:rPr>
        <w:t>c</w:t>
      </w:r>
      <w:r w:rsidRPr="000A7F3E">
        <w:rPr>
          <w:lang w:val="bg-BG"/>
        </w:rPr>
        <w:t>tHR</w:t>
      </w:r>
      <w:r w:rsidR="009C77DD">
        <w:t>)</w:t>
      </w:r>
      <w:r w:rsidRPr="000A7F3E">
        <w:rPr>
          <w:lang w:val="bg-BG"/>
        </w:rPr>
        <w:t xml:space="preserve"> cases</w:t>
      </w:r>
      <w:r w:rsidRPr="000A7F3E">
        <w:t xml:space="preserve"> have</w:t>
      </w:r>
      <w:r w:rsidRPr="000A7F3E">
        <w:rPr>
          <w:lang w:val="bg-BG"/>
        </w:rPr>
        <w:t xml:space="preserve"> rul</w:t>
      </w:r>
      <w:r w:rsidRPr="000A7F3E">
        <w:t>ed</w:t>
      </w:r>
      <w:r w:rsidRPr="000A7F3E">
        <w:rPr>
          <w:lang w:val="bg-BG"/>
        </w:rPr>
        <w:t xml:space="preserve"> that lack of access to </w:t>
      </w:r>
      <w:r w:rsidRPr="000A7F3E">
        <w:t>legal gender recognition (LGR) – the procedure in which trans and intersex people can change their legal gender in identity documents –</w:t>
      </w:r>
      <w:r w:rsidRPr="000A7F3E">
        <w:rPr>
          <w:lang w:val="bg-BG"/>
        </w:rPr>
        <w:t xml:space="preserve"> is a violation of Article 8</w:t>
      </w:r>
      <w:r w:rsidR="00C63176">
        <w:t xml:space="preserve"> of the European Convention on Human Rights</w:t>
      </w:r>
      <w:r w:rsidRPr="000A7F3E">
        <w:rPr>
          <w:lang w:val="bg-BG"/>
        </w:rPr>
        <w:t xml:space="preserve"> </w:t>
      </w:r>
      <w:r w:rsidR="00C63176">
        <w:t>(</w:t>
      </w:r>
      <w:r w:rsidRPr="000A7F3E">
        <w:rPr>
          <w:lang w:val="bg-BG"/>
        </w:rPr>
        <w:t>ECHR</w:t>
      </w:r>
      <w:r w:rsidR="00C63176">
        <w:t>)</w:t>
      </w:r>
      <w:r w:rsidRPr="000A7F3E">
        <w:t xml:space="preserve">. </w:t>
      </w:r>
    </w:p>
    <w:p w14:paraId="70FBCCF0" w14:textId="77777777" w:rsidR="00FA7464" w:rsidRPr="000A7F3E" w:rsidRDefault="00FA7464" w:rsidP="00FA7464">
      <w:pPr>
        <w:jc w:val="both"/>
      </w:pPr>
    </w:p>
    <w:p w14:paraId="68448590" w14:textId="06F21844" w:rsidR="00FA7464" w:rsidRDefault="00FA7464" w:rsidP="00FA7464">
      <w:pPr>
        <w:jc w:val="both"/>
        <w:rPr>
          <w:lang w:val="bg-BG"/>
        </w:rPr>
      </w:pPr>
      <w:r w:rsidRPr="000A7F3E">
        <w:rPr>
          <w:lang w:val="bg-BG"/>
        </w:rPr>
        <w:t xml:space="preserve">The most recent </w:t>
      </w:r>
      <w:r>
        <w:t xml:space="preserve">ECtHR case </w:t>
      </w:r>
      <w:r w:rsidRPr="000A7F3E">
        <w:rPr>
          <w:lang w:val="bg-BG"/>
        </w:rPr>
        <w:t>is from December 2022 against Georgia (</w:t>
      </w:r>
      <w:r w:rsidR="00AF34E3">
        <w:fldChar w:fldCharType="begin"/>
      </w:r>
      <w:r w:rsidR="00AF34E3">
        <w:instrText xml:space="preserve"> HYPERLINK "https://hudoc.echr.coe.int/fre" \l "{%22itemid%22:[%22001-221237%22]}" </w:instrText>
      </w:r>
      <w:r w:rsidR="00AF34E3">
        <w:fldChar w:fldCharType="separate"/>
      </w:r>
      <w:r w:rsidRPr="007512B0">
        <w:rPr>
          <w:rStyle w:val="Hyperlink"/>
          <w:iCs/>
          <w:lang w:val="bg-BG"/>
        </w:rPr>
        <w:t>A.D and others v. Georgia</w:t>
      </w:r>
      <w:r w:rsidR="00AF34E3">
        <w:rPr>
          <w:rStyle w:val="Hyperlink"/>
          <w:iCs/>
          <w:lang w:val="bg-BG"/>
        </w:rPr>
        <w:fldChar w:fldCharType="end"/>
      </w:r>
      <w:r w:rsidRPr="000A7F3E">
        <w:rPr>
          <w:i/>
          <w:iCs/>
          <w:lang w:val="bg-BG"/>
        </w:rPr>
        <w:t>).</w:t>
      </w:r>
      <w:r w:rsidRPr="000A7F3E">
        <w:rPr>
          <w:lang w:val="bg-BG"/>
        </w:rPr>
        <w:t xml:space="preserve"> The court found violation of Article 8 ECHR because of not having a </w:t>
      </w:r>
      <w:r w:rsidRPr="000A7F3E">
        <w:rPr>
          <w:bCs/>
          <w:lang w:val="bg-BG"/>
        </w:rPr>
        <w:t xml:space="preserve">fast, accessible and transparent </w:t>
      </w:r>
      <w:r w:rsidRPr="000A7F3E">
        <w:rPr>
          <w:bCs/>
        </w:rPr>
        <w:t>LGR</w:t>
      </w:r>
      <w:r w:rsidRPr="000A7F3E">
        <w:rPr>
          <w:bCs/>
          <w:lang w:val="bg-BG"/>
        </w:rPr>
        <w:t xml:space="preserve"> procedure in place.</w:t>
      </w:r>
      <w:r w:rsidRPr="000A7F3E">
        <w:rPr>
          <w:bCs/>
        </w:rPr>
        <w:t xml:space="preserve"> </w:t>
      </w:r>
      <w:r>
        <w:rPr>
          <w:bCs/>
        </w:rPr>
        <w:t xml:space="preserve">The most recent case relating to Bulgaria, finding violation of Article 8 ECHR due to the lack of a </w:t>
      </w:r>
      <w:r w:rsidRPr="0094515F">
        <w:rPr>
          <w:bCs/>
        </w:rPr>
        <w:t>fast, accessible and transparent LGR procedure</w:t>
      </w:r>
      <w:r>
        <w:rPr>
          <w:bCs/>
        </w:rPr>
        <w:t xml:space="preserve">, is the judgement of 27 September 2022 in </w:t>
      </w:r>
      <w:hyperlink r:id="rId13" w:history="1">
        <w:r w:rsidRPr="0094515F">
          <w:rPr>
            <w:rStyle w:val="Hyperlink"/>
            <w:bCs/>
          </w:rPr>
          <w:t>P.H. v. Bulgaria</w:t>
        </w:r>
      </w:hyperlink>
      <w:r>
        <w:rPr>
          <w:bCs/>
        </w:rPr>
        <w:t>.</w:t>
      </w:r>
      <w:r w:rsidRPr="0094515F">
        <w:rPr>
          <w:bCs/>
        </w:rPr>
        <w:t xml:space="preserve"> </w:t>
      </w:r>
      <w:r w:rsidRPr="000A7F3E">
        <w:t xml:space="preserve">The ECtHR case law also includes case Y.T. v. Bulgaria, which </w:t>
      </w:r>
      <w:r w:rsidRPr="000A7F3E">
        <w:rPr>
          <w:lang w:val="bg-BG"/>
        </w:rPr>
        <w:t>is among the rare cases where the ECtHR has adjudicated on the revision of a judgment under Rule 80 of the Rules of the Court. In its </w:t>
      </w:r>
      <w:r w:rsidR="00AF34E3">
        <w:fldChar w:fldCharType="begin"/>
      </w:r>
      <w:r w:rsidR="00AF34E3">
        <w:instrText xml:space="preserve"> HYPERLINK "https://hudoc.echr.coe.int/eng" \l "%7B%22itemid%22:%5B%22001-203898%22%5D%7D" \t "_blank" </w:instrText>
      </w:r>
      <w:r w:rsidR="00AF34E3">
        <w:fldChar w:fldCharType="separate"/>
      </w:r>
      <w:r w:rsidRPr="000A7F3E">
        <w:rPr>
          <w:rStyle w:val="Hyperlink"/>
          <w:lang w:val="bg-BG" w:eastAsia="bg-BG"/>
        </w:rPr>
        <w:t>original judgment</w:t>
      </w:r>
      <w:r w:rsidR="00AF34E3">
        <w:rPr>
          <w:rStyle w:val="Hyperlink"/>
          <w:lang w:val="bg-BG" w:eastAsia="bg-BG"/>
        </w:rPr>
        <w:fldChar w:fldCharType="end"/>
      </w:r>
      <w:r w:rsidRPr="000A7F3E">
        <w:rPr>
          <w:lang w:val="bg-BG"/>
        </w:rPr>
        <w:t xml:space="preserve"> of 9 July 2020, the ECtHR found  a violation of ECHR Article 8 as domestic courts refused to grant </w:t>
      </w:r>
      <w:r w:rsidRPr="000A7F3E">
        <w:t>LGR</w:t>
      </w:r>
      <w:r w:rsidRPr="000A7F3E">
        <w:rPr>
          <w:lang w:val="bg-BG"/>
        </w:rPr>
        <w:t xml:space="preserve"> to the applicant without providing relevant and sufficient reasons and without explaining why it had been possible for domestic courts to grant LGR in other </w:t>
      </w:r>
      <w:r w:rsidRPr="000A7F3E">
        <w:rPr>
          <w:lang w:val="bg-BG"/>
        </w:rPr>
        <w:lastRenderedPageBreak/>
        <w:t>cases.</w:t>
      </w:r>
      <w:r w:rsidRPr="000A7F3E">
        <w:t xml:space="preserve"> </w:t>
      </w:r>
      <w:r w:rsidRPr="000A7F3E">
        <w:rPr>
          <w:lang w:val="bg-BG"/>
        </w:rPr>
        <w:t xml:space="preserve">Upon request </w:t>
      </w:r>
      <w:r w:rsidRPr="000A7F3E">
        <w:t>by</w:t>
      </w:r>
      <w:r w:rsidRPr="000A7F3E">
        <w:rPr>
          <w:lang w:val="bg-BG"/>
        </w:rPr>
        <w:t xml:space="preserve"> the Bulgarian government, this judgment was revised by the </w:t>
      </w:r>
      <w:r w:rsidRPr="000A7F3E">
        <w:t xml:space="preserve">ECtHR </w:t>
      </w:r>
      <w:r w:rsidRPr="000A7F3E">
        <w:rPr>
          <w:lang w:val="bg-BG"/>
        </w:rPr>
        <w:t>on 4 July 2024. In this</w:t>
      </w:r>
      <w:r w:rsidR="00AF34E3">
        <w:fldChar w:fldCharType="begin"/>
      </w:r>
      <w:r w:rsidR="00AF34E3">
        <w:instrText xml:space="preserve"> HYPERLINK "https://hudoc.echr.coe.int/eng" \l "%7B%22itemid%22:%5B%22001-234521%22%5D%7D" </w:instrText>
      </w:r>
      <w:r w:rsidR="00AF34E3">
        <w:fldChar w:fldCharType="separate"/>
      </w:r>
      <w:r w:rsidRPr="000A7F3E">
        <w:rPr>
          <w:rStyle w:val="Hyperlink"/>
          <w:lang w:val="bg-BG" w:eastAsia="bg-BG"/>
        </w:rPr>
        <w:t> </w:t>
      </w:r>
      <w:r w:rsidR="00AF34E3">
        <w:rPr>
          <w:rStyle w:val="Hyperlink"/>
          <w:lang w:val="bg-BG" w:eastAsia="bg-BG"/>
        </w:rPr>
        <w:fldChar w:fldCharType="end"/>
      </w:r>
      <w:hyperlink r:id="rId14" w:anchor="%7B%22itemid%22:%5B%22001-234521%22%5D%7D" w:tgtFrame="_blank" w:history="1">
        <w:r w:rsidRPr="000A7F3E">
          <w:rPr>
            <w:rStyle w:val="Hyperlink"/>
            <w:lang w:val="bg-BG" w:eastAsia="bg-BG"/>
          </w:rPr>
          <w:t>second judgment</w:t>
        </w:r>
      </w:hyperlink>
      <w:r w:rsidRPr="000A7F3E">
        <w:rPr>
          <w:lang w:val="bg-BG"/>
        </w:rPr>
        <w:t>, the Court decided that the application was inadmissible as the applicant had not disclosed to the Court the fact that he had obtained LGR in a second national court proceeding while his case was pending before the Court, which constituted an abuse of rights. The Court nevertheless made clear that this revision did not affect Bulgaria’s obligations under Article 8, confirmed in the case of</w:t>
      </w:r>
      <w:r w:rsidRPr="0094515F">
        <w:rPr>
          <w:lang w:val="bg-BG" w:eastAsia="bg-BG"/>
        </w:rPr>
        <w:t> P.H. v. Bulgaria</w:t>
      </w:r>
      <w:r w:rsidRPr="000A7F3E">
        <w:rPr>
          <w:lang w:val="bg-BG"/>
        </w:rPr>
        <w:t>. </w:t>
      </w:r>
    </w:p>
    <w:p w14:paraId="10998C99" w14:textId="77777777" w:rsidR="00FA7464" w:rsidRPr="000A7F3E" w:rsidRDefault="00FA7464" w:rsidP="00FA7464">
      <w:pPr>
        <w:jc w:val="both"/>
        <w:rPr>
          <w:lang w:val="bg-BG"/>
        </w:rPr>
      </w:pPr>
    </w:p>
    <w:p w14:paraId="27C4CA78" w14:textId="6DB37D48" w:rsidR="00FA7464" w:rsidRDefault="00FA7464" w:rsidP="00FA7464">
      <w:pPr>
        <w:jc w:val="both"/>
      </w:pPr>
      <w:r w:rsidRPr="000A7F3E">
        <w:rPr>
          <w:lang w:val="bg-BG"/>
        </w:rPr>
        <w:t>In February 2023 the Supreme Court</w:t>
      </w:r>
      <w:r w:rsidRPr="000A7F3E">
        <w:t xml:space="preserve"> of Cassation</w:t>
      </w:r>
      <w:r w:rsidRPr="000A7F3E">
        <w:rPr>
          <w:lang w:val="bg-BG"/>
        </w:rPr>
        <w:t xml:space="preserve"> closed the way to trans and intersex people to change their legal gender</w:t>
      </w:r>
      <w:r w:rsidRPr="000A7F3E">
        <w:t xml:space="preserve">. </w:t>
      </w:r>
      <w:r w:rsidRPr="000A7F3E">
        <w:rPr>
          <w:lang w:val="bg-BG"/>
        </w:rPr>
        <w:t xml:space="preserve">Due to previously conflicting judgments from the Supreme Court on </w:t>
      </w:r>
      <w:r w:rsidRPr="000A7F3E">
        <w:t>legal gender recognition (LGR)</w:t>
      </w:r>
      <w:r w:rsidRPr="000A7F3E">
        <w:rPr>
          <w:lang w:val="bg-BG"/>
        </w:rPr>
        <w:t xml:space="preserve"> requirements, the Gеnеrаl Аѕѕеmblу оf thе Сіvіl Соllеgе (ЅС) оf thе Ѕuрrеmе Court of Саѕѕаtіоn (ЅСС) </w:t>
      </w:r>
      <w:hyperlink r:id="rId15" w:tgtFrame="_blank" w:history="1">
        <w:r w:rsidRPr="000A7F3E">
          <w:rPr>
            <w:rStyle w:val="Hyperlink"/>
            <w:lang w:eastAsia="bg-BG"/>
          </w:rPr>
          <w:t>issued</w:t>
        </w:r>
      </w:hyperlink>
      <w:r w:rsidRPr="000A7F3E">
        <w:rPr>
          <w:lang w:val="bg-BG"/>
        </w:rPr>
        <w:t xml:space="preserve"> an interpretative decision in late February 2023. The decision </w:t>
      </w:r>
      <w:hyperlink r:id="rId16" w:tgtFrame="_blank" w:history="1">
        <w:r w:rsidRPr="000A7F3E">
          <w:rPr>
            <w:rStyle w:val="Hyperlink"/>
            <w:lang w:eastAsia="bg-BG"/>
          </w:rPr>
          <w:t>stated</w:t>
        </w:r>
      </w:hyperlink>
      <w:r w:rsidRPr="000A7F3E">
        <w:rPr>
          <w:lang w:val="bg-BG"/>
        </w:rPr>
        <w:t xml:space="preserve"> that as gender is an unchangeable biological factor, </w:t>
      </w:r>
      <w:r w:rsidRPr="000A7F3E">
        <w:t>LGR</w:t>
      </w:r>
      <w:r w:rsidRPr="000A7F3E">
        <w:rPr>
          <w:lang w:val="bg-BG"/>
        </w:rPr>
        <w:t xml:space="preserve"> should not be possible in Bulgaria</w:t>
      </w:r>
      <w:r w:rsidRPr="000A7F3E">
        <w:t xml:space="preserve">, despite the abovementioned ECtHR case law. </w:t>
      </w:r>
    </w:p>
    <w:p w14:paraId="19DA19BC" w14:textId="77777777" w:rsidR="00FA7464" w:rsidRPr="000A7F3E" w:rsidRDefault="00FA7464" w:rsidP="00FA7464">
      <w:pPr>
        <w:jc w:val="both"/>
      </w:pPr>
    </w:p>
    <w:p w14:paraId="43981950" w14:textId="6D5DD0DC" w:rsidR="00FA7464" w:rsidRPr="000A7F3E" w:rsidRDefault="00FA7464" w:rsidP="00FA7464">
      <w:pPr>
        <w:jc w:val="both"/>
      </w:pPr>
      <w:r w:rsidRPr="000A7F3E">
        <w:t xml:space="preserve">Ever since after the </w:t>
      </w:r>
      <w:r w:rsidRPr="000A7F3E">
        <w:rPr>
          <w:lang w:val="bg-BG"/>
        </w:rPr>
        <w:t xml:space="preserve">Gеnеrаl Аѕѕеmblу оf thе Сіvіl Соllеgе (ЅС) оf thе Ѕuрrеmе Court of Саѕѕаtіоn (ЅСС) </w:t>
      </w:r>
      <w:hyperlink r:id="rId17" w:tgtFrame="_blank" w:history="1">
        <w:r w:rsidRPr="000A7F3E">
          <w:rPr>
            <w:rStyle w:val="Hyperlink"/>
            <w:lang w:eastAsia="bg-BG"/>
          </w:rPr>
          <w:t>issued</w:t>
        </w:r>
      </w:hyperlink>
      <w:r w:rsidRPr="000A7F3E">
        <w:rPr>
          <w:lang w:val="bg-BG"/>
        </w:rPr>
        <w:t xml:space="preserve"> an interpretative decision in late February 2023</w:t>
      </w:r>
      <w:r w:rsidR="009C77DD">
        <w:t>,</w:t>
      </w:r>
      <w:r w:rsidRPr="000A7F3E">
        <w:t xml:space="preserve"> no trans person managed to changed their legal gender marker. In the few cases which finished positively, the judgments did not enter into force. </w:t>
      </w:r>
    </w:p>
    <w:p w14:paraId="3D0FE2FC" w14:textId="0CD8AFF1" w:rsidR="00FA7464" w:rsidRPr="000A7F3E" w:rsidRDefault="00FA7464" w:rsidP="00FA7464">
      <w:pPr>
        <w:jc w:val="both"/>
      </w:pPr>
      <w:r w:rsidRPr="000A7F3E">
        <w:t xml:space="preserve">Furthermore, on 4 October 2024 the CJEU ruled in case </w:t>
      </w:r>
      <w:hyperlink r:id="rId18" w:anchor=":~:text=Arian%20Mirzarafie-Ahi,%20a%20transgender%20man%20with%20Romanian%20and%20British%20citizenship," w:history="1">
        <w:r w:rsidRPr="000A7F3E">
          <w:rPr>
            <w:rStyle w:val="Hyperlink"/>
            <w:lang w:eastAsia="bg-BG"/>
          </w:rPr>
          <w:t>C-4/24 Mirin</w:t>
        </w:r>
      </w:hyperlink>
      <w:r w:rsidRPr="000A7F3E">
        <w:t xml:space="preserve"> that the refusal of an EU Member State to recognise changes of forename and gender acquired in another Member State is contrary to the rights of EU citizens. Despite this judgment, Bulgarian courts still refuse to recognize changes of forename and gender </w:t>
      </w:r>
      <w:r w:rsidR="009C77DD">
        <w:t xml:space="preserve">which </w:t>
      </w:r>
      <w:r w:rsidRPr="000A7F3E">
        <w:t xml:space="preserve">applicants acquired in other Member States. </w:t>
      </w:r>
    </w:p>
    <w:p w14:paraId="2583BDFB" w14:textId="77777777" w:rsidR="00FA7464" w:rsidRPr="007512B0" w:rsidRDefault="00FA7464" w:rsidP="00FA7464">
      <w:pPr>
        <w:rPr>
          <w:rFonts w:cs="FreeSans"/>
          <w:b/>
          <w:iCs/>
          <w:color w:val="2F5496" w:themeColor="accent1" w:themeShade="BF"/>
          <w:sz w:val="24"/>
          <w:szCs w:val="24"/>
          <w:u w:val="single"/>
          <w:lang w:val="bg-BG"/>
        </w:rPr>
      </w:pPr>
    </w:p>
    <w:p w14:paraId="4A1C1741" w14:textId="77777777" w:rsidR="00FA7464" w:rsidRDefault="00FA7464" w:rsidP="00FA7464">
      <w:pPr>
        <w:spacing w:after="240"/>
        <w:rPr>
          <w:b/>
          <w:color w:val="2F5496" w:themeColor="accent1" w:themeShade="BF"/>
          <w:sz w:val="24"/>
          <w:szCs w:val="24"/>
        </w:rPr>
      </w:pPr>
      <w:r>
        <w:rPr>
          <w:b/>
          <w:color w:val="2F5496" w:themeColor="accent1" w:themeShade="BF"/>
          <w:sz w:val="24"/>
          <w:szCs w:val="24"/>
        </w:rPr>
        <w:t>D</w:t>
      </w:r>
      <w:r w:rsidRPr="00D03469">
        <w:rPr>
          <w:b/>
          <w:color w:val="2F5496" w:themeColor="accent1" w:themeShade="BF"/>
          <w:sz w:val="24"/>
          <w:szCs w:val="24"/>
        </w:rPr>
        <w:t xml:space="preserve">. The </w:t>
      </w:r>
      <w:r>
        <w:rPr>
          <w:b/>
          <w:color w:val="2F5496" w:themeColor="accent1" w:themeShade="BF"/>
          <w:sz w:val="24"/>
          <w:szCs w:val="24"/>
        </w:rPr>
        <w:t>enabling framework for civil society</w:t>
      </w:r>
    </w:p>
    <w:p w14:paraId="32B506FC" w14:textId="77777777" w:rsidR="00FA7464" w:rsidRDefault="00FA7464" w:rsidP="00FA7464">
      <w:pPr>
        <w:spacing w:after="240"/>
        <w:jc w:val="both"/>
        <w:rPr>
          <w:color w:val="2F5496" w:themeColor="accent1" w:themeShade="BF"/>
          <w:sz w:val="24"/>
          <w:szCs w:val="24"/>
        </w:rPr>
      </w:pPr>
      <w:r w:rsidRPr="00D249E2">
        <w:rPr>
          <w:color w:val="2F5496" w:themeColor="accent1" w:themeShade="BF"/>
          <w:sz w:val="24"/>
          <w:szCs w:val="24"/>
        </w:rPr>
        <w:t>Rules and practices having an impact on the effective operation and safety of civil society organisations and human rights defenders. This includes measures to protect them from attacks – verbal, physical or on-line –, intimidation, legal threats incl. SLAPPs, negative narratives or smear campaigns, measures capable of affecting the public perception of civil society organisations, etc. It also includes measures to monitor threats or attacks and dedicated support services, as well as available remedies</w:t>
      </w:r>
      <w:r>
        <w:rPr>
          <w:color w:val="2F5496" w:themeColor="accent1" w:themeShade="BF"/>
          <w:sz w:val="24"/>
          <w:szCs w:val="24"/>
        </w:rPr>
        <w:t>.</w:t>
      </w:r>
    </w:p>
    <w:p w14:paraId="65D9BA60" w14:textId="77777777" w:rsidR="00FA7464" w:rsidRPr="0044412A" w:rsidRDefault="00FA7464" w:rsidP="00FA7464">
      <w:pPr>
        <w:spacing w:after="240"/>
        <w:jc w:val="both"/>
        <w:rPr>
          <w:rFonts w:eastAsia="Times New Roman"/>
          <w:color w:val="000000"/>
          <w:lang w:eastAsia="bg-BG"/>
        </w:rPr>
      </w:pPr>
      <w:r w:rsidRPr="0044412A">
        <w:rPr>
          <w:rFonts w:eastAsia="Times New Roman"/>
          <w:color w:val="000000"/>
          <w:lang w:eastAsia="bg-BG"/>
        </w:rPr>
        <w:t>On 7 August 2024 Bulgaria’s National Assembly adopted a law which amends and supplements the Preschool and School Education Act (PSEA). It conceptually amends and expands the prohibitions in the system of pre-school and school education, which currently in Article 11 par. (2) and (3) of the PSEA affirms it as secular (para. 1), "preventing the imposition of ideological and/or religious doctrines and prohibiting the implementation of political and partisan activities." The following prohibition has been added to Article 11(2), p. (3) of the PSEA: "the carrying out of propaganda, promotion and incitement in any way, directly or indirectly, of ideas and views related to non-traditional homosexual orientation and/or the determination of gender identity other than biological", thereby banning any portrayal of LGBTI people from schools and pre-schools. Among the legal definitions the term "Non-traditional sexual orientation” is introduced and defined as "different from the generally accepted and enshrined in the Bulgarian legal tradition notions of emotional, romantic, sexual or sensual attraction between persons of opposite sexes". This law puts children and youth at risk by contributing to creating a hostile environment where LGBTI children can be subject to health-related risks, bullying and harassment, and clearly violates the principle of non-discrimination as enshrined in Bulgaria’s Constitution and anti-discrimination laws, international human rights law and EU law. Furthermore, the law’s two readings were rushed through in one day.</w:t>
      </w:r>
    </w:p>
    <w:p w14:paraId="6CCFE3FE" w14:textId="407380FE" w:rsidR="00FA7464" w:rsidRDefault="00FA7464" w:rsidP="00FA7464">
      <w:pPr>
        <w:jc w:val="both"/>
        <w:rPr>
          <w:rFonts w:eastAsia="Times New Roman"/>
          <w:color w:val="000000"/>
          <w:lang w:eastAsia="bg-BG"/>
        </w:rPr>
      </w:pPr>
      <w:r w:rsidRPr="0044412A">
        <w:rPr>
          <w:rFonts w:eastAsia="Times New Roman"/>
          <w:color w:val="000000"/>
          <w:lang w:eastAsia="bg-BG"/>
        </w:rPr>
        <w:t xml:space="preserve">The law has led to increased discrimination in schools, and most notably it has had a significant chilling effect. Teachers have been threatened by students with reporting to school management if they </w:t>
      </w:r>
      <w:r w:rsidRPr="0044412A">
        <w:rPr>
          <w:rFonts w:eastAsia="Times New Roman"/>
          <w:color w:val="000000"/>
          <w:lang w:eastAsia="bg-BG"/>
        </w:rPr>
        <w:lastRenderedPageBreak/>
        <w:t xml:space="preserve">associate with LGBTI </w:t>
      </w:r>
      <w:r w:rsidR="009C77DD">
        <w:rPr>
          <w:rFonts w:eastAsia="Times New Roman"/>
          <w:color w:val="000000"/>
          <w:lang w:eastAsia="bg-BG"/>
        </w:rPr>
        <w:t>civil society organisations (</w:t>
      </w:r>
      <w:r w:rsidRPr="0044412A">
        <w:rPr>
          <w:rFonts w:eastAsia="Times New Roman"/>
          <w:color w:val="000000"/>
          <w:lang w:eastAsia="bg-BG"/>
        </w:rPr>
        <w:t>CSOs</w:t>
      </w:r>
      <w:r w:rsidR="009C77DD">
        <w:rPr>
          <w:rFonts w:eastAsia="Times New Roman"/>
          <w:color w:val="000000"/>
          <w:lang w:eastAsia="bg-BG"/>
        </w:rPr>
        <w:t>)</w:t>
      </w:r>
      <w:r w:rsidRPr="0044412A">
        <w:rPr>
          <w:rFonts w:eastAsia="Times New Roman"/>
          <w:color w:val="000000"/>
          <w:lang w:eastAsia="bg-BG"/>
        </w:rPr>
        <w:t xml:space="preserve">. The political party </w:t>
      </w:r>
      <w:proofErr w:type="spellStart"/>
      <w:r w:rsidRPr="0044412A">
        <w:rPr>
          <w:rFonts w:eastAsia="Times New Roman"/>
          <w:color w:val="000000"/>
          <w:lang w:eastAsia="bg-BG"/>
        </w:rPr>
        <w:t>Vazrazhdane</w:t>
      </w:r>
      <w:proofErr w:type="spellEnd"/>
      <w:r w:rsidRPr="0044412A">
        <w:rPr>
          <w:rFonts w:eastAsia="Times New Roman"/>
          <w:color w:val="000000"/>
          <w:lang w:eastAsia="bg-BG"/>
        </w:rPr>
        <w:t xml:space="preserve"> </w:t>
      </w:r>
      <w:hyperlink r:id="rId19" w:history="1">
        <w:r w:rsidRPr="0044412A">
          <w:rPr>
            <w:rStyle w:val="Hyperlink"/>
            <w:rFonts w:eastAsia="Times New Roman"/>
            <w:lang w:eastAsia="bg-BG"/>
          </w:rPr>
          <w:t>publicly targeted</w:t>
        </w:r>
      </w:hyperlink>
      <w:r w:rsidRPr="0044412A">
        <w:rPr>
          <w:rFonts w:eastAsia="Times New Roman"/>
          <w:color w:val="000000"/>
          <w:lang w:eastAsia="bg-BG"/>
        </w:rPr>
        <w:t xml:space="preserve"> teachers in one of the main high schools in Sofia in October, claiming they spread “LGBT propaganda” due to giving an assignment on the Istanbul Convention. Shortly after the adoption of the law</w:t>
      </w:r>
      <w:r w:rsidR="009C77DD">
        <w:rPr>
          <w:rFonts w:eastAsia="Times New Roman"/>
          <w:color w:val="000000"/>
          <w:lang w:eastAsia="bg-BG"/>
        </w:rPr>
        <w:t>,</w:t>
      </w:r>
      <w:r w:rsidRPr="0044412A">
        <w:rPr>
          <w:rFonts w:eastAsia="Times New Roman"/>
          <w:color w:val="000000"/>
          <w:lang w:eastAsia="bg-BG"/>
        </w:rPr>
        <w:t xml:space="preserve"> </w:t>
      </w:r>
      <w:proofErr w:type="spellStart"/>
      <w:r w:rsidRPr="0044412A">
        <w:rPr>
          <w:rFonts w:eastAsia="Times New Roman"/>
          <w:color w:val="000000"/>
          <w:lang w:eastAsia="bg-BG"/>
        </w:rPr>
        <w:t>Vazrazhdane</w:t>
      </w:r>
      <w:proofErr w:type="spellEnd"/>
      <w:r w:rsidRPr="0044412A">
        <w:rPr>
          <w:rFonts w:eastAsia="Times New Roman"/>
          <w:color w:val="000000"/>
          <w:lang w:eastAsia="bg-BG"/>
        </w:rPr>
        <w:t xml:space="preserve"> published online a list of the names of teachers who had signed a statement against the law.</w:t>
      </w:r>
    </w:p>
    <w:p w14:paraId="1023FFC2" w14:textId="77777777" w:rsidR="00FA7464" w:rsidRPr="0044412A" w:rsidRDefault="00FA7464" w:rsidP="00FA7464">
      <w:pPr>
        <w:jc w:val="both"/>
        <w:rPr>
          <w:rFonts w:eastAsia="Times New Roman"/>
          <w:color w:val="000000"/>
          <w:lang w:eastAsia="bg-BG"/>
        </w:rPr>
      </w:pPr>
    </w:p>
    <w:p w14:paraId="7E6A6F6C" w14:textId="5017728B" w:rsidR="00FA7464" w:rsidRDefault="00FA7464" w:rsidP="00FA7464">
      <w:pPr>
        <w:jc w:val="both"/>
        <w:rPr>
          <w:rFonts w:eastAsia="Times New Roman"/>
          <w:color w:val="000000"/>
          <w:lang w:eastAsia="bg-BG"/>
        </w:rPr>
      </w:pPr>
      <w:r w:rsidRPr="0044412A">
        <w:rPr>
          <w:rFonts w:eastAsia="Times New Roman"/>
          <w:color w:val="000000"/>
          <w:lang w:eastAsia="bg-BG"/>
        </w:rPr>
        <w:t>LGBTI CSOs have been subjected to verbal harassment and insults by numerous MPs and associated organizations, including calls for “erasing” and ceasing and desisting their operations. Legal  complaints have also been filed against two LGBTI CSOs which both have licenses to work with children and young people, requesting a revision of their licenses. Between 7-29 August the LGBTI organisation Single Step received at least 8 complaints filed to various Ministries, Parliamentary Committees, the Prosecutor, Commissions. This resulted in almost daily reporting to the police, the Prosecutor’s office and also to the Directorate General for Organised Crime. Another LGBTI CSO has also received legal complaints following the adoption of the law. All in all about half of the cases have already been dismissed, which shows the intention of legal harassment and intimidation of LGBTI organisations and other organisations wishing to support LGBTI youth.</w:t>
      </w:r>
    </w:p>
    <w:p w14:paraId="2E9219C3" w14:textId="77777777" w:rsidR="00FA7464" w:rsidRPr="0044412A" w:rsidRDefault="00FA7464" w:rsidP="00FA7464">
      <w:pPr>
        <w:jc w:val="both"/>
        <w:rPr>
          <w:rFonts w:eastAsia="Times New Roman"/>
          <w:color w:val="000000"/>
          <w:lang w:eastAsia="bg-BG"/>
        </w:rPr>
      </w:pPr>
    </w:p>
    <w:p w14:paraId="54416EA8" w14:textId="77777777" w:rsidR="00FA7464" w:rsidRPr="0044412A" w:rsidRDefault="00FA7464" w:rsidP="00FA7464">
      <w:pPr>
        <w:jc w:val="both"/>
        <w:rPr>
          <w:rFonts w:eastAsia="Times New Roman"/>
          <w:color w:val="000000"/>
          <w:lang w:eastAsia="bg-BG"/>
        </w:rPr>
      </w:pPr>
      <w:r w:rsidRPr="0044412A">
        <w:rPr>
          <w:rFonts w:eastAsia="Times New Roman"/>
          <w:color w:val="000000"/>
          <w:lang w:eastAsia="bg-BG"/>
        </w:rPr>
        <w:t>The adoption of this law, and the tabling of further draft laws related to tackling the so-called “propagation of LGBT propaganda” and limiting the rights of trans people have also had the effect of bringing LGBTI organisations and human rights defenders into disrepute. Attendance to education-related trainings held by LGBTI CSOs has drastically reduced since the passing of the law, with teachers and students quoting that they are pressured not to speak about LGBTI topics.</w:t>
      </w:r>
    </w:p>
    <w:p w14:paraId="6D3EF693" w14:textId="77777777" w:rsidR="00FA7464" w:rsidRDefault="00FA7464" w:rsidP="00FA7464">
      <w:pPr>
        <w:jc w:val="both"/>
      </w:pPr>
    </w:p>
    <w:p w14:paraId="2386538D" w14:textId="77777777" w:rsidR="00FA7464" w:rsidRDefault="00FA7464" w:rsidP="00FA7464"/>
    <w:p w14:paraId="34869417" w14:textId="29EC1464" w:rsidR="00115F0B" w:rsidRDefault="00115F0B" w:rsidP="008370B3"/>
    <w:p w14:paraId="60D71898" w14:textId="36D75802" w:rsidR="00115F0B" w:rsidRDefault="00115F0B" w:rsidP="008370B3"/>
    <w:p w14:paraId="7E5827EE" w14:textId="1700C22F" w:rsidR="00115F0B" w:rsidRDefault="00115F0B" w:rsidP="008370B3"/>
    <w:p w14:paraId="13264E22" w14:textId="3F9025A6" w:rsidR="00115F0B" w:rsidRDefault="00115F0B" w:rsidP="008370B3"/>
    <w:p w14:paraId="18012D18" w14:textId="002BB8C1" w:rsidR="00115F0B" w:rsidRDefault="00115F0B" w:rsidP="008370B3"/>
    <w:p w14:paraId="285B7F15" w14:textId="59272098" w:rsidR="00115F0B" w:rsidRDefault="00115F0B" w:rsidP="008370B3"/>
    <w:p w14:paraId="4D1A58E2" w14:textId="1A1CB39D" w:rsidR="00115F0B" w:rsidRDefault="00115F0B" w:rsidP="008370B3"/>
    <w:p w14:paraId="5A23603B" w14:textId="1A2F9B3E" w:rsidR="00376A58" w:rsidRDefault="00376A58" w:rsidP="008370B3"/>
    <w:p w14:paraId="2F634AE7" w14:textId="0F3D4E4C" w:rsidR="00376A58" w:rsidRDefault="00376A58" w:rsidP="008370B3"/>
    <w:p w14:paraId="3DF16CF0" w14:textId="1D1630F7" w:rsidR="00376A58" w:rsidRDefault="00376A58" w:rsidP="008370B3"/>
    <w:p w14:paraId="776136CA" w14:textId="677FD306" w:rsidR="00CB5FDA" w:rsidRDefault="00CB5FDA" w:rsidP="008370B3"/>
    <w:p w14:paraId="2DCF7FE5" w14:textId="0C6A518E" w:rsidR="00CB5FDA" w:rsidRDefault="00CB5FDA" w:rsidP="008370B3"/>
    <w:p w14:paraId="65C7747F" w14:textId="2FCD2A04" w:rsidR="00CB5FDA" w:rsidRDefault="00CB5FDA" w:rsidP="008370B3"/>
    <w:p w14:paraId="6CD1BB49" w14:textId="35F30A75" w:rsidR="00CB5FDA" w:rsidRDefault="00CB5FDA" w:rsidP="008370B3"/>
    <w:p w14:paraId="47E50252" w14:textId="3796D922" w:rsidR="00FA7464" w:rsidRDefault="00FA7464" w:rsidP="008370B3"/>
    <w:p w14:paraId="3114C2EC" w14:textId="04869BD9" w:rsidR="00FA7464" w:rsidRDefault="00FA7464" w:rsidP="008370B3"/>
    <w:p w14:paraId="3B158B94" w14:textId="44988C00" w:rsidR="00FA7464" w:rsidRDefault="00FA7464" w:rsidP="008370B3"/>
    <w:p w14:paraId="2B3FB0AC" w14:textId="456973B3" w:rsidR="00FA7464" w:rsidRDefault="00FA7464" w:rsidP="008370B3"/>
    <w:p w14:paraId="79888339" w14:textId="051F22D0" w:rsidR="00FA7464" w:rsidRDefault="00FA7464" w:rsidP="008370B3"/>
    <w:p w14:paraId="168737D8" w14:textId="5C76085F" w:rsidR="00FA7464" w:rsidRDefault="00FA7464" w:rsidP="008370B3"/>
    <w:p w14:paraId="372C197A" w14:textId="31DA258D" w:rsidR="00FA7464" w:rsidRDefault="00FA7464" w:rsidP="008370B3"/>
    <w:p w14:paraId="18DF6FF6" w14:textId="4ED6ECC2" w:rsidR="00FA7464" w:rsidRDefault="00FA7464" w:rsidP="008370B3"/>
    <w:p w14:paraId="2645B7C1" w14:textId="5BA72275" w:rsidR="00FA7464" w:rsidRDefault="00FA7464" w:rsidP="008370B3"/>
    <w:p w14:paraId="35E1B6F3" w14:textId="2F3456F4" w:rsidR="00FA7464" w:rsidRDefault="00FA7464" w:rsidP="008370B3"/>
    <w:p w14:paraId="05F89DD8" w14:textId="77777777" w:rsidR="00FA7464" w:rsidRDefault="00FA7464" w:rsidP="008370B3"/>
    <w:p w14:paraId="701BFC48" w14:textId="7CAA5023" w:rsidR="00115F0B" w:rsidRDefault="00115F0B" w:rsidP="008370B3"/>
    <w:p w14:paraId="33890782" w14:textId="5D1EDFD2" w:rsidR="00FA7464" w:rsidRPr="00FA7464" w:rsidRDefault="00FA7464" w:rsidP="00FA7464">
      <w:pPr>
        <w:pStyle w:val="Heading1"/>
      </w:pPr>
      <w:bookmarkStart w:id="9" w:name="_Toc188863989"/>
      <w:r w:rsidRPr="00FA7464">
        <w:lastRenderedPageBreak/>
        <w:t>Cyprus</w:t>
      </w:r>
      <w:bookmarkEnd w:id="9"/>
    </w:p>
    <w:p w14:paraId="2AF1E503" w14:textId="77777777" w:rsidR="00FA7464" w:rsidRDefault="00FA7464" w:rsidP="00FA7464">
      <w:pPr>
        <w:rPr>
          <w:lang w:eastAsia="en-US"/>
        </w:rPr>
      </w:pPr>
    </w:p>
    <w:p w14:paraId="1CEB7551" w14:textId="77777777" w:rsidR="00FA7464" w:rsidRDefault="00FA7464" w:rsidP="00FA7464">
      <w:pPr>
        <w:rPr>
          <w:b/>
          <w:iCs/>
          <w:color w:val="2F5496" w:themeColor="accent1" w:themeShade="BF"/>
          <w:sz w:val="24"/>
          <w:szCs w:val="24"/>
          <w:u w:val="single"/>
        </w:rPr>
      </w:pPr>
      <w:r>
        <w:rPr>
          <w:b/>
          <w:iCs/>
          <w:color w:val="2F5496" w:themeColor="accent1" w:themeShade="BF"/>
          <w:sz w:val="24"/>
          <w:szCs w:val="24"/>
          <w:u w:val="single"/>
        </w:rPr>
        <w:t>I. Justice System</w:t>
      </w:r>
    </w:p>
    <w:p w14:paraId="10005402" w14:textId="77777777" w:rsidR="00FA7464" w:rsidRDefault="00FA7464" w:rsidP="00FA7464">
      <w:pPr>
        <w:spacing w:after="240"/>
        <w:rPr>
          <w:b/>
          <w:iCs/>
          <w:color w:val="2F5496" w:themeColor="accent1" w:themeShade="BF"/>
          <w:sz w:val="24"/>
          <w:szCs w:val="24"/>
        </w:rPr>
      </w:pPr>
      <w:r>
        <w:rPr>
          <w:b/>
          <w:iCs/>
          <w:color w:val="2F5496" w:themeColor="accent1" w:themeShade="BF"/>
          <w:sz w:val="24"/>
          <w:szCs w:val="24"/>
        </w:rPr>
        <w:t>B. Quality of justice</w:t>
      </w:r>
    </w:p>
    <w:p w14:paraId="77A39150" w14:textId="77777777" w:rsidR="00FA7464" w:rsidRDefault="00FA7464" w:rsidP="00FA7464">
      <w:pPr>
        <w:spacing w:after="240"/>
        <w:rPr>
          <w:rFonts w:eastAsia="Times New Roman" w:cs="Times New Roman"/>
          <w:color w:val="2F5496" w:themeColor="accent1" w:themeShade="BF"/>
          <w:sz w:val="24"/>
          <w:szCs w:val="24"/>
        </w:rPr>
      </w:pPr>
      <w:r>
        <w:rPr>
          <w:rFonts w:eastAsia="Times New Roman" w:cs="Times New Roman"/>
          <w:color w:val="2F5496" w:themeColor="accent1" w:themeShade="BF"/>
          <w:sz w:val="24"/>
          <w:szCs w:val="24"/>
        </w:rPr>
        <w:t>Accessibility of courts (e.g. court/legal fees, legal aid, language)</w:t>
      </w:r>
    </w:p>
    <w:p w14:paraId="590A99EE" w14:textId="77777777" w:rsidR="00FA7464" w:rsidRDefault="00FA7464" w:rsidP="00FA7464">
      <w:pPr>
        <w:spacing w:after="240"/>
        <w:jc w:val="both"/>
        <w:rPr>
          <w:rFonts w:eastAsia="Times New Roman" w:cs="Times New Roman"/>
        </w:rPr>
      </w:pPr>
      <w:r>
        <w:rPr>
          <w:rFonts w:eastAsia="Times New Roman" w:cs="Times New Roman"/>
        </w:rPr>
        <w:t>Despite the official languages of Cyprus being Greek and Turkish, legal texts are either not translated in Turkish</w:t>
      </w:r>
      <w:r>
        <w:rPr>
          <w:rFonts w:eastAsia="Times New Roman" w:cs="Times New Roman"/>
          <w:vertAlign w:val="superscript"/>
        </w:rPr>
        <w:footnoteReference w:id="1"/>
      </w:r>
      <w:r>
        <w:rPr>
          <w:rFonts w:eastAsia="Times New Roman" w:cs="Times New Roman"/>
        </w:rPr>
        <w:t xml:space="preserve"> or are not available for the public.</w:t>
      </w:r>
      <w:r>
        <w:rPr>
          <w:rFonts w:eastAsia="Times New Roman" w:cs="Times New Roman"/>
          <w:vertAlign w:val="superscript"/>
        </w:rPr>
        <w:t xml:space="preserve"> </w:t>
      </w:r>
      <w:r>
        <w:rPr>
          <w:rFonts w:eastAsia="Times New Roman" w:cs="Times New Roman"/>
          <w:vertAlign w:val="superscript"/>
        </w:rPr>
        <w:footnoteReference w:id="2"/>
      </w:r>
      <w:r>
        <w:rPr>
          <w:rFonts w:eastAsia="Times New Roman" w:cs="Times New Roman"/>
        </w:rPr>
        <w:t xml:space="preserve"> Of the various Government office websites where legal texts can be found, only the Parliament website has a small section in Turkish, but not any legal texts in Turkish. As a result, large portions of the Turkish speaking Cypriot community are denied access to any legal acts or amendments and are therefore unable to access information on their rights when seeking justice. In addition, LGBTI people seeking justice who only speak Turkish are only offered translation for court hearings and police matters. For all other services the applicant is required to wait for the translation of the documents, leading to increased length of proceedings, also impacted by the will of the person handling the request. Finally, the majority of requests for information, legal help, petitions are subject to lengthy delays when handled by the government offices. </w:t>
      </w:r>
    </w:p>
    <w:p w14:paraId="06C020A6" w14:textId="77777777" w:rsidR="00FA7464" w:rsidRDefault="00FA7464" w:rsidP="00FA7464">
      <w:pPr>
        <w:autoSpaceDE w:val="0"/>
        <w:autoSpaceDN w:val="0"/>
        <w:adjustRightInd w:val="0"/>
        <w:rPr>
          <w:rFonts w:ascii="FreeSans" w:hAnsi="FreeSans" w:cs="FreeSans"/>
          <w:b/>
          <w:iCs/>
          <w:color w:val="2F5496" w:themeColor="accent1" w:themeShade="BF"/>
          <w:sz w:val="24"/>
          <w:szCs w:val="24"/>
          <w:u w:val="single"/>
        </w:rPr>
      </w:pPr>
      <w:r>
        <w:rPr>
          <w:rFonts w:ascii="FreeSans" w:hAnsi="FreeSans" w:cs="FreeSans"/>
          <w:b/>
          <w:iCs/>
          <w:color w:val="2F5496" w:themeColor="accent1" w:themeShade="BF"/>
          <w:sz w:val="24"/>
          <w:szCs w:val="24"/>
          <w:u w:val="single"/>
        </w:rPr>
        <w:t>IV. Other institutional issues related to checks and balances</w:t>
      </w:r>
    </w:p>
    <w:p w14:paraId="13B123F9" w14:textId="77777777" w:rsidR="00FA7464" w:rsidRDefault="00FA7464" w:rsidP="00FA7464">
      <w:pPr>
        <w:rPr>
          <w:b/>
          <w:color w:val="2F5496" w:themeColor="accent1" w:themeShade="BF"/>
          <w:sz w:val="24"/>
          <w:szCs w:val="24"/>
        </w:rPr>
      </w:pPr>
      <w:r>
        <w:rPr>
          <w:b/>
          <w:color w:val="2F5496" w:themeColor="accent1" w:themeShade="BF"/>
          <w:sz w:val="24"/>
          <w:szCs w:val="24"/>
        </w:rPr>
        <w:t>A. The process for preparing and enacting laws</w:t>
      </w:r>
    </w:p>
    <w:p w14:paraId="0DBDCC9F" w14:textId="77777777" w:rsidR="00FA7464" w:rsidRDefault="00FA7464" w:rsidP="00FA7464">
      <w:pPr>
        <w:spacing w:before="240" w:after="240"/>
        <w:rPr>
          <w:color w:val="2F5496" w:themeColor="accent1" w:themeShade="BF"/>
          <w:sz w:val="24"/>
          <w:szCs w:val="24"/>
        </w:rPr>
      </w:pPr>
      <w:r>
        <w:rPr>
          <w:color w:val="2F5496" w:themeColor="accent1" w:themeShade="BF"/>
          <w:sz w:val="24"/>
          <w:szCs w:val="24"/>
        </w:rPr>
        <w:t>Framework, policy and use of impact assessments and evidence-based policy-making, stakeholders'[1]/public consultations (including rules and practices on the transparent participation of civil society to policy development and decision-making processes), and transparency and quality of the legislative process</w:t>
      </w:r>
      <w:r>
        <w:rPr>
          <w:rFonts w:ascii="FreeSans" w:hAnsi="FreeSans" w:cs="FreeSans"/>
          <w:color w:val="333333"/>
          <w:sz w:val="21"/>
          <w:szCs w:val="21"/>
          <w:lang w:eastAsia="en-US"/>
        </w:rPr>
        <w:t xml:space="preserve"> </w:t>
      </w:r>
      <w:r>
        <w:rPr>
          <w:color w:val="2F5496" w:themeColor="accent1" w:themeShade="BF"/>
          <w:sz w:val="24"/>
          <w:szCs w:val="24"/>
        </w:rPr>
        <w:t>both in the preparatory and the parliamentary phase</w:t>
      </w:r>
    </w:p>
    <w:p w14:paraId="455F95FA" w14:textId="77777777" w:rsidR="00FA7464" w:rsidRDefault="00FA7464" w:rsidP="00FA7464">
      <w:pPr>
        <w:jc w:val="both"/>
      </w:pPr>
      <w:r>
        <w:rPr>
          <w:rFonts w:eastAsia="Times New Roman" w:cs="Times New Roman"/>
        </w:rPr>
        <w:t xml:space="preserve">Despite Article 3 of the Constitution stipulating both Greek and Turkish as the official languages of the Republic of Cyprus, the Parliament only works in Greek, thus excluding stakeholders who only speak Turkish. In addition, none of the Turkish speaking community-led organisations have been invited to consultation processes. </w:t>
      </w:r>
    </w:p>
    <w:p w14:paraId="7F0963B8" w14:textId="77777777" w:rsidR="00FA7464" w:rsidRDefault="00FA7464" w:rsidP="00FA7464"/>
    <w:p w14:paraId="26438A1F" w14:textId="77777777" w:rsidR="00FA7464" w:rsidRDefault="00FA7464" w:rsidP="00FA7464">
      <w:pPr>
        <w:spacing w:after="240"/>
        <w:rPr>
          <w:b/>
          <w:color w:val="2F5496" w:themeColor="accent1" w:themeShade="BF"/>
          <w:sz w:val="24"/>
          <w:szCs w:val="24"/>
        </w:rPr>
      </w:pPr>
      <w:r>
        <w:rPr>
          <w:b/>
          <w:color w:val="2F5496" w:themeColor="accent1" w:themeShade="BF"/>
          <w:sz w:val="24"/>
          <w:szCs w:val="24"/>
        </w:rPr>
        <w:t>D. The enabling framework for civil society</w:t>
      </w:r>
    </w:p>
    <w:p w14:paraId="08169FE8" w14:textId="77777777" w:rsidR="00FA7464" w:rsidRDefault="00FA7464" w:rsidP="00FA7464">
      <w:pPr>
        <w:spacing w:after="240"/>
        <w:jc w:val="both"/>
        <w:rPr>
          <w:color w:val="2F5496" w:themeColor="accent1" w:themeShade="BF"/>
          <w:sz w:val="24"/>
          <w:szCs w:val="24"/>
        </w:rPr>
      </w:pPr>
      <w:r>
        <w:rPr>
          <w:color w:val="2F5496" w:themeColor="accent1" w:themeShade="BF"/>
          <w:sz w:val="24"/>
          <w:szCs w:val="24"/>
        </w:rPr>
        <w:t>Rules and practices having an impact on the effective operation and safety of civil society organisations and human rights defenders. This includes measures to protect them from attacks – verbal, physical or on-line –, intimidation, legal threats incl. SLAPPs, negative narratives or smear campaigns, measures capable of affecting the public perception of civil society organisations, etc. It also includes measures to monitor threats or attacks and dedicated support services, as well as available remedies.</w:t>
      </w:r>
    </w:p>
    <w:p w14:paraId="6701362F" w14:textId="77777777" w:rsidR="00FA7464" w:rsidRDefault="00FA7464" w:rsidP="00FA7464">
      <w:pPr>
        <w:spacing w:after="240"/>
        <w:jc w:val="both"/>
        <w:rPr>
          <w:color w:val="2F5496" w:themeColor="accent1" w:themeShade="BF"/>
          <w:sz w:val="24"/>
          <w:szCs w:val="24"/>
        </w:rPr>
      </w:pPr>
      <w:r>
        <w:rPr>
          <w:rFonts w:eastAsia="Times New Roman" w:cs="Times New Roman"/>
        </w:rPr>
        <w:t xml:space="preserve">Unfortunately, Turkish speakers who are not residents of the Republic of Cyprus (those living in areas not under the effective control of the Republic of Cyprus) are not able to register any civil society organisations (CSOs). In order to be able to register in the Republic of Cyprus, one needs to be a </w:t>
      </w:r>
      <w:r>
        <w:rPr>
          <w:rFonts w:eastAsia="Times New Roman" w:cs="Times New Roman"/>
        </w:rPr>
        <w:lastRenderedPageBreak/>
        <w:t xml:space="preserve">resident of the Republic. This poses problems for the establishment of CSOs focussing on the intersection of various discriminations with being members of the Turkish speaking Cypriot community, e.g. LGBTI and Turkish Cypriot. Importantly, establishing a CSO in the Republic of Cyprus is essential for having access to financial support opportunities, as the Republic has access to more funds from international donors and governments. In addition, of all EU funds, only the EU Aid Programme for the Turkish Cypriot community is available to those living in the areas not under the effective control of the Republic of Cyprus. Finally, the registration requirement imposed by the Republic of Cyprus is not conducive to </w:t>
      </w:r>
      <w:r>
        <w:t xml:space="preserve">the possibility of bicommunal communication and further perpetuates the division, especially as citizens cross the Green Line on a daily basis. Instead of being inclusive to all its citizens, this CSO registration rule further hinders inclusion of Turkish speaking Cypriots. </w:t>
      </w:r>
    </w:p>
    <w:p w14:paraId="34889E0A" w14:textId="77777777" w:rsidR="00FA7464" w:rsidRDefault="00FA7464" w:rsidP="00FA7464">
      <w:pPr>
        <w:spacing w:after="240"/>
        <w:rPr>
          <w:rFonts w:eastAsia="Times New Roman" w:cs="Times New Roman"/>
          <w:color w:val="2F5496" w:themeColor="accent1" w:themeShade="BF"/>
          <w:sz w:val="24"/>
          <w:szCs w:val="24"/>
        </w:rPr>
      </w:pPr>
      <w:r>
        <w:rPr>
          <w:rFonts w:eastAsia="Times New Roman" w:cs="Times New Roman"/>
          <w:color w:val="2F5496" w:themeColor="accent1" w:themeShade="BF"/>
          <w:sz w:val="24"/>
          <w:szCs w:val="24"/>
        </w:rPr>
        <w:t>Organisation of financial support for civil society organisations and human rights defenders (e.g. framework to ensure access to funding, and for financial viability, taxation/incentive/donation systems, measures to ensure a fair distribution of funding)</w:t>
      </w:r>
    </w:p>
    <w:p w14:paraId="7823ADDC" w14:textId="77777777" w:rsidR="00FA7464" w:rsidRDefault="00FA7464" w:rsidP="00FA7464">
      <w:pPr>
        <w:spacing w:after="240"/>
      </w:pPr>
      <w:r>
        <w:t>Due to the abovementioned issues, CSOs which are unable to register in the Republic of Cyprus face great difficulties in accessing financial support.</w:t>
      </w:r>
    </w:p>
    <w:p w14:paraId="7681D731" w14:textId="6E29643D" w:rsidR="00376A58" w:rsidRDefault="00376A58" w:rsidP="008370B3"/>
    <w:p w14:paraId="44F778AA" w14:textId="64DCD903" w:rsidR="00376A58" w:rsidRDefault="00376A58" w:rsidP="008370B3"/>
    <w:p w14:paraId="077E3E55" w14:textId="1129E81F" w:rsidR="00376A58" w:rsidRDefault="00376A58" w:rsidP="008370B3"/>
    <w:p w14:paraId="0FBAAB4E" w14:textId="074A921A" w:rsidR="00376A58" w:rsidRDefault="00376A58" w:rsidP="008370B3"/>
    <w:p w14:paraId="52D39CDA" w14:textId="1B3533E2" w:rsidR="00376A58" w:rsidRDefault="00376A58" w:rsidP="008370B3"/>
    <w:p w14:paraId="63143306" w14:textId="18F669CA" w:rsidR="00376A58" w:rsidRDefault="00376A58" w:rsidP="008370B3"/>
    <w:p w14:paraId="4045207B" w14:textId="36FBEE11" w:rsidR="00376A58" w:rsidRDefault="00376A58" w:rsidP="008370B3"/>
    <w:p w14:paraId="79E8E4C7" w14:textId="769DA7FE" w:rsidR="00376A58" w:rsidRDefault="00376A58" w:rsidP="008370B3"/>
    <w:p w14:paraId="1942A54D" w14:textId="2CCC2F59" w:rsidR="00376A58" w:rsidRDefault="00376A58" w:rsidP="008370B3"/>
    <w:p w14:paraId="304141E6" w14:textId="5289E2DB" w:rsidR="00376A58" w:rsidRDefault="00376A58" w:rsidP="008370B3"/>
    <w:p w14:paraId="0ED0BE48" w14:textId="79209802" w:rsidR="00376A58" w:rsidRDefault="00376A58" w:rsidP="008370B3"/>
    <w:p w14:paraId="72748C58" w14:textId="7C39037A" w:rsidR="00376A58" w:rsidRDefault="00376A58" w:rsidP="008370B3"/>
    <w:p w14:paraId="324754BC" w14:textId="758A7C0C" w:rsidR="00376A58" w:rsidRDefault="00376A58" w:rsidP="008370B3"/>
    <w:p w14:paraId="5CC5CAB3" w14:textId="2AFE1610" w:rsidR="00376A58" w:rsidRDefault="00376A58" w:rsidP="008370B3"/>
    <w:p w14:paraId="70A11FE7" w14:textId="7051D4AE" w:rsidR="00376A58" w:rsidRDefault="00376A58" w:rsidP="008370B3"/>
    <w:p w14:paraId="0E59097B" w14:textId="08CD6750" w:rsidR="00376A58" w:rsidRDefault="00376A58" w:rsidP="008370B3"/>
    <w:p w14:paraId="4B01214F" w14:textId="0567A4DA" w:rsidR="00376A58" w:rsidRDefault="00376A58" w:rsidP="008370B3"/>
    <w:p w14:paraId="742BE7CE" w14:textId="5368B4E8" w:rsidR="00376A58" w:rsidRDefault="00376A58" w:rsidP="008370B3"/>
    <w:p w14:paraId="72F117D9" w14:textId="262CCB6E" w:rsidR="00376A58" w:rsidRDefault="00376A58" w:rsidP="008370B3"/>
    <w:p w14:paraId="1F850E82" w14:textId="4E8A5902" w:rsidR="00376A58" w:rsidRDefault="00376A58" w:rsidP="008370B3"/>
    <w:p w14:paraId="2C857C04" w14:textId="17F37A93" w:rsidR="00376A58" w:rsidRDefault="00376A58" w:rsidP="008370B3"/>
    <w:p w14:paraId="72B21A10" w14:textId="359ECEA6" w:rsidR="00376A58" w:rsidRDefault="00376A58" w:rsidP="008370B3"/>
    <w:p w14:paraId="286A9371" w14:textId="1BA7276D" w:rsidR="00376A58" w:rsidRDefault="00376A58" w:rsidP="008370B3"/>
    <w:p w14:paraId="76A03E1C" w14:textId="7C7BBD3E" w:rsidR="00376A58" w:rsidRDefault="00376A58" w:rsidP="008370B3"/>
    <w:p w14:paraId="3217E424" w14:textId="59981337" w:rsidR="00376A58" w:rsidRDefault="00376A58" w:rsidP="008370B3"/>
    <w:p w14:paraId="3A261287" w14:textId="61A18DF2" w:rsidR="00376A58" w:rsidRDefault="00376A58" w:rsidP="008370B3"/>
    <w:p w14:paraId="0DCF7301" w14:textId="047D51C3" w:rsidR="00376A58" w:rsidRDefault="00376A58" w:rsidP="008370B3"/>
    <w:p w14:paraId="56B64A7B" w14:textId="2A5423B5" w:rsidR="00FA7464" w:rsidRDefault="00FA7464" w:rsidP="008370B3"/>
    <w:p w14:paraId="78EA941E" w14:textId="77777777" w:rsidR="00FA7464" w:rsidRPr="008370B3" w:rsidRDefault="00FA7464" w:rsidP="008370B3"/>
    <w:p w14:paraId="4BBB4E91" w14:textId="65629C0A" w:rsidR="00FA7464" w:rsidRPr="00FA7464" w:rsidRDefault="00FA7464" w:rsidP="00FA7464">
      <w:pPr>
        <w:pStyle w:val="Heading1"/>
        <w:rPr>
          <w:rFonts w:ascii="Calibri" w:eastAsia="Calibri" w:hAnsi="Calibri" w:cs="Calibri"/>
          <w:lang w:val="hu-HU"/>
        </w:rPr>
      </w:pPr>
      <w:bookmarkStart w:id="10" w:name="_Toc188863990"/>
      <w:r w:rsidRPr="00FA7464">
        <w:rPr>
          <w:rFonts w:eastAsia="Calibri"/>
          <w:lang w:val="hu-HU"/>
        </w:rPr>
        <w:lastRenderedPageBreak/>
        <w:t>Hungary</w:t>
      </w:r>
      <w:bookmarkEnd w:id="10"/>
    </w:p>
    <w:p w14:paraId="6BC1E7D1" w14:textId="77777777" w:rsidR="00FA7464" w:rsidRDefault="00FA7464" w:rsidP="00FA7464">
      <w:pPr>
        <w:rPr>
          <w:rFonts w:eastAsia="Calibri"/>
          <w:lang w:val="hu-HU"/>
        </w:rPr>
      </w:pPr>
    </w:p>
    <w:p w14:paraId="08E72049" w14:textId="77777777" w:rsidR="00FA7464" w:rsidRDefault="00FA7464" w:rsidP="00FA7464">
      <w:pPr>
        <w:rPr>
          <w:b/>
          <w:color w:val="2F5496"/>
          <w:sz w:val="24"/>
          <w:szCs w:val="24"/>
          <w:u w:val="single"/>
          <w:lang w:val="hu-HU"/>
        </w:rPr>
      </w:pPr>
      <w:r>
        <w:rPr>
          <w:b/>
          <w:color w:val="2F5496"/>
          <w:sz w:val="24"/>
          <w:szCs w:val="24"/>
          <w:u w:val="single"/>
          <w:lang w:val="hu-HU"/>
        </w:rPr>
        <w:t>I. Justice System</w:t>
      </w:r>
    </w:p>
    <w:p w14:paraId="25CE3E9A" w14:textId="77777777" w:rsidR="00FA7464" w:rsidRDefault="00FA7464" w:rsidP="00FA7464">
      <w:pPr>
        <w:spacing w:after="240"/>
        <w:rPr>
          <w:b/>
          <w:color w:val="2F5496"/>
          <w:sz w:val="24"/>
          <w:szCs w:val="24"/>
          <w:lang w:val="hu-HU"/>
        </w:rPr>
      </w:pPr>
      <w:r>
        <w:rPr>
          <w:b/>
          <w:color w:val="2F5496"/>
          <w:sz w:val="24"/>
          <w:szCs w:val="24"/>
          <w:lang w:val="hu-HU"/>
        </w:rPr>
        <w:t>A. Independence</w:t>
      </w:r>
    </w:p>
    <w:p w14:paraId="7444689E" w14:textId="77777777" w:rsidR="00FA7464" w:rsidRDefault="00FA7464" w:rsidP="00FA7464">
      <w:pPr>
        <w:spacing w:after="240"/>
        <w:rPr>
          <w:color w:val="2F5496"/>
          <w:sz w:val="24"/>
          <w:szCs w:val="24"/>
          <w:lang w:val="hu-HU"/>
        </w:rPr>
      </w:pPr>
      <w:r>
        <w:rPr>
          <w:color w:val="2F5496"/>
          <w:sz w:val="24"/>
          <w:szCs w:val="24"/>
          <w:lang w:val="hu-HU"/>
        </w:rPr>
        <w:t>Allocation of cases in court</w:t>
      </w:r>
    </w:p>
    <w:p w14:paraId="7F6E6AF5" w14:textId="09A30337" w:rsidR="00FA7464" w:rsidRDefault="00FA7464" w:rsidP="00FA7464">
      <w:pPr>
        <w:spacing w:after="240"/>
        <w:jc w:val="both"/>
        <w:rPr>
          <w:color w:val="2F5496"/>
          <w:lang w:val="hu-HU"/>
        </w:rPr>
      </w:pPr>
      <w:r>
        <w:rPr>
          <w:lang w:val="hu-HU"/>
        </w:rPr>
        <w:t>Case allocation at the Curia (</w:t>
      </w:r>
      <w:r w:rsidR="009C77DD">
        <w:rPr>
          <w:lang w:val="hu-HU"/>
        </w:rPr>
        <w:t>S</w:t>
      </w:r>
      <w:r>
        <w:rPr>
          <w:lang w:val="hu-HU"/>
        </w:rPr>
        <w:t xml:space="preserve">upreme </w:t>
      </w:r>
      <w:r w:rsidR="009C77DD">
        <w:rPr>
          <w:lang w:val="hu-HU"/>
        </w:rPr>
        <w:t>C</w:t>
      </w:r>
      <w:r>
        <w:rPr>
          <w:lang w:val="hu-HU"/>
        </w:rPr>
        <w:t xml:space="preserve">ourt) – the reform of which was set as a Super Milestone in the rule of law procedure against Hungary – still raises concern as CSOs commented on the new legal framework and the practice. [Sources: </w:t>
      </w:r>
      <w:hyperlink r:id="rId20" w:history="1">
        <w:r>
          <w:rPr>
            <w:rStyle w:val="Hyperlink"/>
            <w:color w:val="0563C1"/>
            <w:lang w:val="hu-HU"/>
          </w:rPr>
          <w:t>The analysis of the legal framework</w:t>
        </w:r>
      </w:hyperlink>
      <w:r>
        <w:rPr>
          <w:lang w:val="hu-HU"/>
        </w:rPr>
        <w:t xml:space="preserve">, p. 8-9; </w:t>
      </w:r>
      <w:hyperlink r:id="rId21" w:history="1">
        <w:r>
          <w:rPr>
            <w:rStyle w:val="Hyperlink"/>
            <w:color w:val="0563C1"/>
            <w:lang w:val="hu-HU"/>
          </w:rPr>
          <w:t>the analysis of the practice</w:t>
        </w:r>
      </w:hyperlink>
      <w:r>
        <w:rPr>
          <w:lang w:val="hu-HU"/>
        </w:rPr>
        <w:t>].</w:t>
      </w:r>
    </w:p>
    <w:p w14:paraId="4A0A390E" w14:textId="77777777" w:rsidR="00FA7464" w:rsidRDefault="00FA7464" w:rsidP="00FA7464">
      <w:pPr>
        <w:spacing w:after="240"/>
        <w:rPr>
          <w:color w:val="2F5496"/>
          <w:sz w:val="24"/>
          <w:szCs w:val="24"/>
          <w:lang w:val="hu-HU"/>
        </w:rPr>
      </w:pPr>
      <w:r>
        <w:rPr>
          <w:color w:val="2F5496"/>
          <w:sz w:val="24"/>
          <w:szCs w:val="24"/>
          <w:lang w:val="hu-HU"/>
        </w:rPr>
        <w:t>Significant developments capable of affecting the perception that the general public has of the independence of the judiciary (5,000 characters maximum)</w:t>
      </w:r>
    </w:p>
    <w:p w14:paraId="053BB843" w14:textId="20407713" w:rsidR="00FA7464" w:rsidRDefault="00FA7464" w:rsidP="00FA7464">
      <w:pPr>
        <w:jc w:val="both"/>
        <w:rPr>
          <w:lang w:val="hu-HU"/>
        </w:rPr>
      </w:pPr>
      <w:r>
        <w:rPr>
          <w:lang w:val="hu-HU"/>
        </w:rPr>
        <w:t xml:space="preserve">Judicial reforms undermining judicial independence have been subject to harsh criticism since 2011-2012 in Hungary. For a comprehensive overview please consult the </w:t>
      </w:r>
      <w:hyperlink r:id="rId22" w:history="1">
        <w:r w:rsidRPr="00535968">
          <w:rPr>
            <w:rStyle w:val="Hyperlink"/>
            <w:lang w:val="hu-HU"/>
          </w:rPr>
          <w:t>website</w:t>
        </w:r>
      </w:hyperlink>
      <w:r>
        <w:rPr>
          <w:lang w:val="hu-HU"/>
        </w:rPr>
        <w:t xml:space="preserve"> of the Hungarian Helsinki Committee continuously monitoring measures affecting the judiciary and judicial independence. </w:t>
      </w:r>
    </w:p>
    <w:p w14:paraId="6153C8E1" w14:textId="77777777" w:rsidR="00FA7464" w:rsidRDefault="00FA7464" w:rsidP="00FA7464">
      <w:pPr>
        <w:jc w:val="both"/>
        <w:rPr>
          <w:lang w:val="hu-HU"/>
        </w:rPr>
      </w:pPr>
    </w:p>
    <w:p w14:paraId="5F18A493" w14:textId="77777777" w:rsidR="00FA7464" w:rsidRDefault="00FA7464" w:rsidP="00FA7464">
      <w:pPr>
        <w:jc w:val="both"/>
        <w:rPr>
          <w:lang w:val="hu-HU"/>
        </w:rPr>
      </w:pPr>
      <w:r>
        <w:rPr>
          <w:lang w:val="hu-HU"/>
        </w:rPr>
        <w:t>None of the developments having an impact on the judiciary has been driven by anti-LGBTQI motivation or considerations. Although Háttér Society communicates about its ongoing litigation efforts concerning the rights of sexual and gender minorities, no politician commented on these procedures while they were in progress. Extreme right-wing news sites have, however, published numerous articles on Háttér’s litigation: these either factually correctly, but in a biased language, recite Háttér’s press releases (this happened in most of the cases), or present a more prejudicial interpretation of the case at hand. Some examples are mentioned below, in Section D.</w:t>
      </w:r>
    </w:p>
    <w:p w14:paraId="4F6E8B1F" w14:textId="77777777" w:rsidR="00FA7464" w:rsidRDefault="00FA7464" w:rsidP="00FA7464">
      <w:pPr>
        <w:jc w:val="both"/>
        <w:rPr>
          <w:lang w:val="hu-HU"/>
        </w:rPr>
      </w:pPr>
      <w:r>
        <w:rPr>
          <w:lang w:val="hu-HU"/>
        </w:rPr>
        <w:br/>
        <w:t>Háttér Society does not deem the Constitutional Court independent and it regularly fails to keep the deadline set in law (more details on this in Section I.C.). The legislative measures affecting the Constitutional Court after 2010 were criticized by the Venice Commission (</w:t>
      </w:r>
      <w:r w:rsidR="00AF34E3">
        <w:fldChar w:fldCharType="begin"/>
      </w:r>
      <w:r w:rsidR="00AF34E3">
        <w:instrText xml:space="preserve"> HYPERLINK "https://www.venice.coe.int/webforms/documents/default.aspx?pdffile=CDL-AD(2011)016-e" </w:instrText>
      </w:r>
      <w:r w:rsidR="00AF34E3">
        <w:fldChar w:fldCharType="separate"/>
      </w:r>
      <w:r>
        <w:rPr>
          <w:rStyle w:val="Hyperlink"/>
          <w:color w:val="1155CC"/>
          <w:lang w:val="hu-HU"/>
        </w:rPr>
        <w:t>here</w:t>
      </w:r>
      <w:r w:rsidR="00AF34E3">
        <w:rPr>
          <w:rStyle w:val="Hyperlink"/>
          <w:color w:val="1155CC"/>
          <w:lang w:val="hu-HU"/>
        </w:rPr>
        <w:fldChar w:fldCharType="end"/>
      </w:r>
      <w:r>
        <w:rPr>
          <w:lang w:val="hu-HU"/>
        </w:rPr>
        <w:t xml:space="preserve"> and </w:t>
      </w:r>
      <w:r w:rsidR="00AF34E3">
        <w:fldChar w:fldCharType="begin"/>
      </w:r>
      <w:r w:rsidR="00AF34E3">
        <w:instrText xml:space="preserve"> HYPERLINK "https://www.venice.coe.int/webforms/documents/default.aspx?pdffile=CDL-AD(2012)009-e" </w:instrText>
      </w:r>
      <w:r w:rsidR="00AF34E3">
        <w:fldChar w:fldCharType="separate"/>
      </w:r>
      <w:r>
        <w:rPr>
          <w:rStyle w:val="Hyperlink"/>
          <w:color w:val="1155CC"/>
          <w:lang w:val="hu-HU"/>
        </w:rPr>
        <w:t>here</w:t>
      </w:r>
      <w:r w:rsidR="00AF34E3">
        <w:rPr>
          <w:rStyle w:val="Hyperlink"/>
          <w:color w:val="1155CC"/>
          <w:lang w:val="hu-HU"/>
        </w:rPr>
        <w:fldChar w:fldCharType="end"/>
      </w:r>
      <w:r>
        <w:rPr>
          <w:lang w:val="hu-HU"/>
        </w:rPr>
        <w:t xml:space="preserve">). On the various steps affecting the Constitutional Court as an effective check on the legislature, see: Eszter Bodnár, Disarming the Guardians – The Transformation of the Hungarian Constitutional Court after 2010. In: Constitutional Populism edited by Adam Czarnota; Martin Krygier; Wojciech Sadurski. Cambridge University Press, 2022. 254-296, in particular Section 7.2. The full text is available </w:t>
      </w:r>
      <w:hyperlink r:id="rId23" w:history="1">
        <w:r>
          <w:rPr>
            <w:rStyle w:val="Hyperlink"/>
            <w:color w:val="1155CC"/>
            <w:lang w:val="hu-HU"/>
          </w:rPr>
          <w:t>here</w:t>
        </w:r>
      </w:hyperlink>
      <w:r>
        <w:rPr>
          <w:lang w:val="hu-HU"/>
        </w:rPr>
        <w:t xml:space="preserve">. </w:t>
      </w:r>
    </w:p>
    <w:p w14:paraId="5EDBF76E" w14:textId="77777777" w:rsidR="00FA7464" w:rsidRDefault="00FA7464" w:rsidP="00FA7464">
      <w:pPr>
        <w:jc w:val="both"/>
        <w:rPr>
          <w:lang w:val="hu-HU"/>
        </w:rPr>
      </w:pPr>
    </w:p>
    <w:p w14:paraId="37B028A1" w14:textId="77777777" w:rsidR="00FA7464" w:rsidRDefault="00FA7464" w:rsidP="00FA7464">
      <w:pPr>
        <w:jc w:val="both"/>
        <w:rPr>
          <w:lang w:val="hu-HU"/>
        </w:rPr>
      </w:pPr>
      <w:r>
        <w:rPr>
          <w:lang w:val="hu-HU"/>
        </w:rPr>
        <w:t xml:space="preserve">As in 2023, the governing majority instead of complying with binding decisions of courts, simply introduced amendments aimed at circumventing judicial rulings. </w:t>
      </w:r>
    </w:p>
    <w:p w14:paraId="7C137104" w14:textId="77777777" w:rsidR="00FA7464" w:rsidRDefault="00FA7464" w:rsidP="00FA7464">
      <w:pPr>
        <w:jc w:val="both"/>
        <w:rPr>
          <w:lang w:val="hu-HU"/>
        </w:rPr>
      </w:pPr>
      <w:r>
        <w:rPr>
          <w:lang w:val="hu-HU"/>
        </w:rPr>
        <w:t xml:space="preserve">Government Decree no. 210/2009. (IX. 29.) on commercial activities (hereinafter: Packaging Decree) was amended partly in response to two court rulings in April 2024 (the amendment entered into force on 7 May 2024). For more details on the Packaging Decree’s previous and current text see: Háttér Society’s report titled </w:t>
      </w:r>
      <w:hyperlink r:id="rId24" w:history="1">
        <w:r>
          <w:rPr>
            <w:rStyle w:val="Hyperlink"/>
            <w:color w:val="0563C1"/>
            <w:lang w:val="hu-HU"/>
          </w:rPr>
          <w:t>The Anti-LGBTQI Law of Hungary in Action: A Combination of State- and Self-Enforcement. 2021 July – 2024 November,</w:t>
        </w:r>
      </w:hyperlink>
      <w:r>
        <w:rPr>
          <w:lang w:val="hu-HU"/>
        </w:rPr>
        <w:t xml:space="preserve"> Section II.2.</w:t>
      </w:r>
    </w:p>
    <w:p w14:paraId="10E3A011" w14:textId="77777777" w:rsidR="00FA7464" w:rsidRDefault="00FA7464" w:rsidP="00FA7464">
      <w:pPr>
        <w:jc w:val="both"/>
        <w:rPr>
          <w:lang w:val="hu-HU"/>
        </w:rPr>
      </w:pPr>
      <w:r>
        <w:rPr>
          <w:lang w:val="hu-HU"/>
        </w:rPr>
        <w:t xml:space="preserve">The 2024 amendment aimed to remove errors in the flawed legislation, such as the comma error that led the Budapest-Capital Regional Court to annul the 12 million HUF (EUR 30,000) fine imposed on Líra's bookshop and the sentence editing error highlighted by the Győr Region Court, which ruled that only the depiction of transgenderism as having a purpose in itself was prohibited, but not other depiction or promotion. The amendment also attempted to define exactly what content is covered by the restriction: the rule only applies to products with a “defining element” of LGBTQI content; however, the new criterion introduces further uncertainty into the application of the law, e.g. it is not </w:t>
      </w:r>
      <w:r>
        <w:rPr>
          <w:lang w:val="hu-HU"/>
        </w:rPr>
        <w:lastRenderedPageBreak/>
        <w:t xml:space="preserve">at all clear what percentage of a book has to be about LGBTQI issues to be covered by the restriction. For more details on the court decisions see Háttér’s </w:t>
      </w:r>
      <w:hyperlink r:id="rId25" w:history="1">
        <w:r>
          <w:rPr>
            <w:rStyle w:val="Hyperlink"/>
            <w:color w:val="0563C1"/>
            <w:lang w:val="hu-HU"/>
          </w:rPr>
          <w:t>report</w:t>
        </w:r>
      </w:hyperlink>
      <w:r>
        <w:rPr>
          <w:lang w:val="hu-HU"/>
        </w:rPr>
        <w:t xml:space="preserve"> on the Anti-LGBTQI Law, Section IV.1.</w:t>
      </w:r>
    </w:p>
    <w:p w14:paraId="0780582A" w14:textId="77777777" w:rsidR="00FA7464" w:rsidRDefault="00FA7464" w:rsidP="00FA7464">
      <w:pPr>
        <w:jc w:val="both"/>
        <w:rPr>
          <w:lang w:val="hu-HU"/>
        </w:rPr>
      </w:pPr>
    </w:p>
    <w:p w14:paraId="61C2E845" w14:textId="77777777" w:rsidR="00FA7464" w:rsidRDefault="00FA7464" w:rsidP="00FA7464">
      <w:pPr>
        <w:jc w:val="both"/>
        <w:rPr>
          <w:b/>
          <w:lang w:val="hu-HU"/>
        </w:rPr>
      </w:pPr>
      <w:r>
        <w:rPr>
          <w:b/>
          <w:lang w:val="hu-HU"/>
        </w:rPr>
        <w:t>Recommendation</w:t>
      </w:r>
    </w:p>
    <w:p w14:paraId="273F3D96" w14:textId="462809CE" w:rsidR="00FA7464" w:rsidRPr="00FA7464" w:rsidRDefault="00FA7464" w:rsidP="00E65AEF">
      <w:pPr>
        <w:numPr>
          <w:ilvl w:val="0"/>
          <w:numId w:val="2"/>
        </w:numPr>
        <w:spacing w:after="160" w:line="254" w:lineRule="auto"/>
        <w:rPr>
          <w:lang w:val="hu-HU"/>
        </w:rPr>
      </w:pPr>
      <w:r>
        <w:rPr>
          <w:color w:val="000000"/>
          <w:lang w:val="hu-HU"/>
        </w:rPr>
        <w:t xml:space="preserve">Refrain from ad hominem and case-by-case legislation aimed at over-writing court decisions unfavourable to the government. </w:t>
      </w:r>
    </w:p>
    <w:p w14:paraId="402A7623" w14:textId="77777777" w:rsidR="00FA7464" w:rsidRDefault="00FA7464" w:rsidP="00FA7464">
      <w:pPr>
        <w:spacing w:after="240"/>
        <w:rPr>
          <w:b/>
          <w:color w:val="2F5496"/>
          <w:sz w:val="24"/>
          <w:szCs w:val="24"/>
          <w:lang w:val="hu-HU"/>
        </w:rPr>
      </w:pPr>
      <w:r>
        <w:rPr>
          <w:b/>
          <w:color w:val="2F5496"/>
          <w:sz w:val="24"/>
          <w:szCs w:val="24"/>
          <w:lang w:val="hu-HU"/>
        </w:rPr>
        <w:t>C. Efficiency of the justice system</w:t>
      </w:r>
    </w:p>
    <w:p w14:paraId="380303F8" w14:textId="77777777" w:rsidR="00FA7464" w:rsidRDefault="00FA7464" w:rsidP="00FA7464">
      <w:pPr>
        <w:jc w:val="both"/>
        <w:rPr>
          <w:color w:val="2F5496"/>
          <w:sz w:val="24"/>
          <w:szCs w:val="24"/>
          <w:lang w:val="hu-HU"/>
        </w:rPr>
      </w:pPr>
      <w:r>
        <w:rPr>
          <w:color w:val="2F5496"/>
          <w:sz w:val="24"/>
          <w:szCs w:val="24"/>
          <w:lang w:val="hu-HU"/>
        </w:rPr>
        <w:t>Developments related to efforts to improve the efficiency of the justice system (e.g. as regards length of proceedings) (5,000 characters maximum)</w:t>
      </w:r>
    </w:p>
    <w:p w14:paraId="66BC001B" w14:textId="77777777" w:rsidR="00FA7464" w:rsidRDefault="00FA7464" w:rsidP="00FA7464">
      <w:pPr>
        <w:jc w:val="both"/>
        <w:rPr>
          <w:lang w:val="hu-HU"/>
        </w:rPr>
      </w:pPr>
    </w:p>
    <w:p w14:paraId="555D02CB" w14:textId="5D241081" w:rsidR="00FA7464" w:rsidRDefault="00FA7464" w:rsidP="00FA7464">
      <w:pPr>
        <w:jc w:val="both"/>
        <w:rPr>
          <w:lang w:val="hu-HU"/>
        </w:rPr>
      </w:pPr>
      <w:r>
        <w:rPr>
          <w:lang w:val="hu-HU"/>
        </w:rPr>
        <w:t xml:space="preserve">Háttér Society represented a client seeking to get her foreign same-sex marriage recognized in Hungary as registered partnership. After exhausting all the remedies, she submitted a constitutional complaint against the rejection of the Curia. (Case number: IV/2589/2022). The complaint was registered on 12 January 2023 (after the Constitutional Court had requested supplementing arguments), and the decision on admissibility was communicated almost a year after the initial submission, on 21 November 2023. On 10 January 2024 the Constitutional Court notified Háttér Society that a personal hearing would be held in the case. It is very rare for the Constitutional Court to hold hearings; in addition to Háttér, they also invited representatives of the Ministry of Foreign Affairs and Trade and the Ministry of Justice. The hearing took place on 5 February 2024. On 25 July 2024, Háttér’s attorney at law was notified by the Justice Rapporteur that the deadline for presenting the first draft of the decision on the merits of the case was extended </w:t>
      </w:r>
      <w:r w:rsidR="00DB1EBE">
        <w:rPr>
          <w:lang w:val="hu-HU"/>
        </w:rPr>
        <w:t>for</w:t>
      </w:r>
      <w:r>
        <w:rPr>
          <w:lang w:val="hu-HU"/>
        </w:rPr>
        <w:t xml:space="preserve"> another 200 days, however, so far there is no indication that a decision will be delivered in the near future; the case was not on the agenda of the Constitutional Court. </w:t>
      </w:r>
    </w:p>
    <w:p w14:paraId="6C4110AB" w14:textId="77777777" w:rsidR="00FA7464" w:rsidRDefault="00FA7464" w:rsidP="00FA7464">
      <w:pPr>
        <w:jc w:val="both"/>
        <w:rPr>
          <w:lang w:val="hu-HU"/>
        </w:rPr>
      </w:pPr>
      <w:r>
        <w:rPr>
          <w:lang w:val="hu-HU"/>
        </w:rPr>
        <w:t xml:space="preserve">Exceeding the reasonable time requirement in constitutional complaint procedures is particularly concerning as it is deemed as an effective remedy that needs to be exhausted before a complaint can be submitted to the European Court of Human Rights. Undue delays considerably hinder victims’ possibility to meaningfully obtain justice in their cases. </w:t>
      </w:r>
    </w:p>
    <w:p w14:paraId="172951AE" w14:textId="77777777" w:rsidR="00FA7464" w:rsidRDefault="00FA7464" w:rsidP="00FA7464">
      <w:pPr>
        <w:jc w:val="both"/>
        <w:rPr>
          <w:lang w:val="hu-HU"/>
        </w:rPr>
      </w:pPr>
    </w:p>
    <w:p w14:paraId="272F46DF" w14:textId="77777777" w:rsidR="00FA7464" w:rsidRDefault="00FA7464" w:rsidP="00FA7464">
      <w:pPr>
        <w:jc w:val="both"/>
        <w:rPr>
          <w:b/>
          <w:lang w:val="hu-HU"/>
        </w:rPr>
      </w:pPr>
      <w:r>
        <w:rPr>
          <w:b/>
          <w:lang w:val="hu-HU"/>
        </w:rPr>
        <w:t>Recommendation</w:t>
      </w:r>
    </w:p>
    <w:p w14:paraId="5BBE9780" w14:textId="77777777" w:rsidR="00FA7464" w:rsidRDefault="00FA7464" w:rsidP="00E65AEF">
      <w:pPr>
        <w:numPr>
          <w:ilvl w:val="0"/>
          <w:numId w:val="2"/>
        </w:numPr>
        <w:spacing w:after="160" w:line="254" w:lineRule="auto"/>
        <w:rPr>
          <w:lang w:val="hu-HU"/>
        </w:rPr>
      </w:pPr>
      <w:r>
        <w:rPr>
          <w:color w:val="000000"/>
          <w:lang w:val="hu-HU"/>
        </w:rPr>
        <w:t>Ensure that the deadlines set out in the Fundamental Law and the Standing Rules of the Constitutional Court are respected to avoid undue delays in the exhaustion of domestic remedies.</w:t>
      </w:r>
    </w:p>
    <w:p w14:paraId="39C6F612" w14:textId="77777777" w:rsidR="00FA7464" w:rsidRDefault="00FA7464" w:rsidP="00FA7464">
      <w:pPr>
        <w:jc w:val="both"/>
        <w:rPr>
          <w:b/>
          <w:color w:val="2F5496"/>
          <w:sz w:val="24"/>
          <w:szCs w:val="24"/>
          <w:u w:val="single"/>
          <w:lang w:val="hu-HU"/>
        </w:rPr>
      </w:pPr>
    </w:p>
    <w:p w14:paraId="20DAF1F3" w14:textId="77777777" w:rsidR="00FA7464" w:rsidRDefault="00FA7464" w:rsidP="00FA7464">
      <w:pPr>
        <w:jc w:val="both"/>
        <w:rPr>
          <w:b/>
          <w:color w:val="2F5496"/>
          <w:sz w:val="24"/>
          <w:szCs w:val="24"/>
          <w:u w:val="single"/>
          <w:lang w:val="hu-HU"/>
        </w:rPr>
      </w:pPr>
      <w:r>
        <w:rPr>
          <w:b/>
          <w:color w:val="2F5496"/>
          <w:sz w:val="24"/>
          <w:szCs w:val="24"/>
          <w:u w:val="single"/>
          <w:lang w:val="hu-HU"/>
        </w:rPr>
        <w:t>III. Media Freedom and Pluralism</w:t>
      </w:r>
    </w:p>
    <w:p w14:paraId="0A80AFDA" w14:textId="77777777" w:rsidR="00FA7464" w:rsidRDefault="00FA7464" w:rsidP="00FA7464">
      <w:pPr>
        <w:spacing w:after="240"/>
        <w:rPr>
          <w:b/>
          <w:sz w:val="24"/>
          <w:szCs w:val="24"/>
          <w:lang w:val="hu-HU"/>
        </w:rPr>
      </w:pPr>
      <w:r>
        <w:rPr>
          <w:b/>
          <w:color w:val="2F5496"/>
          <w:sz w:val="24"/>
          <w:szCs w:val="24"/>
          <w:lang w:val="hu-HU"/>
        </w:rPr>
        <w:t>B. Safeguards against government or political interference and transparency and concentration of media ownership</w:t>
      </w:r>
    </w:p>
    <w:p w14:paraId="05E6F6FF" w14:textId="77777777" w:rsidR="00FA7464" w:rsidRDefault="00FA7464" w:rsidP="00FA7464">
      <w:pPr>
        <w:spacing w:after="240"/>
        <w:rPr>
          <w:color w:val="2F5496"/>
          <w:sz w:val="24"/>
          <w:szCs w:val="24"/>
          <w:lang w:val="hu-HU"/>
        </w:rPr>
      </w:pPr>
      <w:r>
        <w:rPr>
          <w:color w:val="2F5496"/>
          <w:sz w:val="24"/>
          <w:szCs w:val="24"/>
          <w:lang w:val="hu-HU"/>
        </w:rPr>
        <w:t>Safeguards against state / political interference, in particular:</w:t>
      </w:r>
    </w:p>
    <w:p w14:paraId="089E3BFA" w14:textId="77777777" w:rsidR="00FA7464" w:rsidRDefault="00FA7464" w:rsidP="00E65AEF">
      <w:pPr>
        <w:numPr>
          <w:ilvl w:val="0"/>
          <w:numId w:val="3"/>
        </w:numPr>
        <w:rPr>
          <w:color w:val="2F5496"/>
          <w:sz w:val="24"/>
          <w:szCs w:val="24"/>
          <w:lang w:val="hu-HU"/>
        </w:rPr>
      </w:pPr>
      <w:r>
        <w:rPr>
          <w:color w:val="2F5496"/>
          <w:sz w:val="24"/>
          <w:szCs w:val="24"/>
          <w:lang w:val="hu-HU"/>
        </w:rPr>
        <w:t>safeguards to ensure editorial independence of media (private and public)</w:t>
      </w:r>
    </w:p>
    <w:p w14:paraId="396FA729" w14:textId="77777777" w:rsidR="00FA7464" w:rsidRDefault="00FA7464" w:rsidP="00E65AEF">
      <w:pPr>
        <w:numPr>
          <w:ilvl w:val="0"/>
          <w:numId w:val="3"/>
        </w:numPr>
        <w:rPr>
          <w:color w:val="2F5496"/>
          <w:sz w:val="24"/>
          <w:szCs w:val="24"/>
          <w:lang w:val="hu-HU"/>
        </w:rPr>
      </w:pPr>
      <w:r>
        <w:rPr>
          <w:color w:val="2F5496"/>
          <w:sz w:val="24"/>
          <w:szCs w:val="24"/>
          <w:lang w:val="hu-HU"/>
        </w:rPr>
        <w:t>specific safeguards for the independence of heads of management and members of the governing boards of public service media (e.g. related to appointment, dismissal), safeguards for their financial and operational independence (e.g. related to reporting obligations and the allocation of resources) and safeguards for plurality of information and opinions</w:t>
      </w:r>
    </w:p>
    <w:p w14:paraId="0B6C925C" w14:textId="77777777" w:rsidR="00FA7464" w:rsidRDefault="00FA7464" w:rsidP="00E65AEF">
      <w:pPr>
        <w:numPr>
          <w:ilvl w:val="0"/>
          <w:numId w:val="3"/>
        </w:numPr>
        <w:rPr>
          <w:color w:val="2F5496"/>
          <w:sz w:val="24"/>
          <w:szCs w:val="24"/>
          <w:lang w:val="hu-HU"/>
        </w:rPr>
      </w:pPr>
      <w:r>
        <w:rPr>
          <w:color w:val="2F5496"/>
          <w:sz w:val="24"/>
          <w:szCs w:val="24"/>
          <w:lang w:val="hu-HU"/>
        </w:rPr>
        <w:lastRenderedPageBreak/>
        <w:t>information on specific legal provisions and procedures applying to media service providers, including as regards granting/renewal/termination of licenses, company operation, capital entry requirements, concentration and corporate governance</w:t>
      </w:r>
    </w:p>
    <w:p w14:paraId="5F378B51" w14:textId="77777777" w:rsidR="00FA7464" w:rsidRDefault="00FA7464" w:rsidP="00FA7464">
      <w:pPr>
        <w:spacing w:line="276" w:lineRule="auto"/>
        <w:jc w:val="both"/>
        <w:rPr>
          <w:lang w:val="hu-HU"/>
        </w:rPr>
      </w:pPr>
    </w:p>
    <w:p w14:paraId="70E88F98" w14:textId="77777777" w:rsidR="00FA7464" w:rsidRDefault="00FA7464" w:rsidP="00FA7464">
      <w:pPr>
        <w:jc w:val="both"/>
        <w:rPr>
          <w:lang w:val="hu-HU"/>
        </w:rPr>
      </w:pPr>
      <w:r>
        <w:rPr>
          <w:lang w:val="hu-HU"/>
        </w:rPr>
        <w:t xml:space="preserve">The provisions of Act no. LXXIX of 2021 on stricter actions against paedophile offenders (the Anti-LGBTQI law) adopted in June 2021 included amendments to five Acts of Parliament: </w:t>
      </w:r>
    </w:p>
    <w:p w14:paraId="24D9AD03" w14:textId="77777777" w:rsidR="00FA7464" w:rsidRDefault="00FA7464" w:rsidP="00E65AEF">
      <w:pPr>
        <w:numPr>
          <w:ilvl w:val="0"/>
          <w:numId w:val="4"/>
        </w:numPr>
        <w:jc w:val="both"/>
        <w:rPr>
          <w:lang w:val="hu-HU"/>
        </w:rPr>
      </w:pPr>
      <w:r>
        <w:rPr>
          <w:lang w:val="hu-HU"/>
        </w:rPr>
        <w:t xml:space="preserve">Act no. XXXI of 1997 on the protection of children and guardianship administration (Child Protection Act); </w:t>
      </w:r>
    </w:p>
    <w:p w14:paraId="4DCF0A0E" w14:textId="77777777" w:rsidR="00FA7464" w:rsidRDefault="00FA7464" w:rsidP="00E65AEF">
      <w:pPr>
        <w:numPr>
          <w:ilvl w:val="0"/>
          <w:numId w:val="4"/>
        </w:numPr>
        <w:jc w:val="both"/>
        <w:rPr>
          <w:lang w:val="hu-HU"/>
        </w:rPr>
      </w:pPr>
      <w:r>
        <w:rPr>
          <w:lang w:val="hu-HU"/>
        </w:rPr>
        <w:t xml:space="preserve">Act no. CCXI of 2011 on the protection of families (Family Protection Act); </w:t>
      </w:r>
    </w:p>
    <w:p w14:paraId="1AC19D3F" w14:textId="77777777" w:rsidR="00FA7464" w:rsidRDefault="00FA7464" w:rsidP="00E65AEF">
      <w:pPr>
        <w:numPr>
          <w:ilvl w:val="0"/>
          <w:numId w:val="4"/>
        </w:numPr>
        <w:jc w:val="both"/>
        <w:rPr>
          <w:lang w:val="hu-HU"/>
        </w:rPr>
      </w:pPr>
      <w:r>
        <w:rPr>
          <w:lang w:val="hu-HU"/>
        </w:rPr>
        <w:t xml:space="preserve">Act no. XLVIII of 2008 on the basic conditions of and certain restrictions on economic advertising activities (Advertisement Act); </w:t>
      </w:r>
    </w:p>
    <w:p w14:paraId="10BA2B6B" w14:textId="77777777" w:rsidR="00FA7464" w:rsidRDefault="00FA7464" w:rsidP="00E65AEF">
      <w:pPr>
        <w:numPr>
          <w:ilvl w:val="0"/>
          <w:numId w:val="4"/>
        </w:numPr>
        <w:jc w:val="both"/>
        <w:rPr>
          <w:lang w:val="hu-HU"/>
        </w:rPr>
      </w:pPr>
      <w:r>
        <w:rPr>
          <w:lang w:val="hu-HU"/>
        </w:rPr>
        <w:t xml:space="preserve">Act no. CLXXXV of 2010 on media services and mass communication (Media Act); and </w:t>
      </w:r>
    </w:p>
    <w:p w14:paraId="51205DD2" w14:textId="77777777" w:rsidR="00FA7464" w:rsidRDefault="00FA7464" w:rsidP="00E65AEF">
      <w:pPr>
        <w:numPr>
          <w:ilvl w:val="0"/>
          <w:numId w:val="4"/>
        </w:numPr>
        <w:jc w:val="both"/>
        <w:rPr>
          <w:lang w:val="hu-HU"/>
        </w:rPr>
      </w:pPr>
      <w:r>
        <w:rPr>
          <w:lang w:val="hu-HU"/>
        </w:rPr>
        <w:t xml:space="preserve">Act no. CXC of 2011 on national public education (National Public Education Act). </w:t>
      </w:r>
    </w:p>
    <w:p w14:paraId="61BC12BC" w14:textId="77777777" w:rsidR="00FA7464" w:rsidRDefault="00FA7464" w:rsidP="00FA7464">
      <w:pPr>
        <w:ind w:left="720"/>
        <w:jc w:val="both"/>
        <w:rPr>
          <w:lang w:val="hu-HU"/>
        </w:rPr>
      </w:pPr>
    </w:p>
    <w:p w14:paraId="165DE308" w14:textId="4B9A1FE5" w:rsidR="00FA7464" w:rsidRDefault="00FA7464" w:rsidP="00FA7464">
      <w:pPr>
        <w:jc w:val="both"/>
        <w:rPr>
          <w:lang w:val="hu-HU"/>
        </w:rPr>
      </w:pPr>
      <w:r>
        <w:rPr>
          <w:lang w:val="hu-HU"/>
        </w:rPr>
        <w:t xml:space="preserve">These amendments are formulated almost identically; they all restrict access of minors to content that is pornographic or that depicts sexuality as having a purpose in itself or that depicts or propagates divergence from self-identity corresponding to the sex at birth, sex change or homosexuality. The National Public Education Act only bans promotion, but not depiction. Besides the general restriction, two acts contain additional, more specific provisions with regard to the implementation of the ban. According to the Media Act, media content defined above shall be classified as category V (unsuitable for minors), which can be broadcasted only after 10 p.m. and before 5 a.m., and such content cannot be broadcasted as public service advertisement either. For more information about the Anti-LGBTQI law and the practice of the Media Council see Háttér Society’s </w:t>
      </w:r>
      <w:hyperlink r:id="rId26" w:history="1">
        <w:r>
          <w:rPr>
            <w:rStyle w:val="Hyperlink"/>
            <w:color w:val="0563C1"/>
            <w:lang w:val="hu-HU"/>
          </w:rPr>
          <w:t>report</w:t>
        </w:r>
      </w:hyperlink>
      <w:r>
        <w:rPr>
          <w:lang w:val="hu-HU"/>
        </w:rPr>
        <w:t xml:space="preserve">, Section III.3.2 and Annex I. </w:t>
      </w:r>
    </w:p>
    <w:p w14:paraId="2ADB7489" w14:textId="77777777" w:rsidR="00FA7464" w:rsidRDefault="00FA7464" w:rsidP="00FA7464">
      <w:pPr>
        <w:jc w:val="both"/>
        <w:rPr>
          <w:lang w:val="hu-HU"/>
        </w:rPr>
      </w:pPr>
    </w:p>
    <w:p w14:paraId="40128250" w14:textId="77777777" w:rsidR="00FA7464" w:rsidRDefault="00FA7464" w:rsidP="00FA7464">
      <w:pPr>
        <w:jc w:val="both"/>
        <w:rPr>
          <w:lang w:val="hu-HU"/>
        </w:rPr>
      </w:pPr>
      <w:bookmarkStart w:id="11" w:name="_30j0zll"/>
      <w:bookmarkEnd w:id="11"/>
      <w:r>
        <w:rPr>
          <w:lang w:val="hu-HU"/>
        </w:rPr>
        <w:t xml:space="preserve">The case regarding the advertisement for Budapest Pride, reported in </w:t>
      </w:r>
      <w:hyperlink r:id="rId27" w:history="1">
        <w:r>
          <w:rPr>
            <w:rStyle w:val="Hyperlink"/>
            <w:color w:val="0563C1"/>
            <w:lang w:val="hu-HU"/>
          </w:rPr>
          <w:t>last year’s contribution</w:t>
        </w:r>
      </w:hyperlink>
      <w:r>
        <w:rPr>
          <w:lang w:val="hu-HU"/>
        </w:rPr>
        <w:t>, continued. The Budapest-Capital Regional Court – on judicial review – quashed the Media Council’s decision to only air the advertisement between 10 p.m. and 5 a.m, and ordered a new procedure, however, on appeal the judgment was reversed. No further updates are available on the procedure, potentially a petition for review was filed by RTL at the Curia.</w:t>
      </w:r>
    </w:p>
    <w:p w14:paraId="211E0909" w14:textId="77777777" w:rsidR="00FA7464" w:rsidRDefault="00FA7464" w:rsidP="00FA7464">
      <w:pPr>
        <w:jc w:val="both"/>
        <w:rPr>
          <w:lang w:val="hu-HU"/>
        </w:rPr>
      </w:pPr>
    </w:p>
    <w:p w14:paraId="184D6D2C" w14:textId="77777777" w:rsidR="00FA7464" w:rsidRDefault="00FA7464" w:rsidP="00FA7464">
      <w:pPr>
        <w:pStyle w:val="NoSpacing"/>
        <w:jc w:val="both"/>
        <w:rPr>
          <w:lang w:val="hu-HU"/>
        </w:rPr>
      </w:pPr>
      <w:bookmarkStart w:id="12" w:name="_1fob9te"/>
      <w:bookmarkEnd w:id="12"/>
      <w:r>
        <w:rPr>
          <w:lang w:val="hu-HU"/>
        </w:rPr>
        <w:t xml:space="preserve">According to several </w:t>
      </w:r>
      <w:r w:rsidR="00AF34E3">
        <w:fldChar w:fldCharType="begin"/>
      </w:r>
      <w:r w:rsidR="00AF34E3">
        <w:instrText xml:space="preserve"> HYPERLINK "https://mertek.eu/wp-content/uploads/2021/12/MertekFuzetek25.pdf" </w:instrText>
      </w:r>
      <w:r w:rsidR="00AF34E3">
        <w:fldChar w:fldCharType="separate"/>
      </w:r>
      <w:r>
        <w:rPr>
          <w:rStyle w:val="Hyperlink"/>
          <w:color w:val="0070C0"/>
          <w:lang w:val="hu-HU"/>
        </w:rPr>
        <w:t>reports</w:t>
      </w:r>
      <w:r w:rsidR="00AF34E3">
        <w:rPr>
          <w:rStyle w:val="Hyperlink"/>
          <w:color w:val="0070C0"/>
          <w:lang w:val="hu-HU"/>
        </w:rPr>
        <w:fldChar w:fldCharType="end"/>
      </w:r>
      <w:r>
        <w:rPr>
          <w:lang w:val="hu-HU"/>
        </w:rPr>
        <w:t>,</w:t>
      </w:r>
      <w:r>
        <w:rPr>
          <w:rStyle w:val="FootnoteReference"/>
          <w:lang w:val="hu-HU"/>
        </w:rPr>
        <w:footnoteReference w:id="3"/>
      </w:r>
      <w:r>
        <w:rPr>
          <w:lang w:val="hu-HU"/>
        </w:rPr>
        <w:t xml:space="preserve"> about 80% of Hungary’s media outlets are controlled by the governing party, namely the so-called “propaganda-minister”, Antal Rogán, Minister for the Prime Minister’s Cabinet Office. Rogán was put on the US sanction list on 7 January 2025 for his leading role in systemic corruption. The state-controlled media includes the public media and the propaganda-media outlets conglomerated into a foundation called KESMA. State-controlled media is strategically and purposefully building an anti-LGBTI narrative, </w:t>
      </w:r>
      <w:hyperlink r:id="rId28" w:history="1">
        <w:r>
          <w:rPr>
            <w:rStyle w:val="Hyperlink"/>
            <w:color w:val="0070C0"/>
            <w:lang w:val="hu-HU"/>
          </w:rPr>
          <w:t>using</w:t>
        </w:r>
      </w:hyperlink>
      <w:r>
        <w:rPr>
          <w:lang w:val="hu-HU"/>
        </w:rPr>
        <w:t xml:space="preserve"> </w:t>
      </w:r>
      <w:hyperlink r:id="rId29" w:history="1">
        <w:r>
          <w:rPr>
            <w:rStyle w:val="Hyperlink"/>
            <w:color w:val="auto"/>
            <w:u w:val="none"/>
            <w:lang w:val="hu-HU"/>
          </w:rPr>
          <w:t>using</w:t>
        </w:r>
      </w:hyperlink>
      <w:r>
        <w:rPr>
          <w:lang w:val="hu-HU"/>
        </w:rPr>
        <w:t xml:space="preserve"> misinformation and disinformation, often repeating Russian anti-LGBTI campaigns. The messages correlate with the government’s messaging or campaign narratives. One of their key tactics is trying to conflate being LGBTI with paedophilia, consistent with the governing party’s messaging around the anti-LGBTQI Law. </w:t>
      </w:r>
    </w:p>
    <w:p w14:paraId="6D61EEB9" w14:textId="77777777" w:rsidR="00FA7464" w:rsidRDefault="00FA7464" w:rsidP="00FA7464">
      <w:pPr>
        <w:jc w:val="both"/>
        <w:rPr>
          <w:lang w:val="hu-HU"/>
        </w:rPr>
      </w:pPr>
      <w:r>
        <w:rPr>
          <w:lang w:val="hu-HU"/>
        </w:rPr>
        <w:t xml:space="preserve">This law has normalized homo- and transphobic speech in the public discourse and also in the media (both electronic and print). Authorities rarely follow up on such speech, only extreme forms of hate speech are sanctioned (the Media Council formerly had some decisions condemning hate speech in extreme-right wing media). In 2024, however, no such decision may be found among those published </w:t>
      </w:r>
      <w:r>
        <w:rPr>
          <w:lang w:val="hu-HU"/>
        </w:rPr>
        <w:lastRenderedPageBreak/>
        <w:t xml:space="preserve">on the website of the Media Council: while there are some cases where hateful speech directed against immigrant communities or racial minorities was sanctioned, no decision was issued against service providers for homo- and/or transphobic speech. </w:t>
      </w:r>
    </w:p>
    <w:p w14:paraId="611022D2" w14:textId="77777777" w:rsidR="00FA7464" w:rsidRDefault="00FA7464" w:rsidP="00FA7464">
      <w:pPr>
        <w:jc w:val="both"/>
        <w:rPr>
          <w:lang w:val="hu-HU"/>
        </w:rPr>
      </w:pPr>
    </w:p>
    <w:p w14:paraId="4314B69E" w14:textId="77777777" w:rsidR="00FA7464" w:rsidRDefault="00FA7464" w:rsidP="00FA7464">
      <w:pPr>
        <w:jc w:val="both"/>
        <w:rPr>
          <w:lang w:val="hu-HU"/>
        </w:rPr>
      </w:pPr>
      <w:r>
        <w:rPr>
          <w:lang w:val="hu-HU"/>
        </w:rPr>
        <w:t xml:space="preserve">In December 2024 a law aimed at curbing aggression on the Internet was passed. It amended the Criminal Code with the following provision: </w:t>
      </w:r>
    </w:p>
    <w:p w14:paraId="42EDA9C4" w14:textId="77777777" w:rsidR="00DB1EBE" w:rsidRDefault="00DB1EBE" w:rsidP="00FA7464">
      <w:pPr>
        <w:jc w:val="both"/>
        <w:rPr>
          <w:lang w:val="hu-HU"/>
        </w:rPr>
      </w:pPr>
    </w:p>
    <w:p w14:paraId="0CAEAD8F" w14:textId="72C677C5" w:rsidR="00FA7464" w:rsidRDefault="00FA7464" w:rsidP="00FA7464">
      <w:pPr>
        <w:jc w:val="both"/>
        <w:rPr>
          <w:lang w:val="hu-HU"/>
        </w:rPr>
      </w:pPr>
      <w:r>
        <w:rPr>
          <w:lang w:val="hu-HU"/>
        </w:rPr>
        <w:t xml:space="preserve">Section  332/A  </w:t>
      </w:r>
    </w:p>
    <w:p w14:paraId="2444F87B" w14:textId="77777777" w:rsidR="00FA7464" w:rsidRDefault="00FA7464" w:rsidP="00FA7464">
      <w:pPr>
        <w:jc w:val="both"/>
        <w:rPr>
          <w:lang w:val="hu-HU"/>
        </w:rPr>
      </w:pPr>
      <w:r>
        <w:rPr>
          <w:lang w:val="hu-HU"/>
        </w:rPr>
        <w:t xml:space="preserve">(1) Any person who uses or publishes in public by means of an electronic communications network any expression, representation or image or sound recording which expresses an intention or desire to commit </w:t>
      </w:r>
    </w:p>
    <w:p w14:paraId="04FD3CA3" w14:textId="77777777" w:rsidR="00FA7464" w:rsidRDefault="00FA7464" w:rsidP="00FA7464">
      <w:pPr>
        <w:ind w:firstLine="720"/>
        <w:jc w:val="both"/>
        <w:rPr>
          <w:lang w:val="hu-HU"/>
        </w:rPr>
      </w:pPr>
      <w:r>
        <w:rPr>
          <w:lang w:val="hu-HU"/>
        </w:rPr>
        <w:t xml:space="preserve">a) a criminal act causing death or </w:t>
      </w:r>
    </w:p>
    <w:p w14:paraId="020BE44D" w14:textId="77777777" w:rsidR="00FA7464" w:rsidRDefault="00FA7464" w:rsidP="00FA7464">
      <w:pPr>
        <w:ind w:firstLine="720"/>
        <w:jc w:val="both"/>
        <w:rPr>
          <w:lang w:val="hu-HU"/>
        </w:rPr>
      </w:pPr>
      <w:r>
        <w:rPr>
          <w:lang w:val="hu-HU"/>
        </w:rPr>
        <w:t xml:space="preserve">b) a criminal act of cruelty against an identifiable person or persons, </w:t>
      </w:r>
    </w:p>
    <w:p w14:paraId="1D422276" w14:textId="77777777" w:rsidR="00FA7464" w:rsidRDefault="00FA7464" w:rsidP="00FA7464">
      <w:pPr>
        <w:ind w:left="720"/>
        <w:jc w:val="both"/>
        <w:rPr>
          <w:lang w:val="hu-HU"/>
        </w:rPr>
      </w:pPr>
      <w:r>
        <w:rPr>
          <w:lang w:val="hu-HU"/>
        </w:rPr>
        <w:t xml:space="preserve">if no more serious offence is committed, shall be punished for a misdemeanour by imprisonment for up to one year. </w:t>
      </w:r>
    </w:p>
    <w:p w14:paraId="0D30BD19" w14:textId="090D041F" w:rsidR="00FA7464" w:rsidRDefault="00FA7464" w:rsidP="00FA7464">
      <w:pPr>
        <w:jc w:val="both"/>
        <w:rPr>
          <w:lang w:val="hu-HU"/>
        </w:rPr>
      </w:pPr>
      <w:r>
        <w:rPr>
          <w:lang w:val="hu-HU"/>
        </w:rPr>
        <w:t xml:space="preserve">(2) A person shall not be punished for the offence specified in paragraph (1) who commits the offence for the purpose of disseminating information, education, science, art or information about events in history or current affairs, provided that the act is not intended to cause fear. </w:t>
      </w:r>
    </w:p>
    <w:p w14:paraId="5363DC66" w14:textId="77777777" w:rsidR="00FA7464" w:rsidRDefault="00FA7464" w:rsidP="00FA7464">
      <w:pPr>
        <w:jc w:val="both"/>
        <w:rPr>
          <w:lang w:val="hu-HU"/>
        </w:rPr>
      </w:pPr>
    </w:p>
    <w:p w14:paraId="21D3235A" w14:textId="77777777" w:rsidR="00FA7464" w:rsidRDefault="00FA7464" w:rsidP="00FA7464">
      <w:pPr>
        <w:jc w:val="both"/>
        <w:rPr>
          <w:lang w:val="hu-HU"/>
        </w:rPr>
      </w:pPr>
      <w:r>
        <w:rPr>
          <w:lang w:val="hu-HU"/>
        </w:rPr>
        <w:t xml:space="preserve">The reasoning of the amendment indicated that it was aimed at tackling hate speech, it is yet to be seen whether it applies to speech directed at LGBTQI persons as well. </w:t>
      </w:r>
    </w:p>
    <w:p w14:paraId="3C00012C" w14:textId="77777777" w:rsidR="00FA7464" w:rsidRDefault="00FA7464" w:rsidP="00FA7464">
      <w:pPr>
        <w:jc w:val="both"/>
        <w:rPr>
          <w:lang w:val="hu-HU"/>
        </w:rPr>
      </w:pPr>
    </w:p>
    <w:p w14:paraId="6739C7C7" w14:textId="77777777" w:rsidR="00FA7464" w:rsidRDefault="00FA7464" w:rsidP="00FA7464">
      <w:pPr>
        <w:jc w:val="both"/>
        <w:rPr>
          <w:b/>
          <w:lang w:val="hu-HU"/>
        </w:rPr>
      </w:pPr>
      <w:r>
        <w:rPr>
          <w:b/>
          <w:lang w:val="hu-HU"/>
        </w:rPr>
        <w:t>Recommendations</w:t>
      </w:r>
    </w:p>
    <w:p w14:paraId="2EB2127B" w14:textId="77777777" w:rsidR="00FA7464" w:rsidRDefault="00FA7464" w:rsidP="00E65AEF">
      <w:pPr>
        <w:numPr>
          <w:ilvl w:val="0"/>
          <w:numId w:val="5"/>
        </w:numPr>
        <w:jc w:val="both"/>
        <w:rPr>
          <w:lang w:val="hu-HU"/>
        </w:rPr>
      </w:pPr>
      <w:r>
        <w:rPr>
          <w:lang w:val="hu-HU"/>
        </w:rPr>
        <w:t>Revoke the Anti-LGBTQI law, and refrain from interpreting other child protection provisions in an arbitrary and discriminatory manner.</w:t>
      </w:r>
    </w:p>
    <w:p w14:paraId="007BD5D3" w14:textId="77777777" w:rsidR="00FA7464" w:rsidRDefault="00FA7464" w:rsidP="00E65AEF">
      <w:pPr>
        <w:numPr>
          <w:ilvl w:val="0"/>
          <w:numId w:val="5"/>
        </w:numPr>
        <w:jc w:val="both"/>
        <w:rPr>
          <w:lang w:val="hu-HU"/>
        </w:rPr>
      </w:pPr>
      <w:r>
        <w:rPr>
          <w:lang w:val="hu-HU"/>
        </w:rPr>
        <w:t xml:space="preserve">Ensure that minors have access to scientifically sound and objective information on sexuality and gender diversity in age appropriate forms. </w:t>
      </w:r>
    </w:p>
    <w:p w14:paraId="29C6AAAA" w14:textId="77777777" w:rsidR="00FA7464" w:rsidRDefault="00FA7464" w:rsidP="00FA7464">
      <w:pPr>
        <w:spacing w:line="276" w:lineRule="auto"/>
        <w:jc w:val="both"/>
        <w:rPr>
          <w:lang w:val="hu-HU"/>
        </w:rPr>
      </w:pPr>
    </w:p>
    <w:p w14:paraId="458DF946" w14:textId="77777777" w:rsidR="00FA7464" w:rsidRDefault="00FA7464" w:rsidP="00FA7464">
      <w:pPr>
        <w:rPr>
          <w:rFonts w:ascii="FreeSans" w:eastAsia="FreeSans" w:hAnsi="FreeSans" w:cs="FreeSans"/>
          <w:b/>
          <w:color w:val="2F5496"/>
          <w:sz w:val="24"/>
          <w:szCs w:val="24"/>
          <w:u w:val="single"/>
          <w:lang w:val="hu-HU"/>
        </w:rPr>
      </w:pPr>
      <w:r>
        <w:rPr>
          <w:rFonts w:ascii="FreeSans" w:eastAsia="FreeSans" w:hAnsi="FreeSans" w:cs="FreeSans"/>
          <w:b/>
          <w:color w:val="2F5496"/>
          <w:sz w:val="24"/>
          <w:szCs w:val="24"/>
          <w:u w:val="single"/>
          <w:lang w:val="hu-HU"/>
        </w:rPr>
        <w:t>IV. Other institutional issues related to checks and balances</w:t>
      </w:r>
    </w:p>
    <w:p w14:paraId="72A0DCA3" w14:textId="77777777" w:rsidR="00FA7464" w:rsidRDefault="00FA7464" w:rsidP="00FA7464">
      <w:pPr>
        <w:rPr>
          <w:rFonts w:eastAsia="Calibri"/>
          <w:b/>
          <w:color w:val="2F5496"/>
          <w:sz w:val="24"/>
          <w:szCs w:val="24"/>
          <w:lang w:val="hu-HU"/>
        </w:rPr>
      </w:pPr>
      <w:r>
        <w:rPr>
          <w:b/>
          <w:color w:val="2F5496"/>
          <w:sz w:val="24"/>
          <w:szCs w:val="24"/>
          <w:lang w:val="hu-HU"/>
        </w:rPr>
        <w:t>A. The process for preparing and enacting laws</w:t>
      </w:r>
    </w:p>
    <w:p w14:paraId="203D5872" w14:textId="77777777" w:rsidR="00FA7464" w:rsidRDefault="00FA7464" w:rsidP="00FA7464">
      <w:pPr>
        <w:spacing w:before="240" w:after="240"/>
        <w:rPr>
          <w:color w:val="2F5496"/>
          <w:sz w:val="24"/>
          <w:szCs w:val="24"/>
          <w:lang w:val="hu-HU"/>
        </w:rPr>
      </w:pPr>
      <w:r>
        <w:rPr>
          <w:color w:val="2F5496"/>
          <w:sz w:val="24"/>
          <w:szCs w:val="24"/>
          <w:lang w:val="hu-HU"/>
        </w:rPr>
        <w:t>Framework, policy and use of impact assessments and evidence-based policy-making, stakeholders'[1]/public consultations (including rules and practices on the transparent participation of civil society to policy development and decision-making processes), and transparency and quality of the legislative process</w:t>
      </w:r>
      <w:r>
        <w:rPr>
          <w:rFonts w:ascii="FreeSans" w:eastAsia="FreeSans" w:hAnsi="FreeSans" w:cs="FreeSans"/>
          <w:color w:val="333333"/>
          <w:sz w:val="21"/>
          <w:szCs w:val="21"/>
          <w:lang w:val="hu-HU"/>
        </w:rPr>
        <w:t xml:space="preserve"> </w:t>
      </w:r>
      <w:r>
        <w:rPr>
          <w:color w:val="2F5496"/>
          <w:sz w:val="24"/>
          <w:szCs w:val="24"/>
          <w:lang w:val="hu-HU"/>
        </w:rPr>
        <w:t>both in the preparatory and the parliamentary phase</w:t>
      </w:r>
    </w:p>
    <w:p w14:paraId="6C76D15F" w14:textId="77777777" w:rsidR="00FA7464" w:rsidRDefault="00FA7464" w:rsidP="00FA7464">
      <w:pPr>
        <w:jc w:val="both"/>
        <w:rPr>
          <w:lang w:val="hu-HU"/>
        </w:rPr>
      </w:pPr>
      <w:r>
        <w:rPr>
          <w:lang w:val="hu-HU"/>
        </w:rPr>
        <w:t xml:space="preserve">The legislative procedure in the majority of the cases offers no room for civil society organizations to formally intervene, submit opinions, or in any way influence the decision-making procedure. Public consultation on bills is only mandatory if the bill is tabled by a minister (i.e. member of the government), this is easily circumvented by submitting legislative proposals by individual members of Parliament or parliamentary committees. Act no. CXXXI of 2010 on public participation in the preparation of laws, on the one hand, itself limits the scope of the obligation to consult non-state actors to bills tabled by the members of the government, on the other hand, special situations – e.g. some sort of extraordinary (emergency) regime – further allow to avoid consultation procedures. Currently there is a ‘state preventive defense’ in Hungary in line with Article 51 of the Fundamental Law, and is used to justify restricting or fully ignoring the obligation to consult civil society organizations. For an overview of the state of emergency’s impact on the rule of law and the applicable legal framework see the </w:t>
      </w:r>
      <w:hyperlink r:id="rId30" w:history="1">
        <w:r>
          <w:rPr>
            <w:rStyle w:val="Hyperlink"/>
            <w:color w:val="0563C1"/>
            <w:lang w:val="hu-HU"/>
          </w:rPr>
          <w:t>report</w:t>
        </w:r>
      </w:hyperlink>
      <w:r>
        <w:rPr>
          <w:lang w:val="hu-HU"/>
        </w:rPr>
        <w:t xml:space="preserve"> of the Hungarian Helsinki Committee.</w:t>
      </w:r>
    </w:p>
    <w:p w14:paraId="254B200D" w14:textId="77777777" w:rsidR="00FA7464" w:rsidRDefault="00FA7464" w:rsidP="00FA7464">
      <w:pPr>
        <w:jc w:val="both"/>
        <w:rPr>
          <w:lang w:val="hu-HU"/>
        </w:rPr>
      </w:pPr>
      <w:r>
        <w:rPr>
          <w:lang w:val="hu-HU"/>
        </w:rPr>
        <w:lastRenderedPageBreak/>
        <w:t xml:space="preserve">In 2024, the government opened for public consultations two draft pieces of legislation relevant for the protection of LGBTQI persons: first, in March 2024 on trusted flaggers (implementing the Digital Services Act); second, in April 2024, the amendment to the Packaging Decree [Government Decree no. 210/2009. (IX. 29.) on commercial activities, which was also amended by the propaganda law, for details see Háttér’s </w:t>
      </w:r>
      <w:hyperlink r:id="rId31" w:history="1">
        <w:r>
          <w:rPr>
            <w:rStyle w:val="Hyperlink"/>
            <w:color w:val="0563C1"/>
            <w:lang w:val="hu-HU"/>
          </w:rPr>
          <w:t>report</w:t>
        </w:r>
      </w:hyperlink>
      <w:r>
        <w:rPr>
          <w:lang w:val="hu-HU"/>
        </w:rPr>
        <w:t xml:space="preserve">, II. 2.]. </w:t>
      </w:r>
    </w:p>
    <w:p w14:paraId="4E1953FC" w14:textId="390B054E" w:rsidR="00FA7464" w:rsidRDefault="00FA7464" w:rsidP="00FA7464">
      <w:pPr>
        <w:jc w:val="both"/>
        <w:rPr>
          <w:lang w:val="hu-HU"/>
        </w:rPr>
      </w:pPr>
      <w:r>
        <w:rPr>
          <w:lang w:val="hu-HU"/>
        </w:rPr>
        <w:t xml:space="preserve">The long awaited draft decree on trusted flaggers was published by the National Media and Infocommunications Authority in February 2024. Háttér Society submitted an opinion on the draft opposing some of the conditions prescribed for trusted flaggers in order to make it accessible to the largest circle possible and to reduce the administrative burden for them. The opinion is available </w:t>
      </w:r>
      <w:hyperlink r:id="rId32" w:history="1">
        <w:r>
          <w:rPr>
            <w:rStyle w:val="Hyperlink"/>
            <w:color w:val="0563C1"/>
            <w:lang w:val="hu-HU"/>
          </w:rPr>
          <w:t>here</w:t>
        </w:r>
      </w:hyperlink>
      <w:r>
        <w:rPr>
          <w:lang w:val="hu-HU"/>
        </w:rPr>
        <w:t xml:space="preserve"> (in Hungarian).</w:t>
      </w:r>
    </w:p>
    <w:p w14:paraId="76D7496A" w14:textId="77777777" w:rsidR="00FA7464" w:rsidRDefault="00FA7464" w:rsidP="00FA7464">
      <w:pPr>
        <w:jc w:val="both"/>
        <w:rPr>
          <w:lang w:val="hu-HU"/>
        </w:rPr>
      </w:pPr>
    </w:p>
    <w:p w14:paraId="3CB7CC67" w14:textId="4297871E" w:rsidR="00FA7464" w:rsidRDefault="00FA7464" w:rsidP="00FA7464">
      <w:pPr>
        <w:jc w:val="both"/>
        <w:rPr>
          <w:strike/>
          <w:lang w:val="hu-HU"/>
        </w:rPr>
      </w:pPr>
      <w:r>
        <w:rPr>
          <w:lang w:val="hu-HU"/>
        </w:rPr>
        <w:t xml:space="preserve">At the end of March 2024, an </w:t>
      </w:r>
      <w:hyperlink r:id="rId33" w:history="1">
        <w:r>
          <w:rPr>
            <w:rStyle w:val="Hyperlink"/>
            <w:color w:val="0563C1"/>
            <w:lang w:val="hu-HU"/>
          </w:rPr>
          <w:t>amendment</w:t>
        </w:r>
      </w:hyperlink>
      <w:r>
        <w:rPr>
          <w:lang w:val="hu-HU"/>
        </w:rPr>
        <w:t xml:space="preserve"> to the Packaging Decree was opened for public consultation. Háttér Society wrote a review of the draft, opposing the introduction of </w:t>
      </w:r>
      <w:r w:rsidR="00DB1EBE">
        <w:rPr>
          <w:lang w:val="hu-HU"/>
        </w:rPr>
        <w:t>this</w:t>
      </w:r>
      <w:r>
        <w:rPr>
          <w:lang w:val="hu-HU"/>
        </w:rPr>
        <w:t xml:space="preserve"> stigmatizing and discriminatory provision.</w:t>
      </w:r>
      <w:r>
        <w:rPr>
          <w:strike/>
          <w:lang w:val="hu-HU"/>
        </w:rPr>
        <w:t xml:space="preserve"> </w:t>
      </w:r>
    </w:p>
    <w:p w14:paraId="72296DCC" w14:textId="77777777" w:rsidR="00FA7464" w:rsidRDefault="00FA7464" w:rsidP="00FA7464">
      <w:pPr>
        <w:jc w:val="both"/>
        <w:rPr>
          <w:lang w:val="hu-HU"/>
        </w:rPr>
      </w:pPr>
      <w:r>
        <w:rPr>
          <w:lang w:val="hu-HU"/>
        </w:rPr>
        <w:t xml:space="preserve">Háttér Society also called for eliminating all the provisions that were introduced to the Packaging Decree by the Anti-LGBTQI Law. The opinion is available </w:t>
      </w:r>
      <w:hyperlink r:id="rId34" w:history="1">
        <w:r>
          <w:rPr>
            <w:rStyle w:val="Hyperlink"/>
            <w:color w:val="0563C1"/>
            <w:lang w:val="hu-HU"/>
          </w:rPr>
          <w:t>here</w:t>
        </w:r>
      </w:hyperlink>
      <w:r>
        <w:rPr>
          <w:lang w:val="hu-HU"/>
        </w:rPr>
        <w:t xml:space="preserve"> (in Hungarian). The amendments to the Packaging Decree submitted in response to court decisions repealing the fines imposed on bookstores were not available for public consultation (for more information on the amendments see Section I.A).</w:t>
      </w:r>
    </w:p>
    <w:p w14:paraId="3A6617E8" w14:textId="3C285DAC" w:rsidR="00FA7464" w:rsidRDefault="00FA7464" w:rsidP="00FA7464">
      <w:pPr>
        <w:jc w:val="both"/>
        <w:rPr>
          <w:lang w:val="hu-HU"/>
        </w:rPr>
      </w:pPr>
      <w:r>
        <w:rPr>
          <w:lang w:val="hu-HU"/>
        </w:rPr>
        <w:t>Act no. CXXXI of 2010 on public participation in the preparation of laws prescribes that the Minister responsible for preparing the piece of legislation subject to public consultation considers the opinions received and draws up a summary of them and, in the case of rejected opinions, the reasons for rejection. These are to be published on the website together with a list of those who have submitted an opinion. No such list, summary of the opinions nor reasons for rejection were published in either case when Háttér Society participated with a submission in the public consultation.</w:t>
      </w:r>
    </w:p>
    <w:p w14:paraId="739E5431" w14:textId="77777777" w:rsidR="00FA7464" w:rsidRDefault="00FA7464" w:rsidP="00FA7464">
      <w:pPr>
        <w:jc w:val="both"/>
        <w:rPr>
          <w:lang w:val="hu-HU"/>
        </w:rPr>
      </w:pPr>
    </w:p>
    <w:p w14:paraId="79AFEF3A" w14:textId="52D1D5B0" w:rsidR="00FA7464" w:rsidRDefault="00FA7464" w:rsidP="00FA7464">
      <w:pPr>
        <w:jc w:val="both"/>
        <w:rPr>
          <w:lang w:val="hu-HU"/>
        </w:rPr>
      </w:pPr>
      <w:r>
        <w:rPr>
          <w:lang w:val="hu-HU"/>
        </w:rPr>
        <w:t xml:space="preserve">Civil society organizations – in particular those that have been critical of the human rights record of the Government – are not provided with a forum to discuss or propose policy decisions and measures. </w:t>
      </w:r>
    </w:p>
    <w:p w14:paraId="6D797D01" w14:textId="0E8C53FA" w:rsidR="00FA7464" w:rsidRDefault="00FA7464" w:rsidP="00FA7464">
      <w:pPr>
        <w:jc w:val="both"/>
        <w:rPr>
          <w:lang w:val="hu-HU"/>
        </w:rPr>
      </w:pPr>
      <w:r>
        <w:rPr>
          <w:lang w:val="hu-HU"/>
        </w:rPr>
        <w:t xml:space="preserve">In March 2023 the Human Rights Roundtable, the NGO consultative forum of the Human Rights Working Group (an inter-ministerial working group) was completely reorganized without any consultation with the participating NGOs. As a result, the LGBT Working Group – the only forum for consultation  with LGBTQI organizations in operation since 2012 – was abolished, its members were added to the newly established Legal Equality Thematic Working Group that has a broad mandate without specifically mentioning the rights LGBTQI people. The separate thematic working groups for the rights of women, children, elderly persons, disabled persons, refugees, and national minorities has been kept intact. A proposal by Háttér to specifically mention LGBTQI people in the bylaws of the Legal Equality Thematic Working Group was voted down, </w:t>
      </w:r>
      <w:r w:rsidR="00C91A9B">
        <w:rPr>
          <w:lang w:val="hu-HU"/>
        </w:rPr>
        <w:t>as</w:t>
      </w:r>
      <w:r>
        <w:rPr>
          <w:lang w:val="hu-HU"/>
        </w:rPr>
        <w:t xml:space="preserve"> was a proposal to make the procedure </w:t>
      </w:r>
      <w:r w:rsidR="00C91A9B">
        <w:rPr>
          <w:lang w:val="hu-HU"/>
        </w:rPr>
        <w:t>of</w:t>
      </w:r>
      <w:r>
        <w:rPr>
          <w:lang w:val="hu-HU"/>
        </w:rPr>
        <w:t xml:space="preserve"> join</w:t>
      </w:r>
      <w:r w:rsidR="00C91A9B">
        <w:rPr>
          <w:lang w:val="hu-HU"/>
        </w:rPr>
        <w:t>ing</w:t>
      </w:r>
      <w:r>
        <w:rPr>
          <w:lang w:val="hu-HU"/>
        </w:rPr>
        <w:t xml:space="preserve"> the working group more transparent. Háttér has proposed several topics to be discussed in the so far two meetings of the working group, but none of the proposals were put on the agenda. </w:t>
      </w:r>
    </w:p>
    <w:p w14:paraId="68BD6FCB" w14:textId="77777777" w:rsidR="00FA7464" w:rsidRDefault="00FA7464" w:rsidP="00FA7464">
      <w:pPr>
        <w:jc w:val="both"/>
        <w:rPr>
          <w:lang w:val="hu-HU"/>
        </w:rPr>
      </w:pPr>
    </w:p>
    <w:p w14:paraId="4676B642" w14:textId="77777777" w:rsidR="00FA7464" w:rsidRDefault="00FA7464" w:rsidP="00FA7464">
      <w:pPr>
        <w:jc w:val="both"/>
        <w:rPr>
          <w:b/>
          <w:lang w:val="hu-HU"/>
        </w:rPr>
      </w:pPr>
      <w:r>
        <w:rPr>
          <w:b/>
          <w:lang w:val="hu-HU"/>
        </w:rPr>
        <w:t>Recommendations</w:t>
      </w:r>
    </w:p>
    <w:p w14:paraId="533AD0F3" w14:textId="77777777" w:rsidR="00FA7464" w:rsidRDefault="00FA7464" w:rsidP="00E65AEF">
      <w:pPr>
        <w:numPr>
          <w:ilvl w:val="0"/>
          <w:numId w:val="6"/>
        </w:numPr>
        <w:spacing w:line="276" w:lineRule="auto"/>
        <w:jc w:val="both"/>
        <w:rPr>
          <w:lang w:val="hu-HU"/>
        </w:rPr>
      </w:pPr>
      <w:r>
        <w:rPr>
          <w:lang w:val="hu-HU"/>
        </w:rPr>
        <w:t>Comply with the rules set out in Act no. CXXXI of 2010 on public participation in the preparation of laws, stop circumventing the law by introducing bills through individual members of the Parliament.</w:t>
      </w:r>
    </w:p>
    <w:p w14:paraId="126EE55A" w14:textId="77777777" w:rsidR="00FA7464" w:rsidRDefault="00FA7464" w:rsidP="00E65AEF">
      <w:pPr>
        <w:numPr>
          <w:ilvl w:val="0"/>
          <w:numId w:val="6"/>
        </w:numPr>
        <w:spacing w:line="276" w:lineRule="auto"/>
        <w:jc w:val="both"/>
        <w:rPr>
          <w:lang w:val="hu-HU"/>
        </w:rPr>
      </w:pPr>
      <w:r>
        <w:rPr>
          <w:lang w:val="hu-HU"/>
        </w:rPr>
        <w:t>Provide structured and regular fora for civil society organizations for consultation with the relevant state actors in policy- and law-making.</w:t>
      </w:r>
    </w:p>
    <w:p w14:paraId="436176D3" w14:textId="77777777" w:rsidR="00FA7464" w:rsidRDefault="00FA7464" w:rsidP="00FA7464">
      <w:pPr>
        <w:spacing w:line="276" w:lineRule="auto"/>
        <w:jc w:val="both"/>
        <w:rPr>
          <w:lang w:val="hu-HU"/>
        </w:rPr>
      </w:pPr>
    </w:p>
    <w:p w14:paraId="0D186149" w14:textId="77777777" w:rsidR="00FA7464" w:rsidRDefault="00FA7464" w:rsidP="00FA7464">
      <w:pPr>
        <w:spacing w:after="240"/>
        <w:rPr>
          <w:b/>
          <w:color w:val="2F5496"/>
          <w:sz w:val="24"/>
          <w:szCs w:val="24"/>
          <w:lang w:val="hu-HU"/>
        </w:rPr>
      </w:pPr>
      <w:r>
        <w:rPr>
          <w:b/>
          <w:color w:val="2F5496"/>
          <w:sz w:val="24"/>
          <w:szCs w:val="24"/>
          <w:lang w:val="hu-HU"/>
        </w:rPr>
        <w:t>B. Independent authorities</w:t>
      </w:r>
    </w:p>
    <w:p w14:paraId="7B58DED2" w14:textId="77777777" w:rsidR="00FA7464" w:rsidRDefault="00FA7464" w:rsidP="00FA7464">
      <w:pPr>
        <w:spacing w:after="240"/>
        <w:rPr>
          <w:color w:val="2F5496"/>
          <w:sz w:val="24"/>
          <w:szCs w:val="24"/>
          <w:lang w:val="hu-HU"/>
        </w:rPr>
      </w:pPr>
      <w:r>
        <w:rPr>
          <w:color w:val="2F5496"/>
          <w:sz w:val="24"/>
          <w:szCs w:val="24"/>
          <w:lang w:val="hu-HU"/>
        </w:rPr>
        <w:lastRenderedPageBreak/>
        <w:t>Independence, resources, capacity and powers of national human rights institutions (‘NHRIs’), of ombudsman institutions if different from NHRIs, of equality bodies if different from NHRIs and of supreme audit institutions</w:t>
      </w:r>
    </w:p>
    <w:p w14:paraId="1B690C10" w14:textId="77777777" w:rsidR="00FA7464" w:rsidRDefault="00FA7464" w:rsidP="00FA7464">
      <w:pPr>
        <w:spacing w:after="240"/>
        <w:jc w:val="both"/>
        <w:rPr>
          <w:lang w:val="hu-HU"/>
        </w:rPr>
      </w:pPr>
      <w:r>
        <w:rPr>
          <w:lang w:val="hu-HU"/>
        </w:rPr>
        <w:t xml:space="preserve">In 2024, the Hungarian Helsinki Committee with the contribution of Háttér Society drew up a </w:t>
      </w:r>
      <w:hyperlink r:id="rId35" w:history="1">
        <w:r>
          <w:rPr>
            <w:rStyle w:val="Hyperlink"/>
            <w:color w:val="0563C1"/>
            <w:lang w:val="hu-HU"/>
          </w:rPr>
          <w:t>comprehensive report</w:t>
        </w:r>
      </w:hyperlink>
      <w:r>
        <w:rPr>
          <w:color w:val="2F5496"/>
          <w:lang w:val="hu-HU"/>
        </w:rPr>
        <w:t xml:space="preserve"> </w:t>
      </w:r>
      <w:r>
        <w:rPr>
          <w:lang w:val="hu-HU"/>
        </w:rPr>
        <w:t xml:space="preserve">on the operation of the Hungarian national human rights institution, the Commissioner for Fundamental Rights (CFR). The Equal Treatment Authority (ETAuth), abolished in 2020, was autonomous, and followed a principled approach to discrimination and harassment. It stood up for minorities scapegoated by the government, including the LGBTQI community, and took a strong stance even in politically sensitive cases. </w:t>
      </w:r>
    </w:p>
    <w:p w14:paraId="28007956" w14:textId="77777777" w:rsidR="00FA7464" w:rsidRDefault="00FA7464" w:rsidP="00FA7464">
      <w:pPr>
        <w:spacing w:after="240"/>
        <w:jc w:val="both"/>
        <w:rPr>
          <w:lang w:val="hu-HU"/>
        </w:rPr>
      </w:pPr>
      <w:r>
        <w:rPr>
          <w:lang w:val="hu-HU"/>
        </w:rPr>
        <w:t xml:space="preserve">The amendment abolishing the ETAuth contained no substantive reasoning how the merger of the two bodies [the ETAuth and the Office of the Commissioner for Fundamental Rights (OCFR)] would improve the enforcement of equal treatment. Former staff members in interviews with Háttér Society confirmed that the reform was primarily driven by political considerations: the activities of the ETAuth especially in the field of LGBTQI rights and Roma school segregation cases were at odds with the political orientation of the Government, and the Government was no longer willing to support the existence of such an independent body. </w:t>
      </w:r>
    </w:p>
    <w:p w14:paraId="353BA292" w14:textId="77777777" w:rsidR="00FA7464" w:rsidRDefault="00FA7464" w:rsidP="00FA7464">
      <w:pPr>
        <w:spacing w:after="240"/>
        <w:jc w:val="both"/>
        <w:rPr>
          <w:lang w:val="hu-HU"/>
        </w:rPr>
      </w:pPr>
      <w:r>
        <w:rPr>
          <w:lang w:val="hu-HU"/>
        </w:rPr>
        <w:t xml:space="preserve">The merger envisaged that the equal opportunity related tasks of the CFR would be carried out by a separate directorate-general – the Equal Treatment Directorate-General (ETDG) – within the OCFR. This would have guaranteed a high level of autonomy within the OCFR with a publicly visible director appointed by the Commissioner for Fundamental Rights to oversee the work of the ETDG. However, no director or deputy director has been appointed ever since (as of 3 January 2025), even though the positions appear on the organogram. The lack of a director and deputy-director seriously undermines internal autonomy and independence of the ETDG: it is under the direct control of the CFR in practice and OCFR’s Secretary-General – who can set the agenda and interfere with everyday operations. This creates a chilling effect and weakens public trust. The Venice Commission in </w:t>
      </w:r>
      <w:hyperlink r:id="rId36" w:history="1">
        <w:r>
          <w:rPr>
            <w:rStyle w:val="Hyperlink"/>
            <w:color w:val="0563C1"/>
            <w:lang w:val="hu-HU"/>
          </w:rPr>
          <w:t>its opinion</w:t>
        </w:r>
      </w:hyperlink>
      <w:r>
        <w:rPr>
          <w:color w:val="2F5496"/>
          <w:lang w:val="hu-HU"/>
        </w:rPr>
        <w:t xml:space="preserve"> </w:t>
      </w:r>
      <w:r>
        <w:rPr>
          <w:lang w:val="hu-HU"/>
        </w:rPr>
        <w:t xml:space="preserve">further emphasized: “Without [a director for the ETDG], it is hard to imagine the promotion and visibility of equality mandate (...)” and for this reason it encouraged “the Hungarian authorities to ensure a timely appointment of [the director] and his/her Deputy in accordance with clear and transparent criteria defined by law” (par. 44). </w:t>
      </w:r>
    </w:p>
    <w:p w14:paraId="4BD89C12" w14:textId="77777777" w:rsidR="00FA7464" w:rsidRDefault="00FA7464" w:rsidP="00FA7464">
      <w:pPr>
        <w:spacing w:after="240"/>
        <w:jc w:val="both"/>
        <w:rPr>
          <w:lang w:val="hu-HU"/>
        </w:rPr>
      </w:pPr>
      <w:r>
        <w:rPr>
          <w:lang w:val="hu-HU"/>
        </w:rPr>
        <w:t>Furthermore, due to the merger, the ETDG lost its financial independence that was previously safeguarded by provisions in the Equal Treatment Act (ETA). Its budget is fully integrated in the OCFR budget, the CFR has full control over the allocation of resources within its Office, thus there are no safeguards guaranteeing the financial stability of the ETDG. The Venice Commission reminded the Hungarian authorities that without adequate budget allocated to ensure the effective operation, the independent and efficient exercise of the ETDG’s mandate may be at risk (par. 48-49).</w:t>
      </w:r>
    </w:p>
    <w:p w14:paraId="4FE840FF" w14:textId="77777777" w:rsidR="00FA7464" w:rsidRDefault="00FA7464" w:rsidP="00FA7464">
      <w:pPr>
        <w:spacing w:after="240"/>
        <w:jc w:val="both"/>
        <w:rPr>
          <w:lang w:val="hu-HU"/>
        </w:rPr>
      </w:pPr>
      <w:r>
        <w:rPr>
          <w:lang w:val="hu-HU"/>
        </w:rPr>
        <w:t xml:space="preserve">Due to the merger, the network of equal treatment officers working across the country who provided assistance to complainants was dismantled. It also resulted in a drastic drop in the number of complaints. In 2020, the ETAuth received 994 cases; in 2021-2023 this dropped to a bit more than one third of the 2022 number. In the first half of 2024 the number of reported cases further decreased: 144 cases, which is a 22% drop compared to 2023 proportionately. It is also not clear which Act (ETA or the CFR) complaints will be addressed under, resulting in less effective resolutions and access to justice for victims. </w:t>
      </w:r>
    </w:p>
    <w:p w14:paraId="1C12440A" w14:textId="77777777" w:rsidR="00FA7464" w:rsidRDefault="00FA7464" w:rsidP="00FA7464">
      <w:pPr>
        <w:spacing w:after="240"/>
        <w:jc w:val="both"/>
        <w:rPr>
          <w:lang w:val="hu-HU"/>
        </w:rPr>
      </w:pPr>
      <w:r>
        <w:rPr>
          <w:lang w:val="hu-HU"/>
        </w:rPr>
        <w:t>In response to a May 2024 survey conducted by Háttér Society, respondents reported difficulties in starting procedures, the lengthening of procedures, a decrease in the number of hearings, an increase in the costs of procedures and a decrease in the quality of decisions.</w:t>
      </w:r>
    </w:p>
    <w:p w14:paraId="03C8FF77" w14:textId="77777777" w:rsidR="00FA7464" w:rsidRDefault="00FA7464" w:rsidP="00FA7464">
      <w:pPr>
        <w:spacing w:after="240"/>
        <w:jc w:val="both"/>
        <w:rPr>
          <w:lang w:val="hu-HU"/>
        </w:rPr>
      </w:pPr>
      <w:r>
        <w:rPr>
          <w:lang w:val="hu-HU"/>
        </w:rPr>
        <w:lastRenderedPageBreak/>
        <w:t xml:space="preserve">The database of case summaries of the ETAuth has been dismantled, replaced by an incomplete equivalent which lacks cases from crucial standard setting periods and cannot be filtered, making the work of the ETDG less transparent as a complete analysis of cases is not possible. </w:t>
      </w:r>
    </w:p>
    <w:p w14:paraId="50FD24D0" w14:textId="77777777" w:rsidR="00FA7464" w:rsidRDefault="00FA7464" w:rsidP="00FA7464">
      <w:pPr>
        <w:spacing w:after="240"/>
        <w:jc w:val="both"/>
        <w:rPr>
          <w:b/>
          <w:lang w:val="hu-HU"/>
        </w:rPr>
      </w:pPr>
      <w:r>
        <w:rPr>
          <w:b/>
          <w:lang w:val="hu-HU"/>
        </w:rPr>
        <w:t xml:space="preserve">Recommendations: </w:t>
      </w:r>
    </w:p>
    <w:p w14:paraId="1A7A1C54" w14:textId="77777777" w:rsidR="00FA7464" w:rsidRDefault="00FA7464" w:rsidP="00E65AEF">
      <w:pPr>
        <w:numPr>
          <w:ilvl w:val="0"/>
          <w:numId w:val="7"/>
        </w:numPr>
        <w:jc w:val="both"/>
        <w:rPr>
          <w:lang w:val="hu-HU"/>
        </w:rPr>
      </w:pPr>
      <w:r>
        <w:rPr>
          <w:lang w:val="hu-HU"/>
        </w:rPr>
        <w:t>Establish a broad and transparent selection process for the CFR, in line with GANHRI recommendations, including CSOs in the selection process.</w:t>
      </w:r>
    </w:p>
    <w:p w14:paraId="599D710B" w14:textId="77777777" w:rsidR="00FA7464" w:rsidRDefault="00FA7464" w:rsidP="00E65AEF">
      <w:pPr>
        <w:numPr>
          <w:ilvl w:val="0"/>
          <w:numId w:val="7"/>
        </w:numPr>
        <w:jc w:val="both"/>
        <w:rPr>
          <w:lang w:val="hu-HU"/>
        </w:rPr>
      </w:pPr>
      <w:r>
        <w:rPr>
          <w:lang w:val="hu-HU"/>
        </w:rPr>
        <w:t>Re-establish the ETAuth, and include CSOs in the selection of its President.</w:t>
      </w:r>
    </w:p>
    <w:p w14:paraId="0806AB7C" w14:textId="77777777" w:rsidR="00FA7464" w:rsidRDefault="00FA7464" w:rsidP="00E65AEF">
      <w:pPr>
        <w:numPr>
          <w:ilvl w:val="0"/>
          <w:numId w:val="7"/>
        </w:numPr>
        <w:jc w:val="both"/>
        <w:rPr>
          <w:lang w:val="hu-HU"/>
        </w:rPr>
      </w:pPr>
      <w:r>
        <w:rPr>
          <w:lang w:val="hu-HU"/>
        </w:rPr>
        <w:t>Appoint a director and deputy-director for the ETDG in a clear and transparent procedure, preferably in an open competition with the participation of CSOs as external evaluators.</w:t>
      </w:r>
    </w:p>
    <w:p w14:paraId="02ED6A86" w14:textId="77777777" w:rsidR="00FA7464" w:rsidRDefault="00FA7464" w:rsidP="00E65AEF">
      <w:pPr>
        <w:numPr>
          <w:ilvl w:val="0"/>
          <w:numId w:val="7"/>
        </w:numPr>
        <w:jc w:val="both"/>
        <w:rPr>
          <w:lang w:val="hu-HU"/>
        </w:rPr>
      </w:pPr>
      <w:r>
        <w:rPr>
          <w:lang w:val="hu-HU"/>
        </w:rPr>
        <w:t xml:space="preserve">Publish a searchable database of case summaries filterable by protected characteristic, type of discrimination, field of discrimination, and outcome of the procedure on the OCFR’s website, including case summaries for the period 2005-2012. </w:t>
      </w:r>
    </w:p>
    <w:p w14:paraId="7DA34EB6" w14:textId="6BF15BCA" w:rsidR="00FA7464" w:rsidRDefault="00FA7464" w:rsidP="00E65AEF">
      <w:pPr>
        <w:numPr>
          <w:ilvl w:val="0"/>
          <w:numId w:val="7"/>
        </w:numPr>
        <w:jc w:val="both"/>
        <w:rPr>
          <w:lang w:val="hu-HU"/>
        </w:rPr>
      </w:pPr>
      <w:r>
        <w:rPr>
          <w:lang w:val="hu-HU"/>
        </w:rPr>
        <w:t>Publish updated guidance to duty-bearers and victims of discrimination on the OCFR’s website, or at least re-publish such information materials created by the ETAuth.</w:t>
      </w:r>
    </w:p>
    <w:p w14:paraId="255B36EA" w14:textId="77777777" w:rsidR="00FA7464" w:rsidRPr="00FA7464" w:rsidRDefault="00FA7464" w:rsidP="00FA7464">
      <w:pPr>
        <w:ind w:left="720"/>
        <w:jc w:val="both"/>
        <w:rPr>
          <w:lang w:val="hu-HU"/>
        </w:rPr>
      </w:pPr>
    </w:p>
    <w:p w14:paraId="7D0F9054" w14:textId="77777777" w:rsidR="00FA7464" w:rsidRDefault="00FA7464" w:rsidP="00FA7464">
      <w:pPr>
        <w:spacing w:after="240"/>
        <w:rPr>
          <w:b/>
          <w:color w:val="2F5496"/>
          <w:sz w:val="24"/>
          <w:szCs w:val="24"/>
          <w:lang w:val="hu-HU"/>
        </w:rPr>
      </w:pPr>
      <w:r>
        <w:rPr>
          <w:b/>
          <w:color w:val="2F5496"/>
          <w:sz w:val="24"/>
          <w:szCs w:val="24"/>
          <w:lang w:val="hu-HU"/>
        </w:rPr>
        <w:t>C. Accessibility and judicial review of administrative decisions</w:t>
      </w:r>
    </w:p>
    <w:p w14:paraId="5920DC3A" w14:textId="77777777" w:rsidR="00FA7464" w:rsidRDefault="00FA7464" w:rsidP="00FA7464">
      <w:pPr>
        <w:rPr>
          <w:color w:val="2F5496"/>
          <w:sz w:val="24"/>
          <w:szCs w:val="24"/>
          <w:lang w:val="hu-HU"/>
        </w:rPr>
      </w:pPr>
      <w:r>
        <w:rPr>
          <w:color w:val="2F5496"/>
          <w:sz w:val="24"/>
          <w:szCs w:val="24"/>
          <w:lang w:val="hu-HU"/>
        </w:rPr>
        <w:t>Implementation of final judgments by the public administration and State institutions and follow-up given to supranational judgments, including decisions from the European Court of Human Rights, as well as available remedies in case of non-implementation</w:t>
      </w:r>
    </w:p>
    <w:p w14:paraId="5CAD84B2" w14:textId="77777777" w:rsidR="00FA7464" w:rsidRDefault="00FA7464" w:rsidP="00FA7464">
      <w:pPr>
        <w:rPr>
          <w:color w:val="2F5496"/>
          <w:sz w:val="24"/>
          <w:szCs w:val="24"/>
          <w:lang w:val="hu-HU"/>
        </w:rPr>
      </w:pPr>
    </w:p>
    <w:p w14:paraId="07C88286" w14:textId="77777777" w:rsidR="00FA7464" w:rsidRDefault="00FA7464" w:rsidP="00FA7464">
      <w:pPr>
        <w:jc w:val="both"/>
        <w:rPr>
          <w:b/>
          <w:lang w:val="hu-HU"/>
        </w:rPr>
      </w:pPr>
      <w:r>
        <w:rPr>
          <w:b/>
          <w:lang w:val="hu-HU"/>
        </w:rPr>
        <w:t>Domestic procedures: adoption cases</w:t>
      </w:r>
    </w:p>
    <w:p w14:paraId="32440AB3" w14:textId="77777777" w:rsidR="00FA7464" w:rsidRDefault="00FA7464" w:rsidP="00FA7464">
      <w:pPr>
        <w:jc w:val="both"/>
        <w:rPr>
          <w:lang w:val="hu-HU"/>
        </w:rPr>
      </w:pPr>
      <w:r>
        <w:rPr>
          <w:lang w:val="hu-HU"/>
        </w:rPr>
        <w:t>While joint adoption is not allowed for same-sex couples, individual adoption is allowed in exceptional cases with the approval of the responsible Minister (after the 2020 restriction to only opposite-sex married couples). The process of individual adoption is formulated in compliance with ECtHR standards (</w:t>
      </w:r>
      <w:hyperlink r:id="rId37" w:history="1">
        <w:r>
          <w:rPr>
            <w:rStyle w:val="Hyperlink"/>
            <w:color w:val="0563C1"/>
            <w:lang w:val="hu-HU"/>
          </w:rPr>
          <w:t>E.B. v. France</w:t>
        </w:r>
      </w:hyperlink>
      <w:r>
        <w:rPr>
          <w:lang w:val="hu-HU"/>
        </w:rPr>
        <w:t>), however, it is applied in a discriminatory way against applicants belonging to a sexual or gender minority. Háttér Society represents six clients – five men and a woman – who either applied for the extension of their suitability decision rendered prior to 2021, or for establishing their suitability for individual adoption according to the rules currently in force. The guardianship authorities – operating within the county-level government offices – in all cases refused the requests in spite of the supportive conclusions of the child protection services. All decisions have been overturned on judicial review, however, contrary to the court rulings, the government offices refused to find any of Háttér’s clients suitable for adoption, leading to multiple submissions to the courts, with Government Offices repeatedly refusing to comply with their decisions. Often the government offices refer to the Fundamental Law’s articles related to marriage as being reserved for heterosexual couples as a justification.</w:t>
      </w:r>
    </w:p>
    <w:p w14:paraId="775B3B75" w14:textId="77777777" w:rsidR="00FA7464" w:rsidRDefault="00FA7464" w:rsidP="00FA7464">
      <w:pPr>
        <w:jc w:val="both"/>
        <w:rPr>
          <w:lang w:val="hu-HU"/>
        </w:rPr>
      </w:pPr>
      <w:r>
        <w:rPr>
          <w:lang w:val="hu-HU"/>
        </w:rPr>
        <w:t xml:space="preserve">The overview of the procedures is available </w:t>
      </w:r>
      <w:hyperlink r:id="rId38" w:history="1">
        <w:r>
          <w:rPr>
            <w:rStyle w:val="Hyperlink"/>
            <w:color w:val="0563C1"/>
            <w:lang w:val="hu-HU"/>
          </w:rPr>
          <w:t>here</w:t>
        </w:r>
      </w:hyperlink>
      <w:r>
        <w:rPr>
          <w:lang w:val="hu-HU"/>
        </w:rPr>
        <w:t xml:space="preserve"> (in Hungarian). Non-compliance with binding court orders not only raises a serious rule of law concern, but it undermines the trust in the justice system and has a far-reaching chilling effect. Furthermore, with the extremely lengthy back and forth procedure between government offices and courts, prospective adoptive parents risk reaching the age limit (45 years), even if they started the process in their 30s.</w:t>
      </w:r>
    </w:p>
    <w:p w14:paraId="0204EDD2" w14:textId="77777777" w:rsidR="00FA7464" w:rsidRDefault="00FA7464" w:rsidP="00FA7464">
      <w:pPr>
        <w:jc w:val="both"/>
        <w:rPr>
          <w:strike/>
          <w:lang w:val="hu-HU"/>
        </w:rPr>
      </w:pPr>
    </w:p>
    <w:p w14:paraId="12243D93" w14:textId="77777777" w:rsidR="00FA7464" w:rsidRDefault="00FA7464" w:rsidP="00FA7464">
      <w:pPr>
        <w:jc w:val="both"/>
        <w:rPr>
          <w:b/>
          <w:lang w:val="hu-HU"/>
        </w:rPr>
      </w:pPr>
      <w:r>
        <w:rPr>
          <w:b/>
          <w:lang w:val="hu-HU"/>
        </w:rPr>
        <w:t>Judgments of the ECtHR and the CJEU</w:t>
      </w:r>
    </w:p>
    <w:p w14:paraId="135AF14C" w14:textId="37568374" w:rsidR="00FA7464" w:rsidRDefault="00FA7464" w:rsidP="00FA7464">
      <w:pPr>
        <w:jc w:val="both"/>
        <w:rPr>
          <w:lang w:val="hu-HU"/>
        </w:rPr>
      </w:pPr>
      <w:r>
        <w:rPr>
          <w:lang w:val="hu-HU"/>
        </w:rPr>
        <w:t xml:space="preserve">The European Court of Human Rights (ECtHR) delivered a judgment in </w:t>
      </w:r>
      <w:hyperlink r:id="rId39" w:history="1">
        <w:r>
          <w:rPr>
            <w:rStyle w:val="Hyperlink"/>
            <w:color w:val="0563C1"/>
            <w:lang w:val="hu-HU"/>
          </w:rPr>
          <w:t>Rana v. Hungary</w:t>
        </w:r>
      </w:hyperlink>
      <w:r>
        <w:rPr>
          <w:lang w:val="hu-HU"/>
        </w:rPr>
        <w:t xml:space="preserve"> on 16 July 2020: the decision found a violation for non-compliance with Hungary’s positive obligation to provide an accessible and foreseeable procedure for non-Hungarians lawfully resident in the country to get their gender legally recognized. The applicant in the case – in line with standards set out in the case-law of the ECtHR concerning Hungary – submitted a constitutional complaint to exhaust the domestic </w:t>
      </w:r>
      <w:r>
        <w:rPr>
          <w:lang w:val="hu-HU"/>
        </w:rPr>
        <w:lastRenderedPageBreak/>
        <w:t xml:space="preserve">remedies (while parallel turning to the ECtHR). The Constitutional Court rejected the constitutional complaint, but </w:t>
      </w:r>
      <w:r>
        <w:rPr>
          <w:i/>
          <w:lang w:val="hu-HU"/>
        </w:rPr>
        <w:t>ex officio</w:t>
      </w:r>
      <w:r>
        <w:rPr>
          <w:lang w:val="hu-HU"/>
        </w:rPr>
        <w:t xml:space="preserve"> proceeded to examine if the case presents any unconstitutional omission. In </w:t>
      </w:r>
      <w:hyperlink r:id="rId40" w:history="1">
        <w:r>
          <w:rPr>
            <w:rStyle w:val="Hyperlink"/>
            <w:color w:val="0563C1"/>
            <w:lang w:val="hu-HU"/>
          </w:rPr>
          <w:t>Decision no. 6/2018. (VI. 27.)</w:t>
        </w:r>
      </w:hyperlink>
      <w:r>
        <w:rPr>
          <w:lang w:val="hu-HU"/>
        </w:rPr>
        <w:t xml:space="preserve">, it found that the Parliament failed to fulfil its legislative obligations and called on them to rectify the situation, i.e. enact rules that allow legal gender recognition for refugees in Hungary, by 31 December 2018. No such legislative proposal has been tabled so far, and since 29 May 2020 legal gender recognition is not available for Hungarian citizens either. </w:t>
      </w:r>
    </w:p>
    <w:p w14:paraId="0CFDC7D2" w14:textId="77777777" w:rsidR="00FA7464" w:rsidRDefault="00FA7464" w:rsidP="00FA7464">
      <w:pPr>
        <w:jc w:val="both"/>
        <w:rPr>
          <w:lang w:val="hu-HU"/>
        </w:rPr>
      </w:pPr>
    </w:p>
    <w:p w14:paraId="22E7A044" w14:textId="7EE76C1F" w:rsidR="00FA7464" w:rsidRDefault="00FA7464" w:rsidP="00FA7464">
      <w:pPr>
        <w:jc w:val="both"/>
        <w:rPr>
          <w:lang w:val="hu-HU"/>
        </w:rPr>
      </w:pPr>
      <w:r>
        <w:rPr>
          <w:lang w:val="hu-HU"/>
        </w:rPr>
        <w:t xml:space="preserve">In July 2024, Háttér Society and Transvanilla Transgender Association submitted a </w:t>
      </w:r>
      <w:hyperlink r:id="rId41" w:history="1">
        <w:r>
          <w:rPr>
            <w:rStyle w:val="Hyperlink"/>
            <w:color w:val="0563C1"/>
            <w:lang w:val="hu-HU"/>
          </w:rPr>
          <w:t>Rule 9 intervention</w:t>
        </w:r>
      </w:hyperlink>
      <w:r>
        <w:rPr>
          <w:lang w:val="hu-HU"/>
        </w:rPr>
        <w:t xml:space="preserve"> to the Committee of Ministers. The submission also addressed the non-implementation of the ECtHR judgment rendered in </w:t>
      </w:r>
      <w:hyperlink r:id="rId42" w:history="1">
        <w:r>
          <w:rPr>
            <w:rStyle w:val="Hyperlink"/>
            <w:color w:val="0563C1"/>
            <w:lang w:val="hu-HU"/>
          </w:rPr>
          <w:t>R.K. v. Hungary</w:t>
        </w:r>
      </w:hyperlink>
      <w:r>
        <w:rPr>
          <w:lang w:val="hu-HU"/>
        </w:rPr>
        <w:t xml:space="preserve"> in June 2023. The Committee of Ministers in its </w:t>
      </w:r>
      <w:hyperlink r:id="rId43" w:history="1">
        <w:r>
          <w:rPr>
            <w:rStyle w:val="Hyperlink"/>
            <w:color w:val="0563C1"/>
            <w:lang w:val="hu-HU"/>
          </w:rPr>
          <w:t>Decision</w:t>
        </w:r>
      </w:hyperlink>
      <w:r>
        <w:rPr>
          <w:lang w:val="hu-HU"/>
        </w:rPr>
        <w:t xml:space="preserve"> urged Hungary to bring their legislation governing access to legal gender recognition for lawfully settled non-Hungarian and Hungarian nationals in line with the ECHR and the court’s case law. </w:t>
      </w:r>
    </w:p>
    <w:p w14:paraId="0F2BE13E" w14:textId="77777777" w:rsidR="00FA7464" w:rsidRDefault="00FA7464" w:rsidP="00FA7464">
      <w:pPr>
        <w:jc w:val="both"/>
        <w:rPr>
          <w:lang w:val="hu-HU"/>
        </w:rPr>
      </w:pPr>
    </w:p>
    <w:p w14:paraId="2AFC1843" w14:textId="49D5E105" w:rsidR="00FA7464" w:rsidRDefault="00FA7464" w:rsidP="00FA7464">
      <w:pPr>
        <w:jc w:val="both"/>
        <w:rPr>
          <w:lang w:val="hu-HU"/>
        </w:rPr>
      </w:pPr>
      <w:r>
        <w:rPr>
          <w:lang w:val="hu-HU"/>
        </w:rPr>
        <w:t xml:space="preserve">As noted in Háttér Society’s report for 2023, the Hungarian authorities have consistently rejected the recognition of foreign same-sex marriages in Hungary, even if one of the partners is a Hungarian citizen. This clearly runs counter to the </w:t>
      </w:r>
      <w:hyperlink r:id="rId44" w:history="1">
        <w:r>
          <w:rPr>
            <w:rStyle w:val="Hyperlink"/>
            <w:color w:val="0563C1"/>
            <w:lang w:val="hu-HU"/>
          </w:rPr>
          <w:t>Coman judgment</w:t>
        </w:r>
      </w:hyperlink>
      <w:r>
        <w:rPr>
          <w:lang w:val="hu-HU"/>
        </w:rPr>
        <w:t xml:space="preserve"> of the Court of Justice of the European Union (C-673/16). On Háttér’s litigation efforts see </w:t>
      </w:r>
      <w:hyperlink r:id="rId45" w:history="1">
        <w:r>
          <w:rPr>
            <w:rStyle w:val="Hyperlink"/>
            <w:color w:val="0563C1"/>
            <w:lang w:val="hu-HU"/>
          </w:rPr>
          <w:t>the submission</w:t>
        </w:r>
      </w:hyperlink>
      <w:r>
        <w:rPr>
          <w:lang w:val="hu-HU"/>
        </w:rPr>
        <w:t xml:space="preserve"> to the European Commission (The rule of law report</w:t>
      </w:r>
      <w:r w:rsidR="00C91A9B">
        <w:rPr>
          <w:lang w:val="hu-HU"/>
        </w:rPr>
        <w:t xml:space="preserve"> 2024</w:t>
      </w:r>
      <w:r>
        <w:rPr>
          <w:lang w:val="hu-HU"/>
        </w:rPr>
        <w:t xml:space="preserve"> – targeted stakeholder consultation, p. 10). For the ongoing constitutional procedure, see section I.C above.</w:t>
      </w:r>
    </w:p>
    <w:p w14:paraId="64B330A2" w14:textId="77777777" w:rsidR="00FA7464" w:rsidRDefault="00FA7464" w:rsidP="00FA7464">
      <w:pPr>
        <w:jc w:val="both"/>
        <w:rPr>
          <w:lang w:val="hu-HU"/>
        </w:rPr>
      </w:pPr>
    </w:p>
    <w:p w14:paraId="243B87BA" w14:textId="77777777" w:rsidR="00FA7464" w:rsidRDefault="00FA7464" w:rsidP="00FA7464">
      <w:pPr>
        <w:jc w:val="both"/>
        <w:rPr>
          <w:lang w:val="hu-HU"/>
        </w:rPr>
      </w:pPr>
      <w:r>
        <w:rPr>
          <w:lang w:val="hu-HU"/>
        </w:rPr>
        <w:t xml:space="preserve">Hungarian legislation and practice on registering in the Hungarian birth registry legal gender recognition obtained in another member state is also in violation of the case-law of the CJEU articulated in the </w:t>
      </w:r>
      <w:hyperlink r:id="rId46" w:history="1">
        <w:r>
          <w:rPr>
            <w:rStyle w:val="Hyperlink"/>
            <w:color w:val="0563C1"/>
            <w:lang w:val="hu-HU"/>
          </w:rPr>
          <w:t>Mirin case</w:t>
        </w:r>
      </w:hyperlink>
      <w:r>
        <w:rPr>
          <w:lang w:val="hu-HU"/>
        </w:rPr>
        <w:t xml:space="preserve"> delivered in October 2024 (C-4/23). Háttér in a factually analogous case requested the proceeding courts (the first instance court and later the Curia) to suspend the case and await the CJEU judgment, yet these petitions were rejected. The constitutional complaint in the case will be filed in January 2025 explicitly invoking the CJEU judgment in Mirin urging the Constitutional Court to remand the case and order the Curia to take Mirin into account when deciding the case. </w:t>
      </w:r>
    </w:p>
    <w:p w14:paraId="1AD2A5B1" w14:textId="77777777" w:rsidR="00FA7464" w:rsidRDefault="00FA7464" w:rsidP="00FA7464">
      <w:pPr>
        <w:jc w:val="both"/>
        <w:rPr>
          <w:lang w:val="hu-HU"/>
        </w:rPr>
      </w:pPr>
    </w:p>
    <w:p w14:paraId="1E2B36D8" w14:textId="77777777" w:rsidR="00FA7464" w:rsidRDefault="00FA7464" w:rsidP="00FA7464">
      <w:pPr>
        <w:jc w:val="both"/>
        <w:rPr>
          <w:b/>
          <w:lang w:val="hu-HU"/>
        </w:rPr>
      </w:pPr>
      <w:r>
        <w:rPr>
          <w:b/>
          <w:lang w:val="hu-HU"/>
        </w:rPr>
        <w:t>Recommendations</w:t>
      </w:r>
    </w:p>
    <w:p w14:paraId="7AE3B124" w14:textId="77777777" w:rsidR="00FA7464" w:rsidRDefault="00FA7464" w:rsidP="00E65AEF">
      <w:pPr>
        <w:numPr>
          <w:ilvl w:val="0"/>
          <w:numId w:val="8"/>
        </w:numPr>
        <w:jc w:val="both"/>
        <w:rPr>
          <w:lang w:val="hu-HU"/>
        </w:rPr>
      </w:pPr>
      <w:r>
        <w:rPr>
          <w:lang w:val="hu-HU"/>
        </w:rPr>
        <w:t>Comply with the judgment of the CJEU in the Coman case and stop using the public order clause as a justification for avoiding compliance.</w:t>
      </w:r>
    </w:p>
    <w:p w14:paraId="0C0FA685" w14:textId="77777777" w:rsidR="00FA7464" w:rsidRDefault="00FA7464" w:rsidP="00E65AEF">
      <w:pPr>
        <w:numPr>
          <w:ilvl w:val="0"/>
          <w:numId w:val="8"/>
        </w:numPr>
        <w:jc w:val="both"/>
        <w:rPr>
          <w:lang w:val="hu-HU"/>
        </w:rPr>
      </w:pPr>
      <w:r>
        <w:rPr>
          <w:lang w:val="hu-HU"/>
        </w:rPr>
        <w:t>Ensure complying promptly and fully with all relevant CJEU judgments.</w:t>
      </w:r>
    </w:p>
    <w:p w14:paraId="4F73FA48" w14:textId="77777777" w:rsidR="00FA7464" w:rsidRDefault="00FA7464" w:rsidP="00E65AEF">
      <w:pPr>
        <w:numPr>
          <w:ilvl w:val="0"/>
          <w:numId w:val="8"/>
        </w:numPr>
        <w:jc w:val="both"/>
        <w:rPr>
          <w:lang w:val="hu-HU"/>
        </w:rPr>
      </w:pPr>
      <w:r>
        <w:rPr>
          <w:lang w:val="hu-HU"/>
        </w:rPr>
        <w:t>Fully and timely execute the judgments of the European Court of Human Rights, including taking the general measures required for full compliance.</w:t>
      </w:r>
    </w:p>
    <w:p w14:paraId="7DDB9AF3" w14:textId="77777777" w:rsidR="00FA7464" w:rsidRDefault="00FA7464" w:rsidP="00FA7464">
      <w:pPr>
        <w:jc w:val="both"/>
        <w:rPr>
          <w:rFonts w:ascii="FreeSans" w:eastAsia="FreeSans" w:hAnsi="FreeSans" w:cs="FreeSans"/>
          <w:b/>
          <w:color w:val="2F5496"/>
          <w:sz w:val="24"/>
          <w:szCs w:val="24"/>
          <w:u w:val="single"/>
          <w:lang w:val="hu-HU"/>
        </w:rPr>
      </w:pPr>
    </w:p>
    <w:p w14:paraId="6CD45EF3" w14:textId="77777777" w:rsidR="00FA7464" w:rsidRDefault="00FA7464" w:rsidP="00FA7464">
      <w:pPr>
        <w:spacing w:after="240"/>
        <w:rPr>
          <w:rFonts w:eastAsia="Calibri"/>
          <w:b/>
          <w:color w:val="2F5496"/>
          <w:sz w:val="24"/>
          <w:szCs w:val="24"/>
          <w:lang w:val="hu-HU"/>
        </w:rPr>
      </w:pPr>
      <w:r>
        <w:rPr>
          <w:b/>
          <w:color w:val="2F5496"/>
          <w:sz w:val="24"/>
          <w:szCs w:val="24"/>
          <w:lang w:val="hu-HU"/>
        </w:rPr>
        <w:t>D. The enabling framework for civil society</w:t>
      </w:r>
    </w:p>
    <w:p w14:paraId="2A4B8817" w14:textId="77777777" w:rsidR="00FA7464" w:rsidRDefault="00FA7464" w:rsidP="00FA7464">
      <w:pPr>
        <w:spacing w:after="240"/>
        <w:rPr>
          <w:color w:val="2F5496"/>
          <w:sz w:val="24"/>
          <w:szCs w:val="24"/>
          <w:lang w:val="hu-HU"/>
        </w:rPr>
      </w:pPr>
      <w:r>
        <w:rPr>
          <w:color w:val="2F5496"/>
          <w:sz w:val="24"/>
          <w:szCs w:val="24"/>
          <w:lang w:val="hu-HU"/>
        </w:rPr>
        <w:t>Measures regarding the framework for civil society organisations and human rights defenders (e.g. legal framework and its application in practice incl. registration, transparency and dissolution rules)</w:t>
      </w:r>
    </w:p>
    <w:p w14:paraId="2EB09EEB" w14:textId="77777777" w:rsidR="00FA7464" w:rsidRDefault="00FA7464" w:rsidP="00FA7464">
      <w:pPr>
        <w:jc w:val="both"/>
        <w:rPr>
          <w:b/>
          <w:lang w:val="hu-HU"/>
        </w:rPr>
      </w:pPr>
      <w:r>
        <w:rPr>
          <w:b/>
          <w:lang w:val="hu-HU"/>
        </w:rPr>
        <w:t>Restrictions on the activities of LGBTQI organizations: lack of access to schools</w:t>
      </w:r>
    </w:p>
    <w:p w14:paraId="48CD5890" w14:textId="77777777" w:rsidR="00FA7464" w:rsidRDefault="00FA7464" w:rsidP="00FA7464">
      <w:pPr>
        <w:jc w:val="both"/>
        <w:rPr>
          <w:lang w:val="hu-HU"/>
        </w:rPr>
      </w:pPr>
      <w:r>
        <w:rPr>
          <w:lang w:val="hu-HU"/>
        </w:rPr>
        <w:t xml:space="preserve">In line with Section 9/A of the National Public Education Act as amended by the propaganda law – besides teachers and professionals providing school health services – only those external experts and civil society organizations may conduct sexual education activities in schools that are registered by the organ designated by legislation. Sexual education activities are defined broadly to include any discussions on sexual culture, sex life, sexual orientation and sexual development. As a result of the Anti-LGBTQI law, access to schools by external experts and organizations for the purposes of holding classes – among others – on sexuality is thus limited. The National Public Education Act gives the power to the minister responsible for education to issue a decree which designates the state organ </w:t>
      </w:r>
      <w:r>
        <w:rPr>
          <w:lang w:val="hu-HU"/>
        </w:rPr>
        <w:lastRenderedPageBreak/>
        <w:t>maintaining the registry of experts and civil society organizations that may hold sex education classes in institutions of public education. Further, it authorizes the minister to regulate in a decree the exact conditions of registration. However, no such decree has been issued as of 3 January 2025. In absence of the implementing legislation, currently no civil society organization or external expert may hold sex education classes in institutions of public education. Háttér Society jointly with Amnesty International Hungary submitted a school program for registration on 3 June 2024. The state secretary responsible for public education rejected the request on 24 July 2024 arguing that the implementing legislation has not been adopted, hence there is no procedure to carry out the registration. A judicial review against the rejection is pending. On 9 January 2025, the proposed text of the Decree of the Minister of Interior was published for public consultation. The decree is meant to serve as an implementing piece of legislation, however, it only partially serves its purpose: it only refers to sessions held on “the harmful effects of drug use, the dangers of the internet and other physical and mental health promotion”, sexual education is not explicitly included.</w:t>
      </w:r>
    </w:p>
    <w:p w14:paraId="08CB7930" w14:textId="77777777" w:rsidR="00FA7464" w:rsidRDefault="00FA7464" w:rsidP="00FA7464">
      <w:pPr>
        <w:jc w:val="both"/>
        <w:rPr>
          <w:b/>
          <w:lang w:val="hu-HU"/>
        </w:rPr>
      </w:pPr>
    </w:p>
    <w:p w14:paraId="00F4D6FF" w14:textId="77777777" w:rsidR="00FA7464" w:rsidRDefault="00FA7464" w:rsidP="00FA7464">
      <w:pPr>
        <w:jc w:val="both"/>
        <w:rPr>
          <w:b/>
          <w:lang w:val="hu-HU"/>
        </w:rPr>
      </w:pPr>
      <w:bookmarkStart w:id="13" w:name="_Hlk189050474"/>
      <w:r>
        <w:rPr>
          <w:b/>
          <w:lang w:val="hu-HU"/>
        </w:rPr>
        <w:t>The Sovereignty Protection Office and investigation reports on civil society organizations</w:t>
      </w:r>
    </w:p>
    <w:p w14:paraId="4BE89CB9" w14:textId="610500F4" w:rsidR="00FA7464" w:rsidRDefault="00FA7464" w:rsidP="00FA7464">
      <w:pPr>
        <w:jc w:val="both"/>
        <w:rPr>
          <w:lang w:val="hu-HU"/>
        </w:rPr>
      </w:pPr>
      <w:bookmarkStart w:id="14" w:name="_3znysh7"/>
      <w:bookmarkEnd w:id="14"/>
      <w:r>
        <w:rPr>
          <w:lang w:val="hu-HU"/>
        </w:rPr>
        <w:t xml:space="preserve">As noted in last year’s report, on </w:t>
      </w:r>
      <w:r w:rsidR="00AF34E3">
        <w:rPr>
          <w:lang w:val="hu-HU"/>
        </w:rPr>
        <w:t xml:space="preserve">12 </w:t>
      </w:r>
      <w:r>
        <w:rPr>
          <w:lang w:val="hu-HU"/>
        </w:rPr>
        <w:t xml:space="preserve">December 2023 the Hungarian Parliament passed the Act on the protection of national sovereignty. For a short overview of the law see the </w:t>
      </w:r>
      <w:hyperlink r:id="rId47" w:history="1">
        <w:r>
          <w:rPr>
            <w:rStyle w:val="Hyperlink"/>
            <w:color w:val="0563C1"/>
            <w:lang w:val="hu-HU"/>
          </w:rPr>
          <w:t>Q&amp;A</w:t>
        </w:r>
      </w:hyperlink>
      <w:r>
        <w:rPr>
          <w:lang w:val="hu-HU"/>
        </w:rPr>
        <w:t xml:space="preserve"> prepared by the Hungarian Helsinki Committee and Amnesty International Hungary. On 1 February 2024, the Sovereignty Protection Office (SPO) was set up. </w:t>
      </w:r>
      <w:hyperlink r:id="rId48" w:history="1">
        <w:r>
          <w:rPr>
            <w:rStyle w:val="Hyperlink"/>
            <w:color w:val="0563C1"/>
            <w:lang w:val="hu-HU"/>
          </w:rPr>
          <w:t>Civilization</w:t>
        </w:r>
      </w:hyperlink>
      <w:r>
        <w:rPr>
          <w:lang w:val="hu-HU"/>
        </w:rPr>
        <w:t xml:space="preserve"> (Civilizáció), an NGO coalition, carried out a survey in February 2024 to map the impact of the new law and the SPO. The </w:t>
      </w:r>
      <w:hyperlink r:id="rId49" w:history="1">
        <w:r>
          <w:rPr>
            <w:rStyle w:val="Hyperlink"/>
            <w:color w:val="0563C1"/>
            <w:lang w:val="hu-HU"/>
          </w:rPr>
          <w:t>report</w:t>
        </w:r>
      </w:hyperlink>
      <w:r>
        <w:rPr>
          <w:lang w:val="hu-HU"/>
        </w:rPr>
        <w:t xml:space="preserve"> summarizing the results of the survey concludes: “the chilling effect of the law creates fear and self-regulation, hinders cooperation between organisations, and diverts resources away from the actual activities of the organisations. In these circumstances even EU funding can be perceived as a threat.”</w:t>
      </w:r>
    </w:p>
    <w:p w14:paraId="35D145DE" w14:textId="77777777" w:rsidR="00FA7464" w:rsidRDefault="00FA7464" w:rsidP="00FA7464">
      <w:pPr>
        <w:jc w:val="both"/>
        <w:rPr>
          <w:lang w:val="hu-HU"/>
        </w:rPr>
      </w:pPr>
      <w:r>
        <w:rPr>
          <w:lang w:val="hu-HU"/>
        </w:rPr>
        <w:t>The SPO carried out three investigations against civil society organizations so far (as of 4 January 2025). In October 2024, it published two reports: first, “</w:t>
      </w:r>
      <w:r w:rsidR="00AF34E3">
        <w:fldChar w:fldCharType="begin"/>
      </w:r>
      <w:r w:rsidR="00AF34E3">
        <w:instrText xml:space="preserve"> HYPERLINK "https://szuverenitasvedelmihivatal.hu/dokumentumok/The-impact-of-Transparency-International-Hungarys-activities-on-Hungarian-sovereignty.pdf" </w:instrText>
      </w:r>
      <w:r w:rsidR="00AF34E3">
        <w:fldChar w:fldCharType="separate"/>
      </w:r>
      <w:r>
        <w:rPr>
          <w:rStyle w:val="Hyperlink"/>
          <w:color w:val="0563C1"/>
          <w:lang w:val="hu-HU"/>
        </w:rPr>
        <w:t>The impact of Transparency International Hungary’s activities on Hungarian sovereignty</w:t>
      </w:r>
      <w:r w:rsidR="00AF34E3">
        <w:rPr>
          <w:rStyle w:val="Hyperlink"/>
          <w:color w:val="0563C1"/>
          <w:lang w:val="hu-HU"/>
        </w:rPr>
        <w:fldChar w:fldCharType="end"/>
      </w:r>
      <w:r>
        <w:rPr>
          <w:lang w:val="hu-HU"/>
        </w:rPr>
        <w:t>”; second, “</w:t>
      </w:r>
      <w:r w:rsidR="00AF34E3">
        <w:fldChar w:fldCharType="begin"/>
      </w:r>
      <w:r w:rsidR="00AF34E3">
        <w:instrText xml:space="preserve"> HYPERLINK "https://szuverenitasvedelmihivatal.hu/dokumentumok/the-impact-of-atlatszos-activities-on-hungarian-sovereignty.pdf" </w:instrText>
      </w:r>
      <w:r w:rsidR="00AF34E3">
        <w:fldChar w:fldCharType="separate"/>
      </w:r>
      <w:r>
        <w:rPr>
          <w:rStyle w:val="Hyperlink"/>
          <w:color w:val="0563C1"/>
          <w:lang w:val="hu-HU"/>
        </w:rPr>
        <w:t>The impact of Átlátszó’s activities on Hungarian sovereignty</w:t>
      </w:r>
      <w:r w:rsidR="00AF34E3">
        <w:rPr>
          <w:rStyle w:val="Hyperlink"/>
          <w:color w:val="0563C1"/>
          <w:lang w:val="hu-HU"/>
        </w:rPr>
        <w:fldChar w:fldCharType="end"/>
      </w:r>
      <w:r>
        <w:rPr>
          <w:lang w:val="hu-HU"/>
        </w:rPr>
        <w:t xml:space="preserve">”. On 16 December 2024, it released its </w:t>
      </w:r>
      <w:hyperlink r:id="rId50" w:history="1">
        <w:r>
          <w:rPr>
            <w:rStyle w:val="Hyperlink"/>
            <w:color w:val="0563C1"/>
            <w:lang w:val="hu-HU"/>
          </w:rPr>
          <w:t>report</w:t>
        </w:r>
      </w:hyperlink>
      <w:r>
        <w:rPr>
          <w:lang w:val="hu-HU"/>
        </w:rPr>
        <w:t xml:space="preserve"> on the activities of Ökotárs (available only in Hungarian): it heavily criticizes Ökotárs’s re-granting activities funded by CERV. It lists Háttér Society as well (with the amount of the grant) to substantiate that most of these funding went to organizations “exerting political pressure”. The attack on Ökotárs and its re-granting operation is not new: in 2014 they were harassed for their involvement in </w:t>
      </w:r>
      <w:hyperlink r:id="rId51" w:history="1">
        <w:r>
          <w:rPr>
            <w:rStyle w:val="Hyperlink"/>
            <w:color w:val="0563C1"/>
            <w:lang w:val="hu-HU"/>
          </w:rPr>
          <w:t>the distribution of the EEA/Norwegian NGO Fund</w:t>
        </w:r>
      </w:hyperlink>
      <w:r>
        <w:rPr>
          <w:lang w:val="hu-HU"/>
        </w:rPr>
        <w:t xml:space="preserve">. The SPO investigation of one of the major domestic donors for government-critical NGOs – as found in Civilizáció’s survey – has a strong chilling effect, it creates fear among the grantees, and withholds them from (re-)applying. </w:t>
      </w:r>
    </w:p>
    <w:bookmarkEnd w:id="13"/>
    <w:p w14:paraId="387220BA" w14:textId="77777777" w:rsidR="00FA7464" w:rsidRDefault="00FA7464" w:rsidP="00FA7464">
      <w:pPr>
        <w:jc w:val="both"/>
        <w:rPr>
          <w:lang w:val="hu-HU"/>
        </w:rPr>
      </w:pPr>
    </w:p>
    <w:p w14:paraId="0D5E5990" w14:textId="77777777" w:rsidR="00FA7464" w:rsidRDefault="00FA7464" w:rsidP="00FA7464">
      <w:pPr>
        <w:jc w:val="both"/>
        <w:rPr>
          <w:b/>
          <w:lang w:val="hu-HU"/>
        </w:rPr>
      </w:pPr>
      <w:r>
        <w:rPr>
          <w:b/>
          <w:lang w:val="hu-HU"/>
        </w:rPr>
        <w:t>Recommendations</w:t>
      </w:r>
    </w:p>
    <w:p w14:paraId="779EA28E" w14:textId="77777777" w:rsidR="00FA7464" w:rsidRDefault="00FA7464" w:rsidP="00E65AEF">
      <w:pPr>
        <w:numPr>
          <w:ilvl w:val="0"/>
          <w:numId w:val="9"/>
        </w:numPr>
        <w:spacing w:line="254" w:lineRule="auto"/>
        <w:rPr>
          <w:color w:val="000000"/>
          <w:lang w:val="hu-HU"/>
        </w:rPr>
      </w:pPr>
      <w:r>
        <w:rPr>
          <w:color w:val="000000"/>
          <w:lang w:val="hu-HU"/>
        </w:rPr>
        <w:t xml:space="preserve">Revoke the law on the protection of national sovereignty, and ensure that civil society organizations are not subjected to arbitrary investigations, harassment and stigmatization from the Sovereignty Protection Office. </w:t>
      </w:r>
    </w:p>
    <w:p w14:paraId="1BCF1919" w14:textId="77777777" w:rsidR="00FA7464" w:rsidRDefault="00FA7464" w:rsidP="00E65AEF">
      <w:pPr>
        <w:numPr>
          <w:ilvl w:val="0"/>
          <w:numId w:val="9"/>
        </w:numPr>
        <w:spacing w:after="160" w:line="254" w:lineRule="auto"/>
        <w:rPr>
          <w:lang w:val="hu-HU"/>
        </w:rPr>
      </w:pPr>
      <w:r>
        <w:rPr>
          <w:color w:val="000000"/>
          <w:lang w:val="hu-HU"/>
        </w:rPr>
        <w:t>Allow civil society organizations working on LGBTQI rights to access schools, hold classes on sexuality and gender diversity, and stop excluding them merely because their activities touch upon sexual orientation and gender identity.</w:t>
      </w:r>
    </w:p>
    <w:p w14:paraId="7302A321" w14:textId="77777777" w:rsidR="00FA7464" w:rsidRDefault="00FA7464" w:rsidP="00FA7464">
      <w:pPr>
        <w:spacing w:after="240"/>
        <w:rPr>
          <w:color w:val="2F5496"/>
          <w:sz w:val="24"/>
          <w:szCs w:val="24"/>
          <w:lang w:val="hu-HU"/>
        </w:rPr>
      </w:pPr>
      <w:r>
        <w:rPr>
          <w:color w:val="2F5496"/>
          <w:sz w:val="24"/>
          <w:szCs w:val="24"/>
          <w:lang w:val="hu-HU"/>
        </w:rPr>
        <w:t>Rules and practices having an impact on the effective operation and safety of civil society organisations and human rights defenders. This includes measures to protect them from attacks – verbal, physical or online –, intimidation, legal threats incl. SLAPPs, negative narratives or smear campaigns, measures capable of affecting the public perception of civil society organisations, etc. It also includes measures to monitor threats or attacks and dedicated support services, as well as available remedies</w:t>
      </w:r>
      <w:r>
        <w:rPr>
          <w:rFonts w:ascii="FreeSans" w:eastAsia="FreeSans" w:hAnsi="FreeSans" w:cs="FreeSans"/>
          <w:color w:val="333333"/>
          <w:sz w:val="21"/>
          <w:szCs w:val="21"/>
          <w:lang w:val="hu-HU"/>
        </w:rPr>
        <w:t xml:space="preserve"> </w:t>
      </w:r>
    </w:p>
    <w:p w14:paraId="47391B07" w14:textId="2DFC9371" w:rsidR="00FA7464" w:rsidRDefault="00FA7464" w:rsidP="00FA7464">
      <w:pPr>
        <w:jc w:val="both"/>
        <w:rPr>
          <w:lang w:val="hu-HU"/>
        </w:rPr>
      </w:pPr>
      <w:r>
        <w:rPr>
          <w:lang w:val="hu-HU"/>
        </w:rPr>
        <w:lastRenderedPageBreak/>
        <w:t xml:space="preserve">Civil society organizations and actors who work on human rights, litigation and advocacy before regional or international human rights bodies are frequently called out for their work implying that they serve (an undefined and vaguely referenced) external, non-Hungarian interest. The extreme right Sixty-Four Counties Youth Movement (SFCYM, Hatvannégy Vármegye Ifjúsági Mozgalom) in September 2024 published a press release celebrating the so-called dismissal of a school psychologist who was an active member of Budapest Pride. She was subjected to a number of attacks accusing her of spreading „LGBTI propaganda” (publishing her and partner’s personal data, libelous comments in media, etc.) mostly led by SFCYM, who also </w:t>
      </w:r>
      <w:hyperlink r:id="rId52" w:history="1">
        <w:r>
          <w:rPr>
            <w:rStyle w:val="Hyperlink"/>
            <w:color w:val="0563C1"/>
            <w:lang w:val="hu-HU"/>
          </w:rPr>
          <w:t>distributed flyers</w:t>
        </w:r>
      </w:hyperlink>
      <w:r>
        <w:rPr>
          <w:lang w:val="hu-HU"/>
        </w:rPr>
        <w:t xml:space="preserve"> outside her workplace and filed a complaint about her to the school district. Municipal Council member Balázs Szabó of the far-right party, Jobbik, also accused her of spreading “LGBTI propaganda” during the public meeting of the District City Council. She had decided to terminate her former employment for unre</w:t>
      </w:r>
      <w:r w:rsidR="000B288C">
        <w:rPr>
          <w:lang w:val="hu-HU"/>
        </w:rPr>
        <w:t>la</w:t>
      </w:r>
      <w:r>
        <w:rPr>
          <w:lang w:val="hu-HU"/>
        </w:rPr>
        <w:t xml:space="preserve">ted reasons, and this was misconstrued by SFCYM as a dismissal due </w:t>
      </w:r>
      <w:bookmarkStart w:id="15" w:name="_GoBack"/>
      <w:bookmarkEnd w:id="15"/>
      <w:r>
        <w:rPr>
          <w:lang w:val="hu-HU"/>
        </w:rPr>
        <w:t xml:space="preserve">to being “an LGBTQP activist” (P stands for pedophile). Although the director of the school confirmed that it was the psychologist’s own decision to terminate her employment, SFCYM disregarded this fact and framed the events as if she had been dismissed because of belonging to the LGBTI community and thanks to their advocacy against „LGBTI propaganda”. In an </w:t>
      </w:r>
      <w:hyperlink r:id="rId53" w:history="1">
        <w:r>
          <w:rPr>
            <w:rStyle w:val="Hyperlink"/>
            <w:color w:val="0563C1"/>
            <w:lang w:val="hu-HU"/>
          </w:rPr>
          <w:t>interview</w:t>
        </w:r>
      </w:hyperlink>
      <w:r>
        <w:rPr>
          <w:lang w:val="hu-HU"/>
        </w:rPr>
        <w:t xml:space="preserve"> to an independent news site she clarified that she voluntarily took up a new job and left the previous one. </w:t>
      </w:r>
    </w:p>
    <w:p w14:paraId="74CEC710" w14:textId="77777777" w:rsidR="00FA7464" w:rsidRDefault="00FA7464" w:rsidP="00FA7464">
      <w:pPr>
        <w:jc w:val="both"/>
        <w:rPr>
          <w:lang w:val="hu-HU"/>
        </w:rPr>
      </w:pPr>
      <w:r>
        <w:rPr>
          <w:lang w:val="hu-HU"/>
        </w:rPr>
        <w:t>In addition to multiple far-right media outlets, this story was reported by Pesti Srácok, a state controlled online media outlet on 17 September 2024. Pesti Srácok is owned by the Mediaworks Hungary Zrt., which is owned by KESMA, the foundation that conglomerates privately owned state controlled media outlets. Budapest Pride requested a former correction from Pesti Srácok, and after they omitted to comply, Budapest Pride filed a libel suit. The court hearing took place on 29 November 2024. Pesti Srácok modified their article two days before the hearing and published the necessary corrections, admitting they were spreading false information. On 6 December 2024 the court concurred that Pesti Srácok libelled the psychologist. Several other legal proceedings are pending.</w:t>
      </w:r>
    </w:p>
    <w:p w14:paraId="3BB7A3C1" w14:textId="77777777" w:rsidR="00FA7464" w:rsidRDefault="00FA7464" w:rsidP="00FA7464">
      <w:pPr>
        <w:jc w:val="both"/>
        <w:rPr>
          <w:lang w:val="hu-HU"/>
        </w:rPr>
      </w:pPr>
      <w:r>
        <w:rPr>
          <w:lang w:val="hu-HU"/>
        </w:rPr>
        <w:t xml:space="preserve">The psychologist’s story undoubtedly shows the scale and the potential detrimental impact of the actions of the extreme right-wing organization: her personal life was repeatedly discussed in videos posted on their social media channels, an internal investigation was launched within her former school, and she was asked not to discuss LGBTQI topics with her students. </w:t>
      </w:r>
    </w:p>
    <w:p w14:paraId="0F11EF2B" w14:textId="77777777" w:rsidR="00FA7464" w:rsidRDefault="00FA7464" w:rsidP="00FA7464">
      <w:pPr>
        <w:jc w:val="both"/>
        <w:rPr>
          <w:lang w:val="hu-HU"/>
        </w:rPr>
      </w:pPr>
    </w:p>
    <w:p w14:paraId="3E11061C" w14:textId="495DAA51" w:rsidR="00FA7464" w:rsidRDefault="00FA7464" w:rsidP="00FA7464">
      <w:pPr>
        <w:jc w:val="both"/>
        <w:rPr>
          <w:lang w:val="hu-HU"/>
        </w:rPr>
      </w:pPr>
      <w:r>
        <w:rPr>
          <w:lang w:val="hu-HU"/>
        </w:rPr>
        <w:t xml:space="preserve">In November 2024, Háttér Society announced its e-learning courses offered for attorneys on LGBTQI topics (victim’s rights, equal treatment, the relevant jurisprudence of the ECtHR, hate crimes, and working as an attorney with LGBTQI clients). The e-learning courses are accredited with the Hungarian Bar Association. As in 2023, extreme right-wing portals published articles arguing that Háttér – as a lobbyist organization – has infiltrated the Hungarian Bar Association, and sensitizes lawyers on LGBTQI topics (or LGBTQP topics as they labelled it) with the blessing of the MBA. One </w:t>
      </w:r>
      <w:hyperlink r:id="rId54" w:history="1">
        <w:r>
          <w:rPr>
            <w:rStyle w:val="Hyperlink"/>
            <w:color w:val="0563C1"/>
            <w:lang w:val="hu-HU"/>
          </w:rPr>
          <w:t>article</w:t>
        </w:r>
      </w:hyperlink>
      <w:r>
        <w:rPr>
          <w:lang w:val="hu-HU"/>
        </w:rPr>
        <w:t xml:space="preserve"> alleges that “this raises the question of the independence of the justice system”. Another </w:t>
      </w:r>
      <w:hyperlink r:id="rId55" w:history="1">
        <w:r>
          <w:rPr>
            <w:rStyle w:val="Hyperlink"/>
            <w:color w:val="0563C1"/>
            <w:lang w:val="hu-HU"/>
          </w:rPr>
          <w:t>one</w:t>
        </w:r>
      </w:hyperlink>
      <w:r>
        <w:rPr>
          <w:lang w:val="hu-HU"/>
        </w:rPr>
        <w:t xml:space="preserve"> argues that by this the MBA “legitimized the aim of the Háttér Society to exert as much pressure as possible on the domestic judiciary, to enforce the guidelines of Western global ideologies in domestic jurisprudence.” The impugned e-learning courses are in no way mandatory, attorneys are free to choose among the courses offered by the MBA. </w:t>
      </w:r>
    </w:p>
    <w:p w14:paraId="295BBBBF" w14:textId="77777777" w:rsidR="00FA7464" w:rsidRDefault="00FA7464" w:rsidP="00FA7464">
      <w:pPr>
        <w:jc w:val="both"/>
        <w:rPr>
          <w:lang w:val="hu-HU"/>
        </w:rPr>
      </w:pPr>
    </w:p>
    <w:p w14:paraId="2E243092" w14:textId="77777777" w:rsidR="00FA7464" w:rsidRDefault="00FA7464" w:rsidP="00FA7464">
      <w:pPr>
        <w:jc w:val="both"/>
        <w:rPr>
          <w:lang w:val="hu-HU"/>
        </w:rPr>
      </w:pPr>
      <w:r>
        <w:rPr>
          <w:lang w:val="hu-HU"/>
        </w:rPr>
        <w:t xml:space="preserve">In December 2024, Tűzfalcsoport (literally: Firewall Group) published on X that the European Commission opened targeted consultation with – among others – civil society organizations about the state of the rule of law in the member states. The </w:t>
      </w:r>
      <w:hyperlink r:id="rId56" w:history="1">
        <w:r>
          <w:rPr>
            <w:rStyle w:val="Hyperlink"/>
            <w:color w:val="0563C1"/>
            <w:lang w:val="hu-HU"/>
          </w:rPr>
          <w:t>post</w:t>
        </w:r>
      </w:hyperlink>
      <w:r>
        <w:rPr>
          <w:lang w:val="hu-HU"/>
        </w:rPr>
        <w:t xml:space="preserve"> insinuates that those CSOs contributing year after year to the report (Háttér Society among them) serve foreign interests (are funded by George Soros).  </w:t>
      </w:r>
    </w:p>
    <w:p w14:paraId="3D68270F" w14:textId="77777777" w:rsidR="00FA7464" w:rsidRDefault="00FA7464" w:rsidP="00FA7464">
      <w:pPr>
        <w:jc w:val="both"/>
        <w:rPr>
          <w:lang w:val="hu-HU"/>
        </w:rPr>
      </w:pPr>
      <w:r>
        <w:rPr>
          <w:lang w:val="hu-HU"/>
        </w:rPr>
        <w:lastRenderedPageBreak/>
        <w:t>State-controlled media outlets, Pesti Srácok and Magyar Nemzet, both owned by KESMA, published a great number of articles</w:t>
      </w:r>
      <w:r>
        <w:rPr>
          <w:rStyle w:val="FootnoteReference"/>
          <w:lang w:val="hu-HU"/>
        </w:rPr>
        <w:footnoteReference w:id="4"/>
      </w:r>
      <w:r>
        <w:rPr>
          <w:lang w:val="hu-HU"/>
        </w:rPr>
        <w:t xml:space="preserve"> smearing LGBTI organisations as mercenaries of foreign interests such as “Brussels” or “George Soros”. They often indirectly associate the organisations with paedophilia in the same articles, e.g. „</w:t>
      </w:r>
      <w:r w:rsidR="00AF34E3">
        <w:fldChar w:fldCharType="begin"/>
      </w:r>
      <w:r w:rsidR="00AF34E3">
        <w:instrText xml:space="preserve"> HYPERLINK "https://pestisracok.hu/a-szivarvanyesernyo-alatt-a-pedofiloknak-is-jut-hely/" </w:instrText>
      </w:r>
      <w:r w:rsidR="00AF34E3">
        <w:fldChar w:fldCharType="separate"/>
      </w:r>
      <w:r>
        <w:rPr>
          <w:rStyle w:val="Hyperlink"/>
          <w:color w:val="0070C0"/>
          <w:lang w:val="hu-HU"/>
        </w:rPr>
        <w:t>There is room for paedophilia under the rainbow</w:t>
      </w:r>
      <w:r w:rsidR="00AF34E3">
        <w:rPr>
          <w:rStyle w:val="Hyperlink"/>
          <w:color w:val="0070C0"/>
          <w:lang w:val="hu-HU"/>
        </w:rPr>
        <w:fldChar w:fldCharType="end"/>
      </w:r>
      <w:r>
        <w:rPr>
          <w:lang w:val="hu-HU"/>
        </w:rPr>
        <w:t xml:space="preserve">”. </w:t>
      </w:r>
    </w:p>
    <w:p w14:paraId="5FAF3201" w14:textId="77777777" w:rsidR="00FA7464" w:rsidRDefault="00FA7464" w:rsidP="00FA7464">
      <w:pPr>
        <w:jc w:val="both"/>
        <w:rPr>
          <w:lang w:val="hu-HU"/>
        </w:rPr>
      </w:pPr>
    </w:p>
    <w:p w14:paraId="5F1E3C1C" w14:textId="77777777" w:rsidR="00FA7464" w:rsidRDefault="00FA7464" w:rsidP="00FA7464">
      <w:pPr>
        <w:spacing w:line="276" w:lineRule="auto"/>
        <w:jc w:val="both"/>
        <w:rPr>
          <w:b/>
          <w:lang w:val="hu-HU"/>
        </w:rPr>
      </w:pPr>
      <w:r>
        <w:rPr>
          <w:b/>
          <w:lang w:val="hu-HU"/>
        </w:rPr>
        <w:t>Recommendations</w:t>
      </w:r>
    </w:p>
    <w:p w14:paraId="25F4DFA8" w14:textId="77777777" w:rsidR="00FA7464" w:rsidRDefault="00FA7464" w:rsidP="00E65AEF">
      <w:pPr>
        <w:numPr>
          <w:ilvl w:val="0"/>
          <w:numId w:val="10"/>
        </w:numPr>
        <w:spacing w:line="254" w:lineRule="auto"/>
        <w:rPr>
          <w:color w:val="000000"/>
          <w:lang w:val="hu-HU"/>
        </w:rPr>
      </w:pPr>
      <w:r>
        <w:rPr>
          <w:color w:val="000000"/>
          <w:lang w:val="hu-HU"/>
        </w:rPr>
        <w:t>Stop smear campaigns against civil society organizations working for sexual and gender minorities, publicly condemn all attempts by public actors to harass, stigmatize and defame human rights defenders working on LGBTI rights.</w:t>
      </w:r>
    </w:p>
    <w:p w14:paraId="3E34EF92" w14:textId="77777777" w:rsidR="00FA7464" w:rsidRDefault="00FA7464" w:rsidP="00E65AEF">
      <w:pPr>
        <w:numPr>
          <w:ilvl w:val="0"/>
          <w:numId w:val="10"/>
        </w:numPr>
        <w:spacing w:after="160" w:line="254" w:lineRule="auto"/>
        <w:rPr>
          <w:color w:val="000000"/>
          <w:lang w:val="hu-HU"/>
        </w:rPr>
      </w:pPr>
      <w:r>
        <w:rPr>
          <w:color w:val="000000"/>
          <w:lang w:val="hu-HU"/>
        </w:rPr>
        <w:t>Ensure an enabling environment for LGBTI CSOs by avoiding stigmatizing statements and providing appropriate funding for their work.</w:t>
      </w:r>
    </w:p>
    <w:p w14:paraId="4CFEE000" w14:textId="4155752E" w:rsidR="00115E52" w:rsidRPr="00FA7464" w:rsidRDefault="00115E52" w:rsidP="00525840">
      <w:pPr>
        <w:rPr>
          <w:lang w:val="hu-HU"/>
        </w:rPr>
      </w:pPr>
    </w:p>
    <w:p w14:paraId="067D4E51" w14:textId="5736594C" w:rsidR="00115E52" w:rsidRDefault="00115E52" w:rsidP="00525840"/>
    <w:p w14:paraId="5B0CA794" w14:textId="4412FBA8" w:rsidR="00115E52" w:rsidRDefault="00115E52" w:rsidP="00525840"/>
    <w:p w14:paraId="274D447C" w14:textId="5A490477" w:rsidR="00412EDD" w:rsidRDefault="00412EDD" w:rsidP="00525840"/>
    <w:p w14:paraId="3E3D24A5" w14:textId="55DD8F35" w:rsidR="00412EDD" w:rsidRDefault="00412EDD" w:rsidP="00525840"/>
    <w:p w14:paraId="2FCBD925" w14:textId="660FCB44" w:rsidR="00412EDD" w:rsidRDefault="00412EDD" w:rsidP="00525840"/>
    <w:p w14:paraId="06F5DC81" w14:textId="626B069D" w:rsidR="00412EDD" w:rsidRDefault="00412EDD" w:rsidP="00525840"/>
    <w:p w14:paraId="3EE99E89" w14:textId="7C49805A" w:rsidR="00412EDD" w:rsidRDefault="00412EDD" w:rsidP="00525840"/>
    <w:p w14:paraId="2ACDE7B2" w14:textId="2DFC32B6" w:rsidR="00412EDD" w:rsidRDefault="00412EDD" w:rsidP="00525840"/>
    <w:p w14:paraId="3F323B0C" w14:textId="3C8CBD09" w:rsidR="00412EDD" w:rsidRDefault="00412EDD" w:rsidP="00525840"/>
    <w:p w14:paraId="7E3CD849" w14:textId="6C364DC0" w:rsidR="00412EDD" w:rsidRDefault="00412EDD" w:rsidP="00525840"/>
    <w:p w14:paraId="7A51A77F" w14:textId="3E523A8D" w:rsidR="00412EDD" w:rsidRDefault="00412EDD" w:rsidP="00525840"/>
    <w:p w14:paraId="739D17B3" w14:textId="22F779C8" w:rsidR="00412EDD" w:rsidRDefault="00412EDD" w:rsidP="00525840"/>
    <w:p w14:paraId="0B07BF08" w14:textId="0E2CF22C" w:rsidR="00412EDD" w:rsidRDefault="00412EDD" w:rsidP="00525840"/>
    <w:p w14:paraId="6D5335AF" w14:textId="1CBB4763" w:rsidR="00412EDD" w:rsidRDefault="00412EDD" w:rsidP="00525840"/>
    <w:p w14:paraId="57AE5E08" w14:textId="49D843C3" w:rsidR="00412EDD" w:rsidRDefault="00412EDD" w:rsidP="00525840"/>
    <w:p w14:paraId="08AC6530" w14:textId="30A26FD5" w:rsidR="00412EDD" w:rsidRDefault="00412EDD" w:rsidP="00525840"/>
    <w:p w14:paraId="62A91D9C" w14:textId="6205034B" w:rsidR="00412EDD" w:rsidRDefault="00412EDD" w:rsidP="00525840"/>
    <w:p w14:paraId="755C2EFB" w14:textId="50B6D447" w:rsidR="00412EDD" w:rsidRDefault="00412EDD" w:rsidP="00525840"/>
    <w:p w14:paraId="10FA94BE" w14:textId="19E23779" w:rsidR="00412EDD" w:rsidRDefault="00412EDD" w:rsidP="00525840"/>
    <w:p w14:paraId="1676D90D" w14:textId="141B0D17" w:rsidR="00412EDD" w:rsidRDefault="00412EDD" w:rsidP="00525840"/>
    <w:p w14:paraId="6CD1E1C0" w14:textId="128F158B" w:rsidR="00412EDD" w:rsidRDefault="00412EDD" w:rsidP="00525840"/>
    <w:p w14:paraId="163A26E0" w14:textId="4A34CAC9" w:rsidR="00412EDD" w:rsidRDefault="00412EDD" w:rsidP="00525840"/>
    <w:p w14:paraId="665462A6" w14:textId="472376FC" w:rsidR="00412EDD" w:rsidRDefault="00412EDD" w:rsidP="00525840"/>
    <w:p w14:paraId="36987EAF" w14:textId="6F43C574" w:rsidR="00412EDD" w:rsidRDefault="00412EDD" w:rsidP="00525840"/>
    <w:p w14:paraId="15FAE3C3" w14:textId="43FDFC09" w:rsidR="00412EDD" w:rsidRDefault="00412EDD" w:rsidP="00525840"/>
    <w:p w14:paraId="01BAB4FF" w14:textId="5AF6A2DA" w:rsidR="00412EDD" w:rsidRDefault="00412EDD" w:rsidP="00525840"/>
    <w:p w14:paraId="42D25DE9" w14:textId="0D7A6BBD" w:rsidR="00412EDD" w:rsidRDefault="00412EDD" w:rsidP="00525840"/>
    <w:p w14:paraId="2C83E583" w14:textId="501A9E4C" w:rsidR="00412EDD" w:rsidRDefault="00412EDD" w:rsidP="00525840"/>
    <w:p w14:paraId="2837AA32" w14:textId="5B92772B" w:rsidR="00412EDD" w:rsidRDefault="00412EDD" w:rsidP="00525840"/>
    <w:p w14:paraId="72577377" w14:textId="77777777" w:rsidR="00412EDD" w:rsidRDefault="00412EDD" w:rsidP="00525840"/>
    <w:p w14:paraId="26CE6034" w14:textId="77777777" w:rsidR="00FA7464" w:rsidRDefault="00FA7464" w:rsidP="00FA7464">
      <w:pPr>
        <w:pStyle w:val="Heading1"/>
        <w:rPr>
          <w:rFonts w:eastAsiaTheme="minorHAnsi"/>
        </w:rPr>
      </w:pPr>
      <w:bookmarkStart w:id="16" w:name="_Toc188254164"/>
      <w:bookmarkStart w:id="17" w:name="_Toc188863991"/>
      <w:r>
        <w:rPr>
          <w:rFonts w:eastAsiaTheme="minorHAnsi"/>
        </w:rPr>
        <w:lastRenderedPageBreak/>
        <w:t>Italy</w:t>
      </w:r>
      <w:bookmarkEnd w:id="16"/>
      <w:bookmarkEnd w:id="17"/>
    </w:p>
    <w:p w14:paraId="564D8328" w14:textId="77777777" w:rsidR="00FA7464" w:rsidRDefault="00FA7464" w:rsidP="00FA7464">
      <w:pPr>
        <w:rPr>
          <w:b/>
          <w:iCs/>
          <w:color w:val="2F5496" w:themeColor="accent1" w:themeShade="BF"/>
          <w:sz w:val="24"/>
          <w:szCs w:val="24"/>
          <w:u w:val="single"/>
        </w:rPr>
      </w:pPr>
      <w:r>
        <w:rPr>
          <w:b/>
          <w:iCs/>
          <w:color w:val="2F5496" w:themeColor="accent1" w:themeShade="BF"/>
          <w:sz w:val="24"/>
          <w:szCs w:val="24"/>
          <w:u w:val="single"/>
        </w:rPr>
        <w:t>I. Justice System</w:t>
      </w:r>
    </w:p>
    <w:p w14:paraId="76AD6E51" w14:textId="77777777" w:rsidR="00FA7464" w:rsidRDefault="00FA7464" w:rsidP="00FA7464">
      <w:pPr>
        <w:spacing w:after="240"/>
        <w:rPr>
          <w:b/>
          <w:iCs/>
          <w:color w:val="2F5496" w:themeColor="accent1" w:themeShade="BF"/>
          <w:sz w:val="24"/>
          <w:szCs w:val="24"/>
        </w:rPr>
      </w:pPr>
      <w:r>
        <w:rPr>
          <w:b/>
          <w:iCs/>
          <w:color w:val="2F5496" w:themeColor="accent1" w:themeShade="BF"/>
          <w:sz w:val="24"/>
          <w:szCs w:val="24"/>
        </w:rPr>
        <w:t>A. Independence</w:t>
      </w:r>
    </w:p>
    <w:p w14:paraId="766E22FE" w14:textId="77777777" w:rsidR="00FA7464" w:rsidRDefault="00FA7464" w:rsidP="00FA7464">
      <w:pPr>
        <w:spacing w:after="240"/>
        <w:rPr>
          <w:color w:val="2F5496" w:themeColor="accent1" w:themeShade="BF"/>
          <w:sz w:val="24"/>
          <w:szCs w:val="24"/>
        </w:rPr>
      </w:pPr>
      <w:r>
        <w:rPr>
          <w:color w:val="2F5496" w:themeColor="accent1" w:themeShade="BF"/>
          <w:sz w:val="24"/>
          <w:szCs w:val="24"/>
        </w:rPr>
        <w:t>Significant developments capable of affecting the perception that the general public has of the independence of the judiciary</w:t>
      </w:r>
    </w:p>
    <w:p w14:paraId="37B33DB1" w14:textId="1FE7502E" w:rsidR="00FA7464" w:rsidRDefault="00FA7464" w:rsidP="00FA7464">
      <w:pPr>
        <w:autoSpaceDE w:val="0"/>
        <w:autoSpaceDN w:val="0"/>
        <w:adjustRightInd w:val="0"/>
        <w:jc w:val="both"/>
        <w:rPr>
          <w:color w:val="000000"/>
        </w:rPr>
      </w:pPr>
      <w:bookmarkStart w:id="18" w:name="_Hlk155715122"/>
      <w:bookmarkStart w:id="19" w:name="_Hlk155975649"/>
      <w:r>
        <w:rPr>
          <w:color w:val="000000"/>
        </w:rPr>
        <w:t xml:space="preserve">The situation reported in last year’s submission, regarding the government’s policies and administrative measures limiting the recognition of children born to same-sex couples, has not improved. Notably the </w:t>
      </w:r>
      <w:hyperlink r:id="rId57" w:history="1">
        <w:r>
          <w:rPr>
            <w:rStyle w:val="Hyperlink"/>
          </w:rPr>
          <w:t>guidance</w:t>
        </w:r>
      </w:hyperlink>
      <w:r>
        <w:rPr>
          <w:color w:val="000000"/>
        </w:rPr>
        <w:t xml:space="preserve"> issued by the Ministry of Interior discouraging local authorities from automatically registering the birth certificates of children with same-sex parents has led to a patchwork of legal recognition throughout the country, where certain city administrations felt compelled to cease or roll back the recognition of both parents on the children’s birth certificates. LGBTI civil society organisations (CSOs) have denounced these moves as a direct attack on the rights of same-sex couples and, above all, on the wellbeing of their children—who, by virtue of not being fully recognized by the state, risk facing legal and social obstacles (for example, in matters of inheritance, medical consent, and educational decisions). </w:t>
      </w:r>
      <w:proofErr w:type="spellStart"/>
      <w:r>
        <w:rPr>
          <w:color w:val="000000"/>
        </w:rPr>
        <w:t>Arcigay</w:t>
      </w:r>
      <w:proofErr w:type="spellEnd"/>
      <w:r>
        <w:rPr>
          <w:color w:val="000000"/>
        </w:rPr>
        <w:t xml:space="preserve"> has called on national institutions to ensure full and uniform protection for all children, regardless of their parents’ sexual orientation.</w:t>
      </w:r>
    </w:p>
    <w:p w14:paraId="07FBC2DE" w14:textId="77777777" w:rsidR="00FA7464" w:rsidRDefault="00FA7464" w:rsidP="00FA7464">
      <w:pPr>
        <w:autoSpaceDE w:val="0"/>
        <w:autoSpaceDN w:val="0"/>
        <w:adjustRightInd w:val="0"/>
        <w:jc w:val="both"/>
        <w:rPr>
          <w:color w:val="000000"/>
        </w:rPr>
      </w:pPr>
    </w:p>
    <w:p w14:paraId="63F97506" w14:textId="2D6333D8" w:rsidR="00FA7464" w:rsidRDefault="00FA7464" w:rsidP="00FA7464">
      <w:pPr>
        <w:autoSpaceDE w:val="0"/>
        <w:autoSpaceDN w:val="0"/>
        <w:adjustRightInd w:val="0"/>
        <w:jc w:val="both"/>
        <w:rPr>
          <w:color w:val="000000"/>
        </w:rPr>
      </w:pPr>
      <w:r>
        <w:rPr>
          <w:color w:val="000000"/>
        </w:rPr>
        <w:t>While the government claims that parents have a legal route to establish parentage of the second parent, namely via a special adoption procedure (“</w:t>
      </w:r>
      <w:proofErr w:type="spellStart"/>
      <w:r>
        <w:rPr>
          <w:color w:val="000000"/>
        </w:rPr>
        <w:t>adozione</w:t>
      </w:r>
      <w:proofErr w:type="spellEnd"/>
      <w:r>
        <w:rPr>
          <w:color w:val="000000"/>
        </w:rPr>
        <w:t xml:space="preserve"> in </w:t>
      </w:r>
      <w:proofErr w:type="spellStart"/>
      <w:r>
        <w:rPr>
          <w:color w:val="000000"/>
        </w:rPr>
        <w:t>casi</w:t>
      </w:r>
      <w:proofErr w:type="spellEnd"/>
      <w:r>
        <w:rPr>
          <w:color w:val="000000"/>
        </w:rPr>
        <w:t xml:space="preserve"> </w:t>
      </w:r>
      <w:proofErr w:type="spellStart"/>
      <w:r>
        <w:rPr>
          <w:color w:val="000000"/>
        </w:rPr>
        <w:t>particolari</w:t>
      </w:r>
      <w:proofErr w:type="spellEnd"/>
      <w:r>
        <w:rPr>
          <w:color w:val="000000"/>
        </w:rPr>
        <w:t xml:space="preserve">”), LGBTI organisations have long pointed out that these procedures can take up to years, are very costly and depend on the courts, which vary from region to region. The European Court of Human Rights clearly ruled that states need to establish a mechanism to allow for recognition of the parent–child relationship for non-genetic parents, such as through adoption, and that children should not be blamed for their parents’ decisions, including about conception. In her recent country report, the Council of Europe Commissioner for Human Rights </w:t>
      </w:r>
      <w:hyperlink r:id="rId58" w:history="1">
        <w:r>
          <w:rPr>
            <w:rStyle w:val="Hyperlink"/>
          </w:rPr>
          <w:t>confirms</w:t>
        </w:r>
      </w:hyperlink>
      <w:r>
        <w:rPr>
          <w:color w:val="000000"/>
        </w:rPr>
        <w:t xml:space="preserve"> that the Italian procedure does not comply with the best interests of the child and reminds that even Italy’s Constitutional Court recommended the legislation be amended accordingly to ensure adoption rights for all families without discrimination. </w:t>
      </w:r>
    </w:p>
    <w:p w14:paraId="740B509A" w14:textId="77777777" w:rsidR="00FA7464" w:rsidRDefault="00FA7464" w:rsidP="00FA7464">
      <w:pPr>
        <w:autoSpaceDE w:val="0"/>
        <w:autoSpaceDN w:val="0"/>
        <w:adjustRightInd w:val="0"/>
        <w:jc w:val="both"/>
        <w:rPr>
          <w:color w:val="000000"/>
        </w:rPr>
      </w:pPr>
      <w:r>
        <w:rPr>
          <w:color w:val="000000"/>
        </w:rPr>
        <w:t xml:space="preserve">The government’s administrative interference exacerbates an already fragmented legal environment, contributing to increased lack of clarity as to the child’s legal status, undermining their access to rights such as access to social benefits, inheritance rights and parental authority during emergencies. </w:t>
      </w:r>
    </w:p>
    <w:p w14:paraId="71201396" w14:textId="77777777" w:rsidR="00FA7464" w:rsidRDefault="00FA7464" w:rsidP="00FA7464">
      <w:pPr>
        <w:autoSpaceDE w:val="0"/>
        <w:autoSpaceDN w:val="0"/>
        <w:adjustRightInd w:val="0"/>
        <w:jc w:val="both"/>
        <w:rPr>
          <w:color w:val="000000"/>
        </w:rPr>
      </w:pPr>
    </w:p>
    <w:p w14:paraId="769C5434" w14:textId="77777777" w:rsidR="00FA7464" w:rsidRDefault="00FA7464" w:rsidP="00FA7464">
      <w:pPr>
        <w:autoSpaceDE w:val="0"/>
        <w:autoSpaceDN w:val="0"/>
        <w:adjustRightInd w:val="0"/>
        <w:jc w:val="both"/>
        <w:rPr>
          <w:color w:val="000000"/>
        </w:rPr>
      </w:pPr>
      <w:r>
        <w:rPr>
          <w:color w:val="000000"/>
        </w:rPr>
        <w:t xml:space="preserve">Furthermore, on 16 October 2024 the senate approved a government law, known as the </w:t>
      </w:r>
      <w:hyperlink r:id="rId59" w:history="1">
        <w:proofErr w:type="spellStart"/>
        <w:r>
          <w:rPr>
            <w:rStyle w:val="Hyperlink"/>
          </w:rPr>
          <w:t>Varchi</w:t>
        </w:r>
        <w:proofErr w:type="spellEnd"/>
        <w:r>
          <w:rPr>
            <w:rStyle w:val="Hyperlink"/>
          </w:rPr>
          <w:t xml:space="preserve"> law</w:t>
        </w:r>
      </w:hyperlink>
      <w:r>
        <w:rPr>
          <w:color w:val="000000"/>
        </w:rPr>
        <w:t xml:space="preserve">, that establishing surrogacy as a crime with “universal jurisdiction”, making it illegal for Italian citizens to access surrogacy abroad with fines ranging from €600,000 to €1 million and prison sentences from three months to two years. Crimes prosecuted under universal jurisdiction are usually major crimes punishable under international law, such as genocide, war crimes, crimes against humanity and torture. Given that globally surrogacy is either legalised to a certain degree, not legal, or otherwise unregulated, the Italian government’s decision to prosecute with universal jurisdiction is clearly disproportionate and possibly contravenes the Constitution. The law also encourages people to report when they suspect a couple has used surrogacy. As a result, evidently most reports would be made when a gay couple is seen with a child, risking a clear discriminatory application. Surrogacy is used by couples otherwise unable to conceive a child, most often by heterosexual couples, as well as gay couples. </w:t>
      </w:r>
    </w:p>
    <w:p w14:paraId="3F0C1742" w14:textId="77777777" w:rsidR="00FA7464" w:rsidRDefault="00FA7464" w:rsidP="00FA7464">
      <w:pPr>
        <w:autoSpaceDE w:val="0"/>
        <w:autoSpaceDN w:val="0"/>
        <w:adjustRightInd w:val="0"/>
        <w:rPr>
          <w:color w:val="000000"/>
        </w:rPr>
      </w:pPr>
    </w:p>
    <w:bookmarkEnd w:id="18"/>
    <w:bookmarkEnd w:id="19"/>
    <w:p w14:paraId="4DE51957" w14:textId="77777777" w:rsidR="00FA7464" w:rsidRDefault="00FA7464" w:rsidP="00FA7464">
      <w:pPr>
        <w:rPr>
          <w:rFonts w:ascii="FreeSans" w:hAnsi="FreeSans" w:cs="FreeSans"/>
          <w:b/>
          <w:iCs/>
          <w:color w:val="2F5496" w:themeColor="accent1" w:themeShade="BF"/>
          <w:sz w:val="24"/>
          <w:szCs w:val="24"/>
          <w:u w:val="single"/>
        </w:rPr>
      </w:pPr>
      <w:r>
        <w:rPr>
          <w:rFonts w:ascii="FreeSans" w:hAnsi="FreeSans" w:cs="FreeSans"/>
          <w:b/>
          <w:iCs/>
          <w:color w:val="2F5496" w:themeColor="accent1" w:themeShade="BF"/>
          <w:sz w:val="24"/>
          <w:szCs w:val="24"/>
          <w:u w:val="single"/>
        </w:rPr>
        <w:t>IV. Other institutional issues related to checks and balances</w:t>
      </w:r>
    </w:p>
    <w:p w14:paraId="6909FAB1" w14:textId="77777777" w:rsidR="00FA7464" w:rsidRDefault="00FA7464" w:rsidP="00FA7464">
      <w:pPr>
        <w:spacing w:after="240"/>
        <w:rPr>
          <w:b/>
          <w:color w:val="2F5496" w:themeColor="accent1" w:themeShade="BF"/>
          <w:sz w:val="24"/>
          <w:szCs w:val="24"/>
        </w:rPr>
      </w:pPr>
      <w:r>
        <w:rPr>
          <w:b/>
          <w:color w:val="2F5496" w:themeColor="accent1" w:themeShade="BF"/>
          <w:sz w:val="24"/>
          <w:szCs w:val="24"/>
        </w:rPr>
        <w:t>D. The enabling framework for civil society</w:t>
      </w:r>
    </w:p>
    <w:p w14:paraId="3EE33B35" w14:textId="77777777" w:rsidR="00FA7464" w:rsidRDefault="00FA7464" w:rsidP="00FA7464">
      <w:pPr>
        <w:spacing w:after="240"/>
        <w:rPr>
          <w:color w:val="2F5496" w:themeColor="accent1" w:themeShade="BF"/>
          <w:sz w:val="24"/>
          <w:szCs w:val="24"/>
        </w:rPr>
      </w:pPr>
      <w:r>
        <w:rPr>
          <w:color w:val="2F5496" w:themeColor="accent1" w:themeShade="BF"/>
          <w:sz w:val="24"/>
          <w:szCs w:val="24"/>
        </w:rPr>
        <w:lastRenderedPageBreak/>
        <w:t>Rules and practices having an impact on the effective operation and safety of civil society organisations and human rights defenders. This includes measures to protect them from attacks – verbal, physical or online –, intimidation, legal threats incl. SLAPPs, negative narratives or smear campaigns, measures capable of affecting the public perception of civil society organisations, etc. It also includes measures to monitor threats or attacks and dedicated support services, as well as available remedies</w:t>
      </w:r>
      <w:r>
        <w:rPr>
          <w:rFonts w:ascii="FreeSans" w:hAnsi="FreeSans" w:cs="FreeSans"/>
          <w:color w:val="333333"/>
          <w:sz w:val="21"/>
          <w:szCs w:val="21"/>
          <w:lang w:eastAsia="en-US"/>
        </w:rPr>
        <w:t xml:space="preserve"> </w:t>
      </w:r>
    </w:p>
    <w:p w14:paraId="2E63311A" w14:textId="77777777" w:rsidR="00FA7464" w:rsidRDefault="00FA7464" w:rsidP="00FA7464">
      <w:pPr>
        <w:autoSpaceDE w:val="0"/>
        <w:autoSpaceDN w:val="0"/>
        <w:adjustRightInd w:val="0"/>
        <w:jc w:val="both"/>
      </w:pPr>
      <w:r>
        <w:t xml:space="preserve">In Autumn 2024 </w:t>
      </w:r>
      <w:hyperlink r:id="rId60" w:history="1">
        <w:r>
          <w:rPr>
            <w:rStyle w:val="Hyperlink"/>
          </w:rPr>
          <w:t>draft bill</w:t>
        </w:r>
      </w:hyperlink>
      <w:r>
        <w:t xml:space="preserve"> 1236 (ex 1660), known as the “</w:t>
      </w:r>
      <w:proofErr w:type="spellStart"/>
      <w:r>
        <w:t>Decreto</w:t>
      </w:r>
      <w:proofErr w:type="spellEnd"/>
      <w:r>
        <w:t xml:space="preserve"> </w:t>
      </w:r>
      <w:proofErr w:type="spellStart"/>
      <w:r>
        <w:t>Sicurezza</w:t>
      </w:r>
      <w:proofErr w:type="spellEnd"/>
      <w:r>
        <w:t xml:space="preserve">” (Security Decree) reached the Italian Senate. The bill further restricts the right to freedom of assembly and expression by regulating public demonstrations and tightening rules around public order and immigration. It toughens penalties for any disturbances during demonstrations, creating a chilling effect—particularly for smaller grassroots groups without extensive legal or financial resources. </w:t>
      </w:r>
    </w:p>
    <w:p w14:paraId="2E5F8BE9" w14:textId="77777777" w:rsidR="00FA7464" w:rsidRDefault="00FA7464" w:rsidP="00FA7464">
      <w:pPr>
        <w:autoSpaceDE w:val="0"/>
        <w:autoSpaceDN w:val="0"/>
        <w:adjustRightInd w:val="0"/>
        <w:jc w:val="both"/>
      </w:pPr>
    </w:p>
    <w:p w14:paraId="22873ED7" w14:textId="77777777" w:rsidR="00FA7464" w:rsidRDefault="00FA7464" w:rsidP="00FA7464">
      <w:pPr>
        <w:autoSpaceDE w:val="0"/>
        <w:autoSpaceDN w:val="0"/>
        <w:adjustRightInd w:val="0"/>
        <w:jc w:val="both"/>
      </w:pPr>
      <w:r>
        <w:t xml:space="preserve">Smear campaigns against trans people in Italy are currently </w:t>
      </w:r>
      <w:hyperlink r:id="rId61" w:history="1">
        <w:r>
          <w:rPr>
            <w:rStyle w:val="Hyperlink"/>
          </w:rPr>
          <w:t>widespread</w:t>
        </w:r>
      </w:hyperlink>
      <w:r>
        <w:t xml:space="preserve">, feeding off disinformation spread regarding trans people and peaking around the case of medical centre </w:t>
      </w:r>
      <w:proofErr w:type="spellStart"/>
      <w:r>
        <w:t>Careggi</w:t>
      </w:r>
      <w:proofErr w:type="spellEnd"/>
      <w:r>
        <w:t>, which is only one of two hospitals in Italy providing hormone treatment for trans youth.</w:t>
      </w:r>
    </w:p>
    <w:p w14:paraId="398285BD" w14:textId="77777777" w:rsidR="00FA7464" w:rsidRDefault="00FA7464" w:rsidP="00FA7464">
      <w:pPr>
        <w:autoSpaceDE w:val="0"/>
        <w:autoSpaceDN w:val="0"/>
        <w:adjustRightInd w:val="0"/>
        <w:jc w:val="both"/>
      </w:pPr>
    </w:p>
    <w:p w14:paraId="5F517003" w14:textId="51C8A89B" w:rsidR="00FA7464" w:rsidRDefault="00FA7464" w:rsidP="00FA7464">
      <w:pPr>
        <w:jc w:val="both"/>
      </w:pPr>
      <w:r>
        <w:t>On March 25, 2023, the list of so-called "</w:t>
      </w:r>
      <w:hyperlink r:id="rId62" w:history="1">
        <w:r>
          <w:rPr>
            <w:rStyle w:val="Hyperlink"/>
          </w:rPr>
          <w:t>safe countries of origin</w:t>
        </w:r>
      </w:hyperlink>
      <w:r>
        <w:t xml:space="preserve">" was updated with the addition of two more countries where homosexuality is criminalised, Nigeria and The Gambia, and without providing any exceptions for at-risk categories, such as LGBTI people. Then in May 2024 the list was updated to include four additional countries where homosexuality is criminalised: Bangladesh, Cameroon, Egypt, and Sri Lanka. These are in addition to Tunisia, Algeria, Morocco, Senegal, and Ghana. In October 2024 Nigeria and Cameroon were removed, resulting in overall 9 countries which criminalise homosexuality being on the list of “safe countries of origin”. </w:t>
      </w:r>
    </w:p>
    <w:p w14:paraId="19F9128F" w14:textId="77777777" w:rsidR="00FA7464" w:rsidRDefault="00FA7464" w:rsidP="00FA7464">
      <w:pPr>
        <w:jc w:val="both"/>
      </w:pPr>
    </w:p>
    <w:p w14:paraId="52430073" w14:textId="0349C009" w:rsidR="00FA7464" w:rsidRDefault="00FA7464" w:rsidP="00FA7464">
      <w:pPr>
        <w:jc w:val="both"/>
      </w:pPr>
      <w:r>
        <w:t xml:space="preserve">Under EU law, Italy has several obligations to provide protection to vulnerable groups, including those based on sexual orientation and gender identity. </w:t>
      </w:r>
    </w:p>
    <w:p w14:paraId="3F58C2B5" w14:textId="77777777" w:rsidR="00FA7464" w:rsidRDefault="00FA7464" w:rsidP="00FA7464">
      <w:pPr>
        <w:jc w:val="both"/>
      </w:pPr>
    </w:p>
    <w:p w14:paraId="6F75220D" w14:textId="77777777" w:rsidR="00FA7464" w:rsidRDefault="00FA7464" w:rsidP="00FA7464">
      <w:pPr>
        <w:jc w:val="both"/>
      </w:pPr>
      <w:r>
        <w:t xml:space="preserve">Here are some of the key obligations: </w:t>
      </w:r>
    </w:p>
    <w:p w14:paraId="7BA84A99" w14:textId="77777777" w:rsidR="00FA7464" w:rsidRDefault="00FA7464" w:rsidP="00E65AEF">
      <w:pPr>
        <w:pStyle w:val="ListParagraph"/>
        <w:numPr>
          <w:ilvl w:val="0"/>
          <w:numId w:val="11"/>
        </w:numPr>
        <w:spacing w:line="254" w:lineRule="auto"/>
        <w:jc w:val="both"/>
      </w:pPr>
      <w:r>
        <w:t xml:space="preserve">The Qualification Directive (Directive 2011/95/EU) requires member states to provide protection to refugees and persons eligible for subsidiary protection on the basis of, among other things, their sexual orientation and gender identity. Italy is obliged to implement the Directive into its national law. </w:t>
      </w:r>
    </w:p>
    <w:p w14:paraId="0242D5C8" w14:textId="77777777" w:rsidR="00FA7464" w:rsidRDefault="00FA7464" w:rsidP="00E65AEF">
      <w:pPr>
        <w:pStyle w:val="ListParagraph"/>
        <w:numPr>
          <w:ilvl w:val="0"/>
          <w:numId w:val="11"/>
        </w:numPr>
        <w:spacing w:line="254" w:lineRule="auto"/>
        <w:jc w:val="both"/>
      </w:pPr>
      <w:r>
        <w:t xml:space="preserve">The EU's asylum system is based on the principle of non-refoulement, which means that individuals cannot be returned to a country where they would face persecution or serious harm. This includes individuals who are at risk of persecution or serious harm based on their sexual orientation or gender identity. </w:t>
      </w:r>
    </w:p>
    <w:p w14:paraId="5910196B" w14:textId="77777777" w:rsidR="00FA7464" w:rsidRDefault="00FA7464" w:rsidP="00E65AEF">
      <w:pPr>
        <w:pStyle w:val="ListParagraph"/>
        <w:numPr>
          <w:ilvl w:val="0"/>
          <w:numId w:val="11"/>
        </w:numPr>
        <w:spacing w:line="254" w:lineRule="auto"/>
        <w:jc w:val="both"/>
      </w:pPr>
      <w:r>
        <w:t>The EU's Reception Conditions Directive (Directive 2013/33/EU) requires member states to ensure that asylum seekers have access to appropriate medical and psychological care, including care related to sexual orientation and gender identity. Italy is obliged to implement the Directive into its national law.</w:t>
      </w:r>
    </w:p>
    <w:p w14:paraId="59AC0DD1" w14:textId="4B325E64" w:rsidR="00FA7464" w:rsidRDefault="00FA7464" w:rsidP="00FA7464"/>
    <w:p w14:paraId="665BFB7E" w14:textId="71CBF074" w:rsidR="00FA7464" w:rsidRDefault="00FA7464" w:rsidP="00FA7464"/>
    <w:p w14:paraId="37D4909F" w14:textId="70BCEE9D" w:rsidR="00FA7464" w:rsidRDefault="00FA7464" w:rsidP="00FA7464"/>
    <w:p w14:paraId="1B1AE87C" w14:textId="7255A2CD" w:rsidR="00FA7464" w:rsidRDefault="00FA7464" w:rsidP="00FA7464"/>
    <w:p w14:paraId="5A5396CB" w14:textId="77777777" w:rsidR="00FA7464" w:rsidRDefault="00FA7464" w:rsidP="00FA7464"/>
    <w:p w14:paraId="1AF98BBD" w14:textId="3694079C" w:rsidR="00FA7464" w:rsidRPr="00FA7464" w:rsidRDefault="00FA7464" w:rsidP="00FA7464">
      <w:pPr>
        <w:pStyle w:val="Heading1"/>
      </w:pPr>
      <w:bookmarkStart w:id="20" w:name="_Toc188254166"/>
      <w:bookmarkStart w:id="21" w:name="_Toc188863992"/>
      <w:r w:rsidRPr="00FA7464">
        <w:lastRenderedPageBreak/>
        <w:t>Poland</w:t>
      </w:r>
      <w:bookmarkEnd w:id="20"/>
      <w:bookmarkEnd w:id="21"/>
    </w:p>
    <w:p w14:paraId="72728056" w14:textId="77777777" w:rsidR="00FA7464" w:rsidRDefault="00FA7464" w:rsidP="00FA7464">
      <w:pPr>
        <w:rPr>
          <w:lang w:eastAsia="en-US"/>
        </w:rPr>
      </w:pPr>
    </w:p>
    <w:p w14:paraId="2DB269AA" w14:textId="77777777" w:rsidR="00FA7464" w:rsidRDefault="00FA7464" w:rsidP="00FA7464">
      <w:pPr>
        <w:rPr>
          <w:b/>
          <w:iCs/>
          <w:color w:val="2F5496" w:themeColor="accent1" w:themeShade="BF"/>
          <w:sz w:val="24"/>
          <w:szCs w:val="24"/>
          <w:u w:val="single"/>
        </w:rPr>
      </w:pPr>
      <w:r>
        <w:rPr>
          <w:b/>
          <w:iCs/>
          <w:color w:val="2F5496" w:themeColor="accent1" w:themeShade="BF"/>
          <w:sz w:val="24"/>
          <w:szCs w:val="24"/>
          <w:u w:val="single"/>
        </w:rPr>
        <w:t>I. Justice System</w:t>
      </w:r>
    </w:p>
    <w:p w14:paraId="308C7381" w14:textId="77777777" w:rsidR="00FA7464" w:rsidRDefault="00FA7464" w:rsidP="00FA7464">
      <w:pPr>
        <w:spacing w:after="240"/>
        <w:rPr>
          <w:b/>
          <w:iCs/>
          <w:color w:val="2F5496" w:themeColor="accent1" w:themeShade="BF"/>
          <w:sz w:val="24"/>
          <w:szCs w:val="24"/>
        </w:rPr>
      </w:pPr>
      <w:r>
        <w:rPr>
          <w:b/>
          <w:iCs/>
          <w:color w:val="2F5496" w:themeColor="accent1" w:themeShade="BF"/>
          <w:sz w:val="24"/>
          <w:szCs w:val="24"/>
        </w:rPr>
        <w:t>A. Independence</w:t>
      </w:r>
    </w:p>
    <w:p w14:paraId="1737E00D" w14:textId="77777777" w:rsidR="00FA7464" w:rsidRDefault="00FA7464" w:rsidP="00FA7464">
      <w:pPr>
        <w:spacing w:after="240"/>
        <w:rPr>
          <w:color w:val="2F5496" w:themeColor="accent1" w:themeShade="BF"/>
          <w:sz w:val="24"/>
          <w:szCs w:val="24"/>
        </w:rPr>
      </w:pPr>
      <w:r>
        <w:rPr>
          <w:color w:val="2F5496" w:themeColor="accent1" w:themeShade="BF"/>
          <w:sz w:val="24"/>
          <w:szCs w:val="24"/>
        </w:rPr>
        <w:t xml:space="preserve">Allocation of cases in courts </w:t>
      </w:r>
    </w:p>
    <w:p w14:paraId="559B1170" w14:textId="77777777" w:rsidR="00FA7464" w:rsidRDefault="00FA7464" w:rsidP="00FA7464">
      <w:pPr>
        <w:spacing w:after="240"/>
        <w:jc w:val="both"/>
      </w:pPr>
      <w:r>
        <w:t>LGBTI civil society reports that, as with last year, the presence of neo-judges</w:t>
      </w:r>
      <w:r>
        <w:rPr>
          <w:rStyle w:val="FootnoteReference"/>
        </w:rPr>
        <w:footnoteReference w:id="5"/>
      </w:r>
      <w:r>
        <w:t xml:space="preserve"> affects their cases. The Supreme Court is currently refusing to abide by the withdrawal of the new Prosecutor General of two case requests. </w:t>
      </w:r>
    </w:p>
    <w:p w14:paraId="38F8D0CD" w14:textId="77777777" w:rsidR="00FA7464" w:rsidRDefault="00FA7464" w:rsidP="00FA7464">
      <w:pPr>
        <w:spacing w:after="240"/>
        <w:jc w:val="both"/>
      </w:pPr>
      <w:r>
        <w:t xml:space="preserve">The first concerns the “rainbow halo” case in which a person was accused of </w:t>
      </w:r>
      <w:r>
        <w:rPr>
          <w:iCs/>
          <w:color w:val="000000" w:themeColor="text1"/>
        </w:rPr>
        <w:t>‘offending religious feelings’ for painting a rainbow halo over an image of the Virgin Mary in 2019</w:t>
      </w:r>
      <w:r>
        <w:t xml:space="preserve">. Courts of both instances dismissed the indictment act, stating that there was no crime committed. After the last judgement, the previous Prosecutor General, Zbigniew </w:t>
      </w:r>
      <w:proofErr w:type="spellStart"/>
      <w:r>
        <w:t>Ziobro</w:t>
      </w:r>
      <w:proofErr w:type="spellEnd"/>
      <w:r>
        <w:t xml:space="preserve">, submitted an extraordinary complaint to the Chamber of Extraordinary Control and Public Affairs in the Supreme Court (Izba </w:t>
      </w:r>
      <w:proofErr w:type="spellStart"/>
      <w:r>
        <w:t>Kontroli</w:t>
      </w:r>
      <w:proofErr w:type="spellEnd"/>
      <w:r>
        <w:t xml:space="preserve"> </w:t>
      </w:r>
      <w:proofErr w:type="spellStart"/>
      <w:r>
        <w:t>Nadzwyczajnej</w:t>
      </w:r>
      <w:proofErr w:type="spellEnd"/>
      <w:r>
        <w:t xml:space="preserve"> i </w:t>
      </w:r>
      <w:proofErr w:type="spellStart"/>
      <w:r>
        <w:t>Spraw</w:t>
      </w:r>
      <w:proofErr w:type="spellEnd"/>
      <w:r>
        <w:t xml:space="preserve"> </w:t>
      </w:r>
      <w:proofErr w:type="spellStart"/>
      <w:r>
        <w:t>Publicznych</w:t>
      </w:r>
      <w:proofErr w:type="spellEnd"/>
      <w:r>
        <w:t xml:space="preserve"> </w:t>
      </w:r>
      <w:proofErr w:type="spellStart"/>
      <w:r>
        <w:t>Sądu</w:t>
      </w:r>
      <w:proofErr w:type="spellEnd"/>
      <w:r>
        <w:t xml:space="preserve"> </w:t>
      </w:r>
      <w:proofErr w:type="spellStart"/>
      <w:r>
        <w:t>Najwyższego</w:t>
      </w:r>
      <w:proofErr w:type="spellEnd"/>
      <w:r>
        <w:t xml:space="preserve">). In May 2024 the complaint was </w:t>
      </w:r>
      <w:hyperlink r:id="rId63" w:history="1">
        <w:r>
          <w:rPr>
            <w:rStyle w:val="Hyperlink"/>
          </w:rPr>
          <w:t>withdrawn</w:t>
        </w:r>
      </w:hyperlink>
      <w:r>
        <w:t xml:space="preserve"> by the new Prosecutor General Adam Bodnar. However, the Supreme Court has not yet dismissed the case.</w:t>
      </w:r>
    </w:p>
    <w:p w14:paraId="3C6F1D84" w14:textId="77777777" w:rsidR="00FA7464" w:rsidRDefault="00FA7464" w:rsidP="00FA7464">
      <w:pPr>
        <w:spacing w:after="240"/>
        <w:jc w:val="both"/>
      </w:pPr>
      <w:r>
        <w:t xml:space="preserve">The second concerns a question submitted by the former Prosecutor General to the Supreme Court regarding the process for trans and intersex people to access legal gender recognition (LGR) – the process by which one can change their gender marker in identity documents. Currently in Poland the process is based on Supreme Court judgements and applicants are required to sue their parents in order to be granted the necessary changes in their ID and the civil acts registry. In his formal question, the former Prosecutor General asked the Supreme Court's interpretation of whether children and spouses of the applicant have to be sued as well. The question was </w:t>
      </w:r>
      <w:hyperlink r:id="rId64" w:history="1">
        <w:r>
          <w:rPr>
            <w:rStyle w:val="Hyperlink"/>
          </w:rPr>
          <w:t>removed</w:t>
        </w:r>
      </w:hyperlink>
      <w:r>
        <w:t xml:space="preserve"> by the current Prosecutor General in January 2024. The Supreme Court not only refused to dismiss the case but also set the next hearing for March 2025. </w:t>
      </w:r>
    </w:p>
    <w:p w14:paraId="0DCC3104" w14:textId="77777777" w:rsidR="00FA7464" w:rsidRDefault="00FA7464" w:rsidP="00FA7464">
      <w:pPr>
        <w:rPr>
          <w:b/>
          <w:color w:val="000000"/>
        </w:rPr>
      </w:pPr>
      <w:r>
        <w:rPr>
          <w:b/>
          <w:color w:val="000000"/>
        </w:rPr>
        <w:t>Recommendation:</w:t>
      </w:r>
    </w:p>
    <w:p w14:paraId="6D8114AE" w14:textId="77777777" w:rsidR="00FA7464" w:rsidRDefault="00FA7464" w:rsidP="00E65AEF">
      <w:pPr>
        <w:pStyle w:val="ListParagraph"/>
        <w:numPr>
          <w:ilvl w:val="0"/>
          <w:numId w:val="12"/>
        </w:numPr>
        <w:spacing w:after="240" w:line="254" w:lineRule="auto"/>
        <w:jc w:val="both"/>
      </w:pPr>
      <w:r>
        <w:t>End all cases in the Supreme Court, in which the complaint, formal question, or any other form of remedy has been withdrawn by Minister of Justice Prosecutor General Adam Bodnar.</w:t>
      </w:r>
    </w:p>
    <w:p w14:paraId="0C035A30" w14:textId="77777777" w:rsidR="00FA7464" w:rsidRDefault="00FA7464" w:rsidP="00FA7464">
      <w:pPr>
        <w:spacing w:after="240"/>
        <w:rPr>
          <w:color w:val="2F5496" w:themeColor="accent1" w:themeShade="BF"/>
          <w:sz w:val="24"/>
          <w:szCs w:val="24"/>
        </w:rPr>
      </w:pPr>
      <w:r>
        <w:rPr>
          <w:color w:val="2F5496" w:themeColor="accent1" w:themeShade="BF"/>
          <w:sz w:val="24"/>
          <w:szCs w:val="24"/>
        </w:rPr>
        <w:t>Independence/autonomy of the prosecution service</w:t>
      </w:r>
    </w:p>
    <w:p w14:paraId="77A7AA64" w14:textId="77777777" w:rsidR="00FA7464" w:rsidRDefault="00FA7464" w:rsidP="00FA7464">
      <w:pPr>
        <w:jc w:val="both"/>
        <w:rPr>
          <w:color w:val="000000"/>
        </w:rPr>
      </w:pPr>
      <w:r>
        <w:t xml:space="preserve">Despite the change of government to a pro-democratic coalition, the </w:t>
      </w:r>
      <w:r>
        <w:rPr>
          <w:color w:val="000000"/>
        </w:rPr>
        <w:t>offices of the Minister of Justice and Prosecutor General are still held by one person (</w:t>
      </w:r>
      <w:r>
        <w:t xml:space="preserve">the government has </w:t>
      </w:r>
      <w:hyperlink r:id="rId65" w:history="1">
        <w:r>
          <w:rPr>
            <w:rStyle w:val="Hyperlink"/>
          </w:rPr>
          <w:t>prepared</w:t>
        </w:r>
      </w:hyperlink>
      <w:r>
        <w:t xml:space="preserve"> the bill, but it hasn't been processed in Parliament yet</w:t>
      </w:r>
      <w:r>
        <w:rPr>
          <w:color w:val="000000"/>
        </w:rPr>
        <w:t>). I</w:t>
      </w:r>
      <w:r>
        <w:rPr>
          <w:color w:val="000000"/>
          <w:lang w:val="bg-BG"/>
        </w:rPr>
        <w:t xml:space="preserve">t is also </w:t>
      </w:r>
      <w:r>
        <w:rPr>
          <w:color w:val="000000"/>
        </w:rPr>
        <w:t>concerning</w:t>
      </w:r>
      <w:r>
        <w:rPr>
          <w:color w:val="000000"/>
          <w:lang w:val="bg-BG"/>
        </w:rPr>
        <w:t xml:space="preserve"> that the institution of extraordinary complaint</w:t>
      </w:r>
      <w:r>
        <w:rPr>
          <w:color w:val="000000"/>
        </w:rPr>
        <w:t>, overused by the previous Prosecutor General,</w:t>
      </w:r>
      <w:r>
        <w:rPr>
          <w:color w:val="000000"/>
          <w:lang w:val="bg-BG"/>
        </w:rPr>
        <w:t xml:space="preserve"> is not removed and still can be used to challenge every judgement</w:t>
      </w:r>
      <w:r>
        <w:rPr>
          <w:color w:val="000000"/>
        </w:rPr>
        <w:t>.</w:t>
      </w:r>
    </w:p>
    <w:p w14:paraId="7640BF0D" w14:textId="77777777" w:rsidR="00FA7464" w:rsidRDefault="00FA7464" w:rsidP="00FA7464">
      <w:pPr>
        <w:rPr>
          <w:color w:val="000000"/>
        </w:rPr>
      </w:pPr>
    </w:p>
    <w:p w14:paraId="2CEE5853" w14:textId="77777777" w:rsidR="00FA7464" w:rsidRDefault="00FA7464" w:rsidP="00FA7464">
      <w:pPr>
        <w:rPr>
          <w:b/>
          <w:color w:val="000000"/>
        </w:rPr>
      </w:pPr>
      <w:r>
        <w:rPr>
          <w:b/>
          <w:color w:val="000000"/>
        </w:rPr>
        <w:t>Recommendation:</w:t>
      </w:r>
    </w:p>
    <w:p w14:paraId="4EBF32B5" w14:textId="77777777" w:rsidR="00FA7464" w:rsidRDefault="00FA7464" w:rsidP="00E65AEF">
      <w:pPr>
        <w:pStyle w:val="ListParagraph"/>
        <w:numPr>
          <w:ilvl w:val="0"/>
          <w:numId w:val="13"/>
        </w:numPr>
        <w:spacing w:line="254" w:lineRule="auto"/>
        <w:rPr>
          <w:color w:val="000000"/>
        </w:rPr>
      </w:pPr>
      <w:r>
        <w:rPr>
          <w:color w:val="000000"/>
        </w:rPr>
        <w:t xml:space="preserve">Separate the office of the Minister of Justice and Prosecutor General. </w:t>
      </w:r>
    </w:p>
    <w:p w14:paraId="18091955" w14:textId="77777777" w:rsidR="00FA7464" w:rsidRDefault="00FA7464" w:rsidP="00FA7464">
      <w:pPr>
        <w:jc w:val="both"/>
      </w:pPr>
    </w:p>
    <w:p w14:paraId="301D819C" w14:textId="77777777" w:rsidR="00FA7464" w:rsidRDefault="00FA7464" w:rsidP="00FA7464">
      <w:pPr>
        <w:spacing w:after="240"/>
        <w:rPr>
          <w:b/>
          <w:iCs/>
          <w:color w:val="2F5496" w:themeColor="accent1" w:themeShade="BF"/>
          <w:sz w:val="24"/>
          <w:szCs w:val="24"/>
        </w:rPr>
      </w:pPr>
      <w:r>
        <w:rPr>
          <w:b/>
          <w:iCs/>
          <w:color w:val="2F5496" w:themeColor="accent1" w:themeShade="BF"/>
          <w:sz w:val="24"/>
          <w:szCs w:val="24"/>
        </w:rPr>
        <w:lastRenderedPageBreak/>
        <w:t>B. Quality of justice</w:t>
      </w:r>
    </w:p>
    <w:p w14:paraId="77020C32" w14:textId="77777777" w:rsidR="00FA7464" w:rsidRDefault="00FA7464" w:rsidP="00FA7464">
      <w:pPr>
        <w:spacing w:after="240"/>
        <w:jc w:val="both"/>
        <w:rPr>
          <w:color w:val="2F5496" w:themeColor="accent1" w:themeShade="BF"/>
          <w:sz w:val="24"/>
          <w:szCs w:val="24"/>
        </w:rPr>
      </w:pPr>
      <w:r>
        <w:rPr>
          <w:color w:val="2F5496" w:themeColor="accent1" w:themeShade="BF"/>
          <w:sz w:val="24"/>
          <w:szCs w:val="24"/>
        </w:rPr>
        <w:t>Accessibility of courts (e.g. court/legal fees, legal aid, language)</w:t>
      </w:r>
    </w:p>
    <w:p w14:paraId="249AC1CB" w14:textId="77777777" w:rsidR="00FA7464" w:rsidRDefault="00FA7464" w:rsidP="00FA7464">
      <w:pPr>
        <w:spacing w:after="240"/>
        <w:jc w:val="both"/>
      </w:pPr>
      <w:r>
        <w:t>As reported last year, the lack of legal protection of hate crimes and hate speech based on sexual orientation, gender identity/expression or sex characteristics (SOGIESC) results in difficulties in access to justice. The prosecutor’s offices very often dismiss these cases or the investigation procedure is extremely long. For example, in March 2024, the District Court of Warsaw-</w:t>
      </w:r>
      <w:proofErr w:type="spellStart"/>
      <w:r>
        <w:t>Śródmieście</w:t>
      </w:r>
      <w:proofErr w:type="spellEnd"/>
      <w:r>
        <w:t xml:space="preserve"> </w:t>
      </w:r>
      <w:hyperlink r:id="rId66" w:history="1">
        <w:r>
          <w:rPr>
            <w:rStyle w:val="Hyperlink"/>
          </w:rPr>
          <w:t>discontinued proceedings</w:t>
        </w:r>
      </w:hyperlink>
      <w:r>
        <w:t xml:space="preserve"> in a case of online homophobic hate speech, which started in 2017, due to the statute of limitations being reached. The District Court in Warsaw had ruled in 2023 that the case was excessively long (lasting from 2018 to 2022) and awarded damages to the applicants. However, the fact remains that the case was not properly dealt with and the victims were not able to access justice.</w:t>
      </w:r>
    </w:p>
    <w:p w14:paraId="60094450" w14:textId="77777777" w:rsidR="00FA7464" w:rsidRDefault="00FA7464" w:rsidP="00FA7464">
      <w:pPr>
        <w:jc w:val="both"/>
        <w:rPr>
          <w:bCs/>
          <w:color w:val="000000"/>
        </w:rPr>
      </w:pPr>
      <w:r>
        <w:t xml:space="preserve">As mentioned in Section I.A. above and reported on last year, the legal gender recognition procedure in Poland is unregulated, based only on Supreme Court judgements, resulting in outcomes which differ depending on the court and region in Poland. Often the courts request many psychological, psychiatric or </w:t>
      </w:r>
      <w:proofErr w:type="spellStart"/>
      <w:r>
        <w:t>sexological</w:t>
      </w:r>
      <w:proofErr w:type="spellEnd"/>
      <w:r>
        <w:t xml:space="preserve"> opinions. In September 2024 a positive step was made by the Minister of Justice, who </w:t>
      </w:r>
      <w:hyperlink r:id="rId67" w:history="1">
        <w:r>
          <w:rPr>
            <w:rStyle w:val="Hyperlink"/>
          </w:rPr>
          <w:t>adopted</w:t>
        </w:r>
      </w:hyperlink>
      <w:r>
        <w:t xml:space="preserve"> a regulation which allows courts to treat legal gender recognition cases as a priority and allows the trans person to be able to sit next to their parents (rather than being forced to sit on the opposite side of the courtroom from each other). However, the current procedure still does not comply with case law of the European Court of Human Rights (ECtHR) which state that  LGR procedures should be </w:t>
      </w:r>
      <w:r>
        <w:rPr>
          <w:bCs/>
          <w:color w:val="000000"/>
        </w:rPr>
        <w:t>fast, accessible and transparent.</w:t>
      </w:r>
    </w:p>
    <w:p w14:paraId="5E8E9A69" w14:textId="77777777" w:rsidR="00FA7464" w:rsidRDefault="00FA7464" w:rsidP="00FA7464">
      <w:pPr>
        <w:jc w:val="both"/>
        <w:rPr>
          <w:bCs/>
          <w:color w:val="000000"/>
        </w:rPr>
      </w:pPr>
    </w:p>
    <w:p w14:paraId="1FC696D2" w14:textId="77777777" w:rsidR="00FA7464" w:rsidRDefault="00FA7464" w:rsidP="00FA7464">
      <w:pPr>
        <w:jc w:val="both"/>
        <w:rPr>
          <w:b/>
          <w:bCs/>
          <w:color w:val="000000"/>
        </w:rPr>
      </w:pPr>
      <w:r>
        <w:rPr>
          <w:b/>
          <w:bCs/>
          <w:color w:val="000000"/>
        </w:rPr>
        <w:t>Recommendations:</w:t>
      </w:r>
    </w:p>
    <w:p w14:paraId="2094C69D" w14:textId="77777777" w:rsidR="00FA7464" w:rsidRDefault="00FA7464" w:rsidP="00FA7464">
      <w:pPr>
        <w:jc w:val="both"/>
        <w:rPr>
          <w:bCs/>
          <w:color w:val="000000"/>
        </w:rPr>
      </w:pPr>
    </w:p>
    <w:p w14:paraId="06944417" w14:textId="77777777" w:rsidR="00FA7464" w:rsidRDefault="00FA7464" w:rsidP="00E65AEF">
      <w:pPr>
        <w:pStyle w:val="ListParagraph"/>
        <w:numPr>
          <w:ilvl w:val="0"/>
          <w:numId w:val="13"/>
        </w:numPr>
        <w:spacing w:line="254" w:lineRule="auto"/>
        <w:jc w:val="both"/>
        <w:rPr>
          <w:bCs/>
          <w:color w:val="000000"/>
        </w:rPr>
      </w:pPr>
      <w:r>
        <w:rPr>
          <w:bCs/>
          <w:color w:val="000000"/>
        </w:rPr>
        <w:t>Amend the Penal Code in aspects of hate speech and hate crimes to ensure that victims of homophobic and transphobic-motivated crimes will have access to justice.</w:t>
      </w:r>
    </w:p>
    <w:p w14:paraId="0104CBAD" w14:textId="77777777" w:rsidR="00FA7464" w:rsidRDefault="00FA7464" w:rsidP="00E65AEF">
      <w:pPr>
        <w:pStyle w:val="ListParagraph"/>
        <w:numPr>
          <w:ilvl w:val="0"/>
          <w:numId w:val="13"/>
        </w:numPr>
        <w:spacing w:line="254" w:lineRule="auto"/>
        <w:jc w:val="both"/>
        <w:rPr>
          <w:bCs/>
          <w:color w:val="000000"/>
        </w:rPr>
      </w:pPr>
      <w:r>
        <w:rPr>
          <w:bCs/>
          <w:color w:val="000000"/>
        </w:rPr>
        <w:t>Adopt legislation that would bring Poland’s procedure for legal gender recognition in line with ECtHR case law and international standards.</w:t>
      </w:r>
    </w:p>
    <w:p w14:paraId="30064A7F" w14:textId="77777777" w:rsidR="00FA7464" w:rsidRDefault="00FA7464" w:rsidP="00FA7464">
      <w:pPr>
        <w:jc w:val="both"/>
      </w:pPr>
    </w:p>
    <w:p w14:paraId="7C64A8C6" w14:textId="77777777" w:rsidR="00FA7464" w:rsidRDefault="00FA7464" w:rsidP="00FA7464">
      <w:pPr>
        <w:rPr>
          <w:b/>
          <w:iCs/>
          <w:color w:val="2F5496" w:themeColor="accent1" w:themeShade="BF"/>
          <w:sz w:val="24"/>
          <w:szCs w:val="24"/>
          <w:u w:val="single"/>
        </w:rPr>
      </w:pPr>
      <w:r>
        <w:rPr>
          <w:b/>
          <w:iCs/>
          <w:color w:val="2F5496" w:themeColor="accent1" w:themeShade="BF"/>
          <w:sz w:val="24"/>
          <w:szCs w:val="24"/>
          <w:u w:val="single"/>
        </w:rPr>
        <w:t>III. Media Freedom and Pluralism</w:t>
      </w:r>
    </w:p>
    <w:p w14:paraId="3CABB9F1" w14:textId="77777777" w:rsidR="00FA7464" w:rsidRDefault="00FA7464" w:rsidP="00FA7464">
      <w:pPr>
        <w:spacing w:after="240"/>
        <w:rPr>
          <w:b/>
          <w:iCs/>
          <w:sz w:val="24"/>
          <w:szCs w:val="24"/>
        </w:rPr>
      </w:pPr>
      <w:r>
        <w:rPr>
          <w:b/>
          <w:iCs/>
          <w:color w:val="2F5496" w:themeColor="accent1" w:themeShade="BF"/>
          <w:sz w:val="24"/>
          <w:szCs w:val="24"/>
        </w:rPr>
        <w:t>B. Safeguards against government or political interference and transparency and concentration of media ownership</w:t>
      </w:r>
    </w:p>
    <w:p w14:paraId="2309141D" w14:textId="77777777" w:rsidR="00FA7464" w:rsidRDefault="00FA7464" w:rsidP="00FA7464">
      <w:pPr>
        <w:spacing w:after="240"/>
        <w:rPr>
          <w:color w:val="2F5496" w:themeColor="accent1" w:themeShade="BF"/>
          <w:sz w:val="24"/>
          <w:szCs w:val="24"/>
        </w:rPr>
      </w:pPr>
      <w:r>
        <w:rPr>
          <w:color w:val="2F5496" w:themeColor="accent1" w:themeShade="BF"/>
          <w:sz w:val="24"/>
          <w:szCs w:val="24"/>
        </w:rPr>
        <w:t>Safeguards against state / political interference, in particular:</w:t>
      </w:r>
    </w:p>
    <w:p w14:paraId="2E5573E7" w14:textId="77777777" w:rsidR="00FA7464" w:rsidRDefault="00FA7464" w:rsidP="00E65AEF">
      <w:pPr>
        <w:numPr>
          <w:ilvl w:val="0"/>
          <w:numId w:val="14"/>
        </w:numPr>
        <w:rPr>
          <w:color w:val="2F5496" w:themeColor="accent1" w:themeShade="BF"/>
          <w:sz w:val="24"/>
          <w:szCs w:val="24"/>
        </w:rPr>
      </w:pPr>
      <w:r>
        <w:rPr>
          <w:color w:val="2F5496" w:themeColor="accent1" w:themeShade="BF"/>
          <w:sz w:val="24"/>
          <w:szCs w:val="24"/>
        </w:rPr>
        <w:t>safeguards to ensure editorial independence of media (private and public)</w:t>
      </w:r>
    </w:p>
    <w:p w14:paraId="1F4C36D1" w14:textId="77777777" w:rsidR="00FA7464" w:rsidRDefault="00FA7464" w:rsidP="00E65AEF">
      <w:pPr>
        <w:numPr>
          <w:ilvl w:val="0"/>
          <w:numId w:val="14"/>
        </w:numPr>
        <w:rPr>
          <w:color w:val="2F5496" w:themeColor="accent1" w:themeShade="BF"/>
          <w:sz w:val="24"/>
          <w:szCs w:val="24"/>
        </w:rPr>
      </w:pPr>
      <w:r>
        <w:rPr>
          <w:color w:val="2F5496" w:themeColor="accent1" w:themeShade="BF"/>
          <w:sz w:val="24"/>
          <w:szCs w:val="24"/>
        </w:rPr>
        <w:t>specific safeguards for the independence of heads of management and members of the governing boards of public service media (e.g. related to appointment, dismissal), safeguards for their operational independence (e.g. related to reporting obligations and the allocation of resources) and safeguards for plurality of information and opinions</w:t>
      </w:r>
    </w:p>
    <w:p w14:paraId="49DFB7DB" w14:textId="77777777" w:rsidR="00FA7464" w:rsidRDefault="00FA7464" w:rsidP="00E65AEF">
      <w:pPr>
        <w:numPr>
          <w:ilvl w:val="0"/>
          <w:numId w:val="14"/>
        </w:numPr>
        <w:rPr>
          <w:color w:val="2F5496" w:themeColor="accent1" w:themeShade="BF"/>
          <w:sz w:val="24"/>
          <w:szCs w:val="24"/>
        </w:rPr>
      </w:pPr>
      <w:r>
        <w:rPr>
          <w:color w:val="2F5496" w:themeColor="accent1" w:themeShade="BF"/>
          <w:sz w:val="24"/>
          <w:szCs w:val="24"/>
        </w:rPr>
        <w:t>information on specific legal provisions and procedures applying to media service providers, including as regards granting/renewal/termination of licenses, company operation, capital entry requirements, concentration and corporate governance</w:t>
      </w:r>
    </w:p>
    <w:p w14:paraId="269D34C9" w14:textId="77777777" w:rsidR="00FA7464" w:rsidRDefault="00FA7464" w:rsidP="00FA7464">
      <w:pPr>
        <w:ind w:left="720"/>
        <w:rPr>
          <w:color w:val="2F5496" w:themeColor="accent1" w:themeShade="BF"/>
          <w:sz w:val="24"/>
          <w:szCs w:val="24"/>
        </w:rPr>
      </w:pPr>
    </w:p>
    <w:p w14:paraId="77FECFE5" w14:textId="77777777" w:rsidR="00FA7464" w:rsidRDefault="00FA7464" w:rsidP="00FA7464">
      <w:pPr>
        <w:jc w:val="both"/>
      </w:pPr>
      <w:r>
        <w:lastRenderedPageBreak/>
        <w:t xml:space="preserve">The change of government at the end of 2023 has ushered in a period in which state TV and media no longer broadcasts LGBTI-phobic hate speech and narratives. In February 2024 TVP Info even </w:t>
      </w:r>
      <w:hyperlink r:id="rId68" w:history="1">
        <w:r>
          <w:rPr>
            <w:rStyle w:val="Hyperlink"/>
          </w:rPr>
          <w:t>apologised</w:t>
        </w:r>
      </w:hyperlink>
      <w:r>
        <w:t xml:space="preserve"> to the LGBTI community, stating that LGBTI people are not an ideology.  </w:t>
      </w:r>
    </w:p>
    <w:p w14:paraId="057A6BF9" w14:textId="77777777" w:rsidR="00FA7464" w:rsidRDefault="00FA7464" w:rsidP="00FA7464">
      <w:pPr>
        <w:jc w:val="both"/>
        <w:rPr>
          <w:bCs/>
        </w:rPr>
      </w:pPr>
    </w:p>
    <w:p w14:paraId="448CD299" w14:textId="77777777" w:rsidR="00FA7464" w:rsidRDefault="00FA7464" w:rsidP="00FA7464">
      <w:pPr>
        <w:spacing w:after="240"/>
        <w:rPr>
          <w:b/>
          <w:iCs/>
          <w:color w:val="2F5496" w:themeColor="accent1" w:themeShade="BF"/>
          <w:sz w:val="24"/>
          <w:szCs w:val="24"/>
        </w:rPr>
      </w:pPr>
      <w:r>
        <w:rPr>
          <w:b/>
          <w:iCs/>
          <w:color w:val="2F5496" w:themeColor="accent1" w:themeShade="BF"/>
          <w:sz w:val="24"/>
          <w:szCs w:val="24"/>
        </w:rPr>
        <w:t>C. Framework for journalists’ protection</w:t>
      </w:r>
    </w:p>
    <w:p w14:paraId="3F58015D" w14:textId="5F37EABA" w:rsidR="00FA7464" w:rsidRPr="00E65AEF" w:rsidRDefault="00FA7464" w:rsidP="00E65AEF">
      <w:pPr>
        <w:spacing w:after="240"/>
        <w:rPr>
          <w:color w:val="2F5496" w:themeColor="accent1" w:themeShade="BF"/>
          <w:szCs w:val="24"/>
        </w:rPr>
      </w:pPr>
      <w:r>
        <w:rPr>
          <w:color w:val="2F5496" w:themeColor="accent1" w:themeShade="BF"/>
          <w:sz w:val="24"/>
          <w:szCs w:val="24"/>
        </w:rPr>
        <w:t>Lawsuits (incl. SLAPPs - strategic lawsuits against public participation) and convictions against journalists (incl. defamation cases) and measures taken to safeguard against manifestly unfounded and abusive lawsuits</w:t>
      </w:r>
    </w:p>
    <w:p w14:paraId="2E391611" w14:textId="77777777" w:rsidR="00FA7464" w:rsidRDefault="00FA7464" w:rsidP="00FA7464">
      <w:pPr>
        <w:jc w:val="both"/>
      </w:pPr>
      <w:r>
        <w:t xml:space="preserve">The creators of the Atlas of Hate (Atlas </w:t>
      </w:r>
      <w:proofErr w:type="spellStart"/>
      <w:r>
        <w:t>Nienawiści</w:t>
      </w:r>
      <w:proofErr w:type="spellEnd"/>
      <w:r>
        <w:t xml:space="preserve">) - an online map tracking anti-LGBTI resolutions, have </w:t>
      </w:r>
      <w:hyperlink r:id="rId69" w:history="1">
        <w:r>
          <w:rPr>
            <w:rStyle w:val="Hyperlink"/>
          </w:rPr>
          <w:t>won</w:t>
        </w:r>
      </w:hyperlink>
      <w:r>
        <w:t xml:space="preserve"> all seven SLAPP cases initiated against them by local authorities (see last year’s submission for further details). </w:t>
      </w:r>
    </w:p>
    <w:p w14:paraId="5F105660" w14:textId="77777777" w:rsidR="00FA7464" w:rsidRDefault="00FA7464" w:rsidP="00FA7464">
      <w:pPr>
        <w:jc w:val="both"/>
      </w:pPr>
    </w:p>
    <w:p w14:paraId="10CE96AA" w14:textId="77777777" w:rsidR="00FA7464" w:rsidRDefault="00FA7464" w:rsidP="00FA7464">
      <w:pPr>
        <w:jc w:val="both"/>
      </w:pPr>
      <w:r>
        <w:t xml:space="preserve">After the adoption of the EU anti-SLAPP Directive in April 2024, Polish civil society organisations </w:t>
      </w:r>
      <w:hyperlink r:id="rId70" w:history="1">
        <w:r>
          <w:rPr>
            <w:rStyle w:val="Hyperlink"/>
          </w:rPr>
          <w:t>published</w:t>
        </w:r>
      </w:hyperlink>
      <w:r>
        <w:t xml:space="preserve"> some recommendations for its implementation. The most important recommendations are to extend protection beyond civil law cases; ensure that national cases (not only cross-border cases) are covered by the implementation bill; and to exclude local and national authorities from the possibility of being a plaintiff in personal rights protection cases.</w:t>
      </w:r>
    </w:p>
    <w:p w14:paraId="6076BFE9" w14:textId="77777777" w:rsidR="00FA7464" w:rsidRDefault="00FA7464" w:rsidP="00FA7464">
      <w:pPr>
        <w:jc w:val="both"/>
      </w:pPr>
    </w:p>
    <w:p w14:paraId="46AD4AC6" w14:textId="77777777" w:rsidR="00FA7464" w:rsidRDefault="00FA7464" w:rsidP="00FA7464">
      <w:pPr>
        <w:jc w:val="both"/>
        <w:rPr>
          <w:b/>
        </w:rPr>
      </w:pPr>
      <w:r>
        <w:rPr>
          <w:b/>
        </w:rPr>
        <w:t>Recommendation:</w:t>
      </w:r>
    </w:p>
    <w:p w14:paraId="011A74CF" w14:textId="77777777" w:rsidR="00FA7464" w:rsidRDefault="00FA7464" w:rsidP="00E65AEF">
      <w:pPr>
        <w:pStyle w:val="ListParagraph"/>
        <w:numPr>
          <w:ilvl w:val="0"/>
          <w:numId w:val="15"/>
        </w:numPr>
        <w:spacing w:line="254" w:lineRule="auto"/>
        <w:jc w:val="both"/>
        <w:rPr>
          <w:color w:val="000000"/>
        </w:rPr>
      </w:pPr>
      <w:r>
        <w:rPr>
          <w:color w:val="000000"/>
        </w:rPr>
        <w:t>Include CSOs, activists, and legal practitioners in the work on the implementation of the EU’s anti-SLAPP Directive and take their recommendations into account.</w:t>
      </w:r>
    </w:p>
    <w:p w14:paraId="6EFFEBBC" w14:textId="77777777" w:rsidR="00FA7464" w:rsidRDefault="00FA7464" w:rsidP="00FA7464">
      <w:pPr>
        <w:jc w:val="both"/>
        <w:rPr>
          <w:iCs/>
        </w:rPr>
      </w:pPr>
    </w:p>
    <w:p w14:paraId="6B037086" w14:textId="77777777" w:rsidR="00FA7464" w:rsidRDefault="00FA7464" w:rsidP="00FA7464">
      <w:pPr>
        <w:autoSpaceDE w:val="0"/>
        <w:autoSpaceDN w:val="0"/>
        <w:adjustRightInd w:val="0"/>
        <w:rPr>
          <w:rFonts w:ascii="FreeSans" w:hAnsi="FreeSans" w:cs="FreeSans"/>
          <w:b/>
          <w:iCs/>
          <w:color w:val="2F5496" w:themeColor="accent1" w:themeShade="BF"/>
          <w:sz w:val="24"/>
          <w:szCs w:val="24"/>
          <w:u w:val="single"/>
        </w:rPr>
      </w:pPr>
      <w:r>
        <w:rPr>
          <w:rFonts w:ascii="FreeSans" w:hAnsi="FreeSans" w:cs="FreeSans"/>
          <w:b/>
          <w:iCs/>
          <w:color w:val="2F5496" w:themeColor="accent1" w:themeShade="BF"/>
          <w:sz w:val="24"/>
          <w:szCs w:val="24"/>
          <w:u w:val="single"/>
        </w:rPr>
        <w:t>IV. Other institutional issues related to checks and balances</w:t>
      </w:r>
    </w:p>
    <w:p w14:paraId="7E00B957" w14:textId="77777777" w:rsidR="00FA7464" w:rsidRDefault="00FA7464" w:rsidP="00FA7464">
      <w:pPr>
        <w:spacing w:after="240"/>
        <w:rPr>
          <w:b/>
          <w:color w:val="2F5496" w:themeColor="accent1" w:themeShade="BF"/>
          <w:sz w:val="24"/>
          <w:szCs w:val="24"/>
        </w:rPr>
      </w:pPr>
      <w:r>
        <w:rPr>
          <w:b/>
          <w:color w:val="2F5496" w:themeColor="accent1" w:themeShade="BF"/>
          <w:sz w:val="24"/>
          <w:szCs w:val="24"/>
        </w:rPr>
        <w:t>A. The process for preparing and enacting laws</w:t>
      </w:r>
    </w:p>
    <w:p w14:paraId="7CD337C3" w14:textId="77777777" w:rsidR="00FA7464" w:rsidRDefault="00FA7464" w:rsidP="00FA7464">
      <w:pPr>
        <w:spacing w:after="240"/>
        <w:rPr>
          <w:color w:val="2F5496" w:themeColor="accent1" w:themeShade="BF"/>
          <w:sz w:val="24"/>
          <w:szCs w:val="24"/>
        </w:rPr>
      </w:pPr>
      <w:r>
        <w:rPr>
          <w:color w:val="2F5496" w:themeColor="accent1" w:themeShade="BF"/>
          <w:sz w:val="24"/>
          <w:szCs w:val="24"/>
        </w:rPr>
        <w:t>Framework, policy and use of impact assessments and evidence based policy-making, stakeholders' /public consultations (including consultation of judiciary and other relevant stakeholders on judicial reforms), and transparency and quality of the legislative process both in the preparatory and the parliamentary phase</w:t>
      </w:r>
    </w:p>
    <w:p w14:paraId="4E0F291A" w14:textId="77777777" w:rsidR="00FA7464" w:rsidRDefault="00FA7464" w:rsidP="00FA7464">
      <w:pPr>
        <w:spacing w:after="240"/>
        <w:jc w:val="both"/>
        <w:rPr>
          <w:color w:val="000000"/>
        </w:rPr>
      </w:pPr>
      <w:r>
        <w:rPr>
          <w:szCs w:val="24"/>
        </w:rPr>
        <w:t>2024 was the first year of the new government coalition being in power in Poland. As a result, civil society organisations (CSOs) had high expectations for</w:t>
      </w:r>
      <w:r>
        <w:rPr>
          <w:color w:val="000000"/>
        </w:rPr>
        <w:t xml:space="preserve"> new standards of preparing and enacting laws.</w:t>
      </w:r>
    </w:p>
    <w:p w14:paraId="36A8AEA0" w14:textId="77777777" w:rsidR="00FA7464" w:rsidRDefault="00FA7464" w:rsidP="00FA7464">
      <w:pPr>
        <w:spacing w:after="240"/>
        <w:jc w:val="both"/>
        <w:rPr>
          <w:color w:val="000000"/>
          <w:lang w:val="bg-BG"/>
        </w:rPr>
      </w:pPr>
      <w:r>
        <w:rPr>
          <w:color w:val="000000"/>
        </w:rPr>
        <w:t xml:space="preserve">A notable positive development was the creation of a new governmental body – the Minister for Equality – in the form of a department (the Department for Equal Treatment). The department covers </w:t>
      </w:r>
      <w:r>
        <w:rPr>
          <w:i/>
          <w:color w:val="000000"/>
        </w:rPr>
        <w:t>inter alia</w:t>
      </w:r>
      <w:r>
        <w:rPr>
          <w:color w:val="000000"/>
        </w:rPr>
        <w:t xml:space="preserve"> files related to LGBTI equality. LGBTI civil society was consulted for the preparation of the civil union bill, including meetings with the Minister for Equality herself, however, </w:t>
      </w:r>
      <w:r>
        <w:rPr>
          <w:color w:val="000000"/>
          <w:lang w:val="bg-BG"/>
        </w:rPr>
        <w:t xml:space="preserve">the 30-day period given to submit </w:t>
      </w:r>
      <w:r>
        <w:rPr>
          <w:color w:val="000000"/>
        </w:rPr>
        <w:t>contributions</w:t>
      </w:r>
      <w:r>
        <w:rPr>
          <w:color w:val="000000"/>
          <w:lang w:val="bg-BG"/>
        </w:rPr>
        <w:t xml:space="preserve"> </w:t>
      </w:r>
      <w:r>
        <w:rPr>
          <w:color w:val="000000"/>
        </w:rPr>
        <w:t>was</w:t>
      </w:r>
      <w:r>
        <w:rPr>
          <w:color w:val="000000"/>
          <w:lang w:val="bg-BG"/>
        </w:rPr>
        <w:t xml:space="preserve"> too short, </w:t>
      </w:r>
      <w:r>
        <w:rPr>
          <w:color w:val="000000"/>
        </w:rPr>
        <w:t>given</w:t>
      </w:r>
      <w:r>
        <w:rPr>
          <w:color w:val="000000"/>
          <w:lang w:val="bg-BG"/>
        </w:rPr>
        <w:t xml:space="preserve"> the volume of the legislation (two bills: one on registered partnerships, one introducing registered partnerships).</w:t>
      </w:r>
    </w:p>
    <w:p w14:paraId="00400459" w14:textId="77777777" w:rsidR="00FA7464" w:rsidRDefault="00FA7464" w:rsidP="00FA7464">
      <w:pPr>
        <w:spacing w:after="240"/>
        <w:jc w:val="both"/>
        <w:rPr>
          <w:color w:val="000000"/>
        </w:rPr>
      </w:pPr>
      <w:r>
        <w:rPr>
          <w:color w:val="000000"/>
        </w:rPr>
        <w:t xml:space="preserve">When it comes to the process of amending the Criminal Code, the public consultation process was not well managed. The first version of the bill was published in March 2024 and the idea was to amend the articles in the Criminal Code by adding sexual orientation, gender identity, age, gender (sex), and disability as aggravating factors regarding hate crimes and discrimination. There were 14 days of public consultation, in which numerous organisations participated, but their suggestions were rejected. In May, the bill was sent back to the governmental level, instead of proceeding to the Parliament. There was no official communication explaining why the bill was not sent to Parliament in May. In October </w:t>
      </w:r>
      <w:r>
        <w:rPr>
          <w:color w:val="000000"/>
        </w:rPr>
        <w:lastRenderedPageBreak/>
        <w:t xml:space="preserve">2024, the new version of the bill was published. The main change compared to the March version was the removal of the ground of gender identity, thereby removing intended protection for trans people. The second period of public consultation was only 5 days (3 working days), which could not be read as partnership-based treatment of CSOs. Furthermore, the majority of suggested amendments submitted in that round of consultation were not taken into consideration, and the bill was sent to the Parliament. </w:t>
      </w:r>
    </w:p>
    <w:p w14:paraId="32F3841A" w14:textId="77777777" w:rsidR="00FA7464" w:rsidRDefault="00FA7464" w:rsidP="00FA7464">
      <w:pPr>
        <w:spacing w:after="240"/>
        <w:jc w:val="both"/>
        <w:rPr>
          <w:b/>
          <w:color w:val="000000"/>
        </w:rPr>
      </w:pPr>
      <w:r>
        <w:rPr>
          <w:b/>
          <w:color w:val="000000"/>
        </w:rPr>
        <w:t xml:space="preserve">Recommendation: </w:t>
      </w:r>
    </w:p>
    <w:p w14:paraId="431FB502" w14:textId="77777777" w:rsidR="00FA7464" w:rsidRDefault="00FA7464" w:rsidP="00E65AEF">
      <w:pPr>
        <w:pStyle w:val="ListParagraph"/>
        <w:numPr>
          <w:ilvl w:val="0"/>
          <w:numId w:val="15"/>
        </w:numPr>
        <w:spacing w:after="240" w:line="254" w:lineRule="auto"/>
        <w:jc w:val="both"/>
        <w:rPr>
          <w:color w:val="000000"/>
        </w:rPr>
      </w:pPr>
      <w:r>
        <w:rPr>
          <w:color w:val="000000"/>
        </w:rPr>
        <w:t>Develop the channel of communication between the government and civil society to include civil society organisations in the legislation process and work on good standards of cooperation.</w:t>
      </w:r>
    </w:p>
    <w:p w14:paraId="326FF49B" w14:textId="77777777" w:rsidR="00FA7464" w:rsidRDefault="00FA7464" w:rsidP="00FA7464">
      <w:pPr>
        <w:spacing w:after="240"/>
        <w:rPr>
          <w:b/>
          <w:color w:val="2F5496" w:themeColor="accent1" w:themeShade="BF"/>
          <w:sz w:val="24"/>
          <w:szCs w:val="24"/>
        </w:rPr>
      </w:pPr>
      <w:r>
        <w:rPr>
          <w:b/>
          <w:color w:val="2F5496" w:themeColor="accent1" w:themeShade="BF"/>
          <w:sz w:val="24"/>
          <w:szCs w:val="24"/>
        </w:rPr>
        <w:t>C. Accessibility and judicial review of administrative decisions</w:t>
      </w:r>
    </w:p>
    <w:p w14:paraId="0C07A0D9" w14:textId="77777777" w:rsidR="00FA7464" w:rsidRDefault="00FA7464" w:rsidP="00FA7464">
      <w:pPr>
        <w:pStyle w:val="NormalWeb"/>
        <w:spacing w:before="0" w:beforeAutospacing="0" w:after="200" w:afterAutospacing="0"/>
        <w:jc w:val="both"/>
        <w:rPr>
          <w:rFonts w:ascii="Calibri" w:eastAsiaTheme="minorHAnsi" w:hAnsi="Calibri" w:cs="Calibri"/>
          <w:color w:val="2F5496" w:themeColor="accent1" w:themeShade="BF"/>
          <w:lang w:val="en-GB" w:eastAsia="en-GB"/>
        </w:rPr>
      </w:pPr>
      <w:r>
        <w:rPr>
          <w:rFonts w:ascii="Calibri" w:eastAsiaTheme="minorHAnsi" w:hAnsi="Calibri" w:cs="Calibri"/>
          <w:color w:val="2F5496" w:themeColor="accent1" w:themeShade="BF"/>
          <w:lang w:val="en-GB" w:eastAsia="en-GB"/>
        </w:rPr>
        <w:t>Implementation of final judgments by the public administration and State institutions and follow-up given to supranational judgments, including decisions from the European Court of Human Rights, as well as available remedies in case of non-implementation</w:t>
      </w:r>
    </w:p>
    <w:p w14:paraId="1BB263B3" w14:textId="77777777" w:rsidR="00FA7464" w:rsidRDefault="00FA7464" w:rsidP="00FA7464">
      <w:pPr>
        <w:pStyle w:val="NormalWeb"/>
        <w:spacing w:before="0" w:beforeAutospacing="0" w:after="200" w:afterAutospacing="0"/>
        <w:jc w:val="both"/>
        <w:rPr>
          <w:rFonts w:ascii="Calibri" w:hAnsi="Calibri" w:cs="Calibri"/>
          <w:b/>
          <w:color w:val="000000"/>
          <w:sz w:val="22"/>
          <w:szCs w:val="22"/>
          <w:lang w:val="en-GB"/>
        </w:rPr>
      </w:pPr>
      <w:r>
        <w:rPr>
          <w:rFonts w:ascii="Calibri" w:hAnsi="Calibri" w:cs="Calibri"/>
          <w:b/>
          <w:color w:val="000000"/>
          <w:sz w:val="22"/>
          <w:szCs w:val="22"/>
          <w:lang w:val="en-GB"/>
        </w:rPr>
        <w:t>Non-implementation of judgements of the European Court of Human Rights (ECtHR)</w:t>
      </w:r>
    </w:p>
    <w:p w14:paraId="25A78CB7" w14:textId="77777777" w:rsidR="00FA7464" w:rsidRDefault="00FA7464" w:rsidP="00FA7464">
      <w:pPr>
        <w:pStyle w:val="NormalWeb"/>
        <w:spacing w:before="0" w:beforeAutospacing="0" w:after="200" w:afterAutospacing="0"/>
        <w:jc w:val="both"/>
        <w:rPr>
          <w:rFonts w:ascii="Calibri" w:hAnsi="Calibri" w:cs="Calibri"/>
          <w:color w:val="000000"/>
          <w:sz w:val="22"/>
          <w:szCs w:val="22"/>
        </w:rPr>
      </w:pPr>
      <w:r>
        <w:rPr>
          <w:rFonts w:ascii="Calibri" w:hAnsi="Calibri" w:cs="Calibri"/>
          <w:color w:val="000000"/>
          <w:sz w:val="22"/>
          <w:szCs w:val="22"/>
          <w:lang w:val="en-GB"/>
        </w:rPr>
        <w:t xml:space="preserve">Judgements in the cases </w:t>
      </w:r>
      <w:hyperlink r:id="rId71" w:anchor="%7B%22itemid%22:[%22001-229391%22]%7D" w:history="1">
        <w:r>
          <w:rPr>
            <w:rStyle w:val="Hyperlink"/>
            <w:rFonts w:ascii="Calibri" w:hAnsi="Calibri" w:cs="Calibri"/>
            <w:color w:val="1155CC"/>
            <w:sz w:val="22"/>
            <w:szCs w:val="22"/>
          </w:rPr>
          <w:t>Przybyszewska and others v Poland</w:t>
        </w:r>
      </w:hyperlink>
      <w:r>
        <w:rPr>
          <w:rFonts w:ascii="Calibri" w:hAnsi="Calibri" w:cs="Calibri"/>
          <w:color w:val="000000"/>
          <w:sz w:val="22"/>
          <w:szCs w:val="22"/>
          <w:lang w:val="en-GB"/>
        </w:rPr>
        <w:t xml:space="preserve"> (March 2024) and </w:t>
      </w:r>
      <w:hyperlink r:id="rId72" w:anchor="{%22itemid%22:[%22001-235976%22]}" w:history="1">
        <w:proofErr w:type="spellStart"/>
        <w:r>
          <w:rPr>
            <w:rStyle w:val="Hyperlink"/>
            <w:rFonts w:ascii="Calibri" w:eastAsiaTheme="majorEastAsia" w:hAnsi="Calibri" w:cs="Calibri"/>
            <w:sz w:val="22"/>
            <w:szCs w:val="22"/>
            <w:lang w:val="en-GB"/>
          </w:rPr>
          <w:t>Formela</w:t>
        </w:r>
        <w:proofErr w:type="spellEnd"/>
        <w:r>
          <w:rPr>
            <w:rStyle w:val="Hyperlink"/>
            <w:rFonts w:ascii="Calibri" w:eastAsiaTheme="majorEastAsia" w:hAnsi="Calibri" w:cs="Calibri"/>
            <w:sz w:val="22"/>
            <w:szCs w:val="22"/>
            <w:lang w:val="en-GB"/>
          </w:rPr>
          <w:t xml:space="preserve"> and others v Poland</w:t>
        </w:r>
      </w:hyperlink>
      <w:r>
        <w:rPr>
          <w:rFonts w:ascii="Calibri" w:hAnsi="Calibri" w:cs="Calibri"/>
          <w:color w:val="000000"/>
          <w:sz w:val="22"/>
          <w:szCs w:val="22"/>
          <w:lang w:val="en-GB"/>
        </w:rPr>
        <w:t xml:space="preserve"> (September 2024) both found that Poland’s lack of legal recognition of same-sex couples constitutes a violation of Article 8 of the European Convention on Human Rights (ECHR). Poland has yet to rectify this by adopting legislation recognising and providing equal rights to same-sex couples.</w:t>
      </w:r>
      <w:r>
        <w:rPr>
          <w:rFonts w:ascii="Calibri" w:hAnsi="Calibri" w:cs="Calibri"/>
          <w:color w:val="000000"/>
          <w:sz w:val="22"/>
          <w:szCs w:val="22"/>
        </w:rPr>
        <w:t xml:space="preserve"> </w:t>
      </w:r>
    </w:p>
    <w:p w14:paraId="27CE1549" w14:textId="77777777" w:rsidR="00FA7464" w:rsidRDefault="00FA7464" w:rsidP="00FA7464">
      <w:pPr>
        <w:pStyle w:val="NormalWeb"/>
        <w:spacing w:before="0" w:beforeAutospacing="0" w:after="200" w:afterAutospacing="0"/>
        <w:jc w:val="both"/>
        <w:rPr>
          <w:rFonts w:ascii="Calibri" w:hAnsi="Calibri" w:cs="Calibri"/>
          <w:b/>
          <w:color w:val="000000"/>
          <w:sz w:val="22"/>
          <w:szCs w:val="22"/>
          <w:lang w:val="en-GB"/>
        </w:rPr>
      </w:pPr>
      <w:r>
        <w:rPr>
          <w:rFonts w:ascii="Calibri" w:hAnsi="Calibri" w:cs="Calibri"/>
          <w:b/>
          <w:color w:val="000000"/>
          <w:sz w:val="22"/>
          <w:szCs w:val="22"/>
          <w:lang w:val="en-GB"/>
        </w:rPr>
        <w:t>Non-implementation of CJEU judgement</w:t>
      </w:r>
    </w:p>
    <w:p w14:paraId="28134BF7" w14:textId="77777777" w:rsidR="00FA7464" w:rsidRDefault="00FA7464" w:rsidP="00FA7464">
      <w:pPr>
        <w:pStyle w:val="NormalWeb"/>
        <w:spacing w:before="0" w:beforeAutospacing="0" w:after="200" w:afterAutospacing="0"/>
        <w:jc w:val="both"/>
        <w:rPr>
          <w:rFonts w:ascii="Calibri" w:hAnsi="Calibri" w:cs="Calibri"/>
          <w:color w:val="000000"/>
          <w:sz w:val="22"/>
          <w:szCs w:val="22"/>
        </w:rPr>
      </w:pPr>
      <w:r>
        <w:rPr>
          <w:rFonts w:ascii="Calibri" w:hAnsi="Calibri" w:cs="Calibri"/>
          <w:color w:val="000000"/>
          <w:sz w:val="22"/>
          <w:szCs w:val="22"/>
          <w:lang w:val="en-GB"/>
        </w:rPr>
        <w:t xml:space="preserve">In June 2024 the CJEU ruled in Case </w:t>
      </w:r>
      <w:hyperlink r:id="rId73" w:history="1">
        <w:r>
          <w:rPr>
            <w:rStyle w:val="Hyperlink"/>
            <w:rFonts w:ascii="Calibri" w:hAnsi="Calibri" w:cs="Calibri"/>
            <w:color w:val="1155CC"/>
            <w:sz w:val="22"/>
            <w:szCs w:val="22"/>
          </w:rPr>
          <w:t>C-2/21</w:t>
        </w:r>
      </w:hyperlink>
      <w:r>
        <w:rPr>
          <w:lang w:val="en-GB"/>
        </w:rPr>
        <w:t xml:space="preserve"> </w:t>
      </w:r>
      <w:r>
        <w:rPr>
          <w:rFonts w:ascii="Calibri" w:hAnsi="Calibri" w:cs="Calibri"/>
          <w:color w:val="000000"/>
          <w:sz w:val="22"/>
          <w:szCs w:val="22"/>
          <w:lang w:val="en-GB"/>
        </w:rPr>
        <w:t xml:space="preserve">that EU Member States must, for the purposes of the child’s right to freedom of movement, recognise the document issued in another Member State that enables the freedom of movement (i.e. birth certificate), including when both parents named on the document are of the same sex. In addition, the Member State of which the child is a national must provide the child with an ID document and passport </w:t>
      </w:r>
      <w:r>
        <w:rPr>
          <w:rFonts w:ascii="Calibri" w:hAnsi="Calibri" w:cs="Calibri"/>
          <w:bCs/>
          <w:color w:val="000000"/>
          <w:sz w:val="22"/>
          <w:szCs w:val="22"/>
          <w:lang w:val="en-GB"/>
        </w:rPr>
        <w:t>without requiring the prior transcription of a birth certificate (obtained in another Member State) of that child into the national register of civil status. This judgement has still not been implemented, as there are no changes to date.</w:t>
      </w:r>
    </w:p>
    <w:p w14:paraId="07561049" w14:textId="77777777" w:rsidR="00FA7464" w:rsidRDefault="00FA7464" w:rsidP="00FA7464">
      <w:pPr>
        <w:spacing w:after="240"/>
        <w:jc w:val="both"/>
        <w:rPr>
          <w:b/>
          <w:szCs w:val="24"/>
        </w:rPr>
      </w:pPr>
      <w:r>
        <w:rPr>
          <w:b/>
          <w:szCs w:val="24"/>
        </w:rPr>
        <w:t>Recommendations:</w:t>
      </w:r>
    </w:p>
    <w:p w14:paraId="0BBB73ED" w14:textId="77777777" w:rsidR="00FA7464" w:rsidRDefault="00FA7464" w:rsidP="00E65AEF">
      <w:pPr>
        <w:pStyle w:val="ListParagraph"/>
        <w:numPr>
          <w:ilvl w:val="0"/>
          <w:numId w:val="15"/>
        </w:numPr>
        <w:spacing w:line="254" w:lineRule="auto"/>
        <w:jc w:val="both"/>
        <w:rPr>
          <w:b/>
          <w:szCs w:val="24"/>
        </w:rPr>
      </w:pPr>
      <w:r>
        <w:rPr>
          <w:szCs w:val="24"/>
        </w:rPr>
        <w:t>Adopt regulations protecting the safety of children raised by same-sex couples in Poland, including the possibility of revealing both parents’ names in the child’s documentation and allowing both parents to exercise their parental rights. </w:t>
      </w:r>
    </w:p>
    <w:p w14:paraId="315AEF70" w14:textId="77777777" w:rsidR="00FA7464" w:rsidRDefault="00FA7464" w:rsidP="00E65AEF">
      <w:pPr>
        <w:pStyle w:val="ListParagraph"/>
        <w:numPr>
          <w:ilvl w:val="0"/>
          <w:numId w:val="15"/>
        </w:numPr>
        <w:spacing w:after="240" w:line="254" w:lineRule="auto"/>
        <w:jc w:val="both"/>
        <w:rPr>
          <w:szCs w:val="24"/>
        </w:rPr>
      </w:pPr>
      <w:r>
        <w:rPr>
          <w:szCs w:val="24"/>
        </w:rPr>
        <w:t xml:space="preserve">Implement the ECtHR judgments obliging Poland to provide legal protection and recognition by adopting relevant civil union bills. Even though Poland adopted civil unions, marriage equality should be aspired to. </w:t>
      </w:r>
    </w:p>
    <w:p w14:paraId="08A07934" w14:textId="77777777" w:rsidR="00FA7464" w:rsidRDefault="00FA7464" w:rsidP="00FA7464">
      <w:pPr>
        <w:spacing w:after="240"/>
        <w:rPr>
          <w:b/>
          <w:color w:val="2F5496" w:themeColor="accent1" w:themeShade="BF"/>
          <w:sz w:val="24"/>
          <w:szCs w:val="24"/>
        </w:rPr>
      </w:pPr>
      <w:r>
        <w:rPr>
          <w:b/>
          <w:color w:val="2F5496" w:themeColor="accent1" w:themeShade="BF"/>
          <w:sz w:val="24"/>
          <w:szCs w:val="24"/>
        </w:rPr>
        <w:t>D. The enabling framework for civil society</w:t>
      </w:r>
    </w:p>
    <w:p w14:paraId="0F566762" w14:textId="77777777" w:rsidR="00FA7464" w:rsidRDefault="00FA7464" w:rsidP="00FA7464">
      <w:pPr>
        <w:spacing w:after="240"/>
        <w:rPr>
          <w:color w:val="2F5496" w:themeColor="accent1" w:themeShade="BF"/>
          <w:sz w:val="24"/>
          <w:szCs w:val="24"/>
        </w:rPr>
      </w:pPr>
      <w:r>
        <w:rPr>
          <w:color w:val="2F5496" w:themeColor="accent1" w:themeShade="BF"/>
          <w:sz w:val="24"/>
          <w:szCs w:val="24"/>
        </w:rPr>
        <w:t xml:space="preserve">Rules and practices having an impact on the effective operation and safety of civil society organisations and human rights defenders. This includes measures for protection from attacks – verbal, physical or online –, intimidation, legal threats incl. SLAPPs, negative narratives or smear campaigns, measures capable of affecting the public perception of civil </w:t>
      </w:r>
      <w:r>
        <w:rPr>
          <w:color w:val="2F5496" w:themeColor="accent1" w:themeShade="BF"/>
          <w:sz w:val="24"/>
          <w:szCs w:val="24"/>
        </w:rPr>
        <w:lastRenderedPageBreak/>
        <w:t>society organisations, etc. It also includes measures to monitor threats or attacks and dedicated support services.</w:t>
      </w:r>
    </w:p>
    <w:p w14:paraId="00C8C384" w14:textId="77777777" w:rsidR="00FA7464" w:rsidRDefault="00FA7464" w:rsidP="00FA7464">
      <w:pPr>
        <w:spacing w:after="240"/>
        <w:jc w:val="both"/>
      </w:pPr>
      <w:r>
        <w:t xml:space="preserve">By the end of 2024 in Poland there remained only three so-called “LGBT-free zones”, a decrease of 10 from last year’s submission. The remaining authorities are some of those who had adopted discriminatory Family Rights Charters: </w:t>
      </w:r>
      <w:proofErr w:type="spellStart"/>
      <w:r>
        <w:t>Łańcut</w:t>
      </w:r>
      <w:proofErr w:type="spellEnd"/>
      <w:r>
        <w:t xml:space="preserve"> county (powiat </w:t>
      </w:r>
      <w:proofErr w:type="spellStart"/>
      <w:r>
        <w:t>łańcucki</w:t>
      </w:r>
      <w:proofErr w:type="spellEnd"/>
      <w:r>
        <w:t xml:space="preserve">), </w:t>
      </w:r>
      <w:proofErr w:type="spellStart"/>
      <w:r>
        <w:t>Dębica</w:t>
      </w:r>
      <w:proofErr w:type="spellEnd"/>
      <w:r>
        <w:t xml:space="preserve"> county (powiat </w:t>
      </w:r>
      <w:proofErr w:type="spellStart"/>
      <w:r>
        <w:t>dębicki</w:t>
      </w:r>
      <w:proofErr w:type="spellEnd"/>
      <w:r>
        <w:t xml:space="preserve">) and the town of </w:t>
      </w:r>
      <w:proofErr w:type="spellStart"/>
      <w:r>
        <w:t>Dębica</w:t>
      </w:r>
      <w:proofErr w:type="spellEnd"/>
      <w:r>
        <w:t xml:space="preserve"> (</w:t>
      </w:r>
      <w:proofErr w:type="spellStart"/>
      <w:r>
        <w:t>miasto</w:t>
      </w:r>
      <w:proofErr w:type="spellEnd"/>
      <w:r>
        <w:t xml:space="preserve"> </w:t>
      </w:r>
      <w:proofErr w:type="spellStart"/>
      <w:r>
        <w:t>Dębica</w:t>
      </w:r>
      <w:proofErr w:type="spellEnd"/>
      <w:r>
        <w:t xml:space="preserve">). All three are in </w:t>
      </w:r>
      <w:proofErr w:type="spellStart"/>
      <w:r>
        <w:t>Podkarpacie</w:t>
      </w:r>
      <w:proofErr w:type="spellEnd"/>
      <w:r>
        <w:t xml:space="preserve"> region (</w:t>
      </w:r>
      <w:proofErr w:type="spellStart"/>
      <w:r>
        <w:t>województwo</w:t>
      </w:r>
      <w:proofErr w:type="spellEnd"/>
      <w:r>
        <w:t xml:space="preserve"> </w:t>
      </w:r>
      <w:proofErr w:type="spellStart"/>
      <w:r>
        <w:t>podkarpackie</w:t>
      </w:r>
      <w:proofErr w:type="spellEnd"/>
      <w:r>
        <w:t xml:space="preserve">) in southern-eastern Poland. Despite this, </w:t>
      </w:r>
      <w:proofErr w:type="spellStart"/>
      <w:r>
        <w:rPr>
          <w:color w:val="000000"/>
        </w:rPr>
        <w:t>Podkarpacie</w:t>
      </w:r>
      <w:proofErr w:type="spellEnd"/>
      <w:r>
        <w:rPr>
          <w:color w:val="000000"/>
        </w:rPr>
        <w:t xml:space="preserve"> Marshal’s Office approved the distribution of EU funds to </w:t>
      </w:r>
      <w:proofErr w:type="spellStart"/>
      <w:r>
        <w:t>Łańcut</w:t>
      </w:r>
      <w:proofErr w:type="spellEnd"/>
      <w:r>
        <w:t xml:space="preserve"> and </w:t>
      </w:r>
      <w:proofErr w:type="spellStart"/>
      <w:r>
        <w:t>Dębica</w:t>
      </w:r>
      <w:proofErr w:type="spellEnd"/>
      <w:r>
        <w:t xml:space="preserve">, in breach of the Partnership Agreement as the Family Rights Charters breach the principle of non-discrimination upheld by the EU’s Charter of Fundamental Rights. In December 2023 the Equality Watch Coalition notified the prosecutor’s office and the legal process was </w:t>
      </w:r>
      <w:hyperlink r:id="rId74" w:history="1">
        <w:r>
          <w:rPr>
            <w:rStyle w:val="Hyperlink"/>
          </w:rPr>
          <w:t>started</w:t>
        </w:r>
      </w:hyperlink>
      <w:r>
        <w:t xml:space="preserve">. The prosecutor's office in </w:t>
      </w:r>
      <w:proofErr w:type="spellStart"/>
      <w:r>
        <w:t>Rzeszów</w:t>
      </w:r>
      <w:proofErr w:type="spellEnd"/>
      <w:r>
        <w:t xml:space="preserve"> refused to initiate proceedings, and the district court rejected the appeal. As a result, NGOs </w:t>
      </w:r>
      <w:hyperlink r:id="rId75" w:history="1">
        <w:r>
          <w:rPr>
            <w:rStyle w:val="Hyperlink"/>
          </w:rPr>
          <w:t>submitted</w:t>
        </w:r>
      </w:hyperlink>
      <w:r>
        <w:t xml:space="preserve"> a complaint to the European Commission. In November 2024, the Commission requested explanations from the Ministry of Funds and Regional Policy (</w:t>
      </w:r>
      <w:proofErr w:type="spellStart"/>
      <w:r>
        <w:t>MFiPR</w:t>
      </w:r>
      <w:proofErr w:type="spellEnd"/>
      <w:r>
        <w:t>) who informed the Ombudsman about this. With the domestic stage still being investigated, the Commission closed the case.</w:t>
      </w:r>
    </w:p>
    <w:p w14:paraId="3101592C" w14:textId="77777777" w:rsidR="00FA7464" w:rsidRDefault="00FA7464" w:rsidP="00FA7464">
      <w:pPr>
        <w:spacing w:after="240"/>
        <w:jc w:val="both"/>
      </w:pPr>
      <w:r>
        <w:t>There are systemic problems for CSOs to access Monitoring Committees. Most LGBTI CSO workers are volunteers, and have regular jobs in other sectors. As a result, they cannot participate in meetings during the regular working day, without having to take annual leave (which can always be refused by the employer). Despite raising this in the National Committee for the Partnership Agreement, no systemic action has been taken to remedy this.</w:t>
      </w:r>
    </w:p>
    <w:p w14:paraId="1BC6CBFF" w14:textId="77777777" w:rsidR="00FA7464" w:rsidRDefault="00FA7464" w:rsidP="00FA7464">
      <w:pPr>
        <w:spacing w:after="240"/>
        <w:jc w:val="both"/>
      </w:pPr>
      <w:r>
        <w:t xml:space="preserve">Overall there was less LGBTI-phobic speech in the public discourse than in previous years. In February 2024, in the Sejm, the citizens’ bill STOP LGBT was </w:t>
      </w:r>
      <w:hyperlink r:id="rId76" w:history="1">
        <w:r>
          <w:rPr>
            <w:rStyle w:val="Hyperlink"/>
          </w:rPr>
          <w:t>read</w:t>
        </w:r>
      </w:hyperlink>
      <w:r>
        <w:t xml:space="preserve"> for the first time. The bill was discriminatory, LGBTI-phobic, repeated false statements and aimed to ban pride marches in Poland. There were many instances of LGBTI-phobic speech, which spokespersons Szymon </w:t>
      </w:r>
      <w:proofErr w:type="spellStart"/>
      <w:r>
        <w:t>Hołownia</w:t>
      </w:r>
      <w:proofErr w:type="spellEnd"/>
      <w:r>
        <w:t xml:space="preserve"> and later, Monika </w:t>
      </w:r>
      <w:proofErr w:type="spellStart"/>
      <w:r>
        <w:t>Wielichowska</w:t>
      </w:r>
      <w:proofErr w:type="spellEnd"/>
      <w:r>
        <w:t xml:space="preserve">, tried to react to, which represents a positive development in the efforts to combat such hate speech. The bill was eventually </w:t>
      </w:r>
      <w:hyperlink r:id="rId77" w:history="1">
        <w:r>
          <w:rPr>
            <w:rStyle w:val="Hyperlink"/>
          </w:rPr>
          <w:t>rejected</w:t>
        </w:r>
      </w:hyperlink>
      <w:r>
        <w:t>.</w:t>
      </w:r>
    </w:p>
    <w:p w14:paraId="348CC0E7" w14:textId="77777777" w:rsidR="00FA7464" w:rsidRDefault="00FA7464" w:rsidP="00FA7464">
      <w:pPr>
        <w:spacing w:after="240"/>
        <w:jc w:val="both"/>
      </w:pPr>
      <w:r>
        <w:t xml:space="preserve">In September, Ordo </w:t>
      </w:r>
      <w:proofErr w:type="spellStart"/>
      <w:r>
        <w:t>Iuris</w:t>
      </w:r>
      <w:proofErr w:type="spellEnd"/>
      <w:r>
        <w:t xml:space="preserve"> published</w:t>
      </w:r>
      <w:hyperlink r:id="rId78" w:history="1">
        <w:r>
          <w:rPr>
            <w:rStyle w:val="Hyperlink"/>
          </w:rPr>
          <w:t xml:space="preserve"> a guide for teachers</w:t>
        </w:r>
      </w:hyperlink>
      <w:r>
        <w:t>, in which they try to convince teachers not to use preferred pronouns or chosen names of trans youth. The publication not only repeated false statements but was also transphobic and harmful to the trans youth. CSOs reacted to the publication (</w:t>
      </w:r>
      <w:r>
        <w:rPr>
          <w:i/>
          <w:iCs/>
        </w:rPr>
        <w:t>inter alia</w:t>
      </w:r>
      <w:r>
        <w:t xml:space="preserve"> </w:t>
      </w:r>
      <w:hyperlink r:id="rId79" w:history="1">
        <w:r>
          <w:rPr>
            <w:rStyle w:val="Hyperlink"/>
          </w:rPr>
          <w:t>KPH</w:t>
        </w:r>
      </w:hyperlink>
      <w:r>
        <w:t xml:space="preserve"> and </w:t>
      </w:r>
      <w:hyperlink r:id="rId80" w:history="1">
        <w:r>
          <w:rPr>
            <w:rStyle w:val="Hyperlink"/>
          </w:rPr>
          <w:t>Grow Space Foundation</w:t>
        </w:r>
      </w:hyperlink>
      <w:r>
        <w:t xml:space="preserve">). Surprisingly there was no decisive reaction from the Ministry of Education in this matter. </w:t>
      </w:r>
    </w:p>
    <w:p w14:paraId="16D13626" w14:textId="77777777" w:rsidR="00FA7464" w:rsidRDefault="00FA7464" w:rsidP="00FA7464">
      <w:pPr>
        <w:spacing w:after="240"/>
        <w:jc w:val="both"/>
      </w:pPr>
      <w:r>
        <w:t xml:space="preserve">As mentioned in section I.V. A., protection for trans people from hate crime and hate speech has been removed from the draft amendments to the Criminal Code. As a result, trans people remain insufficiently protected. No reason has been given for the removal of gender identity as protected grounds. In June 2024 the Ministry of Justice </w:t>
      </w:r>
      <w:hyperlink r:id="rId81" w:history="1">
        <w:r>
          <w:rPr>
            <w:rStyle w:val="Hyperlink"/>
          </w:rPr>
          <w:t>established</w:t>
        </w:r>
      </w:hyperlink>
      <w:r>
        <w:t xml:space="preserve"> a working group to create a strategy to combat hate crime and hate speech. However so far there is no public information about the work of the group or potential guidelines to judges and prosecutors.</w:t>
      </w:r>
    </w:p>
    <w:p w14:paraId="731711ED" w14:textId="77777777" w:rsidR="00FA7464" w:rsidRDefault="00FA7464" w:rsidP="00FA7464">
      <w:pPr>
        <w:spacing w:after="240"/>
        <w:jc w:val="both"/>
      </w:pPr>
      <w:r>
        <w:rPr>
          <w:color w:val="000000"/>
        </w:rPr>
        <w:t xml:space="preserve">In 2024, approximately 40 Pride marches took place, the majority peacefully. However, there were some counter demonstrations. In </w:t>
      </w:r>
      <w:proofErr w:type="spellStart"/>
      <w:r>
        <w:rPr>
          <w:color w:val="000000"/>
        </w:rPr>
        <w:t>Rzeszów</w:t>
      </w:r>
      <w:proofErr w:type="spellEnd"/>
      <w:r>
        <w:rPr>
          <w:color w:val="000000"/>
        </w:rPr>
        <w:t xml:space="preserve"> counter demonstrators threw eggs and yogurt cups at participants. In Opole, the after-Pride party was </w:t>
      </w:r>
      <w:hyperlink r:id="rId82" w:history="1">
        <w:r>
          <w:rPr>
            <w:rStyle w:val="Hyperlink"/>
          </w:rPr>
          <w:t>attacked</w:t>
        </w:r>
      </w:hyperlink>
      <w:r>
        <w:rPr>
          <w:color w:val="000000"/>
        </w:rPr>
        <w:t xml:space="preserve">, and LGBTI people were also </w:t>
      </w:r>
      <w:hyperlink r:id="rId83" w:history="1">
        <w:r>
          <w:rPr>
            <w:rStyle w:val="Hyperlink"/>
          </w:rPr>
          <w:t>attacked</w:t>
        </w:r>
      </w:hyperlink>
      <w:r>
        <w:rPr>
          <w:color w:val="000000"/>
        </w:rPr>
        <w:t xml:space="preserve"> during a local pottery festival in </w:t>
      </w:r>
      <w:proofErr w:type="spellStart"/>
      <w:r>
        <w:t>Bolesławiec</w:t>
      </w:r>
      <w:proofErr w:type="spellEnd"/>
      <w:r>
        <w:t>. There are no updates on the follow-up of these incidents by relevant authorities.</w:t>
      </w:r>
    </w:p>
    <w:p w14:paraId="5717A98B" w14:textId="77777777" w:rsidR="00FA7464" w:rsidRDefault="00FA7464" w:rsidP="00FA7464">
      <w:pPr>
        <w:spacing w:after="240"/>
        <w:jc w:val="both"/>
        <w:rPr>
          <w:b/>
        </w:rPr>
      </w:pPr>
      <w:r>
        <w:rPr>
          <w:b/>
        </w:rPr>
        <w:t>Recommendations:</w:t>
      </w:r>
    </w:p>
    <w:p w14:paraId="41D02611" w14:textId="77777777" w:rsidR="00FA7464" w:rsidRDefault="00FA7464" w:rsidP="00E65AEF">
      <w:pPr>
        <w:numPr>
          <w:ilvl w:val="0"/>
          <w:numId w:val="16"/>
        </w:numPr>
        <w:jc w:val="both"/>
      </w:pPr>
      <w:r>
        <w:lastRenderedPageBreak/>
        <w:t>Provide systemic solutions for workers participating in Monitoring Committees on the EU and national level, such as provisions for compensation for meetings during workdays.</w:t>
      </w:r>
    </w:p>
    <w:p w14:paraId="69513B95" w14:textId="77777777" w:rsidR="00FA7464" w:rsidRDefault="00FA7464" w:rsidP="00E65AEF">
      <w:pPr>
        <w:numPr>
          <w:ilvl w:val="0"/>
          <w:numId w:val="16"/>
        </w:numPr>
        <w:jc w:val="both"/>
      </w:pPr>
      <w:r>
        <w:t>Ensure Poland undertakes all measures to remove all discriminatory resolutions. </w:t>
      </w:r>
    </w:p>
    <w:p w14:paraId="6C67A210" w14:textId="77777777" w:rsidR="00FA7464" w:rsidRDefault="00FA7464" w:rsidP="00E65AEF">
      <w:pPr>
        <w:numPr>
          <w:ilvl w:val="0"/>
          <w:numId w:val="16"/>
        </w:numPr>
        <w:jc w:val="both"/>
      </w:pPr>
      <w:r>
        <w:t>Adopt non-legislative measures to ensure the hate speech and hate crimes based on SOGIESC are investigated properly. </w:t>
      </w:r>
    </w:p>
    <w:p w14:paraId="5EC11EF8" w14:textId="77777777" w:rsidR="00FA7464" w:rsidRDefault="00FA7464" w:rsidP="00E65AEF">
      <w:pPr>
        <w:numPr>
          <w:ilvl w:val="0"/>
          <w:numId w:val="16"/>
        </w:numPr>
        <w:jc w:val="both"/>
      </w:pPr>
      <w:r>
        <w:t>Ensure the police react properly to violence and hate speech during pride marches.</w:t>
      </w:r>
    </w:p>
    <w:p w14:paraId="31CE044F" w14:textId="77777777" w:rsidR="00FA7464" w:rsidRDefault="00FA7464" w:rsidP="00E65AEF">
      <w:pPr>
        <w:numPr>
          <w:ilvl w:val="0"/>
          <w:numId w:val="16"/>
        </w:numPr>
        <w:jc w:val="both"/>
      </w:pPr>
      <w:r>
        <w:t xml:space="preserve">React to every smear campaign, especially those targeting very vulnerable groups, including trans youth. </w:t>
      </w:r>
    </w:p>
    <w:p w14:paraId="339FB942" w14:textId="173685AE" w:rsidR="002665D7" w:rsidRDefault="002665D7" w:rsidP="00032E6D">
      <w:pPr>
        <w:spacing w:after="240"/>
        <w:jc w:val="both"/>
        <w:rPr>
          <w:bCs/>
        </w:rPr>
      </w:pPr>
    </w:p>
    <w:p w14:paraId="21B32759" w14:textId="6A973B98" w:rsidR="002665D7" w:rsidRDefault="002665D7" w:rsidP="00032E6D">
      <w:pPr>
        <w:spacing w:after="240"/>
        <w:jc w:val="both"/>
        <w:rPr>
          <w:bCs/>
        </w:rPr>
      </w:pPr>
    </w:p>
    <w:p w14:paraId="46D62C88" w14:textId="47EB9802" w:rsidR="002665D7" w:rsidRDefault="002665D7" w:rsidP="00032E6D">
      <w:pPr>
        <w:spacing w:after="240"/>
        <w:jc w:val="both"/>
        <w:rPr>
          <w:bCs/>
        </w:rPr>
      </w:pPr>
    </w:p>
    <w:p w14:paraId="34336203" w14:textId="25B6C89F" w:rsidR="002665D7" w:rsidRDefault="002665D7" w:rsidP="00032E6D">
      <w:pPr>
        <w:spacing w:after="240"/>
        <w:jc w:val="both"/>
        <w:rPr>
          <w:bCs/>
        </w:rPr>
      </w:pPr>
    </w:p>
    <w:p w14:paraId="703B41BE" w14:textId="1E80AC57" w:rsidR="002665D7" w:rsidRDefault="002665D7" w:rsidP="00032E6D">
      <w:pPr>
        <w:spacing w:after="240"/>
        <w:jc w:val="both"/>
        <w:rPr>
          <w:bCs/>
        </w:rPr>
      </w:pPr>
    </w:p>
    <w:p w14:paraId="496035B6" w14:textId="5A00C2AA" w:rsidR="002665D7" w:rsidRDefault="002665D7" w:rsidP="00032E6D">
      <w:pPr>
        <w:spacing w:after="240"/>
        <w:jc w:val="both"/>
        <w:rPr>
          <w:bCs/>
        </w:rPr>
      </w:pPr>
    </w:p>
    <w:p w14:paraId="6A38D9E2" w14:textId="220BA30C" w:rsidR="00785E42" w:rsidRDefault="00785E42" w:rsidP="00032E6D">
      <w:pPr>
        <w:spacing w:after="240"/>
        <w:jc w:val="both"/>
        <w:rPr>
          <w:bCs/>
        </w:rPr>
      </w:pPr>
    </w:p>
    <w:p w14:paraId="337AC513" w14:textId="07E728D9" w:rsidR="00785E42" w:rsidRDefault="00785E42" w:rsidP="00032E6D">
      <w:pPr>
        <w:spacing w:after="240"/>
        <w:jc w:val="both"/>
        <w:rPr>
          <w:bCs/>
        </w:rPr>
      </w:pPr>
    </w:p>
    <w:p w14:paraId="4A16B01F" w14:textId="77777777" w:rsidR="00785E42" w:rsidRDefault="00785E42" w:rsidP="00032E6D">
      <w:pPr>
        <w:spacing w:after="240"/>
        <w:jc w:val="both"/>
        <w:rPr>
          <w:bCs/>
        </w:rPr>
      </w:pPr>
    </w:p>
    <w:p w14:paraId="297C30D2" w14:textId="295AAB0D" w:rsidR="002665D7" w:rsidRDefault="002665D7" w:rsidP="00032E6D">
      <w:pPr>
        <w:spacing w:after="240"/>
        <w:jc w:val="both"/>
        <w:rPr>
          <w:bCs/>
        </w:rPr>
      </w:pPr>
    </w:p>
    <w:p w14:paraId="1660CCEB" w14:textId="1AA219E2" w:rsidR="00376A58" w:rsidRDefault="00376A58" w:rsidP="00032E6D">
      <w:pPr>
        <w:spacing w:after="240"/>
        <w:jc w:val="both"/>
        <w:rPr>
          <w:bCs/>
        </w:rPr>
      </w:pPr>
    </w:p>
    <w:p w14:paraId="57C7A3A7" w14:textId="2A698ADD" w:rsidR="00376A58" w:rsidRDefault="00376A58" w:rsidP="00032E6D">
      <w:pPr>
        <w:spacing w:after="240"/>
        <w:jc w:val="both"/>
        <w:rPr>
          <w:bCs/>
        </w:rPr>
      </w:pPr>
    </w:p>
    <w:p w14:paraId="2E00FF60" w14:textId="4849433A" w:rsidR="00376A58" w:rsidRDefault="00376A58" w:rsidP="00032E6D">
      <w:pPr>
        <w:spacing w:after="240"/>
        <w:jc w:val="both"/>
        <w:rPr>
          <w:bCs/>
        </w:rPr>
      </w:pPr>
    </w:p>
    <w:p w14:paraId="3DA4DA91" w14:textId="693FDD52" w:rsidR="00376A58" w:rsidRDefault="00376A58" w:rsidP="00032E6D">
      <w:pPr>
        <w:spacing w:after="240"/>
        <w:jc w:val="both"/>
        <w:rPr>
          <w:bCs/>
        </w:rPr>
      </w:pPr>
    </w:p>
    <w:p w14:paraId="521A849B" w14:textId="0C48C479" w:rsidR="00376A58" w:rsidRDefault="00376A58" w:rsidP="00032E6D">
      <w:pPr>
        <w:spacing w:after="240"/>
        <w:jc w:val="both"/>
        <w:rPr>
          <w:bCs/>
        </w:rPr>
      </w:pPr>
    </w:p>
    <w:p w14:paraId="5EA5FEB7" w14:textId="798D12E1" w:rsidR="00376A58" w:rsidRDefault="00376A58" w:rsidP="00032E6D">
      <w:pPr>
        <w:spacing w:after="240"/>
        <w:jc w:val="both"/>
        <w:rPr>
          <w:bCs/>
        </w:rPr>
      </w:pPr>
    </w:p>
    <w:p w14:paraId="341A2C96" w14:textId="25A103C7" w:rsidR="00376A58" w:rsidRDefault="00376A58" w:rsidP="00032E6D">
      <w:pPr>
        <w:spacing w:after="240"/>
        <w:jc w:val="both"/>
        <w:rPr>
          <w:bCs/>
        </w:rPr>
      </w:pPr>
    </w:p>
    <w:p w14:paraId="2D1AB50C" w14:textId="24DEE2DF" w:rsidR="00376A58" w:rsidRDefault="00376A58" w:rsidP="00032E6D">
      <w:pPr>
        <w:spacing w:after="240"/>
        <w:jc w:val="both"/>
        <w:rPr>
          <w:bCs/>
        </w:rPr>
      </w:pPr>
    </w:p>
    <w:p w14:paraId="15B2477A" w14:textId="009A9755" w:rsidR="00376A58" w:rsidRDefault="00376A58" w:rsidP="00032E6D">
      <w:pPr>
        <w:spacing w:after="240"/>
        <w:jc w:val="both"/>
        <w:rPr>
          <w:bCs/>
        </w:rPr>
      </w:pPr>
    </w:p>
    <w:p w14:paraId="45AC3540" w14:textId="4772C63F" w:rsidR="00376A58" w:rsidRDefault="00376A58" w:rsidP="00032E6D">
      <w:pPr>
        <w:spacing w:after="240"/>
        <w:jc w:val="both"/>
        <w:rPr>
          <w:bCs/>
        </w:rPr>
      </w:pPr>
    </w:p>
    <w:p w14:paraId="192C3296" w14:textId="7F34CE83" w:rsidR="00376A58" w:rsidRDefault="00376A58" w:rsidP="00032E6D">
      <w:pPr>
        <w:spacing w:after="240"/>
        <w:jc w:val="both"/>
        <w:rPr>
          <w:bCs/>
        </w:rPr>
      </w:pPr>
    </w:p>
    <w:p w14:paraId="27E37BD7" w14:textId="77777777" w:rsidR="00E65AEF" w:rsidRPr="00032E6D" w:rsidRDefault="00E65AEF" w:rsidP="00032E6D">
      <w:pPr>
        <w:spacing w:after="240"/>
        <w:jc w:val="both"/>
        <w:rPr>
          <w:bCs/>
        </w:rPr>
      </w:pPr>
    </w:p>
    <w:p w14:paraId="5D0E0D88" w14:textId="77777777" w:rsidR="00E65AEF" w:rsidRDefault="00E65AEF" w:rsidP="00E65AEF">
      <w:pPr>
        <w:pStyle w:val="Heading1"/>
      </w:pPr>
      <w:bookmarkStart w:id="22" w:name="_heading=h.gjdgxs"/>
      <w:bookmarkStart w:id="23" w:name="_Toc188863993"/>
      <w:bookmarkEnd w:id="22"/>
      <w:r>
        <w:lastRenderedPageBreak/>
        <w:t>Romania</w:t>
      </w:r>
      <w:bookmarkEnd w:id="23"/>
    </w:p>
    <w:p w14:paraId="7F2A02DA" w14:textId="77777777" w:rsidR="00E65AEF" w:rsidRDefault="00E65AEF" w:rsidP="00E65AEF">
      <w:pPr>
        <w:rPr>
          <w:b/>
          <w:color w:val="2F5496"/>
          <w:sz w:val="24"/>
          <w:szCs w:val="24"/>
          <w:u w:val="single"/>
        </w:rPr>
      </w:pPr>
      <w:r>
        <w:rPr>
          <w:b/>
          <w:color w:val="2F5496"/>
          <w:sz w:val="24"/>
          <w:szCs w:val="24"/>
          <w:u w:val="single"/>
        </w:rPr>
        <w:t>I. Justice System</w:t>
      </w:r>
    </w:p>
    <w:p w14:paraId="09BC6D58" w14:textId="77777777" w:rsidR="00E65AEF" w:rsidRDefault="00E65AEF" w:rsidP="00E65AEF">
      <w:pPr>
        <w:spacing w:after="240"/>
        <w:rPr>
          <w:b/>
          <w:color w:val="2F5496"/>
          <w:sz w:val="24"/>
          <w:szCs w:val="24"/>
        </w:rPr>
      </w:pPr>
      <w:r>
        <w:rPr>
          <w:b/>
          <w:color w:val="2F5496"/>
          <w:sz w:val="24"/>
          <w:szCs w:val="24"/>
        </w:rPr>
        <w:t>C. Efficiency of the Justice System</w:t>
      </w:r>
    </w:p>
    <w:p w14:paraId="1CBB7E18" w14:textId="77777777" w:rsidR="00E65AEF" w:rsidRDefault="00E65AEF" w:rsidP="00E65AEF">
      <w:pPr>
        <w:spacing w:after="240"/>
        <w:rPr>
          <w:color w:val="2F5496"/>
          <w:sz w:val="24"/>
          <w:szCs w:val="24"/>
        </w:rPr>
      </w:pPr>
      <w:r>
        <w:rPr>
          <w:color w:val="2F5496"/>
          <w:sz w:val="24"/>
          <w:szCs w:val="24"/>
        </w:rPr>
        <w:t>Any other developments related to the justice system - please specify</w:t>
      </w:r>
    </w:p>
    <w:p w14:paraId="5FE1303D" w14:textId="77777777" w:rsidR="00E65AEF" w:rsidRDefault="00E65AEF" w:rsidP="00E65AEF">
      <w:pPr>
        <w:spacing w:after="240"/>
        <w:jc w:val="both"/>
      </w:pPr>
      <w:r>
        <w:t>Barriers to justice for LGBTI persons persist due to procedural inefficiencies and discriminatory practices among public servants, and due to the overall lack of knowledge on LGBTI issues and misinformation spread about LGBTI persons in the public sphere. The National Council for Combating Discrimination (CNCD) lacks transparency in terms of its deadlines</w:t>
      </w:r>
      <w:r>
        <w:rPr>
          <w:i/>
        </w:rPr>
        <w:t xml:space="preserve">, </w:t>
      </w:r>
      <w:r>
        <w:t xml:space="preserve">with recent procedural changes making it less accessible. For example, a </w:t>
      </w:r>
      <w:hyperlink r:id="rId84" w:history="1">
        <w:r>
          <w:rPr>
            <w:rStyle w:val="Hyperlink"/>
            <w:color w:val="0563C1"/>
          </w:rPr>
          <w:t>new procedure</w:t>
        </w:r>
      </w:hyperlink>
      <w:r>
        <w:t xml:space="preserve"> was adopted this year that requires a majority vote among the Council members for self-initiated investigations, significantly slowing the resolution process. </w:t>
      </w:r>
    </w:p>
    <w:p w14:paraId="5D0485FA" w14:textId="77777777" w:rsidR="00E65AEF" w:rsidRDefault="00E65AEF" w:rsidP="00E65AEF">
      <w:pPr>
        <w:spacing w:after="240"/>
        <w:jc w:val="both"/>
      </w:pPr>
      <w:r>
        <w:t>In addition, legal cases are often prolonged, and often complaints filed to the police do not receive any update after submission. This year complaints regarding hate speech committed by public officials against LGBTI people were submitted under the electoral law to the competent authorities (Bucharest Police and the Central Electoral Bureau). According to the electoral law these should have been dealt with expeditiously, however they were redirected to the CNCD which has much longer deadlines and is overloaded. As a result, LGBTI-phobic public social media posts and statements made during the 2024 election campaigns (see more under IV. D.) were not removed, continuing the discrimination, smear campaigns and hate speech against LGBTI people.</w:t>
      </w:r>
    </w:p>
    <w:p w14:paraId="11949E4A" w14:textId="77777777" w:rsidR="00E65AEF" w:rsidRDefault="00E65AEF" w:rsidP="00E65AEF">
      <w:pPr>
        <w:spacing w:after="240"/>
        <w:jc w:val="both"/>
      </w:pPr>
      <w:r>
        <w:t>Although as of 2020, prosecutors have at their disposal a methodology for investigating hate crimes, adopted by Order No. 184 of October 30, 2020 of the General Prosecutor of the Prosecutor's Office of the High Court of Cassation and Justice, reporting of hate crime remains low and people have more trust in CSOs rather than public authorities. This lack of trust is compounded by slow and redirected procedures as referenced above.</w:t>
      </w:r>
    </w:p>
    <w:p w14:paraId="0D8947E4" w14:textId="77777777" w:rsidR="00E65AEF" w:rsidRDefault="00E65AEF" w:rsidP="00E65AEF"/>
    <w:p w14:paraId="6697A27C" w14:textId="77777777" w:rsidR="00E65AEF" w:rsidRDefault="00E65AEF" w:rsidP="00E65AEF">
      <w:pPr>
        <w:rPr>
          <w:b/>
          <w:color w:val="2F5496"/>
          <w:sz w:val="24"/>
          <w:szCs w:val="24"/>
          <w:u w:val="single"/>
        </w:rPr>
      </w:pPr>
      <w:r>
        <w:rPr>
          <w:b/>
          <w:color w:val="2F5496"/>
          <w:sz w:val="24"/>
          <w:szCs w:val="24"/>
          <w:u w:val="single"/>
        </w:rPr>
        <w:t>III. Media Freedom and Pluralism</w:t>
      </w:r>
    </w:p>
    <w:p w14:paraId="624152C6" w14:textId="77777777" w:rsidR="00E65AEF" w:rsidRDefault="00E65AEF" w:rsidP="00E65AEF">
      <w:pPr>
        <w:spacing w:after="240"/>
        <w:rPr>
          <w:b/>
          <w:sz w:val="24"/>
          <w:szCs w:val="24"/>
        </w:rPr>
      </w:pPr>
      <w:r>
        <w:rPr>
          <w:b/>
          <w:color w:val="2F5496"/>
          <w:sz w:val="24"/>
          <w:szCs w:val="24"/>
        </w:rPr>
        <w:t>B. Safeguards against government or political interference and transparency and concentration of media ownership</w:t>
      </w:r>
    </w:p>
    <w:p w14:paraId="7F116D10" w14:textId="77777777" w:rsidR="00E65AEF" w:rsidRDefault="00E65AEF" w:rsidP="00E65AEF">
      <w:pPr>
        <w:spacing w:after="240"/>
        <w:rPr>
          <w:color w:val="2F5496"/>
          <w:sz w:val="24"/>
          <w:szCs w:val="24"/>
        </w:rPr>
      </w:pPr>
      <w:r>
        <w:rPr>
          <w:color w:val="2F5496"/>
          <w:sz w:val="24"/>
          <w:szCs w:val="24"/>
        </w:rPr>
        <w:t>Safeguards against state / political interference, in particular:</w:t>
      </w:r>
    </w:p>
    <w:p w14:paraId="5A91F7AC" w14:textId="77777777" w:rsidR="00E65AEF" w:rsidRDefault="00E65AEF" w:rsidP="00E65AEF">
      <w:pPr>
        <w:numPr>
          <w:ilvl w:val="0"/>
          <w:numId w:val="3"/>
        </w:numPr>
        <w:spacing w:line="252" w:lineRule="auto"/>
        <w:rPr>
          <w:color w:val="2F5496"/>
          <w:sz w:val="24"/>
          <w:szCs w:val="24"/>
        </w:rPr>
      </w:pPr>
      <w:r>
        <w:rPr>
          <w:color w:val="2F5496"/>
          <w:sz w:val="24"/>
          <w:szCs w:val="24"/>
        </w:rPr>
        <w:t>safeguards to ensure editorial independence of media (private and public)</w:t>
      </w:r>
    </w:p>
    <w:p w14:paraId="2CD75AE0" w14:textId="77777777" w:rsidR="00E65AEF" w:rsidRDefault="00E65AEF" w:rsidP="00E65AEF">
      <w:pPr>
        <w:numPr>
          <w:ilvl w:val="0"/>
          <w:numId w:val="3"/>
        </w:numPr>
        <w:spacing w:line="252" w:lineRule="auto"/>
        <w:rPr>
          <w:color w:val="2F5496"/>
          <w:sz w:val="24"/>
          <w:szCs w:val="24"/>
        </w:rPr>
      </w:pPr>
      <w:r>
        <w:rPr>
          <w:color w:val="2F5496"/>
          <w:sz w:val="24"/>
          <w:szCs w:val="24"/>
        </w:rPr>
        <w:t>specific safeguards for the independence of heads of management and members of the governing boards of public service media (e.g. related to appointment, dismissal), safeguards for their operational independence (e.g. related to reporting obligations and the allocation of resources) and safeguards for plurality of information and opinions</w:t>
      </w:r>
    </w:p>
    <w:p w14:paraId="5CC61199" w14:textId="77777777" w:rsidR="00E65AEF" w:rsidRDefault="00E65AEF" w:rsidP="00E65AEF">
      <w:pPr>
        <w:numPr>
          <w:ilvl w:val="0"/>
          <w:numId w:val="3"/>
        </w:numPr>
        <w:spacing w:after="240" w:line="252" w:lineRule="auto"/>
        <w:rPr>
          <w:color w:val="2F5496"/>
          <w:sz w:val="24"/>
          <w:szCs w:val="24"/>
        </w:rPr>
      </w:pPr>
      <w:r>
        <w:rPr>
          <w:color w:val="2F5496"/>
          <w:sz w:val="24"/>
          <w:szCs w:val="24"/>
        </w:rPr>
        <w:t>information on specific legal provisions and procedures applying to media service providers, including as regards granting/renewal/termination of licenses, company operation, capital entry requirements, concentration and corporate governance</w:t>
      </w:r>
    </w:p>
    <w:p w14:paraId="359E0CB3" w14:textId="77777777" w:rsidR="00E65AEF" w:rsidRDefault="00E65AEF" w:rsidP="00E65AEF">
      <w:pPr>
        <w:spacing w:after="240"/>
        <w:jc w:val="both"/>
      </w:pPr>
      <w:r>
        <w:t xml:space="preserve">With the exception of some small-medium news outlets, all the mainstream media outlets have private ownership which have legal contracts in place with political parties, displaying information and covering comfortable topics for the latter. These are contracts that most parliamentary political </w:t>
      </w:r>
      <w:r>
        <w:lastRenderedPageBreak/>
        <w:t xml:space="preserve">parties have or parties who have obtained a certain number of local seats in the elections (for mayors, local or county councillors), as these parties receive state subsidies which they can spend this way. As a result, some media outlets still give politicians the platform to propagate anti-LGBTI narratives. For instance, MEPs Cristian </w:t>
      </w:r>
      <w:proofErr w:type="spellStart"/>
      <w:r>
        <w:t>Terheș</w:t>
      </w:r>
      <w:proofErr w:type="spellEnd"/>
      <w:r>
        <w:t xml:space="preserve"> and Diana </w:t>
      </w:r>
      <w:proofErr w:type="spellStart"/>
      <w:r>
        <w:t>Ivanovici</w:t>
      </w:r>
      <w:proofErr w:type="spellEnd"/>
      <w:r>
        <w:t xml:space="preserve"> </w:t>
      </w:r>
      <w:proofErr w:type="spellStart"/>
      <w:r>
        <w:t>Șoșoacă</w:t>
      </w:r>
      <w:proofErr w:type="spellEnd"/>
      <w:r>
        <w:t xml:space="preserve"> have used public platforms to disseminate hate speech against LGBTI persons without significant repercussions. In the political sphere, more and more people have used hate speech against LGBTI people to further their political agenda, through media outlets. ACCEPT has made several complaints to the National </w:t>
      </w:r>
      <w:proofErr w:type="spellStart"/>
      <w:r>
        <w:t>Audiovisual</w:t>
      </w:r>
      <w:proofErr w:type="spellEnd"/>
      <w:r>
        <w:t xml:space="preserve"> Council (CNA) for LGBTI-phobic statements broadcast on air presented as mere political opinions, with broadcasters failing to fulfil their obligation to moderate the speech of guests on their programs. One such case is that of MEP Cristian </w:t>
      </w:r>
      <w:proofErr w:type="spellStart"/>
      <w:r>
        <w:t>Terheș</w:t>
      </w:r>
      <w:proofErr w:type="spellEnd"/>
      <w:r>
        <w:t xml:space="preserve">, who, following the Eurovision Song Contest in which a non-binary person won the top prize, made several bias-motivated statements against non-binary people. The CNA </w:t>
      </w:r>
      <w:hyperlink r:id="rId85" w:history="1">
        <w:r>
          <w:rPr>
            <w:rStyle w:val="Hyperlink"/>
            <w:color w:val="0563C1"/>
          </w:rPr>
          <w:t>sanctioned</w:t>
        </w:r>
      </w:hyperlink>
      <w:r>
        <w:t xml:space="preserve"> the TV station following ACCEPT’s complaint. Another notable name who has used this type of </w:t>
      </w:r>
      <w:hyperlink r:id="rId86" w:history="1">
        <w:r>
          <w:rPr>
            <w:rStyle w:val="Hyperlink"/>
            <w:color w:val="0563C1"/>
          </w:rPr>
          <w:t>anti-EU and anti-LGBTI discourse</w:t>
        </w:r>
      </w:hyperlink>
      <w:r>
        <w:t xml:space="preserve"> is MEP Diana </w:t>
      </w:r>
      <w:proofErr w:type="spellStart"/>
      <w:r>
        <w:t>Ivanovici</w:t>
      </w:r>
      <w:proofErr w:type="spellEnd"/>
      <w:r>
        <w:t xml:space="preserve"> </w:t>
      </w:r>
      <w:proofErr w:type="spellStart"/>
      <w:r>
        <w:t>Șoșoacă</w:t>
      </w:r>
      <w:proofErr w:type="spellEnd"/>
      <w:r>
        <w:t xml:space="preserve">, who has </w:t>
      </w:r>
      <w:hyperlink r:id="rId87" w:history="1">
        <w:r>
          <w:rPr>
            <w:rStyle w:val="Hyperlink"/>
            <w:color w:val="0563C1"/>
          </w:rPr>
          <w:t>made</w:t>
        </w:r>
      </w:hyperlink>
      <w:r>
        <w:t xml:space="preserve"> many public appearances and videos on her personal social media accounts discussing the topic.  </w:t>
      </w:r>
    </w:p>
    <w:p w14:paraId="0B59FB02" w14:textId="77777777" w:rsidR="00E65AEF" w:rsidRDefault="00E65AEF" w:rsidP="00E65AEF">
      <w:pPr>
        <w:rPr>
          <w:rFonts w:ascii="FreeSans" w:eastAsia="FreeSans" w:hAnsi="FreeSans" w:cs="FreeSans"/>
          <w:b/>
          <w:color w:val="2F5496"/>
          <w:sz w:val="24"/>
          <w:szCs w:val="24"/>
          <w:u w:val="single"/>
        </w:rPr>
      </w:pPr>
      <w:r>
        <w:rPr>
          <w:rFonts w:ascii="FreeSans" w:eastAsia="FreeSans" w:hAnsi="FreeSans" w:cs="FreeSans"/>
          <w:b/>
          <w:color w:val="2F5496"/>
          <w:sz w:val="24"/>
          <w:szCs w:val="24"/>
          <w:u w:val="single"/>
        </w:rPr>
        <w:t>IV. Other institutional issues related to checks and balances</w:t>
      </w:r>
    </w:p>
    <w:p w14:paraId="15FF3640" w14:textId="77777777" w:rsidR="00E65AEF" w:rsidRDefault="00E65AEF" w:rsidP="00E65AEF">
      <w:pPr>
        <w:rPr>
          <w:rFonts w:eastAsia="Calibri"/>
          <w:b/>
          <w:color w:val="2F5496"/>
          <w:sz w:val="24"/>
          <w:szCs w:val="24"/>
        </w:rPr>
      </w:pPr>
      <w:r>
        <w:rPr>
          <w:b/>
          <w:color w:val="2F5496"/>
          <w:sz w:val="24"/>
          <w:szCs w:val="24"/>
        </w:rPr>
        <w:t>A. The process for preparing and enacting laws</w:t>
      </w:r>
    </w:p>
    <w:p w14:paraId="7AD0E367" w14:textId="77777777" w:rsidR="00E65AEF" w:rsidRDefault="00E65AEF" w:rsidP="00E65AEF">
      <w:pPr>
        <w:spacing w:before="240" w:after="240"/>
        <w:rPr>
          <w:color w:val="2F5496"/>
          <w:sz w:val="24"/>
          <w:szCs w:val="24"/>
        </w:rPr>
      </w:pPr>
      <w:r>
        <w:rPr>
          <w:color w:val="2F5496"/>
          <w:sz w:val="24"/>
          <w:szCs w:val="24"/>
        </w:rPr>
        <w:t>Framework, policy and use of impact assessments and evidence-based policy-making, stakeholders'/public consultations</w:t>
      </w:r>
      <w:r>
        <w:rPr>
          <w:b/>
          <w:color w:val="2F5496"/>
          <w:sz w:val="24"/>
          <w:szCs w:val="24"/>
        </w:rPr>
        <w:t xml:space="preserve"> </w:t>
      </w:r>
      <w:r>
        <w:rPr>
          <w:color w:val="2F5496"/>
          <w:sz w:val="24"/>
          <w:szCs w:val="24"/>
        </w:rPr>
        <w:t xml:space="preserve">(including consultation of judiciary and other relevant stakeholders on judicial reforms), and transparency and quality of the legislative process both in the preparatory and the parliamentary phase </w:t>
      </w:r>
    </w:p>
    <w:p w14:paraId="3AB0E26D" w14:textId="77777777" w:rsidR="00E65AEF" w:rsidRDefault="00E65AEF" w:rsidP="00E65AEF">
      <w:pPr>
        <w:spacing w:after="240"/>
        <w:jc w:val="both"/>
      </w:pPr>
      <w:r>
        <w:t xml:space="preserve">Although national legislation requires public consultations prior to adopting legislation, public access to the works of the parliamentary commissions and plenary sessions are very difficult to obtain without support from elected representatives. One example is the parliamentary proposals of censorship laws aimed at </w:t>
      </w:r>
      <w:hyperlink r:id="rId88" w:history="1">
        <w:r>
          <w:rPr>
            <w:rStyle w:val="Hyperlink"/>
            <w:color w:val="0563C1"/>
          </w:rPr>
          <w:t>restricting discussions on LGBTI issues</w:t>
        </w:r>
      </w:hyperlink>
      <w:r>
        <w:t xml:space="preserve"> in schools, media, and public spaces. These proposals, modelled after Hungary’s anti-LGBTI policies, were advanced without meaningful public debate or consultations with civil society organizations, including ACCEPT. </w:t>
      </w:r>
    </w:p>
    <w:p w14:paraId="2EEB3AC1" w14:textId="77777777" w:rsidR="00E65AEF" w:rsidRDefault="00E65AEF" w:rsidP="00E65AEF">
      <w:pPr>
        <w:spacing w:after="240"/>
        <w:jc w:val="both"/>
      </w:pPr>
      <w:r>
        <w:t>In addition, in order to bypass the aforementioned requirement for public consultation, the Government adopts national legislation by emergency ordinances, a legislative tool meant for emergency situations only. A review of the number of laws adopted in recent years clearly shows that an overwhelming majority has been adopted by the government through emergency ordinances, without public consultation and feedback from civil society.</w:t>
      </w:r>
    </w:p>
    <w:p w14:paraId="1139B8B6" w14:textId="77777777" w:rsidR="00E65AEF" w:rsidRDefault="00E65AEF" w:rsidP="00E65AEF">
      <w:pPr>
        <w:spacing w:after="240"/>
        <w:jc w:val="both"/>
      </w:pPr>
      <w:r>
        <w:t xml:space="preserve">In the first half of 2024, there was an attempt to pass a </w:t>
      </w:r>
      <w:hyperlink r:id="rId89" w:history="1">
        <w:r>
          <w:rPr>
            <w:rStyle w:val="Hyperlink"/>
            <w:color w:val="0563C1"/>
          </w:rPr>
          <w:t>Family Law initiative</w:t>
        </w:r>
      </w:hyperlink>
      <w:r>
        <w:t xml:space="preserve"> without the consultation of any LGBTI CSOs. In February 2024, Natalia </w:t>
      </w:r>
      <w:proofErr w:type="spellStart"/>
      <w:r>
        <w:t>Intotero</w:t>
      </w:r>
      <w:proofErr w:type="spellEnd"/>
      <w:r>
        <w:t xml:space="preserve">, the Minister of Family, Youth, and Equal Opportunities, announced plans to draft a new Family Law explicitly excluding same-sex families. During an interview, she claimed that the Civil Code, which currently defines marriage as a union exclusively between a man and a woman and prohibits recognition of same-sex marriages, would form the basis of this legislation. </w:t>
      </w:r>
      <w:proofErr w:type="spellStart"/>
      <w:r>
        <w:t>Intotero</w:t>
      </w:r>
      <w:proofErr w:type="spellEnd"/>
      <w:r>
        <w:t xml:space="preserve"> linked the initiative to addressing Romania's declining birth rate, prioritizing large families and encouraging child-raising as national objectives. The government engaged selectively with groups opposing rights for LGBTI persons, thereby side-lining inclusive dialogue and promoting a family model which excludes LGBTI people and the reality of diverse families. </w:t>
      </w:r>
    </w:p>
    <w:p w14:paraId="6E6FD33D" w14:textId="77777777" w:rsidR="00E65AEF" w:rsidRDefault="00E65AEF" w:rsidP="00E65AEF">
      <w:pPr>
        <w:spacing w:after="240"/>
        <w:rPr>
          <w:b/>
          <w:color w:val="2F5496"/>
          <w:sz w:val="24"/>
          <w:szCs w:val="24"/>
        </w:rPr>
      </w:pPr>
      <w:r>
        <w:rPr>
          <w:b/>
          <w:color w:val="2F5496"/>
          <w:sz w:val="24"/>
          <w:szCs w:val="24"/>
        </w:rPr>
        <w:t>B. Independent authorities</w:t>
      </w:r>
    </w:p>
    <w:p w14:paraId="5307C30B" w14:textId="77777777" w:rsidR="00E65AEF" w:rsidRDefault="00E65AEF" w:rsidP="00E65AEF">
      <w:pPr>
        <w:spacing w:after="240"/>
        <w:rPr>
          <w:color w:val="2F5496"/>
          <w:sz w:val="24"/>
          <w:szCs w:val="24"/>
        </w:rPr>
      </w:pPr>
      <w:r>
        <w:rPr>
          <w:color w:val="2F5496"/>
          <w:sz w:val="24"/>
          <w:szCs w:val="24"/>
        </w:rPr>
        <w:lastRenderedPageBreak/>
        <w:t>Independence, resources, capacity and powers of national human rights institutions (‘NHRIs’), of ombudsman institutions if different from NHRIs, of equality bodies if different from NHRIs and of supreme audit institutions</w:t>
      </w:r>
    </w:p>
    <w:p w14:paraId="6BD26ECF" w14:textId="77777777" w:rsidR="00E65AEF" w:rsidRDefault="00E65AEF" w:rsidP="00E65AEF">
      <w:pPr>
        <w:spacing w:after="240"/>
        <w:jc w:val="both"/>
      </w:pPr>
      <w:r>
        <w:t>The current Ombudsperson, voted in by the Parliament in 2019, has shown involvement, including coordinating a working group to address the implementation of judgements of the European Court of Human Rights (ECtHR) on LGBTI issues, which remain a systemic problem (see section IV. C. below). Her mandate expired at the end of 2024 and she will not be politically supported for a new mandate, which raises questions as to how the collaboration will continue in the future. Despite the willingness of the Ombudsperson to work on LGBTI related issues and policies, progress remains slow, with no concrete legislative initiatives emerging from the Ombudsperson’s efforts.</w:t>
      </w:r>
    </w:p>
    <w:p w14:paraId="02F1F809" w14:textId="77777777" w:rsidR="00E65AEF" w:rsidRDefault="00E65AEF" w:rsidP="00E65AEF">
      <w:pPr>
        <w:spacing w:after="240"/>
        <w:jc w:val="both"/>
      </w:pPr>
      <w:r>
        <w:t xml:space="preserve">The independence of the National Council for Combating Discrimination (CNCD) is increasingly questioned due to procedural inefficiencies and politicized decisions. Numerous decisions of the CNCD are challenged and reversed in court. For example, in January 2024 the CNCD </w:t>
      </w:r>
      <w:hyperlink r:id="rId90" w:history="1">
        <w:r>
          <w:rPr>
            <w:rStyle w:val="Hyperlink"/>
            <w:color w:val="0563C1"/>
          </w:rPr>
          <w:t>ruled in favour</w:t>
        </w:r>
      </w:hyperlink>
      <w:r>
        <w:t xml:space="preserve"> of a printing shop that refused to print LGBTI related leaflets, even though the anti-discrimination law stipulates that services should not be denied based on sexual orientation. </w:t>
      </w:r>
      <w:sdt>
        <w:sdtPr>
          <w:tag w:val="goog_rdk_0"/>
          <w:id w:val="1771972499"/>
        </w:sdtPr>
        <w:sdtContent/>
      </w:sdt>
      <w:sdt>
        <w:sdtPr>
          <w:tag w:val="goog_rdk_1"/>
          <w:id w:val="-1914081185"/>
        </w:sdtPr>
        <w:sdtContent/>
      </w:sdt>
      <w:r>
        <w:t>The decision is being challenged in court.</w:t>
      </w:r>
    </w:p>
    <w:p w14:paraId="17C51610" w14:textId="77777777" w:rsidR="00E65AEF" w:rsidRDefault="00E65AEF" w:rsidP="00E65AEF">
      <w:pPr>
        <w:spacing w:after="240"/>
        <w:rPr>
          <w:b/>
          <w:color w:val="2F5496"/>
          <w:sz w:val="24"/>
          <w:szCs w:val="24"/>
        </w:rPr>
      </w:pPr>
      <w:r>
        <w:rPr>
          <w:b/>
          <w:color w:val="2F5496"/>
          <w:sz w:val="24"/>
          <w:szCs w:val="24"/>
        </w:rPr>
        <w:t>C. Accessibility and judicial review of administrative decisions</w:t>
      </w:r>
    </w:p>
    <w:p w14:paraId="7EEC1E68" w14:textId="77777777" w:rsidR="00E65AEF" w:rsidRDefault="00E65AEF" w:rsidP="00E65AEF">
      <w:pPr>
        <w:spacing w:after="240"/>
        <w:rPr>
          <w:color w:val="2F5496"/>
          <w:sz w:val="24"/>
          <w:szCs w:val="24"/>
        </w:rPr>
      </w:pPr>
      <w:r>
        <w:rPr>
          <w:color w:val="2F5496"/>
          <w:sz w:val="24"/>
          <w:szCs w:val="24"/>
        </w:rPr>
        <w:t>Implementation of final judgments by the public administration and State institutions and follow-up given to supranational judgments, including decisions from the European Court of Human Rights, as well as available remedies in case of non-implementation</w:t>
      </w:r>
    </w:p>
    <w:p w14:paraId="43576E46" w14:textId="77777777" w:rsidR="00E65AEF" w:rsidRDefault="00E65AEF" w:rsidP="00E65AEF">
      <w:pPr>
        <w:spacing w:after="240"/>
        <w:jc w:val="both"/>
      </w:pPr>
      <w:r>
        <w:t xml:space="preserve">There have been delays in implementing key judgments from the European Court of Human Rights (ECtHR) and the Court of Justice of the European Union (CJEU), such as the </w:t>
      </w:r>
      <w:proofErr w:type="spellStart"/>
      <w:r>
        <w:t>Coman</w:t>
      </w:r>
      <w:proofErr w:type="spellEnd"/>
      <w:r>
        <w:t xml:space="preserve"> judgment (2018) and the Buhuceanu and Others v. Romania decision (2023). The government’s disregard for implementing international and domestic judgments threatens the rule of law. This includes the absence of a legal gender recognition procedure, despite the ECtHR X and Y judgement requiring a procedure that is accessible, transparent and predictable. No significant developments on the implementation of these rulings have taken place since last year’s report.</w:t>
      </w:r>
    </w:p>
    <w:p w14:paraId="0C2E3BE4" w14:textId="77777777" w:rsidR="00E65AEF" w:rsidRPr="00E65AEF" w:rsidRDefault="00E65AEF" w:rsidP="00E65AEF">
      <w:pPr>
        <w:jc w:val="both"/>
        <w:rPr>
          <w:b/>
        </w:rPr>
      </w:pPr>
      <w:r w:rsidRPr="00E65AEF">
        <w:rPr>
          <w:b/>
        </w:rPr>
        <w:t>Non-implementation of CJEU judgement from 2018</w:t>
      </w:r>
    </w:p>
    <w:p w14:paraId="64BC3FBD" w14:textId="77777777" w:rsidR="00E65AEF" w:rsidRDefault="00C63176" w:rsidP="00E65AEF">
      <w:pPr>
        <w:jc w:val="both"/>
      </w:pPr>
      <w:sdt>
        <w:sdtPr>
          <w:tag w:val="goog_rdk_2"/>
          <w:id w:val="1734576334"/>
        </w:sdtPr>
        <w:sdtContent/>
      </w:sdt>
      <w:sdt>
        <w:sdtPr>
          <w:tag w:val="goog_rdk_3"/>
          <w:id w:val="-1437598610"/>
        </w:sdtPr>
        <w:sdtContent/>
      </w:sdt>
      <w:r w:rsidR="00E65AEF">
        <w:t xml:space="preserve">On 5 June 2018, the Court of Justice of the European Union (CJEU) issued a landmark judgement against Romania, in the </w:t>
      </w:r>
      <w:hyperlink r:id="rId91" w:history="1">
        <w:r w:rsidR="00E65AEF">
          <w:rPr>
            <w:rStyle w:val="Hyperlink"/>
            <w:color w:val="0563C1"/>
          </w:rPr>
          <w:t>case C-673/16</w:t>
        </w:r>
      </w:hyperlink>
      <w:r w:rsidR="00E65AEF">
        <w:t xml:space="preserve"> recognising that the term spouse includes same-sex spouses under EU freedom of movement laws. However, the judgement still has not been properly implemented by Romania. Following political letters sent by the European Commission in 2022, the Romanian authorities informed the Commission that they will change their legislation with adoption planned in 2023. The latest commitment received from Romanian authorities (in April 2024) mentioned an adoption in the second half of September 2024. The draft legislative text has been at parliamentary committee for opinion since end 2023/beginning 2024. ACCEPT considers that this legislation would actually not be an implementation of the judgment as it would be much more restrictive. It would modify the law on the regime of foreigners and would create a separate category of family members treated differently from spouses, who would only be granted residence rights and no other rights as spouses.</w:t>
      </w:r>
    </w:p>
    <w:p w14:paraId="24E6326B" w14:textId="77777777" w:rsidR="00E65AEF" w:rsidRDefault="00E65AEF" w:rsidP="00E65AEF">
      <w:pPr>
        <w:jc w:val="both"/>
      </w:pPr>
    </w:p>
    <w:p w14:paraId="2E28F6E8" w14:textId="77777777" w:rsidR="00E65AEF" w:rsidRPr="00E65AEF" w:rsidRDefault="00E65AEF" w:rsidP="00E65AEF">
      <w:pPr>
        <w:spacing w:after="240"/>
        <w:jc w:val="both"/>
        <w:rPr>
          <w:b/>
        </w:rPr>
      </w:pPr>
      <w:r w:rsidRPr="00E65AEF">
        <w:rPr>
          <w:b/>
        </w:rPr>
        <w:t>Non-implementation of ECtHR judgment X and Y v. Romania decision from 2021</w:t>
      </w:r>
    </w:p>
    <w:p w14:paraId="7494F96C" w14:textId="77777777" w:rsidR="00E65AEF" w:rsidRDefault="00E65AEF" w:rsidP="00E65AEF">
      <w:pPr>
        <w:spacing w:after="240"/>
        <w:jc w:val="both"/>
      </w:pPr>
      <w:r>
        <w:lastRenderedPageBreak/>
        <w:t xml:space="preserve">In January 2021 the ECtHR ruled in </w:t>
      </w:r>
      <w:hyperlink r:id="rId92" w:anchor="%7B%22itemid%22:%5B%22002-13101%22%5D%7D" w:history="1">
        <w:r>
          <w:rPr>
            <w:rStyle w:val="Hyperlink"/>
            <w:color w:val="0563C1"/>
          </w:rPr>
          <w:t>X and Y v. Romania</w:t>
        </w:r>
      </w:hyperlink>
      <w:r>
        <w:t xml:space="preserve"> that the refusal to grant legal recognition to the applicant's gender identity in the absence of sex reassignment surgery breached the applicant's right to respect for her private life, constituting a violation of Article 8 of the European Convention on Human Rights (ECHR). The judgement notes that some domestic courts applied the sex reassignment requirement while others did not, due to the fact that there was “no clear and foreseeable procedure for legal recognition of gender identity making it possible to amend a person’s indicated gender, and hence his or her name and digital personal code, on official documents in a quick, transparent and accessible manner.” Despite this judgement </w:t>
      </w:r>
      <w:sdt>
        <w:sdtPr>
          <w:tag w:val="goog_rdk_4"/>
          <w:id w:val="47810236"/>
        </w:sdtPr>
        <w:sdtContent/>
      </w:sdt>
      <w:sdt>
        <w:sdtPr>
          <w:tag w:val="goog_rdk_5"/>
          <w:id w:val="1034162816"/>
        </w:sdtPr>
        <w:sdtContent/>
      </w:sdt>
      <w:r>
        <w:t xml:space="preserve">Romania still has not introduced a legal gender recognition (LGR) procedure that is quick, accessible, transparent and predictable. </w:t>
      </w:r>
    </w:p>
    <w:p w14:paraId="12318798" w14:textId="77777777" w:rsidR="00E65AEF" w:rsidRPr="00E65AEF" w:rsidRDefault="00E65AEF" w:rsidP="00E65AEF">
      <w:pPr>
        <w:spacing w:after="240"/>
        <w:jc w:val="both"/>
        <w:rPr>
          <w:b/>
        </w:rPr>
      </w:pPr>
      <w:r w:rsidRPr="00E65AEF">
        <w:rPr>
          <w:b/>
        </w:rPr>
        <w:t>Non-implementation of ECtHR judgment Buhuceanu and Others v. Romania decision from 2023</w:t>
      </w:r>
    </w:p>
    <w:p w14:paraId="112B804E" w14:textId="77777777" w:rsidR="00E65AEF" w:rsidRDefault="00E65AEF" w:rsidP="00E65AEF">
      <w:pPr>
        <w:spacing w:after="240"/>
        <w:jc w:val="both"/>
      </w:pPr>
      <w:r>
        <w:t xml:space="preserve">In May 2023, the ECtHR ruled in </w:t>
      </w:r>
      <w:hyperlink r:id="rId93" w:anchor="%7B%22itemid%22:%5B%22001-224774%22%5D%7D" w:history="1">
        <w:r>
          <w:rPr>
            <w:rStyle w:val="Hyperlink"/>
            <w:color w:val="0563C1"/>
          </w:rPr>
          <w:t>Buhuceanu and Others v. Romania</w:t>
        </w:r>
      </w:hyperlink>
      <w:r>
        <w:t xml:space="preserve"> that Romania’s failure to provide legal recognition and protection to same-sex couples is a violation of Article 8 of the ECHR and that Romania is obliged to ensure a legislative framework so that same-sex families are protected and recognized. The case was brought to the Court by 21 families. Romania filed an appeal in August 2023, which the Court rejected. </w:t>
      </w:r>
      <w:r>
        <w:br/>
      </w:r>
      <w:sdt>
        <w:sdtPr>
          <w:tag w:val="goog_rdk_6"/>
          <w:id w:val="-1164928714"/>
        </w:sdtPr>
        <w:sdtContent/>
      </w:sdt>
      <w:sdt>
        <w:sdtPr>
          <w:tag w:val="goog_rdk_7"/>
          <w:id w:val="320169366"/>
        </w:sdtPr>
        <w:sdtContent/>
      </w:sdt>
      <w:r>
        <w:t>Romania’s deadline to submit an action plan addressing the ECtHR’s judgment was 25 March 2024, however, no action plan has been put in place to date, and the draft plan lacks specific measures and includes only the translation, dissemination, and internal discussions of the judgment. The Prime Minister publicly stated since the publication of the judgment that he did not intend to respect it, stressing that Romania is not ready to recognize same-sex families.</w:t>
      </w:r>
    </w:p>
    <w:p w14:paraId="4CE5D8A6" w14:textId="77777777" w:rsidR="00E65AEF" w:rsidRPr="00E65AEF" w:rsidRDefault="00C63176" w:rsidP="00E65AEF">
      <w:pPr>
        <w:spacing w:after="240"/>
        <w:jc w:val="both"/>
        <w:rPr>
          <w:b/>
        </w:rPr>
      </w:pPr>
      <w:sdt>
        <w:sdtPr>
          <w:rPr>
            <w:b/>
          </w:rPr>
          <w:tag w:val="goog_rdk_8"/>
          <w:id w:val="1778440668"/>
        </w:sdtPr>
        <w:sdtContent/>
      </w:sdt>
      <w:sdt>
        <w:sdtPr>
          <w:rPr>
            <w:b/>
          </w:rPr>
          <w:tag w:val="goog_rdk_9"/>
          <w:id w:val="896781317"/>
        </w:sdtPr>
        <w:sdtContent/>
      </w:sdt>
      <w:r w:rsidR="00E65AEF" w:rsidRPr="00E65AEF">
        <w:rPr>
          <w:b/>
        </w:rPr>
        <w:t>New CJEU judgement – first for rights of trans people in the EU</w:t>
      </w:r>
    </w:p>
    <w:p w14:paraId="28B52781" w14:textId="77777777" w:rsidR="00E65AEF" w:rsidRDefault="00E65AEF" w:rsidP="00E65AEF">
      <w:pPr>
        <w:spacing w:after="240"/>
        <w:jc w:val="both"/>
      </w:pPr>
      <w:r>
        <w:t xml:space="preserve">The October 2024 CJEU ruling in the </w:t>
      </w:r>
      <w:hyperlink r:id="rId94" w:anchor=":~:text=Arian%20Mirzarafie-Ahi,%20a%20transgender%20man%20with%20Romanian%20and%20British%20citizenship," w:history="1">
        <w:r>
          <w:rPr>
            <w:rStyle w:val="Hyperlink"/>
            <w:color w:val="0563C1"/>
          </w:rPr>
          <w:t>case C-4/23 Mirin</w:t>
        </w:r>
      </w:hyperlink>
      <w:r>
        <w:t xml:space="preserve"> stated that Romania must recognise the legal gender recognition granted to the applicant in the UK. It ruled that EU Member States must respect and recognise the legal gender identity of individuals as granted by other EU countries, in order to protect the EU right to free movement and residence rights, as well as the right to personal identity. The case was brought by ACCEPT Romania with the help of </w:t>
      </w:r>
      <w:proofErr w:type="spellStart"/>
      <w:r>
        <w:t>ILGA-Europe</w:t>
      </w:r>
      <w:proofErr w:type="spellEnd"/>
      <w:r>
        <w:t xml:space="preserve"> and TGEU. It is a landmark case for equality and non-discrimination of trans people in the EU. Given the difficulties already experienced with the non-implementation of the aforementioned </w:t>
      </w:r>
      <w:hyperlink r:id="rId95" w:history="1">
        <w:r>
          <w:rPr>
            <w:rStyle w:val="Hyperlink"/>
            <w:color w:val="0563C1"/>
          </w:rPr>
          <w:t>case C-673/16</w:t>
        </w:r>
      </w:hyperlink>
      <w:r>
        <w:t>, we will be closely monitoring the pace of implementation.</w:t>
      </w:r>
    </w:p>
    <w:p w14:paraId="48B9597A" w14:textId="77777777" w:rsidR="00E65AEF" w:rsidRDefault="00E65AEF" w:rsidP="00E65AEF">
      <w:pPr>
        <w:spacing w:after="240"/>
        <w:rPr>
          <w:b/>
          <w:color w:val="2F5496"/>
          <w:sz w:val="24"/>
          <w:szCs w:val="24"/>
        </w:rPr>
      </w:pPr>
      <w:r>
        <w:rPr>
          <w:b/>
          <w:color w:val="2F5496"/>
          <w:sz w:val="24"/>
          <w:szCs w:val="24"/>
        </w:rPr>
        <w:t>D. The enabling framework for civil society</w:t>
      </w:r>
    </w:p>
    <w:p w14:paraId="09AA8074" w14:textId="77777777" w:rsidR="00E65AEF" w:rsidRDefault="00E65AEF" w:rsidP="00E65AEF">
      <w:pPr>
        <w:spacing w:after="240"/>
        <w:rPr>
          <w:color w:val="2F5496"/>
          <w:sz w:val="24"/>
          <w:szCs w:val="24"/>
        </w:rPr>
      </w:pPr>
      <w:r>
        <w:rPr>
          <w:color w:val="2F5496"/>
          <w:sz w:val="24"/>
          <w:szCs w:val="24"/>
        </w:rPr>
        <w:t>Measures regarding the framework for civil society organisations and human rights defenders (e.g. legal framework and its application in practice incl. registration and dissolution rules)</w:t>
      </w:r>
    </w:p>
    <w:p w14:paraId="6D0EA187" w14:textId="77777777" w:rsidR="00E65AEF" w:rsidRDefault="00E65AEF" w:rsidP="00E65AEF">
      <w:pPr>
        <w:spacing w:after="240"/>
        <w:jc w:val="both"/>
        <w:rPr>
          <w:b/>
        </w:rPr>
      </w:pPr>
      <w:r>
        <w:rPr>
          <w:b/>
        </w:rPr>
        <w:t>Anti-LGBTI bills</w:t>
      </w:r>
    </w:p>
    <w:p w14:paraId="6557AB81" w14:textId="77777777" w:rsidR="00E65AEF" w:rsidRDefault="00E65AEF" w:rsidP="00E65AEF">
      <w:pPr>
        <w:spacing w:after="240"/>
        <w:jc w:val="both"/>
      </w:pPr>
      <w:r>
        <w:t xml:space="preserve">On 26 November 2024 two MPs of the Romanian People’s Patriots Party, MPs Mihai </w:t>
      </w:r>
      <w:proofErr w:type="spellStart"/>
      <w:r>
        <w:t>Lasca</w:t>
      </w:r>
      <w:proofErr w:type="spellEnd"/>
      <w:r>
        <w:t xml:space="preserve"> and Dumitru </w:t>
      </w:r>
      <w:proofErr w:type="spellStart"/>
      <w:r>
        <w:t>Focșa</w:t>
      </w:r>
      <w:proofErr w:type="spellEnd"/>
      <w:r>
        <w:t xml:space="preserve">, </w:t>
      </w:r>
      <w:hyperlink r:id="rId96" w:history="1">
        <w:r>
          <w:rPr>
            <w:rStyle w:val="Hyperlink"/>
            <w:color w:val="0563C1"/>
          </w:rPr>
          <w:t>tabled</w:t>
        </w:r>
      </w:hyperlink>
      <w:r>
        <w:t xml:space="preserve"> a </w:t>
      </w:r>
      <w:hyperlink r:id="rId97" w:history="1">
        <w:r>
          <w:rPr>
            <w:rStyle w:val="Hyperlink"/>
            <w:color w:val="0563C1"/>
          </w:rPr>
          <w:t>bill</w:t>
        </w:r>
      </w:hyperlink>
      <w:r>
        <w:t xml:space="preserve"> prohibiting information about LGBTI people in the fields of pre-university education, media, sports and public gatherings, through amendments to five different laws. In their justification the MPs purport that “The idea that LGBTQIA+ ideology harms not only children, but also the human race has become an axiom. In this case, the question of the spread of this scourge and that, in 10 or 15 years, we will have a predominantly homosexual or sexually disordered population”. </w:t>
      </w:r>
      <w:proofErr w:type="spellStart"/>
      <w:r>
        <w:t>Lasca</w:t>
      </w:r>
      <w:proofErr w:type="spellEnd"/>
      <w:r>
        <w:t xml:space="preserve"> and </w:t>
      </w:r>
      <w:proofErr w:type="spellStart"/>
      <w:r>
        <w:t>Focșa</w:t>
      </w:r>
      <w:proofErr w:type="spellEnd"/>
      <w:r>
        <w:t xml:space="preserve"> say in the explanatory memorandum that "the EU wants to impose mental conditioning and social control on people who, because of their age, lack maturity or discernment, and thus cause harmful psychological manipulation of children's minds". They also argue that the draft does not seek </w:t>
      </w:r>
      <w:r>
        <w:lastRenderedPageBreak/>
        <w:t>to limit rights, but is "a measure to prevent influences that may lead to deviations from natural biological and social norms".</w:t>
      </w:r>
    </w:p>
    <w:p w14:paraId="6F5B709E" w14:textId="77777777" w:rsidR="00E65AEF" w:rsidRDefault="00E65AEF" w:rsidP="00E65AEF">
      <w:pPr>
        <w:spacing w:after="240"/>
        <w:jc w:val="both"/>
      </w:pPr>
      <w:r>
        <w:t xml:space="preserve">Later, in November, a new similar </w:t>
      </w:r>
      <w:hyperlink r:id="rId98" w:history="1">
        <w:r>
          <w:rPr>
            <w:rStyle w:val="Hyperlink"/>
            <w:color w:val="0563C1"/>
          </w:rPr>
          <w:t>legislative proposal</w:t>
        </w:r>
      </w:hyperlink>
      <w:r>
        <w:t xml:space="preserve"> introduced by MPs Daniel </w:t>
      </w:r>
      <w:proofErr w:type="spellStart"/>
      <w:r>
        <w:t>Ghiță</w:t>
      </w:r>
      <w:proofErr w:type="spellEnd"/>
      <w:r>
        <w:t xml:space="preserve"> and again Mihai </w:t>
      </w:r>
      <w:proofErr w:type="spellStart"/>
      <w:r>
        <w:t>Lasca</w:t>
      </w:r>
      <w:proofErr w:type="spellEnd"/>
      <w:r>
        <w:t xml:space="preserve">, tried to pass in emergency procedure before the elections. This proposal was </w:t>
      </w:r>
      <w:sdt>
        <w:sdtPr>
          <w:tag w:val="goog_rdk_10"/>
          <w:id w:val="-1723826486"/>
        </w:sdtPr>
        <w:sdtContent/>
      </w:sdt>
      <w:sdt>
        <w:sdtPr>
          <w:tag w:val="goog_rdk_11"/>
          <w:id w:val="1808971424"/>
        </w:sdtPr>
        <w:sdtContent/>
      </w:sdt>
      <w:r>
        <w:t>not accepted due to procedural rules.</w:t>
      </w:r>
    </w:p>
    <w:p w14:paraId="21FC47CC" w14:textId="77777777" w:rsidR="00E65AEF" w:rsidRDefault="00E65AEF" w:rsidP="00E65AEF">
      <w:pPr>
        <w:spacing w:after="240"/>
        <w:jc w:val="both"/>
        <w:rPr>
          <w:b/>
        </w:rPr>
      </w:pPr>
      <w:r>
        <w:rPr>
          <w:b/>
        </w:rPr>
        <w:t>Unequal application of rules governing freedom of assembly</w:t>
      </w:r>
    </w:p>
    <w:p w14:paraId="665B3440" w14:textId="77777777" w:rsidR="00E65AEF" w:rsidRDefault="00E65AEF" w:rsidP="00E65AEF">
      <w:pPr>
        <w:jc w:val="both"/>
      </w:pPr>
      <w:r>
        <w:t>Although freedom of assembly is a constitutionally guaranteed right, there are difficulties in organising Pride events in most cities in Romania. At times, even if the organisation of such events is possible, public institutions appear to perform various control activities and issue questionable fines for unverifiable acts such as the level of noise. Difficulties in obtaining legal permits to organise Pride marches are a recurring issue in most cities.</w:t>
      </w:r>
    </w:p>
    <w:p w14:paraId="53F05E9B" w14:textId="77777777" w:rsidR="00E65AEF" w:rsidRDefault="00E65AEF" w:rsidP="00E65AEF">
      <w:pPr>
        <w:jc w:val="both"/>
      </w:pPr>
    </w:p>
    <w:p w14:paraId="476A349A" w14:textId="77777777" w:rsidR="00E65AEF" w:rsidRDefault="00E65AEF" w:rsidP="00E65AEF">
      <w:pPr>
        <w:spacing w:after="240"/>
        <w:jc w:val="both"/>
      </w:pPr>
      <w:r>
        <w:t xml:space="preserve">The rejection of PRIDE Park in Oradea for the </w:t>
      </w:r>
      <w:hyperlink r:id="rId99" w:history="1">
        <w:r>
          <w:rPr>
            <w:rStyle w:val="Hyperlink"/>
            <w:color w:val="0563C1"/>
          </w:rPr>
          <w:t>second consecutive year</w:t>
        </w:r>
      </w:hyperlink>
      <w:r>
        <w:t xml:space="preserve"> demonstrates a troubling pattern of institutional resistance against the LGBTI community's right to freedom of assembly and freedom of expression. Despite ARK Oradea's (the local LGBTI organisation and organiser) timely request to hold the event on 11 August 2024, in Oradea Fortress Park, the municipality refused permission, citing pre-existing approvals for events organized by religious groups. However, these supposed events were not publicly announced, raising concerns about their legitimacy. When ARK sought alternative parks, all six remaining locations were also denied on similar grounds, with the vague explanation that they were “occupied by congregants.” The municipality's actions culminated in an abusive fine imposed on ARK Oradea for attempting to proceed with a protest. This penalty appears aimed at discouraging future LGBTI events in the city. Critics, including Florin Buhuceanu of ACCEPT and MEP </w:t>
      </w:r>
      <w:proofErr w:type="spellStart"/>
      <w:r>
        <w:t>Nicu</w:t>
      </w:r>
      <w:proofErr w:type="spellEnd"/>
      <w:r>
        <w:t xml:space="preserve"> </w:t>
      </w:r>
      <w:proofErr w:type="spellStart"/>
      <w:r>
        <w:t>Ștefănuță</w:t>
      </w:r>
      <w:proofErr w:type="spellEnd"/>
      <w:r>
        <w:t xml:space="preserve">, condemned the decision, likening it to authoritarian practices seen in Russia and Belarus. </w:t>
      </w:r>
    </w:p>
    <w:p w14:paraId="5070DF0C" w14:textId="77777777" w:rsidR="00E65AEF" w:rsidRDefault="00E65AEF" w:rsidP="00E65AEF">
      <w:pPr>
        <w:jc w:val="both"/>
        <w:rPr>
          <w:color w:val="2F5496"/>
          <w:sz w:val="24"/>
          <w:szCs w:val="24"/>
        </w:rPr>
      </w:pPr>
      <w:r>
        <w:rPr>
          <w:color w:val="2F5496"/>
          <w:sz w:val="24"/>
          <w:szCs w:val="24"/>
        </w:rPr>
        <w:t>Rules and practices having an impact on the effective operation and safety of civil society organisations and human rights defenders. This includes measures to protect them from attacks – verbal, physical or on-line –, intimidation, legal threats incl. SLAPPs, negative narratives or smear campaigns, measures capable of affecting the public perception of civil society organisations, etc. It also includes measures to monitor threats or attacks and dedicated support services, as well as available remedies</w:t>
      </w:r>
    </w:p>
    <w:p w14:paraId="1529A6CE" w14:textId="77777777" w:rsidR="00E65AEF" w:rsidRDefault="00E65AEF" w:rsidP="00E65AEF">
      <w:pPr>
        <w:jc w:val="both"/>
        <w:rPr>
          <w:b/>
        </w:rPr>
      </w:pPr>
    </w:p>
    <w:p w14:paraId="79F0DF56" w14:textId="77777777" w:rsidR="00E65AEF" w:rsidRDefault="00E65AEF" w:rsidP="00E65AEF">
      <w:pPr>
        <w:jc w:val="both"/>
        <w:rPr>
          <w:b/>
        </w:rPr>
      </w:pPr>
      <w:r>
        <w:rPr>
          <w:b/>
        </w:rPr>
        <w:t>Attacks on offices of LGBTI human rights defenders</w:t>
      </w:r>
    </w:p>
    <w:p w14:paraId="28B4D06B" w14:textId="77777777" w:rsidR="00E65AEF" w:rsidRDefault="00E65AEF" w:rsidP="00E65AEF">
      <w:pPr>
        <w:jc w:val="both"/>
      </w:pPr>
    </w:p>
    <w:p w14:paraId="3BAC5B2F" w14:textId="77777777" w:rsidR="00E65AEF" w:rsidRDefault="00E65AEF" w:rsidP="00E65AEF">
      <w:pPr>
        <w:jc w:val="both"/>
      </w:pPr>
      <w:r>
        <w:t>To date, the Romanian Police has failed to identify any perpetrators on the case mentioned in last year’s report regarding the vandalization of the mural on the wall of ACCEPT’s office, despite the fact that recordings of the security cameras of ACCEPT have been diligently submitted to them and a long period of time has passed since filing the complaint.</w:t>
      </w:r>
    </w:p>
    <w:p w14:paraId="5E32EA65" w14:textId="77777777" w:rsidR="00E65AEF" w:rsidRDefault="00E65AEF" w:rsidP="00E65AEF">
      <w:pPr>
        <w:jc w:val="both"/>
      </w:pPr>
      <w:r>
        <w:t xml:space="preserve">During the election campaigns, there was a surge in anti-LGBTI hate speech (see more details below), including calls for the </w:t>
      </w:r>
      <w:hyperlink r:id="rId100" w:history="1">
        <w:r>
          <w:rPr>
            <w:rStyle w:val="Hyperlink"/>
            <w:color w:val="0563C1"/>
          </w:rPr>
          <w:t>destruction</w:t>
        </w:r>
      </w:hyperlink>
      <w:r>
        <w:t xml:space="preserve"> of the headquarters of LGBTI organisation </w:t>
      </w:r>
      <w:proofErr w:type="spellStart"/>
      <w:r>
        <w:t>MozaiQ</w:t>
      </w:r>
      <w:proofErr w:type="spellEnd"/>
      <w:r>
        <w:t xml:space="preserve">. As a result, </w:t>
      </w:r>
      <w:proofErr w:type="spellStart"/>
      <w:r>
        <w:t>MozaiQ</w:t>
      </w:r>
      <w:proofErr w:type="spellEnd"/>
      <w:r>
        <w:t xml:space="preserve"> has filed a criminal complaint for public incitement and calls for violence, urging the General Prosecutor’s Office to initiate an in-rem investigation. The messages on social media, which included the association’s address, emerged in the context of heightened tensions surrounding the first round of presidential elections. </w:t>
      </w:r>
    </w:p>
    <w:p w14:paraId="62571A1A" w14:textId="77777777" w:rsidR="00E65AEF" w:rsidRDefault="00E65AEF" w:rsidP="00E65AEF">
      <w:pPr>
        <w:jc w:val="both"/>
      </w:pPr>
    </w:p>
    <w:p w14:paraId="4291497D" w14:textId="77777777" w:rsidR="00E65AEF" w:rsidRDefault="00E65AEF" w:rsidP="00E65AEF">
      <w:pPr>
        <w:jc w:val="both"/>
        <w:rPr>
          <w:b/>
        </w:rPr>
      </w:pPr>
      <w:r>
        <w:rPr>
          <w:b/>
        </w:rPr>
        <w:t>Hate speech during electoral campaigns</w:t>
      </w:r>
    </w:p>
    <w:p w14:paraId="5ABD056B" w14:textId="77777777" w:rsidR="00E65AEF" w:rsidRDefault="00E65AEF" w:rsidP="00E65AEF">
      <w:pPr>
        <w:jc w:val="both"/>
        <w:rPr>
          <w:b/>
        </w:rPr>
      </w:pPr>
    </w:p>
    <w:p w14:paraId="2085BEE0" w14:textId="77777777" w:rsidR="00E65AEF" w:rsidRDefault="00E65AEF" w:rsidP="00E65AEF">
      <w:pPr>
        <w:jc w:val="both"/>
      </w:pPr>
      <w:r>
        <w:lastRenderedPageBreak/>
        <w:t xml:space="preserve">The 2024 presidential elections in Romania have highlighted the rise of far-right influences, also triggering an increase in hate speech against LGBTI people. A Zelist.ro </w:t>
      </w:r>
      <w:hyperlink r:id="rId101" w:history="1">
        <w:r>
          <w:rPr>
            <w:rStyle w:val="Hyperlink"/>
            <w:color w:val="0563C1"/>
          </w:rPr>
          <w:t>analysis</w:t>
        </w:r>
      </w:hyperlink>
      <w:r>
        <w:t xml:space="preserve"> of social media and blog activity during the campaign period (1 November - 5 December 2024) revealed an increase in references to the LGBTI community. ACCEPT reported multiple instances of anti-gay and transphobic posts on social media, often caricaturing or demonizing LGBTI individuals to garner support for traditionalist agendas. While these mentions initially rose moderately before the first presidential round, anti-LGBTI propaganda increased after far-right candidate </w:t>
      </w:r>
      <w:proofErr w:type="spellStart"/>
      <w:r>
        <w:t>Călin</w:t>
      </w:r>
      <w:proofErr w:type="spellEnd"/>
      <w:r>
        <w:t xml:space="preserve"> Georgescu advanced to the second round. Georgescu’s platform advocated a return to criminalizing homosexuality under previous Article 200 in the Penal Code.</w:t>
      </w:r>
      <w:r>
        <w:rPr>
          <w:vertAlign w:val="superscript"/>
        </w:rPr>
        <w:footnoteReference w:id="6"/>
      </w:r>
      <w:r>
        <w:t xml:space="preserve"> His opponent, Elena </w:t>
      </w:r>
      <w:proofErr w:type="spellStart"/>
      <w:r>
        <w:t>Lasconi</w:t>
      </w:r>
      <w:proofErr w:type="spellEnd"/>
      <w:r>
        <w:t>, for fear of losing votes, ceased publicly supporting equality for LGBTI persons during the campaign. This left fertile ground for anti-LGBTI narratives that were legitimised by Georgescu’s campaign. In addition, the official social media accounts of the PSD (Social Democratic Party) and AUR (Alliance for the Union of Romanians) amplified these messages, further mainstreaming discriminatory rhetoric.</w:t>
      </w:r>
    </w:p>
    <w:p w14:paraId="45F86B85" w14:textId="77777777" w:rsidR="00E65AEF" w:rsidRDefault="00E65AEF" w:rsidP="00E65AEF">
      <w:pPr>
        <w:jc w:val="both"/>
      </w:pPr>
      <w:r>
        <w:t xml:space="preserve"> </w:t>
      </w:r>
    </w:p>
    <w:p w14:paraId="6641A67B" w14:textId="77777777" w:rsidR="00E65AEF" w:rsidRDefault="00E65AEF" w:rsidP="00E65AEF">
      <w:pPr>
        <w:jc w:val="both"/>
      </w:pPr>
      <w:proofErr w:type="spellStart"/>
      <w:r>
        <w:t>TikTok</w:t>
      </w:r>
      <w:proofErr w:type="spellEnd"/>
      <w:r>
        <w:t xml:space="preserve"> videos juxtaposed LGBTI imagery with violent scenes, gathering significant engagement through likes and shares. LGBTI organisation </w:t>
      </w:r>
      <w:proofErr w:type="spellStart"/>
      <w:r>
        <w:t>MozaiQ</w:t>
      </w:r>
      <w:proofErr w:type="spellEnd"/>
      <w:r>
        <w:t xml:space="preserve"> received direct threats after its address was shared online, alongside calls for violence inspired by images of vandalized LGBTI centres abroad. Activists have since filed criminal complaints to address these targeted attacks. LGBTI organisation ACCEPT has filed a criminal complaint regarding a </w:t>
      </w:r>
      <w:proofErr w:type="spellStart"/>
      <w:r>
        <w:t>Tiktok</w:t>
      </w:r>
      <w:proofErr w:type="spellEnd"/>
      <w:r>
        <w:t xml:space="preserve"> video of an interview clip of a participant in an LGBTI rights protest who was talking about marriage rights for same-sex couples, which was edited to depict violent scenes, insinuating physical violence as a justified response to LGBTI people talking about their rights. The video received over 200 000 views and 20 000 likes, along with hateful and dehumanizing comments, with users agreeing that violent methods should be used against LGBTI people. A similar video belonging to the same account, this time targeting a transgender woman expressing her support for a presidential candidate, was edited with violent imagery, insinuating that LGBTI people should be excluded or hurt. The video encouraged anti-LGBTI narratives by promoting nationalist and populist narratives, implying that voting for pro-LGBTI candidates would lead to the collapse of society. </w:t>
      </w:r>
    </w:p>
    <w:p w14:paraId="7F9C9C5D" w14:textId="77777777" w:rsidR="00E65AEF" w:rsidRDefault="00E65AEF" w:rsidP="00E65AEF">
      <w:pPr>
        <w:jc w:val="both"/>
      </w:pPr>
    </w:p>
    <w:p w14:paraId="36279A44" w14:textId="77777777" w:rsidR="00E65AEF" w:rsidRDefault="00E65AEF" w:rsidP="00E65AEF">
      <w:pPr>
        <w:jc w:val="both"/>
      </w:pPr>
      <w:r>
        <w:t>The rhetoric of “traditional family values” emerged as a political tool to evoke emotional responses and deepen societal divisions. Mainstream parties like PSD (Social Democratic Party) and PNL (National Liberal Party), but also far-right parties such as AUR (Alliance for Union of Romanians) and SOS (S.O.S. Romania), leveraged these narratives. This discourse framed LGBTI equality as existential threats to national identity. Conservative candidates used family and demography as symbolic cornerstones, portraying LGBTI individuals as incompatible with the preservation of societal stability and traditional family.</w:t>
      </w:r>
    </w:p>
    <w:p w14:paraId="2855ED8F" w14:textId="77777777" w:rsidR="00E65AEF" w:rsidRDefault="00E65AEF" w:rsidP="00E65AEF">
      <w:pPr>
        <w:jc w:val="both"/>
      </w:pPr>
    </w:p>
    <w:p w14:paraId="03874C0A" w14:textId="77777777" w:rsidR="00E65AEF" w:rsidRDefault="00E65AEF" w:rsidP="00E65AEF">
      <w:pPr>
        <w:jc w:val="both"/>
      </w:pPr>
      <w:r>
        <w:t xml:space="preserve">Similar electoral tactics were used also during the June 2024 European election campaign, in which  AUR and SOS candidates relied on disinformation as well as on LGBTI-phobic and ultra-nationalist discourse in their social media </w:t>
      </w:r>
      <w:hyperlink r:id="rId102" w:history="1">
        <w:r>
          <w:rPr>
            <w:rStyle w:val="Hyperlink"/>
            <w:color w:val="0563C1"/>
          </w:rPr>
          <w:t>campaigns</w:t>
        </w:r>
      </w:hyperlink>
      <w:r>
        <w:t>.</w:t>
      </w:r>
    </w:p>
    <w:p w14:paraId="787CBAE0" w14:textId="77777777" w:rsidR="00E65AEF" w:rsidRDefault="00E65AEF" w:rsidP="00E65AEF">
      <w:bookmarkStart w:id="24" w:name="_heading=h.30j0zll"/>
      <w:bookmarkEnd w:id="24"/>
    </w:p>
    <w:p w14:paraId="368129A9" w14:textId="4654F81C" w:rsidR="000630D1" w:rsidRDefault="000630D1" w:rsidP="000D039F">
      <w:pPr>
        <w:jc w:val="both"/>
      </w:pPr>
    </w:p>
    <w:p w14:paraId="44BF2044" w14:textId="77777777" w:rsidR="00E65AEF" w:rsidRDefault="00E65AEF" w:rsidP="000D039F">
      <w:pPr>
        <w:jc w:val="both"/>
      </w:pPr>
    </w:p>
    <w:p w14:paraId="12C5C605" w14:textId="484A5C0C" w:rsidR="00183066" w:rsidRDefault="00183066" w:rsidP="000D039F">
      <w:pPr>
        <w:jc w:val="both"/>
      </w:pPr>
    </w:p>
    <w:p w14:paraId="4ABF6824" w14:textId="0BF710EF" w:rsidR="00E65AEF" w:rsidRPr="00E65AEF" w:rsidRDefault="00E65AEF" w:rsidP="00E65AEF">
      <w:pPr>
        <w:pStyle w:val="Heading1"/>
      </w:pPr>
      <w:bookmarkStart w:id="25" w:name="_Toc188863994"/>
      <w:r w:rsidRPr="00E65AEF">
        <w:lastRenderedPageBreak/>
        <w:t>Slovakia</w:t>
      </w:r>
      <w:bookmarkEnd w:id="25"/>
    </w:p>
    <w:p w14:paraId="2C0B0D36" w14:textId="77777777" w:rsidR="00E65AEF" w:rsidRDefault="00E65AEF" w:rsidP="00E65AEF">
      <w:pPr>
        <w:rPr>
          <w:lang w:eastAsia="en-US"/>
        </w:rPr>
      </w:pPr>
    </w:p>
    <w:p w14:paraId="3F06AC2E" w14:textId="77777777" w:rsidR="00E65AEF" w:rsidRDefault="00E65AEF" w:rsidP="00E65AEF">
      <w:pPr>
        <w:jc w:val="both"/>
        <w:rPr>
          <w:b/>
          <w:iCs/>
          <w:color w:val="2F5496" w:themeColor="accent1" w:themeShade="BF"/>
          <w:sz w:val="24"/>
          <w:szCs w:val="24"/>
          <w:u w:val="single"/>
        </w:rPr>
      </w:pPr>
      <w:r>
        <w:rPr>
          <w:b/>
          <w:iCs/>
          <w:color w:val="2F5496" w:themeColor="accent1" w:themeShade="BF"/>
          <w:sz w:val="24"/>
          <w:szCs w:val="24"/>
          <w:u w:val="single"/>
        </w:rPr>
        <w:t>I. Justice System</w:t>
      </w:r>
    </w:p>
    <w:p w14:paraId="7E083933" w14:textId="77777777" w:rsidR="00E65AEF" w:rsidRDefault="00E65AEF" w:rsidP="00E65AEF">
      <w:pPr>
        <w:spacing w:after="240"/>
        <w:jc w:val="both"/>
        <w:rPr>
          <w:b/>
          <w:iCs/>
          <w:color w:val="2F5496" w:themeColor="accent1" w:themeShade="BF"/>
          <w:sz w:val="24"/>
          <w:szCs w:val="24"/>
        </w:rPr>
      </w:pPr>
      <w:r>
        <w:rPr>
          <w:b/>
          <w:iCs/>
          <w:color w:val="2F5496" w:themeColor="accent1" w:themeShade="BF"/>
          <w:sz w:val="24"/>
          <w:szCs w:val="24"/>
        </w:rPr>
        <w:t>A. Independence</w:t>
      </w:r>
    </w:p>
    <w:p w14:paraId="1C87473A" w14:textId="77777777" w:rsidR="00E65AEF" w:rsidRDefault="00E65AEF" w:rsidP="00E65AEF">
      <w:pPr>
        <w:spacing w:after="240"/>
        <w:jc w:val="both"/>
        <w:rPr>
          <w:rFonts w:eastAsia="Times New Roman" w:cs="Times New Roman"/>
          <w:color w:val="2F5496" w:themeColor="accent1" w:themeShade="BF"/>
          <w:sz w:val="24"/>
          <w:szCs w:val="24"/>
        </w:rPr>
      </w:pPr>
      <w:r>
        <w:rPr>
          <w:rFonts w:eastAsia="Times New Roman" w:cs="Times New Roman"/>
          <w:color w:val="2F5496" w:themeColor="accent1" w:themeShade="BF"/>
          <w:sz w:val="24"/>
          <w:szCs w:val="24"/>
        </w:rPr>
        <w:t>Significant developments capable of affecting the perception that the general public has of the independence of the judiciary</w:t>
      </w:r>
    </w:p>
    <w:p w14:paraId="0CC42C8D" w14:textId="77777777" w:rsidR="00E65AEF" w:rsidRDefault="00E65AEF" w:rsidP="00E65AEF">
      <w:pPr>
        <w:spacing w:after="240"/>
        <w:jc w:val="both"/>
      </w:pPr>
      <w:r>
        <w:t xml:space="preserve">On 1 September 2024, the government </w:t>
      </w:r>
      <w:hyperlink r:id="rId103" w:history="1">
        <w:r>
          <w:rPr>
            <w:rStyle w:val="Hyperlink"/>
          </w:rPr>
          <w:t>dissolved</w:t>
        </w:r>
      </w:hyperlink>
      <w:r>
        <w:t xml:space="preserve"> the National Criminal Agency (NAKA), which is also responsible for investigating hate crimes.  </w:t>
      </w:r>
    </w:p>
    <w:p w14:paraId="5CEDE4B4" w14:textId="77777777" w:rsidR="00E65AEF" w:rsidRDefault="00E65AEF" w:rsidP="00E65AEF">
      <w:pPr>
        <w:jc w:val="both"/>
        <w:rPr>
          <w:b/>
          <w:color w:val="2F5496"/>
          <w:sz w:val="24"/>
          <w:szCs w:val="24"/>
          <w:u w:val="single"/>
          <w:lang w:val="hu-HU"/>
        </w:rPr>
      </w:pPr>
      <w:r>
        <w:rPr>
          <w:b/>
          <w:color w:val="2F5496"/>
          <w:sz w:val="24"/>
          <w:szCs w:val="24"/>
          <w:u w:val="single"/>
          <w:lang w:val="hu-HU"/>
        </w:rPr>
        <w:t>III. Media Freedom and Pluralism</w:t>
      </w:r>
    </w:p>
    <w:p w14:paraId="2D6BB22C" w14:textId="77777777" w:rsidR="00E65AEF" w:rsidRDefault="00E65AEF" w:rsidP="00E65AEF">
      <w:pPr>
        <w:spacing w:after="240"/>
        <w:rPr>
          <w:b/>
          <w:sz w:val="24"/>
          <w:szCs w:val="24"/>
          <w:lang w:val="hu-HU"/>
        </w:rPr>
      </w:pPr>
      <w:r>
        <w:rPr>
          <w:b/>
          <w:color w:val="2F5496"/>
          <w:sz w:val="24"/>
          <w:szCs w:val="24"/>
          <w:lang w:val="hu-HU"/>
        </w:rPr>
        <w:t>B. Safeguards against government or political interference and transparency and concentration of media ownership</w:t>
      </w:r>
    </w:p>
    <w:p w14:paraId="179F013A" w14:textId="77777777" w:rsidR="00E65AEF" w:rsidRDefault="00E65AEF" w:rsidP="00E65AEF">
      <w:pPr>
        <w:spacing w:after="240"/>
        <w:rPr>
          <w:color w:val="2F5496"/>
          <w:sz w:val="24"/>
          <w:szCs w:val="24"/>
          <w:lang w:val="hu-HU"/>
        </w:rPr>
      </w:pPr>
      <w:r>
        <w:rPr>
          <w:color w:val="2F5496"/>
          <w:sz w:val="24"/>
          <w:szCs w:val="24"/>
          <w:lang w:val="hu-HU"/>
        </w:rPr>
        <w:t>Safeguards against state / political interference, in particular:</w:t>
      </w:r>
    </w:p>
    <w:p w14:paraId="49FECD3C" w14:textId="77777777" w:rsidR="00E65AEF" w:rsidRDefault="00E65AEF" w:rsidP="00E65AEF">
      <w:pPr>
        <w:numPr>
          <w:ilvl w:val="0"/>
          <w:numId w:val="3"/>
        </w:numPr>
        <w:rPr>
          <w:color w:val="2F5496"/>
          <w:sz w:val="24"/>
          <w:szCs w:val="24"/>
          <w:lang w:val="hu-HU"/>
        </w:rPr>
      </w:pPr>
      <w:r>
        <w:rPr>
          <w:color w:val="2F5496"/>
          <w:sz w:val="24"/>
          <w:szCs w:val="24"/>
          <w:lang w:val="hu-HU"/>
        </w:rPr>
        <w:t>safeguards to ensure editorial independence of media (private and public)</w:t>
      </w:r>
    </w:p>
    <w:p w14:paraId="4F14555B" w14:textId="77777777" w:rsidR="00E65AEF" w:rsidRDefault="00E65AEF" w:rsidP="00E65AEF">
      <w:pPr>
        <w:numPr>
          <w:ilvl w:val="0"/>
          <w:numId w:val="3"/>
        </w:numPr>
        <w:rPr>
          <w:color w:val="2F5496"/>
          <w:sz w:val="24"/>
          <w:szCs w:val="24"/>
          <w:lang w:val="hu-HU"/>
        </w:rPr>
      </w:pPr>
      <w:r>
        <w:rPr>
          <w:color w:val="2F5496"/>
          <w:sz w:val="24"/>
          <w:szCs w:val="24"/>
          <w:lang w:val="hu-HU"/>
        </w:rPr>
        <w:t>specific safeguards for the independence of heads of management and members of the governing boards of public service media (e.g. related to appointment, dismissal), safeguards for their financial and operational independence (e.g. related to reporting obligations and the allocation of resources) and safeguards for plurality of information and opinions</w:t>
      </w:r>
    </w:p>
    <w:p w14:paraId="5A1B66BD" w14:textId="77777777" w:rsidR="00E65AEF" w:rsidRDefault="00E65AEF" w:rsidP="00E65AEF">
      <w:pPr>
        <w:numPr>
          <w:ilvl w:val="0"/>
          <w:numId w:val="3"/>
        </w:numPr>
        <w:rPr>
          <w:color w:val="2F5496"/>
          <w:sz w:val="24"/>
          <w:szCs w:val="24"/>
          <w:lang w:val="hu-HU"/>
        </w:rPr>
      </w:pPr>
      <w:r>
        <w:rPr>
          <w:color w:val="2F5496"/>
          <w:sz w:val="24"/>
          <w:szCs w:val="24"/>
          <w:lang w:val="hu-HU"/>
        </w:rPr>
        <w:t>information on specific legal provisions and procedures applying to media service providers, including as regards granting/renewal/termination of licenses, company operation, capital entry requirements, concentration and corporate governance</w:t>
      </w:r>
    </w:p>
    <w:p w14:paraId="684142F7" w14:textId="77777777" w:rsidR="00E65AEF" w:rsidRDefault="00E65AEF" w:rsidP="00E65AEF">
      <w:pPr>
        <w:jc w:val="both"/>
        <w:rPr>
          <w:lang w:eastAsia="en-US"/>
        </w:rPr>
      </w:pPr>
    </w:p>
    <w:p w14:paraId="2AB2E38F" w14:textId="77777777" w:rsidR="00E65AEF" w:rsidRDefault="00E65AEF" w:rsidP="00E65AEF">
      <w:pPr>
        <w:jc w:val="both"/>
      </w:pPr>
      <w:r>
        <w:t xml:space="preserve">On </w:t>
      </w:r>
      <w:r>
        <w:rPr>
          <w:color w:val="1F1F1F"/>
        </w:rPr>
        <w:t xml:space="preserve">20 June 2024 the Parliament </w:t>
      </w:r>
      <w:hyperlink r:id="rId104" w:history="1">
        <w:r>
          <w:rPr>
            <w:rStyle w:val="Hyperlink"/>
            <w:color w:val="1155CC"/>
          </w:rPr>
          <w:t>approved the draft law</w:t>
        </w:r>
      </w:hyperlink>
      <w:r>
        <w:rPr>
          <w:color w:val="1F1F1F"/>
        </w:rPr>
        <w:t xml:space="preserve"> on Slovak Television and Radio in the second reading, with the opposition boycotting the vote. The President </w:t>
      </w:r>
      <w:hyperlink r:id="rId105" w:history="1">
        <w:r>
          <w:rPr>
            <w:rStyle w:val="Hyperlink"/>
          </w:rPr>
          <w:t>signed</w:t>
        </w:r>
      </w:hyperlink>
      <w:r>
        <w:rPr>
          <w:color w:val="1F1F1F"/>
        </w:rPr>
        <w:t xml:space="preserve"> the law on 30 June 2024 and it entered into force on 1 July 2024. The law officially changes </w:t>
      </w:r>
      <w:r>
        <w:rPr>
          <w:i/>
          <w:color w:val="1F1F1F"/>
        </w:rPr>
        <w:t>The R</w:t>
      </w:r>
      <w:r>
        <w:rPr>
          <w:i/>
          <w:iCs/>
          <w:color w:val="1F1F1F"/>
        </w:rPr>
        <w:t>adio and Television of Slovakia (RTVS)</w:t>
      </w:r>
      <w:r>
        <w:rPr>
          <w:color w:val="1F1F1F"/>
        </w:rPr>
        <w:t xml:space="preserve"> to </w:t>
      </w:r>
      <w:r>
        <w:rPr>
          <w:i/>
          <w:iCs/>
          <w:color w:val="1F1F1F"/>
        </w:rPr>
        <w:t>Slovak Television and Radio (STVR)</w:t>
      </w:r>
      <w:r>
        <w:rPr>
          <w:color w:val="1F1F1F"/>
        </w:rPr>
        <w:t xml:space="preserve">. </w:t>
      </w:r>
      <w:r>
        <w:t xml:space="preserve">The new Director will be elected by the Television Council instead of the Parliament. The current parliamentary majority and the Ministry of Culture will have a majority in the new Television Council, meaning that the Director will be appointed by the ruling party. A new ethics commission will be established which will assess the behaviours of employees and collaborators. </w:t>
      </w:r>
    </w:p>
    <w:p w14:paraId="2BD0B905" w14:textId="77777777" w:rsidR="00E65AEF" w:rsidRDefault="00E65AEF" w:rsidP="00E65AEF">
      <w:pPr>
        <w:jc w:val="both"/>
      </w:pPr>
    </w:p>
    <w:p w14:paraId="0156C704" w14:textId="77777777" w:rsidR="00E65AEF" w:rsidRDefault="00E65AEF" w:rsidP="00E65AEF">
      <w:pPr>
        <w:jc w:val="both"/>
      </w:pPr>
      <w:r>
        <w:t xml:space="preserve">The management of RTVS itself received the information regarding its demise with considerable </w:t>
      </w:r>
      <w:hyperlink r:id="rId106" w:history="1">
        <w:r>
          <w:rPr>
            <w:rStyle w:val="Hyperlink"/>
          </w:rPr>
          <w:t>concern</w:t>
        </w:r>
      </w:hyperlink>
      <w:r>
        <w:t xml:space="preserve">. They stated that the approval of the Act on STVR means a purposeful change that has no relevant justification and is contrary to legislative standards. The legislative conditions were set in such a way that the disruption of the entire institution was not necessary, and that if there was a need for the government to improve the situation in RTVS and change processes and settings, a new law was not necessary, it was sufficient to amend the already existing law on RTVS. </w:t>
      </w:r>
    </w:p>
    <w:p w14:paraId="791DA1E4" w14:textId="77777777" w:rsidR="00E65AEF" w:rsidRDefault="00E65AEF" w:rsidP="00E65AEF">
      <w:pPr>
        <w:jc w:val="both"/>
      </w:pPr>
    </w:p>
    <w:p w14:paraId="00D8A5F0" w14:textId="77777777" w:rsidR="00E65AEF" w:rsidRDefault="00E65AEF" w:rsidP="00E65AEF">
      <w:pPr>
        <w:jc w:val="both"/>
      </w:pPr>
      <w:r>
        <w:t>At the same time, this change will bring considerable financial costs, which are estimated at several million euros. The management of RTVS states that despite many calls to start a constructive dialogue and solve the situation, the current government has decided on a purposeful change led by an effort to control the public media.</w:t>
      </w:r>
    </w:p>
    <w:p w14:paraId="12629BD1" w14:textId="77777777" w:rsidR="00E65AEF" w:rsidRDefault="00E65AEF" w:rsidP="00E65AEF">
      <w:pPr>
        <w:jc w:val="both"/>
      </w:pPr>
    </w:p>
    <w:p w14:paraId="6C005A2B" w14:textId="77777777" w:rsidR="00E65AEF" w:rsidRDefault="00E65AEF" w:rsidP="00E65AEF">
      <w:pPr>
        <w:jc w:val="both"/>
        <w:rPr>
          <w:color w:val="1F1F1F"/>
        </w:rPr>
      </w:pPr>
      <w:r>
        <w:rPr>
          <w:color w:val="1F1F1F"/>
        </w:rPr>
        <w:lastRenderedPageBreak/>
        <w:t xml:space="preserve">President Zuzana </w:t>
      </w:r>
      <w:proofErr w:type="spellStart"/>
      <w:r>
        <w:rPr>
          <w:color w:val="1F1F1F"/>
        </w:rPr>
        <w:t>Čaputová</w:t>
      </w:r>
      <w:proofErr w:type="spellEnd"/>
      <w:r>
        <w:rPr>
          <w:color w:val="1F1F1F"/>
        </w:rPr>
        <w:t xml:space="preserve"> also </w:t>
      </w:r>
      <w:hyperlink r:id="rId107" w:history="1">
        <w:r>
          <w:rPr>
            <w:rStyle w:val="Hyperlink"/>
          </w:rPr>
          <w:t>commented</w:t>
        </w:r>
      </w:hyperlink>
      <w:r>
        <w:rPr>
          <w:color w:val="1F1F1F"/>
        </w:rPr>
        <w:t xml:space="preserve"> in March 2024, during the drafting phase, that “There is no relevant reason for the cancellation of RTVS, except for one - and that is the attempt to take over it politically, which cannot be agreed with”.</w:t>
      </w:r>
    </w:p>
    <w:p w14:paraId="649026A2" w14:textId="77777777" w:rsidR="00E65AEF" w:rsidRDefault="00E65AEF" w:rsidP="00E65AEF">
      <w:pPr>
        <w:jc w:val="both"/>
        <w:rPr>
          <w:color w:val="1F1F1F"/>
        </w:rPr>
      </w:pPr>
    </w:p>
    <w:p w14:paraId="0926F297" w14:textId="77777777" w:rsidR="00E65AEF" w:rsidRDefault="00E65AEF" w:rsidP="00E65AEF">
      <w:pPr>
        <w:jc w:val="both"/>
        <w:rPr>
          <w:color w:val="1F1F1F"/>
        </w:rPr>
      </w:pPr>
      <w:r>
        <w:rPr>
          <w:color w:val="1F1F1F"/>
        </w:rPr>
        <w:t xml:space="preserve">The law restricts the right to access to information, and will bring a loss of media independence, threaten freedom of speech and undermine the already weak public trust in the media. </w:t>
      </w:r>
    </w:p>
    <w:p w14:paraId="36354740" w14:textId="77777777" w:rsidR="00E65AEF" w:rsidRDefault="00E65AEF" w:rsidP="00E65AEF">
      <w:pPr>
        <w:jc w:val="both"/>
        <w:rPr>
          <w:color w:val="1F1F1F"/>
        </w:rPr>
      </w:pPr>
    </w:p>
    <w:p w14:paraId="34FB2529" w14:textId="77777777" w:rsidR="00E65AEF" w:rsidRDefault="00E65AEF" w:rsidP="00E65AEF">
      <w:pPr>
        <w:jc w:val="both"/>
        <w:rPr>
          <w:color w:val="1F1F1F"/>
        </w:rPr>
      </w:pPr>
      <w:r>
        <w:rPr>
          <w:color w:val="1F1F1F"/>
        </w:rPr>
        <w:t>On 1 July 2024, opposition parties Progressive Slovakia (PS), The Christian Democratic Movement (KDH) and Freedom and Solidarity (</w:t>
      </w:r>
      <w:proofErr w:type="spellStart"/>
      <w:r>
        <w:rPr>
          <w:color w:val="1F1F1F"/>
        </w:rPr>
        <w:t>SaS</w:t>
      </w:r>
      <w:proofErr w:type="spellEnd"/>
      <w:r>
        <w:rPr>
          <w:color w:val="1F1F1F"/>
        </w:rPr>
        <w:t xml:space="preserve">) informed during a </w:t>
      </w:r>
      <w:hyperlink r:id="rId108" w:history="1">
        <w:r>
          <w:rPr>
            <w:rStyle w:val="Hyperlink"/>
          </w:rPr>
          <w:t>press conference</w:t>
        </w:r>
      </w:hyperlink>
      <w:r>
        <w:rPr>
          <w:color w:val="1F1F1F"/>
        </w:rPr>
        <w:t xml:space="preserve"> that they would file a constitutional complaint against the law. They also demand the suspension of the effectiveness of the legislative changes. </w:t>
      </w:r>
      <w:r>
        <w:rPr>
          <w:i/>
          <w:iCs/>
          <w:color w:val="1F1F1F"/>
        </w:rPr>
        <w:t>"We are convinced that this law is in conflict with the Constitution of the Slovak Republic, with several articles of our constitution and, in addition, it is in conflict with European legislation"</w:t>
      </w:r>
      <w:r>
        <w:rPr>
          <w:color w:val="1F1F1F"/>
        </w:rPr>
        <w:t xml:space="preserve"> declared the chairman of PS, Michal </w:t>
      </w:r>
      <w:proofErr w:type="spellStart"/>
      <w:r>
        <w:rPr>
          <w:color w:val="1F1F1F"/>
        </w:rPr>
        <w:t>Šimečka</w:t>
      </w:r>
      <w:proofErr w:type="spellEnd"/>
      <w:r>
        <w:rPr>
          <w:color w:val="1F1F1F"/>
        </w:rPr>
        <w:t>. Behind the change in legislation, he sees an effort to take it over politically, to install the government's own nominees in the leadership of the institution, and not an ambition to improve the state of RTVS.</w:t>
      </w:r>
    </w:p>
    <w:p w14:paraId="21CD779A" w14:textId="77777777" w:rsidR="00E65AEF" w:rsidRDefault="00E65AEF" w:rsidP="00E65AEF">
      <w:pPr>
        <w:rPr>
          <w:lang w:eastAsia="en-US"/>
        </w:rPr>
      </w:pPr>
    </w:p>
    <w:p w14:paraId="62722363" w14:textId="77777777" w:rsidR="00E65AEF" w:rsidRDefault="00E65AEF" w:rsidP="00E65AEF">
      <w:pPr>
        <w:autoSpaceDE w:val="0"/>
        <w:autoSpaceDN w:val="0"/>
        <w:adjustRightInd w:val="0"/>
        <w:jc w:val="both"/>
        <w:rPr>
          <w:rFonts w:ascii="FreeSans" w:hAnsi="FreeSans" w:cs="FreeSans"/>
          <w:b/>
          <w:iCs/>
          <w:color w:val="2F5496" w:themeColor="accent1" w:themeShade="BF"/>
          <w:sz w:val="24"/>
          <w:szCs w:val="24"/>
          <w:u w:val="single"/>
        </w:rPr>
      </w:pPr>
      <w:r>
        <w:rPr>
          <w:rFonts w:ascii="FreeSans" w:hAnsi="FreeSans" w:cs="FreeSans"/>
          <w:b/>
          <w:iCs/>
          <w:color w:val="2F5496" w:themeColor="accent1" w:themeShade="BF"/>
          <w:sz w:val="24"/>
          <w:szCs w:val="24"/>
          <w:u w:val="single"/>
        </w:rPr>
        <w:t>IV. Other institutional issues related to checks and balances</w:t>
      </w:r>
    </w:p>
    <w:p w14:paraId="4FC48201" w14:textId="77777777" w:rsidR="00E65AEF" w:rsidRDefault="00E65AEF" w:rsidP="00E65AEF">
      <w:pPr>
        <w:jc w:val="both"/>
        <w:rPr>
          <w:b/>
          <w:color w:val="2F5496" w:themeColor="accent1" w:themeShade="BF"/>
          <w:sz w:val="24"/>
          <w:szCs w:val="24"/>
        </w:rPr>
      </w:pPr>
      <w:r>
        <w:rPr>
          <w:b/>
          <w:color w:val="2F5496" w:themeColor="accent1" w:themeShade="BF"/>
          <w:sz w:val="24"/>
          <w:szCs w:val="24"/>
        </w:rPr>
        <w:t>A. The process for preparing and enacting laws</w:t>
      </w:r>
    </w:p>
    <w:p w14:paraId="40BC2F90" w14:textId="77777777" w:rsidR="00E65AEF" w:rsidRDefault="00E65AEF" w:rsidP="00E65AEF">
      <w:pPr>
        <w:spacing w:before="240" w:after="240"/>
        <w:jc w:val="both"/>
        <w:rPr>
          <w:color w:val="2F5496" w:themeColor="accent1" w:themeShade="BF"/>
          <w:sz w:val="24"/>
          <w:szCs w:val="24"/>
        </w:rPr>
      </w:pPr>
      <w:r>
        <w:rPr>
          <w:color w:val="2F5496" w:themeColor="accent1" w:themeShade="BF"/>
          <w:sz w:val="24"/>
          <w:szCs w:val="24"/>
        </w:rPr>
        <w:t>Framework, policy and use of impact assessments and evidence-based policy-making, stakeholders'[1]/public consultations (including rules and practices on the transparent participation of civil society to policy development and decision-making processes), and transparency and quality of the legislative process</w:t>
      </w:r>
      <w:r>
        <w:rPr>
          <w:rFonts w:ascii="FreeSans" w:hAnsi="FreeSans" w:cs="FreeSans"/>
          <w:color w:val="333333"/>
          <w:sz w:val="21"/>
          <w:szCs w:val="21"/>
          <w:lang w:eastAsia="en-US"/>
        </w:rPr>
        <w:t xml:space="preserve"> </w:t>
      </w:r>
      <w:r>
        <w:rPr>
          <w:color w:val="2F5496" w:themeColor="accent1" w:themeShade="BF"/>
          <w:sz w:val="24"/>
          <w:szCs w:val="24"/>
        </w:rPr>
        <w:t>both in the preparatory and the parliamentary phase</w:t>
      </w:r>
    </w:p>
    <w:p w14:paraId="0E7980EE" w14:textId="77777777" w:rsidR="00E65AEF" w:rsidRDefault="00E65AEF" w:rsidP="00E65AEF">
      <w:pPr>
        <w:jc w:val="both"/>
      </w:pPr>
      <w:r>
        <w:t xml:space="preserve">Despite the profound implications of the changes introduced by "Lex </w:t>
      </w:r>
      <w:proofErr w:type="spellStart"/>
      <w:r>
        <w:t>atentát</w:t>
      </w:r>
      <w:proofErr w:type="spellEnd"/>
      <w:r>
        <w:t xml:space="preserve">" (see section D below), there has been no comprehensive analysis of the law’s full impact, and key stakeholders, including civil society, were not consulted and were excluded from the legislative debate. </w:t>
      </w:r>
    </w:p>
    <w:p w14:paraId="6653E73A" w14:textId="77777777" w:rsidR="00E65AEF" w:rsidRDefault="00E65AEF" w:rsidP="00E65AEF">
      <w:pPr>
        <w:jc w:val="both"/>
      </w:pPr>
    </w:p>
    <w:p w14:paraId="3BDA81D3" w14:textId="77777777" w:rsidR="00E65AEF" w:rsidRDefault="00C63176" w:rsidP="00E65AEF">
      <w:pPr>
        <w:jc w:val="both"/>
      </w:pPr>
      <w:hyperlink r:id="rId109" w:history="1">
        <w:r w:rsidR="00E65AEF">
          <w:rPr>
            <w:rStyle w:val="Hyperlink"/>
          </w:rPr>
          <w:t xml:space="preserve">According to the findings of </w:t>
        </w:r>
        <w:r w:rsidR="00E65AEF">
          <w:rPr>
            <w:rStyle w:val="Hyperlink"/>
            <w:i/>
            <w:iCs/>
          </w:rPr>
          <w:t xml:space="preserve">Via </w:t>
        </w:r>
        <w:proofErr w:type="spellStart"/>
        <w:r w:rsidR="00E65AEF">
          <w:rPr>
            <w:rStyle w:val="Hyperlink"/>
            <w:i/>
            <w:iCs/>
          </w:rPr>
          <w:t>Iuris</w:t>
        </w:r>
        <w:proofErr w:type="spellEnd"/>
      </w:hyperlink>
      <w:r w:rsidR="00E65AEF">
        <w:t>, the current (fourth)  government of Roberto Fico adopts almost 60% of laws via the fast-track legislative procedure, without any reason. During the first seven months of the current government, the parliament approved 25 of 42 laws (59%) outside the standard process.</w:t>
      </w:r>
    </w:p>
    <w:p w14:paraId="48B348C1" w14:textId="77777777" w:rsidR="00E65AEF" w:rsidRDefault="00E65AEF" w:rsidP="00E65AEF">
      <w:pPr>
        <w:jc w:val="both"/>
      </w:pPr>
    </w:p>
    <w:p w14:paraId="20FAEA6F" w14:textId="77777777" w:rsidR="00E65AEF" w:rsidRDefault="00E65AEF" w:rsidP="00E65AEF">
      <w:pPr>
        <w:jc w:val="both"/>
      </w:pPr>
      <w:r>
        <w:t xml:space="preserve">Between March and December 2020, the previous government pushed through 47% of laws outside of standard processes. However, </w:t>
      </w:r>
      <w:r>
        <w:rPr>
          <w:i/>
          <w:iCs/>
        </w:rPr>
        <w:t xml:space="preserve">Via </w:t>
      </w:r>
      <w:proofErr w:type="spellStart"/>
      <w:r>
        <w:rPr>
          <w:i/>
          <w:iCs/>
        </w:rPr>
        <w:t>Iuris</w:t>
      </w:r>
      <w:proofErr w:type="spellEnd"/>
      <w:r>
        <w:t xml:space="preserve"> recalls that this was the period of the Covid-19 pandemic. </w:t>
      </w:r>
      <w:r>
        <w:rPr>
          <w:i/>
          <w:iCs/>
        </w:rPr>
        <w:t xml:space="preserve">"It means that they [the current government] are currently approving laws in a fast-track legislative procedure even more recklessly than at the time when this process was justified by the global pandemic," </w:t>
      </w:r>
      <w:r>
        <w:t xml:space="preserve">said Eva </w:t>
      </w:r>
      <w:proofErr w:type="spellStart"/>
      <w:r>
        <w:t>Kováčechová</w:t>
      </w:r>
      <w:proofErr w:type="spellEnd"/>
      <w:r>
        <w:t>, a lawyer cooperating with the civil association.</w:t>
      </w:r>
    </w:p>
    <w:p w14:paraId="55006164" w14:textId="77777777" w:rsidR="00E65AEF" w:rsidRDefault="00E65AEF" w:rsidP="00E65AEF">
      <w:pPr>
        <w:jc w:val="both"/>
      </w:pPr>
    </w:p>
    <w:p w14:paraId="0AA51498" w14:textId="77777777" w:rsidR="00E65AEF" w:rsidRDefault="00E65AEF" w:rsidP="00E65AEF">
      <w:pPr>
        <w:jc w:val="both"/>
      </w:pPr>
      <w:r>
        <w:rPr>
          <w:i/>
          <w:iCs/>
        </w:rPr>
        <w:t xml:space="preserve">Via </w:t>
      </w:r>
      <w:proofErr w:type="spellStart"/>
      <w:r>
        <w:rPr>
          <w:i/>
          <w:iCs/>
        </w:rPr>
        <w:t>Iuris</w:t>
      </w:r>
      <w:proofErr w:type="spellEnd"/>
      <w:r>
        <w:t xml:space="preserve"> compares the current actions of Robert Fico's government with its actions in the past. </w:t>
      </w:r>
      <w:r>
        <w:rPr>
          <w:i/>
          <w:iCs/>
        </w:rPr>
        <w:t>"During the third government of Robert Fico, only 5.80% of the laws were approved during the entire term of office in fast-track proceedings. If we compare the first months of the government, from the end of March to December 2016, only 12.50% of laws were approved in the fast-track legislative procedure. Today, Robert Fico's fourth government is at 59.52%,"</w:t>
      </w:r>
      <w:r>
        <w:t xml:space="preserve"> the association compared.</w:t>
      </w:r>
    </w:p>
    <w:p w14:paraId="7A13C7D5" w14:textId="77777777" w:rsidR="00E65AEF" w:rsidRDefault="00E65AEF" w:rsidP="00E65AEF">
      <w:pPr>
        <w:jc w:val="both"/>
      </w:pPr>
    </w:p>
    <w:p w14:paraId="63E6348E" w14:textId="77777777" w:rsidR="00E65AEF" w:rsidRDefault="00E65AEF" w:rsidP="00E65AEF">
      <w:pPr>
        <w:jc w:val="both"/>
      </w:pPr>
      <w:r>
        <w:t xml:space="preserve">A proper legislative process directly affects the quality of adopted laws. According to </w:t>
      </w:r>
      <w:r>
        <w:rPr>
          <w:i/>
          <w:iCs/>
        </w:rPr>
        <w:t xml:space="preserve">Via </w:t>
      </w:r>
      <w:proofErr w:type="spellStart"/>
      <w:r>
        <w:rPr>
          <w:i/>
          <w:iCs/>
        </w:rPr>
        <w:t>Iuris</w:t>
      </w:r>
      <w:proofErr w:type="spellEnd"/>
      <w:r>
        <w:t xml:space="preserve">, broad discussion, comments from the professional and lay public, as well as sufficient time contribute to the clarity and comprehensibility of laws. They highlight, for example, to amendment of the Criminal Code. The initial argument that the shortened legislative process should quickly stop the violation of the </w:t>
      </w:r>
      <w:r>
        <w:lastRenderedPageBreak/>
        <w:t>basic human rights of several accused was negated by the fact that the approval took longer than it would have taken under the standard process.</w:t>
      </w:r>
    </w:p>
    <w:p w14:paraId="117B274C" w14:textId="77777777" w:rsidR="00E65AEF" w:rsidRDefault="00E65AEF" w:rsidP="00E65AEF">
      <w:pPr>
        <w:jc w:val="both"/>
      </w:pPr>
      <w:r>
        <w:br/>
      </w:r>
      <w:r>
        <w:rPr>
          <w:i/>
          <w:iCs/>
        </w:rPr>
        <w:t>"However, the government politicians achieved the fact that they wrote and approved a huge change in the criminal laws, which will affect every citizen of Slovakia, without any professional discussion. Thus, the Prosecutor General, the Slovak Bar Association, the Judicial Council, or other professional or lay members of the public did not have the opportunity to comment on it".</w:t>
      </w:r>
    </w:p>
    <w:p w14:paraId="3C9F3DD1" w14:textId="77777777" w:rsidR="00E65AEF" w:rsidRDefault="00E65AEF" w:rsidP="00E65AEF">
      <w:pPr>
        <w:spacing w:before="240" w:after="240"/>
        <w:jc w:val="both"/>
        <w:rPr>
          <w:b/>
          <w:color w:val="2F5496" w:themeColor="accent1" w:themeShade="BF"/>
          <w:sz w:val="24"/>
          <w:szCs w:val="24"/>
        </w:rPr>
      </w:pPr>
      <w:r>
        <w:rPr>
          <w:b/>
          <w:color w:val="2F5496" w:themeColor="accent1" w:themeShade="BF"/>
          <w:sz w:val="24"/>
          <w:szCs w:val="24"/>
        </w:rPr>
        <w:t>D. The enabling framework for civil society</w:t>
      </w:r>
    </w:p>
    <w:p w14:paraId="44133F09" w14:textId="77777777" w:rsidR="00E65AEF" w:rsidRDefault="00E65AEF" w:rsidP="00E65AEF">
      <w:pPr>
        <w:jc w:val="both"/>
        <w:rPr>
          <w:color w:val="2F5496" w:themeColor="accent1" w:themeShade="BF"/>
          <w:sz w:val="24"/>
          <w:szCs w:val="24"/>
        </w:rPr>
      </w:pPr>
      <w:r>
        <w:rPr>
          <w:color w:val="2F5496" w:themeColor="accent1" w:themeShade="BF"/>
          <w:sz w:val="24"/>
          <w:szCs w:val="24"/>
        </w:rPr>
        <w:t>Rules and practices having an impact on the effective operation and safety of civil society organisations and human rights defenders. This includes measures to protect them from attacks – verbal, physical or on-line –, intimidation, legal threats incl. SLAPPs, negative narratives or smear campaigns, measures capable of affecting the public perception of civil society organisations, etc. It also includes measures to monitor threats or attacks and dedicated support services, as well as available remedies.</w:t>
      </w:r>
    </w:p>
    <w:p w14:paraId="31661A61" w14:textId="77777777" w:rsidR="00E65AEF" w:rsidRDefault="00E65AEF" w:rsidP="00E65AEF">
      <w:pPr>
        <w:jc w:val="both"/>
        <w:rPr>
          <w:color w:val="2F5496" w:themeColor="accent1" w:themeShade="BF"/>
          <w:sz w:val="24"/>
          <w:szCs w:val="24"/>
        </w:rPr>
      </w:pPr>
    </w:p>
    <w:p w14:paraId="350EDA79" w14:textId="77777777" w:rsidR="00E65AEF" w:rsidRDefault="00E65AEF" w:rsidP="00E65AEF">
      <w:pPr>
        <w:jc w:val="both"/>
      </w:pPr>
      <w:r>
        <w:t xml:space="preserve">In early July, the Slovak parliament passed a controversial law, commonly referred to as "Lex assassination" ("Lex </w:t>
      </w:r>
      <w:proofErr w:type="spellStart"/>
      <w:r>
        <w:t>atentát</w:t>
      </w:r>
      <w:proofErr w:type="spellEnd"/>
      <w:r>
        <w:t xml:space="preserve">"), through an expedited legislative procedure which led it to come into effect on 15 July 2024. Human rights organisations have expressed alarm over several aspects of the law, notably the prohibition of all gatherings within 50 metres of designated sites. The law also expands the grounds on which assemblies can be banned, introducing vague and subjective criteria that make it easier for authorities to restrict peaceful gatherings. The law breaches the right to freedom of assembly and expression as enshrined in Slovakia’s Constitution, as well as Articles 10 and 11 of the ECHR. </w:t>
      </w:r>
      <w:r>
        <w:rPr>
          <w:bCs/>
        </w:rPr>
        <w:t>The Office for Democratic Institutions and Human Rights</w:t>
      </w:r>
      <w:r>
        <w:t xml:space="preserve"> (ODIHR), which is part of </w:t>
      </w:r>
      <w:r>
        <w:rPr>
          <w:bCs/>
        </w:rPr>
        <w:t>the Organization for Security and Co-operation in Europe</w:t>
      </w:r>
      <w:r>
        <w:t xml:space="preserve"> (OSCE), in its </w:t>
      </w:r>
      <w:hyperlink r:id="rId110" w:history="1">
        <w:r>
          <w:rPr>
            <w:rStyle w:val="Hyperlink"/>
          </w:rPr>
          <w:t>opinion</w:t>
        </w:r>
      </w:hyperlink>
      <w:r>
        <w:t xml:space="preserve"> from 26 June draws attention to the </w:t>
      </w:r>
      <w:r>
        <w:rPr>
          <w:bCs/>
        </w:rPr>
        <w:t>serious shortcomings of the new law</w:t>
      </w:r>
      <w:r>
        <w:t xml:space="preserve"> with regard to Slovakia's </w:t>
      </w:r>
      <w:r>
        <w:rPr>
          <w:bCs/>
        </w:rPr>
        <w:t>international human rights standards and obligations</w:t>
      </w:r>
      <w:r>
        <w:t xml:space="preserve">. </w:t>
      </w:r>
      <w:r>
        <w:rPr>
          <w:iCs/>
        </w:rPr>
        <w:t xml:space="preserve">The </w:t>
      </w:r>
      <w:r>
        <w:t xml:space="preserve"> </w:t>
      </w:r>
      <w:r>
        <w:rPr>
          <w:bCs/>
        </w:rPr>
        <w:t>vagueness and unclear determination of the specific conditions</w:t>
      </w:r>
      <w:r>
        <w:t xml:space="preserve"> of its application </w:t>
      </w:r>
      <w:r>
        <w:rPr>
          <w:bCs/>
        </w:rPr>
        <w:t>violates the principles of the rule of law</w:t>
      </w:r>
      <w:r>
        <w:t xml:space="preserve">, which requires the </w:t>
      </w:r>
      <w:r>
        <w:rPr>
          <w:bCs/>
        </w:rPr>
        <w:t>transparency</w:t>
      </w:r>
      <w:r>
        <w:t xml:space="preserve"> of the law and its stable and </w:t>
      </w:r>
      <w:r>
        <w:rPr>
          <w:bCs/>
        </w:rPr>
        <w:t>uniform application</w:t>
      </w:r>
      <w:r>
        <w:t>. The law places an unreasonable level of responsibility on municipalities, granting them the power to ban gatherings based on ill-defined concepts like public order or potential conflict, which lack clear legal guidelines. This creates the risk of inconsistent interpretation and arbitrary enforcement.</w:t>
      </w:r>
    </w:p>
    <w:p w14:paraId="15E028A1" w14:textId="77777777" w:rsidR="00E65AEF" w:rsidRDefault="00E65AEF" w:rsidP="00E65AEF"/>
    <w:p w14:paraId="538365B4" w14:textId="77777777" w:rsidR="00E65AEF" w:rsidRDefault="00E65AEF" w:rsidP="00E65AEF">
      <w:pPr>
        <w:jc w:val="both"/>
      </w:pPr>
      <w:r>
        <w:t xml:space="preserve">Slovakia may soon introduce new </w:t>
      </w:r>
      <w:hyperlink r:id="rId111" w:history="1">
        <w:r>
          <w:rPr>
            <w:rStyle w:val="Hyperlink"/>
          </w:rPr>
          <w:t>regulations</w:t>
        </w:r>
      </w:hyperlink>
      <w:r>
        <w:t xml:space="preserve"> aimed at restricting "LGBTQ+ propaganda" in schools. Such a draft bill was tabled in parliament by the far-right SNS party in September 2024, and seeks to explicitly define "</w:t>
      </w:r>
      <w:proofErr w:type="spellStart"/>
      <w:r>
        <w:t>nontraditional</w:t>
      </w:r>
      <w:proofErr w:type="spellEnd"/>
      <w:r>
        <w:t xml:space="preserve"> sexual orientation" and prohibit its "promotion" in educational settings. Schools found in violation of this ban could face fines of up to €30,000. Although the bill did not pass the second reading, SNS vowed to reintroduce it in six months. As we have seen in the cases of Hungary and Bulgaria, such legislation has a notable detrimental impact on the ability of CSOs to conduct their work, contributes to increased discrimination against LGBTI persons and creates a chilling effect in society and in professional spheres, including decision making processes.</w:t>
      </w:r>
    </w:p>
    <w:p w14:paraId="72E19396" w14:textId="77777777" w:rsidR="00E65AEF" w:rsidRDefault="00E65AEF" w:rsidP="00E65AEF">
      <w:pPr>
        <w:jc w:val="both"/>
      </w:pPr>
    </w:p>
    <w:p w14:paraId="52E7E298" w14:textId="77777777" w:rsidR="00E65AEF" w:rsidRDefault="00E65AEF" w:rsidP="00E65AEF">
      <w:pPr>
        <w:jc w:val="both"/>
      </w:pPr>
      <w:r>
        <w:t xml:space="preserve">In November 2023, the Slovak Ministry of Health revoked the validity of the so-called </w:t>
      </w:r>
      <w:hyperlink r:id="rId112" w:history="1">
        <w:r>
          <w:rPr>
            <w:rStyle w:val="Hyperlink"/>
            <w:i/>
            <w:iCs/>
          </w:rPr>
          <w:t>Professional guidelines</w:t>
        </w:r>
      </w:hyperlink>
      <w:r>
        <w:t xml:space="preserve">, a document that made procedures in health care associated with the transition more transparent and harmonized. This document also had the ambition to unify the medical reports that need to be documented when changing the name, surname and birth number (legal gender recognition) at the registry offices. Another one of the goals of the </w:t>
      </w:r>
      <w:r>
        <w:rPr>
          <w:i/>
          <w:iCs/>
        </w:rPr>
        <w:t>Professional Guidelines</w:t>
      </w:r>
      <w:r>
        <w:t xml:space="preserve"> was to end the long-standing practice of forced castration and sterilization procedures in healthcare associated with legal gender recognition, which, although not supported by law, unfortunately still occurs in </w:t>
      </w:r>
      <w:r>
        <w:lastRenderedPageBreak/>
        <w:t>practice. Due to the withdrawal of these guidelines, it is expected that cases of forced castration and sterilization procedures (permanent interruption of reproductive activity) will occur again in Slovakia, as a condition for legal gender recognition. Several such cases have already been recorded in recent months.</w:t>
      </w:r>
    </w:p>
    <w:p w14:paraId="24ECB9DC" w14:textId="77777777" w:rsidR="00E65AEF" w:rsidRDefault="00E65AEF" w:rsidP="00E65AEF">
      <w:pPr>
        <w:jc w:val="both"/>
      </w:pPr>
    </w:p>
    <w:p w14:paraId="28A30231" w14:textId="77777777" w:rsidR="00E65AEF" w:rsidRDefault="00E65AEF" w:rsidP="00E65AEF">
      <w:pPr>
        <w:jc w:val="both"/>
      </w:pPr>
      <w:r>
        <w:t xml:space="preserve">In addition, in April of this year, the Ministry of Health withdrew another document regarding trans people entitled </w:t>
      </w:r>
      <w:hyperlink r:id="rId113" w:history="1">
        <w:r>
          <w:rPr>
            <w:rStyle w:val="Hyperlink"/>
            <w:i/>
            <w:iCs/>
          </w:rPr>
          <w:t>"Standard procedure for diagnosis and comprehensive management of health care for an adult person with transsexualism"</w:t>
        </w:r>
      </w:hyperlink>
      <w:r>
        <w:t xml:space="preserve">. This document framed the procedure for medical transition - mandatory examinations by specialized health care providers - to avoid arbitrary procedures and potentially harmful practice. Several organizations, including the </w:t>
      </w:r>
      <w:r>
        <w:rPr>
          <w:i/>
          <w:iCs/>
        </w:rPr>
        <w:t>Slovak Psychiatric Society (</w:t>
      </w:r>
      <w:proofErr w:type="spellStart"/>
      <w:r>
        <w:rPr>
          <w:i/>
          <w:iCs/>
        </w:rPr>
        <w:t>SPsS</w:t>
      </w:r>
      <w:proofErr w:type="spellEnd"/>
      <w:r>
        <w:rPr>
          <w:i/>
          <w:iCs/>
        </w:rPr>
        <w:t xml:space="preserve">) </w:t>
      </w:r>
      <w:r>
        <w:t xml:space="preserve">and the </w:t>
      </w:r>
      <w:r>
        <w:rPr>
          <w:i/>
          <w:iCs/>
        </w:rPr>
        <w:t>Slovak Medical Society (SLS)</w:t>
      </w:r>
      <w:r>
        <w:t>, point out that the withdrawal of this important document has no medical justification, sets a dangerous precedent and threatens the already difficult access to healthcare for trans people in Slovakia.</w:t>
      </w:r>
    </w:p>
    <w:p w14:paraId="1097E067" w14:textId="77777777" w:rsidR="00E65AEF" w:rsidRDefault="00E65AEF" w:rsidP="00E65AEF">
      <w:pPr>
        <w:jc w:val="both"/>
      </w:pPr>
    </w:p>
    <w:p w14:paraId="2D8897A6" w14:textId="77777777" w:rsidR="00E65AEF" w:rsidRDefault="00E65AEF" w:rsidP="00E65AEF">
      <w:pPr>
        <w:jc w:val="both"/>
      </w:pPr>
      <w:r>
        <w:t xml:space="preserve">Politicians continued to use anti-LGBTI and anti-trans rhetoric, including to divert attention from political developments and challenges and to gain conservative votes. Former Minister of Finance Igor </w:t>
      </w:r>
      <w:proofErr w:type="spellStart"/>
      <w:r>
        <w:t>Matovič</w:t>
      </w:r>
      <w:proofErr w:type="spellEnd"/>
      <w:r>
        <w:t xml:space="preserve"> </w:t>
      </w:r>
      <w:hyperlink r:id="rId114" w:history="1">
        <w:r>
          <w:rPr>
            <w:rStyle w:val="Hyperlink"/>
          </w:rPr>
          <w:t>wrote</w:t>
        </w:r>
      </w:hyperlink>
      <w:r>
        <w:t xml:space="preserve"> about “LGBTIQXYZ+” people, </w:t>
      </w:r>
      <w:hyperlink r:id="rId115" w:history="1">
        <w:r>
          <w:rPr>
            <w:rStyle w:val="Hyperlink"/>
          </w:rPr>
          <w:t>adding</w:t>
        </w:r>
      </w:hyperlink>
      <w:r>
        <w:t xml:space="preserve"> “nowhere have I met so many primitive, arrogant, vulgar and bad people together as among these transgender activists” and that, “We must protect our children from these ‘people’”. Former Minister of Finance Igor </w:t>
      </w:r>
      <w:proofErr w:type="spellStart"/>
      <w:r>
        <w:t>Matovič</w:t>
      </w:r>
      <w:proofErr w:type="spellEnd"/>
      <w:r>
        <w:t xml:space="preserve"> attended a protest organised by trans activists, called the event “propaganda” and </w:t>
      </w:r>
      <w:hyperlink r:id="rId116" w:history="1">
        <w:r>
          <w:rPr>
            <w:rStyle w:val="Hyperlink"/>
          </w:rPr>
          <w:t>got</w:t>
        </w:r>
      </w:hyperlink>
      <w:r>
        <w:t xml:space="preserve"> into a physical fight with the participants, filmed them, verbally harassed them, and </w:t>
      </w:r>
      <w:hyperlink r:id="rId117" w:history="1">
        <w:r>
          <w:rPr>
            <w:rStyle w:val="Hyperlink"/>
          </w:rPr>
          <w:t>tried</w:t>
        </w:r>
      </w:hyperlink>
      <w:r>
        <w:t xml:space="preserve"> to take their signs away. Other MPs also joined him.</w:t>
      </w:r>
    </w:p>
    <w:p w14:paraId="6C2E990A" w14:textId="77777777" w:rsidR="00E65AEF" w:rsidRDefault="00E65AEF" w:rsidP="00E65AEF">
      <w:pPr>
        <w:jc w:val="both"/>
      </w:pPr>
    </w:p>
    <w:p w14:paraId="52B1F763" w14:textId="77777777" w:rsidR="00E65AEF" w:rsidRDefault="00E65AEF" w:rsidP="00E65AEF">
      <w:pPr>
        <w:spacing w:after="240"/>
        <w:rPr>
          <w:color w:val="2F5496" w:themeColor="accent1" w:themeShade="BF"/>
          <w:sz w:val="24"/>
        </w:rPr>
      </w:pPr>
      <w:r>
        <w:rPr>
          <w:color w:val="2F5496" w:themeColor="accent1" w:themeShade="BF"/>
          <w:sz w:val="24"/>
        </w:rPr>
        <w:t>Organisation of financial support for civil society organisations and human rights defenders (e.g. framework to ensure access to funding, and for financial viability, taxation/incentive/donation systems, measures to ensure a fair distribution of funding)</w:t>
      </w:r>
    </w:p>
    <w:p w14:paraId="106C7A64" w14:textId="77777777" w:rsidR="00E65AEF" w:rsidRDefault="00E65AEF" w:rsidP="00E65AEF">
      <w:pPr>
        <w:jc w:val="both"/>
      </w:pPr>
      <w:r>
        <w:t xml:space="preserve">In January 2024, Culture Minister Martina </w:t>
      </w:r>
      <w:proofErr w:type="spellStart"/>
      <w:r>
        <w:t>Šimkovičová</w:t>
      </w:r>
      <w:proofErr w:type="spellEnd"/>
      <w:r>
        <w:t xml:space="preserve"> </w:t>
      </w:r>
      <w:hyperlink r:id="rId118" w:history="1">
        <w:r>
          <w:rPr>
            <w:rStyle w:val="Hyperlink"/>
          </w:rPr>
          <w:t>announced plans to cut funding for Pride events</w:t>
        </w:r>
      </w:hyperlink>
      <w:r>
        <w:t xml:space="preserve"> and LGBTI educational programs. Minister </w:t>
      </w:r>
      <w:proofErr w:type="spellStart"/>
      <w:r>
        <w:t>Šimkovičová</w:t>
      </w:r>
      <w:proofErr w:type="spellEnd"/>
      <w:r>
        <w:t xml:space="preserve"> is openly abusing her power, and public cultural institutions under her leadership are losing their independence and impartiality. This is in the context of Minister </w:t>
      </w:r>
      <w:proofErr w:type="spellStart"/>
      <w:r>
        <w:t>Šimkovičová</w:t>
      </w:r>
      <w:proofErr w:type="spellEnd"/>
      <w:r>
        <w:t xml:space="preserve"> spreading ideas of racism and anti-Semitism, including the use of anti-LGBTI+ and anti-trans rhetoric. In an interview for the web portal and newspaper Topky.sk. she stated: </w:t>
      </w:r>
      <w:r>
        <w:rPr>
          <w:iCs/>
        </w:rPr>
        <w:t>“Europe is dying; new children are not born because there is an overpressure of LGBTI, and the strange thing is that it is with the white race.”</w:t>
      </w:r>
      <w:r>
        <w:t xml:space="preserve"> </w:t>
      </w:r>
    </w:p>
    <w:p w14:paraId="2CA0179C" w14:textId="77777777" w:rsidR="00E65AEF" w:rsidRDefault="00E65AEF" w:rsidP="00E65AEF">
      <w:pPr>
        <w:jc w:val="both"/>
      </w:pPr>
      <w:r>
        <w:t xml:space="preserve">In February 2024, the Ministry of Justice cancelled the only subsidy call for its </w:t>
      </w:r>
      <w:hyperlink r:id="rId119" w:history="1">
        <w:r>
          <w:rPr>
            <w:rStyle w:val="Hyperlink"/>
          </w:rPr>
          <w:t>Human Rights 2024 Program</w:t>
        </w:r>
      </w:hyperlink>
      <w:r>
        <w:t xml:space="preserve">, effectively </w:t>
      </w:r>
      <w:hyperlink r:id="rId120" w:history="1">
        <w:r>
          <w:rPr>
            <w:rStyle w:val="Hyperlink"/>
          </w:rPr>
          <w:t>halting</w:t>
        </w:r>
      </w:hyperlink>
      <w:r>
        <w:t xml:space="preserve"> the provision of financial grants to human rights NGOs.  The decision came just one day before the scheduled oral hearings of subsidy applicants and was made without any substantial justification from the department. These grants were a crucial source of funding for NGOs involved in informal education, supporting disadvantaged population groups, and advocating for rights and equality for LGBTI persons. </w:t>
      </w:r>
      <w:r>
        <w:br/>
        <w:t xml:space="preserve">Compounding this issue, the Ministry of Culture, under the leadership of Minister Martina </w:t>
      </w:r>
      <w:proofErr w:type="spellStart"/>
      <w:r>
        <w:t>Šimkovičová</w:t>
      </w:r>
      <w:proofErr w:type="spellEnd"/>
      <w:r>
        <w:t xml:space="preserve"> (SNS), also terminated all grants aimed at supporting NGOs working to protect the rights of LGBTI people.</w:t>
      </w:r>
    </w:p>
    <w:p w14:paraId="14B687E0" w14:textId="77777777" w:rsidR="00E65AEF" w:rsidRDefault="00E65AEF" w:rsidP="00E65AEF"/>
    <w:p w14:paraId="2D8B597E" w14:textId="20514A56" w:rsidR="001640B6" w:rsidRDefault="001640B6" w:rsidP="000D039F">
      <w:pPr>
        <w:jc w:val="both"/>
      </w:pPr>
    </w:p>
    <w:p w14:paraId="699D90D8" w14:textId="5CCA92DF" w:rsidR="00E65AEF" w:rsidRDefault="00E65AEF" w:rsidP="000D039F">
      <w:pPr>
        <w:jc w:val="both"/>
      </w:pPr>
    </w:p>
    <w:p w14:paraId="62715E22" w14:textId="1E7BFF3A" w:rsidR="00E65AEF" w:rsidRDefault="00E65AEF" w:rsidP="000D039F">
      <w:pPr>
        <w:jc w:val="both"/>
      </w:pPr>
    </w:p>
    <w:p w14:paraId="15FB03F4" w14:textId="77777777" w:rsidR="00E65AEF" w:rsidRDefault="00E65AEF" w:rsidP="000D039F">
      <w:pPr>
        <w:jc w:val="both"/>
      </w:pPr>
    </w:p>
    <w:p w14:paraId="0EBD4F46" w14:textId="77777777" w:rsidR="00E65AEF" w:rsidRDefault="00E65AEF" w:rsidP="00E65AEF">
      <w:pPr>
        <w:pStyle w:val="Heading1"/>
      </w:pPr>
      <w:bookmarkStart w:id="26" w:name="_Toc188254169"/>
      <w:bookmarkStart w:id="27" w:name="_Toc188863995"/>
      <w:r>
        <w:lastRenderedPageBreak/>
        <w:t>Spain</w:t>
      </w:r>
      <w:bookmarkEnd w:id="26"/>
      <w:bookmarkEnd w:id="27"/>
    </w:p>
    <w:p w14:paraId="0F96DB11" w14:textId="77777777" w:rsidR="00E65AEF" w:rsidRDefault="00E65AEF" w:rsidP="00E65AEF">
      <w:pPr>
        <w:rPr>
          <w:rFonts w:ascii="FreeSans" w:hAnsi="FreeSans" w:cs="FreeSans"/>
          <w:b/>
          <w:iCs/>
          <w:color w:val="2F5496" w:themeColor="accent1" w:themeShade="BF"/>
          <w:sz w:val="24"/>
          <w:szCs w:val="24"/>
          <w:u w:val="single"/>
        </w:rPr>
      </w:pPr>
    </w:p>
    <w:p w14:paraId="295EDC37" w14:textId="77777777" w:rsidR="00E65AEF" w:rsidRDefault="00E65AEF" w:rsidP="00E65AEF">
      <w:pPr>
        <w:rPr>
          <w:rFonts w:ascii="FreeSans" w:hAnsi="FreeSans" w:cs="FreeSans"/>
          <w:b/>
          <w:iCs/>
          <w:color w:val="2F5496" w:themeColor="accent1" w:themeShade="BF"/>
          <w:sz w:val="24"/>
          <w:szCs w:val="24"/>
          <w:u w:val="single"/>
        </w:rPr>
      </w:pPr>
      <w:r>
        <w:rPr>
          <w:rFonts w:ascii="FreeSans" w:hAnsi="FreeSans" w:cs="FreeSans"/>
          <w:b/>
          <w:iCs/>
          <w:color w:val="2F5496" w:themeColor="accent1" w:themeShade="BF"/>
          <w:sz w:val="24"/>
          <w:szCs w:val="24"/>
          <w:u w:val="single"/>
        </w:rPr>
        <w:t>IV. Other institutional issues related to checks and balances</w:t>
      </w:r>
    </w:p>
    <w:p w14:paraId="3732F6EF" w14:textId="77777777" w:rsidR="00E65AEF" w:rsidRDefault="00E65AEF" w:rsidP="00E65AEF">
      <w:pPr>
        <w:spacing w:after="240"/>
        <w:rPr>
          <w:rFonts w:ascii="FreeSans" w:hAnsi="FreeSans" w:cs="FreeSans"/>
          <w:b/>
          <w:iCs/>
          <w:color w:val="2F5496" w:themeColor="accent1" w:themeShade="BF"/>
          <w:sz w:val="24"/>
          <w:szCs w:val="24"/>
          <w:u w:val="single"/>
        </w:rPr>
      </w:pPr>
      <w:r>
        <w:rPr>
          <w:b/>
          <w:color w:val="2F5496" w:themeColor="accent1" w:themeShade="BF"/>
          <w:sz w:val="24"/>
          <w:szCs w:val="24"/>
        </w:rPr>
        <w:t>D. The enabling framework for civil society</w:t>
      </w:r>
    </w:p>
    <w:p w14:paraId="3937F735" w14:textId="77777777" w:rsidR="00E65AEF" w:rsidRDefault="00E65AEF" w:rsidP="00E65AEF">
      <w:pPr>
        <w:jc w:val="both"/>
        <w:rPr>
          <w:color w:val="2F5496" w:themeColor="accent1" w:themeShade="BF"/>
          <w:sz w:val="24"/>
          <w:szCs w:val="24"/>
        </w:rPr>
      </w:pPr>
      <w:bookmarkStart w:id="28" w:name="_Hlk123841293"/>
      <w:r>
        <w:rPr>
          <w:color w:val="2F5496" w:themeColor="accent1" w:themeShade="BF"/>
          <w:sz w:val="24"/>
          <w:szCs w:val="24"/>
        </w:rPr>
        <w:t>Rules and practices having an impact on the effective operation and safety of civil society organisations and human rights defenders. This includes measures to protect them from attacks – verbal, physical or on-line –, intimidation, legal threats incl. SLAPPs, negative narratives or smear campaigns, measures capable of affecting the public perception of civil society organisations, etc. It also includes measures to monitor threats or attacks and dedicated support services, as well as available remedies</w:t>
      </w:r>
    </w:p>
    <w:p w14:paraId="33137190" w14:textId="77777777" w:rsidR="00E65AEF" w:rsidRDefault="00E65AEF" w:rsidP="00E65AEF">
      <w:pPr>
        <w:jc w:val="both"/>
      </w:pPr>
    </w:p>
    <w:p w14:paraId="0BF87BD4" w14:textId="77777777" w:rsidR="00E65AEF" w:rsidRDefault="00E65AEF" w:rsidP="00E65AEF">
      <w:pPr>
        <w:jc w:val="both"/>
      </w:pPr>
      <w:r>
        <w:t xml:space="preserve">Smear campaigns against trans people are recurrent in the media, spreading disinformation and discriminatory narratives. These narratives are also spread by some politicians and political parties. Whilst far-right political parties are intensifying their anti-LGBTI narratives and actions, a number of representatives of the governing party promote anti-trans narratives also. </w:t>
      </w:r>
    </w:p>
    <w:p w14:paraId="56B337AD" w14:textId="77777777" w:rsidR="00E65AEF" w:rsidRDefault="00E65AEF" w:rsidP="00E65AEF">
      <w:pPr>
        <w:jc w:val="both"/>
      </w:pPr>
      <w:r>
        <w:t xml:space="preserve">For example, in February 2024, Isabel Rodriguez, the director of the Women's Institute, </w:t>
      </w:r>
      <w:hyperlink r:id="rId121" w:history="1">
        <w:r>
          <w:rPr>
            <w:rStyle w:val="Hyperlink"/>
          </w:rPr>
          <w:t>sparked controversy</w:t>
        </w:r>
      </w:hyperlink>
      <w:r>
        <w:t xml:space="preserve"> by attending a transphobic event organised by “Feminist Teachers for Coeducation”, who are explicitly in favour of repealing Spain’s LGBTI law and ending support for trans students. The meeting included presentations that equated trans people with paedophiles and criticised “gender ideology”. In July 2024, Rodriguez </w:t>
      </w:r>
      <w:hyperlink r:id="rId122" w:history="1">
        <w:r>
          <w:rPr>
            <w:rStyle w:val="Hyperlink"/>
          </w:rPr>
          <w:t>was dismissed</w:t>
        </w:r>
      </w:hyperlink>
      <w:r>
        <w:t xml:space="preserve"> by the Spanish Government due to suspected irregularities in several public tenders. </w:t>
      </w:r>
    </w:p>
    <w:p w14:paraId="346BC283" w14:textId="77777777" w:rsidR="00E65AEF" w:rsidRDefault="00E65AEF" w:rsidP="00E65AEF">
      <w:pPr>
        <w:jc w:val="both"/>
      </w:pPr>
      <w:r>
        <w:t xml:space="preserve">An example of the anti-LGBTI actions of right-wing parties includes the passing of a </w:t>
      </w:r>
      <w:hyperlink r:id="rId123" w:history="1">
        <w:r>
          <w:rPr>
            <w:rStyle w:val="Hyperlink"/>
          </w:rPr>
          <w:t>proposal</w:t>
        </w:r>
      </w:hyperlink>
      <w:r>
        <w:t xml:space="preserve"> tabled by Isabel Díaz </w:t>
      </w:r>
      <w:proofErr w:type="spellStart"/>
      <w:r>
        <w:t>Ayuso</w:t>
      </w:r>
      <w:proofErr w:type="spellEnd"/>
      <w:r>
        <w:t xml:space="preserve">, the President of the Community of Madrid from the centre-right Partido Popular (PP), in December 2023, which significantly reduces protections for LGBTI people in the region. The proposal was passed with the support of Vox, the far-right party in the Chamber. The new reforms amend the regional trans law and LGBTI law by removing the punishment for discrimination against workers based on sexual orientation or gender identity and decriminalizing assaults on individuals based on their sexual orientation or gender identity, provided no injury occurs. The reforms were fast-tracked through parliament using the fastest possible procedure. Opposition parties have submitted a request to the Ombudsperson to challenge the reforms at the Constitutional Court.  </w:t>
      </w:r>
    </w:p>
    <w:p w14:paraId="2511ED30" w14:textId="77777777" w:rsidR="00E65AEF" w:rsidRDefault="00E65AEF" w:rsidP="00E65AEF">
      <w:pPr>
        <w:rPr>
          <w:rFonts w:ascii="FreeSans" w:hAnsi="FreeSans" w:cs="FreeSans"/>
          <w:b/>
          <w:color w:val="333333"/>
          <w:sz w:val="21"/>
          <w:szCs w:val="21"/>
          <w:lang w:eastAsia="ja-JP"/>
        </w:rPr>
      </w:pPr>
    </w:p>
    <w:p w14:paraId="3BC51CDC" w14:textId="77777777" w:rsidR="00E65AEF" w:rsidRDefault="00E65AEF" w:rsidP="00E65AEF">
      <w:pPr>
        <w:spacing w:after="240"/>
        <w:rPr>
          <w:color w:val="2F5496" w:themeColor="accent1" w:themeShade="BF"/>
          <w:sz w:val="24"/>
        </w:rPr>
      </w:pPr>
      <w:r>
        <w:rPr>
          <w:color w:val="2F5496" w:themeColor="accent1" w:themeShade="BF"/>
          <w:sz w:val="24"/>
        </w:rPr>
        <w:t>Organisation of financial support for civil society organisations and human rights defenders (e.g. framework to ensure access to funding, and for financial viability, taxation/incentive/donation systems, measures to ensure a fair distribution of funding)</w:t>
      </w:r>
    </w:p>
    <w:bookmarkEnd w:id="28"/>
    <w:p w14:paraId="1F560C48" w14:textId="796064E9" w:rsidR="00101F81" w:rsidRPr="00101F81" w:rsidRDefault="00E65AEF" w:rsidP="00E65AEF">
      <w:pPr>
        <w:spacing w:before="240"/>
        <w:jc w:val="both"/>
      </w:pPr>
      <w:r>
        <w:t xml:space="preserve">Regional institutions are reducing their funding of LGBTI civil society organisations whilst simultaneously contracting out many public services such as psychological care, support services and informational services, as well as some surgeries. This places an increased burden on LGBTI CSOs which respond to the needs of the LGBTI community, as they would normally rely on these state supported public services which are becoming increasingly inaccessible. </w:t>
      </w:r>
    </w:p>
    <w:sectPr w:rsidR="00101F81" w:rsidRPr="00101F81" w:rsidSect="008E61FE">
      <w:headerReference w:type="default" r:id="rId124"/>
      <w:footerReference w:type="default" r:id="rId125"/>
      <w:headerReference w:type="first" r:id="rId12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82E28" w14:textId="77777777" w:rsidR="00C63176" w:rsidRDefault="00C63176" w:rsidP="00101F81">
      <w:r>
        <w:separator/>
      </w:r>
    </w:p>
  </w:endnote>
  <w:endnote w:type="continuationSeparator" w:id="0">
    <w:p w14:paraId="2A97B28F" w14:textId="77777777" w:rsidR="00C63176" w:rsidRDefault="00C63176" w:rsidP="0010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864807"/>
      <w:docPartObj>
        <w:docPartGallery w:val="Page Numbers (Bottom of Page)"/>
        <w:docPartUnique/>
      </w:docPartObj>
    </w:sdtPr>
    <w:sdtEndPr>
      <w:rPr>
        <w:noProof/>
      </w:rPr>
    </w:sdtEndPr>
    <w:sdtContent>
      <w:p w14:paraId="6998B1D4" w14:textId="4CF6BBC4" w:rsidR="00C63176" w:rsidRDefault="00C631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C858E6" w14:textId="77777777" w:rsidR="00C63176" w:rsidRDefault="00C63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8EB59" w14:textId="77777777" w:rsidR="00C63176" w:rsidRDefault="00C63176" w:rsidP="00101F81">
      <w:r>
        <w:separator/>
      </w:r>
    </w:p>
  </w:footnote>
  <w:footnote w:type="continuationSeparator" w:id="0">
    <w:p w14:paraId="5F0363BB" w14:textId="77777777" w:rsidR="00C63176" w:rsidRDefault="00C63176" w:rsidP="00101F81">
      <w:r>
        <w:continuationSeparator/>
      </w:r>
    </w:p>
  </w:footnote>
  <w:footnote w:id="1">
    <w:p w14:paraId="0BD1D506" w14:textId="77777777" w:rsidR="00C63176" w:rsidRDefault="00C63176" w:rsidP="00FA7464">
      <w:pPr>
        <w:pStyle w:val="FootnoteText"/>
        <w:rPr>
          <w:lang w:val="tr-TR"/>
        </w:rPr>
      </w:pPr>
      <w:r>
        <w:rPr>
          <w:rStyle w:val="FootnoteReference"/>
        </w:rPr>
        <w:footnoteRef/>
      </w:r>
      <w:r>
        <w:t xml:space="preserve"> </w:t>
      </w:r>
      <w:r>
        <w:rPr>
          <w:lang w:val="tr-TR"/>
        </w:rPr>
        <w:t xml:space="preserve">Article 3 </w:t>
      </w:r>
      <w:r>
        <w:rPr>
          <w:lang w:val="en-US"/>
        </w:rPr>
        <w:t xml:space="preserve">“The official languages of the Republic are Greek and Turkish.” </w:t>
      </w:r>
      <w:r>
        <w:rPr>
          <w:lang w:val="tr-TR"/>
        </w:rPr>
        <w:t>Constitution of Republic of Cyprus.</w:t>
      </w:r>
    </w:p>
  </w:footnote>
  <w:footnote w:id="2">
    <w:p w14:paraId="0BE603A6" w14:textId="77777777" w:rsidR="00C63176" w:rsidRDefault="00C63176" w:rsidP="00FA7464">
      <w:pPr>
        <w:pStyle w:val="FootnoteText"/>
        <w:rPr>
          <w:lang w:val="tr-TR"/>
        </w:rPr>
      </w:pPr>
      <w:r>
        <w:rPr>
          <w:rStyle w:val="FootnoteReference"/>
        </w:rPr>
        <w:footnoteRef/>
      </w:r>
      <w:r>
        <w:t xml:space="preserve"> </w:t>
      </w:r>
      <w:r>
        <w:rPr>
          <w:lang w:val="tr-TR"/>
        </w:rPr>
        <w:t xml:space="preserve">These are the examples of Government offices where any legal text could be found 1) </w:t>
      </w:r>
      <w:hyperlink r:id="rId1" w:history="1">
        <w:r>
          <w:rPr>
            <w:rStyle w:val="Hyperlink"/>
            <w:rFonts w:eastAsiaTheme="majorEastAsia"/>
            <w:lang w:val="tr-TR"/>
          </w:rPr>
          <w:t>Government Gazette</w:t>
        </w:r>
      </w:hyperlink>
      <w:r>
        <w:rPr>
          <w:lang w:val="tr-TR"/>
        </w:rPr>
        <w:t xml:space="preserve"> 2) </w:t>
      </w:r>
      <w:hyperlink r:id="rId2" w:history="1">
        <w:r>
          <w:rPr>
            <w:rStyle w:val="Hyperlink"/>
            <w:rFonts w:eastAsiaTheme="majorEastAsia"/>
            <w:lang w:val="tr-TR"/>
          </w:rPr>
          <w:t>Ministry of Justice and Public Order</w:t>
        </w:r>
      </w:hyperlink>
      <w:r>
        <w:rPr>
          <w:lang w:val="tr-TR"/>
        </w:rPr>
        <w:t xml:space="preserve"> 3) </w:t>
      </w:r>
      <w:hyperlink r:id="rId3" w:history="1">
        <w:r>
          <w:rPr>
            <w:rStyle w:val="Hyperlink"/>
            <w:rFonts w:eastAsiaTheme="majorEastAsia"/>
            <w:lang w:val="tr-TR"/>
          </w:rPr>
          <w:t>Parliament</w:t>
        </w:r>
      </w:hyperlink>
      <w:r>
        <w:rPr>
          <w:lang w:val="tr-TR"/>
        </w:rPr>
        <w:t xml:space="preserve"> 4) Law Office of the Republic 5) </w:t>
      </w:r>
      <w:r>
        <w:fldChar w:fldCharType="begin"/>
      </w:r>
      <w:r>
        <w:instrText xml:space="preserve"> HYPERLINK "http://www.supremecourt.gov.cy/judicial/sc.nsf/home_el/home_el?opendocument" </w:instrText>
      </w:r>
      <w:r>
        <w:fldChar w:fldCharType="separate"/>
      </w:r>
      <w:r>
        <w:rPr>
          <w:rStyle w:val="Hyperlink"/>
          <w:rFonts w:eastAsiaTheme="majorEastAsia"/>
          <w:lang w:val="tr-TR"/>
        </w:rPr>
        <w:t xml:space="preserve">Supreme Court </w:t>
      </w:r>
      <w:r>
        <w:rPr>
          <w:rStyle w:val="Hyperlink"/>
          <w:rFonts w:eastAsiaTheme="majorEastAsia"/>
          <w:lang w:val="tr-TR"/>
        </w:rPr>
        <w:fldChar w:fldCharType="end"/>
      </w:r>
      <w:r>
        <w:rPr>
          <w:lang w:val="tr-TR"/>
        </w:rPr>
        <w:t xml:space="preserve">6) </w:t>
      </w:r>
      <w:hyperlink r:id="rId4" w:history="1">
        <w:r>
          <w:rPr>
            <w:rStyle w:val="Hyperlink"/>
            <w:rFonts w:eastAsiaTheme="majorEastAsia"/>
            <w:lang w:val="tr-TR"/>
          </w:rPr>
          <w:t xml:space="preserve">Leginet (Private Portal) </w:t>
        </w:r>
      </w:hyperlink>
      <w:r>
        <w:rPr>
          <w:lang w:val="tr-TR"/>
        </w:rPr>
        <w:t xml:space="preserve">7 </w:t>
      </w:r>
      <w:hyperlink r:id="rId5" w:history="1">
        <w:r>
          <w:rPr>
            <w:rStyle w:val="Hyperlink"/>
            <w:rFonts w:eastAsiaTheme="majorEastAsia"/>
            <w:lang w:val="tr-TR"/>
          </w:rPr>
          <w:t>Cyprus Bar Association</w:t>
        </w:r>
      </w:hyperlink>
      <w:r>
        <w:rPr>
          <w:lang w:val="tr-TR"/>
        </w:rPr>
        <w:t xml:space="preserve"> </w:t>
      </w:r>
    </w:p>
  </w:footnote>
  <w:footnote w:id="3">
    <w:p w14:paraId="0FD78F15" w14:textId="77777777" w:rsidR="00C63176" w:rsidRDefault="00C63176" w:rsidP="00FA7464">
      <w:pPr>
        <w:pStyle w:val="FootnoteText"/>
        <w:rPr>
          <w:lang w:val="hu-HU"/>
        </w:rPr>
      </w:pPr>
      <w:r>
        <w:rPr>
          <w:rStyle w:val="FootnoteReference"/>
          <w:lang w:val="hu-HU"/>
        </w:rPr>
        <w:footnoteRef/>
      </w:r>
      <w:r>
        <w:rPr>
          <w:lang w:val="hu-HU"/>
        </w:rPr>
        <w:t xml:space="preserve"> Some more examples: </w:t>
      </w:r>
    </w:p>
    <w:p w14:paraId="5B98C057" w14:textId="77777777" w:rsidR="00C63176" w:rsidRDefault="00C63176" w:rsidP="00FA7464">
      <w:pPr>
        <w:pStyle w:val="FootnoteText"/>
        <w:rPr>
          <w:color w:val="0070C0"/>
          <w:lang w:val="hu-HU"/>
        </w:rPr>
      </w:pPr>
      <w:hyperlink r:id="rId6" w:history="1">
        <w:r>
          <w:rPr>
            <w:rStyle w:val="Hyperlink"/>
            <w:color w:val="0070C0"/>
            <w:lang w:val="hu-HU"/>
          </w:rPr>
          <w:t>https://medium.com/mediapowermonitor/hungarian-governments-monopoly-in-the-media-the-last-act-71057a5a456b</w:t>
        </w:r>
      </w:hyperlink>
      <w:r>
        <w:rPr>
          <w:color w:val="0070C0"/>
          <w:lang w:val="hu-HU"/>
        </w:rPr>
        <w:t xml:space="preserve"> </w:t>
      </w:r>
    </w:p>
    <w:p w14:paraId="0E17ADCA" w14:textId="77777777" w:rsidR="00C63176" w:rsidRDefault="00C63176" w:rsidP="00FA7464">
      <w:pPr>
        <w:pStyle w:val="FootnoteText"/>
        <w:rPr>
          <w:color w:val="0070C0"/>
          <w:lang w:val="hu-HU"/>
        </w:rPr>
      </w:pPr>
      <w:hyperlink r:id="rId7" w:history="1">
        <w:r>
          <w:rPr>
            <w:rStyle w:val="Hyperlink"/>
            <w:color w:val="0070C0"/>
            <w:lang w:val="hu-HU"/>
          </w:rPr>
          <w:t>https://mertek.eu/wp-content/uploads/2021/12/MertekFuzetek25.pdf</w:t>
        </w:r>
      </w:hyperlink>
      <w:r>
        <w:rPr>
          <w:color w:val="0070C0"/>
          <w:lang w:val="hu-HU"/>
        </w:rPr>
        <w:t xml:space="preserve"> </w:t>
      </w:r>
    </w:p>
    <w:p w14:paraId="3D72CC3D" w14:textId="77777777" w:rsidR="00C63176" w:rsidRDefault="00C63176" w:rsidP="00FA7464">
      <w:pPr>
        <w:pStyle w:val="FootnoteText"/>
        <w:rPr>
          <w:lang w:val="hu-HU"/>
        </w:rPr>
      </w:pPr>
      <w:hyperlink r:id="rId8" w:history="1">
        <w:r>
          <w:rPr>
            <w:rStyle w:val="Hyperlink"/>
            <w:color w:val="0070C0"/>
            <w:lang w:val="hu-HU"/>
          </w:rPr>
          <w:t>https://abouthungary.hu/blog/caught-in-the-act-this-is-how-liberals-attempt-to-coopt-eu-institutions-for-their-own-political-agenda</w:t>
        </w:r>
      </w:hyperlink>
      <w:r>
        <w:rPr>
          <w:color w:val="0070C0"/>
          <w:lang w:val="hu-HU"/>
        </w:rPr>
        <w:t xml:space="preserve"> </w:t>
      </w:r>
    </w:p>
  </w:footnote>
  <w:footnote w:id="4">
    <w:p w14:paraId="7812204A" w14:textId="77777777" w:rsidR="00C63176" w:rsidRDefault="00C63176" w:rsidP="00FA7464">
      <w:pPr>
        <w:pStyle w:val="FootnoteText"/>
        <w:rPr>
          <w:lang w:val="hu-HU"/>
        </w:rPr>
      </w:pPr>
      <w:r>
        <w:rPr>
          <w:rStyle w:val="FootnoteReference"/>
          <w:lang w:val="hu-HU"/>
        </w:rPr>
        <w:footnoteRef/>
      </w:r>
      <w:r>
        <w:rPr>
          <w:lang w:val="hu-HU"/>
        </w:rPr>
        <w:t xml:space="preserve"> For example: </w:t>
      </w:r>
    </w:p>
    <w:p w14:paraId="6A6DB8CE" w14:textId="77777777" w:rsidR="00C63176" w:rsidRDefault="00C63176" w:rsidP="00FA7464">
      <w:pPr>
        <w:pStyle w:val="FootnoteText"/>
        <w:rPr>
          <w:color w:val="0070C0"/>
          <w:lang w:val="hu-HU"/>
        </w:rPr>
      </w:pPr>
      <w:hyperlink r:id="rId9" w:history="1">
        <w:r>
          <w:rPr>
            <w:rStyle w:val="Hyperlink"/>
            <w:color w:val="0070C0"/>
            <w:lang w:val="hu-HU"/>
          </w:rPr>
          <w:t>https://pestisracok.hu/hol-a-gyermekvedelmi-torveny-ellen-hol-a-gyermekek-vedelmeert-tuntetnek-a-hazai-libsik/</w:t>
        </w:r>
      </w:hyperlink>
      <w:r>
        <w:rPr>
          <w:color w:val="0070C0"/>
          <w:lang w:val="hu-HU"/>
        </w:rPr>
        <w:t xml:space="preserve"> </w:t>
      </w:r>
    </w:p>
    <w:p w14:paraId="0E57B5D8" w14:textId="77777777" w:rsidR="00C63176" w:rsidRDefault="00C63176" w:rsidP="00FA7464">
      <w:pPr>
        <w:pStyle w:val="FootnoteText"/>
        <w:rPr>
          <w:color w:val="0070C0"/>
          <w:lang w:val="hu-HU"/>
        </w:rPr>
      </w:pPr>
      <w:hyperlink r:id="rId10" w:history="1">
        <w:r>
          <w:rPr>
            <w:rStyle w:val="Hyperlink"/>
            <w:color w:val="0070C0"/>
            <w:lang w:val="hu-HU"/>
          </w:rPr>
          <w:t>https://magyarnemzet.hu/belfold/2024/02/palfordulas-soros-szervezeteinel-hirtelen-mindenkinek-fontos-lett-a-gyermekvedelem</w:t>
        </w:r>
      </w:hyperlink>
      <w:r>
        <w:rPr>
          <w:color w:val="0070C0"/>
          <w:lang w:val="hu-HU"/>
        </w:rPr>
        <w:t xml:space="preserve"> </w:t>
      </w:r>
    </w:p>
    <w:p w14:paraId="55E7CE5F" w14:textId="77777777" w:rsidR="00C63176" w:rsidRDefault="00C63176" w:rsidP="00FA7464">
      <w:pPr>
        <w:pStyle w:val="FootnoteText"/>
        <w:rPr>
          <w:color w:val="0070C0"/>
          <w:lang w:val="hu-HU"/>
        </w:rPr>
      </w:pPr>
      <w:hyperlink r:id="rId11" w:history="1">
        <w:r>
          <w:rPr>
            <w:rStyle w:val="Hyperlink"/>
            <w:color w:val="0070C0"/>
            <w:lang w:val="hu-HU"/>
          </w:rPr>
          <w:t>https://pestisracok.hu/budapest-pride-2024-felvonulas-meleg-lmbtq-fair-right-video/</w:t>
        </w:r>
      </w:hyperlink>
      <w:r>
        <w:rPr>
          <w:color w:val="0070C0"/>
          <w:lang w:val="hu-HU"/>
        </w:rPr>
        <w:t xml:space="preserve"> </w:t>
      </w:r>
    </w:p>
    <w:p w14:paraId="38E5077A" w14:textId="77777777" w:rsidR="00C63176" w:rsidRDefault="00C63176" w:rsidP="00FA7464">
      <w:pPr>
        <w:pStyle w:val="FootnoteText"/>
        <w:rPr>
          <w:lang w:val="hu-HU"/>
        </w:rPr>
      </w:pPr>
    </w:p>
  </w:footnote>
  <w:footnote w:id="5">
    <w:p w14:paraId="478819F9" w14:textId="77777777" w:rsidR="00C63176" w:rsidRDefault="00C63176" w:rsidP="00FA7464">
      <w:pPr>
        <w:pStyle w:val="FootnoteText"/>
      </w:pPr>
      <w:r>
        <w:rPr>
          <w:rStyle w:val="FootnoteReference"/>
        </w:rPr>
        <w:footnoteRef/>
      </w:r>
      <w:r>
        <w:t xml:space="preserve"> Judges appointed to the Supreme Court by the National Council of the Judiciary – a body whose </w:t>
      </w:r>
      <w:hyperlink r:id="rId12" w:history="1">
        <w:r>
          <w:rPr>
            <w:rStyle w:val="Hyperlink"/>
            <w:rFonts w:eastAsiaTheme="majorEastAsia"/>
          </w:rPr>
          <w:t>independence was severely undermined</w:t>
        </w:r>
      </w:hyperlink>
      <w:r>
        <w:t xml:space="preserve"> by the former government’s amendments to its functioning.</w:t>
      </w:r>
    </w:p>
  </w:footnote>
  <w:footnote w:id="6">
    <w:p w14:paraId="641A19C3" w14:textId="77777777" w:rsidR="00C63176" w:rsidRDefault="00C63176" w:rsidP="00E65AEF">
      <w:pPr>
        <w:rPr>
          <w:color w:val="000000"/>
          <w:sz w:val="20"/>
          <w:szCs w:val="20"/>
        </w:rPr>
      </w:pPr>
      <w:r>
        <w:rPr>
          <w:rStyle w:val="FootnoteReference"/>
        </w:rPr>
        <w:footnoteRef/>
      </w:r>
      <w:r>
        <w:rPr>
          <w:color w:val="000000"/>
          <w:sz w:val="20"/>
          <w:szCs w:val="20"/>
        </w:rPr>
        <w:t xml:space="preserve"> Also advocated for in Georgescu’s book “</w:t>
      </w:r>
      <w:proofErr w:type="spellStart"/>
      <w:r>
        <w:rPr>
          <w:color w:val="000000"/>
          <w:sz w:val="20"/>
          <w:szCs w:val="20"/>
        </w:rPr>
        <w:t>Cumpana</w:t>
      </w:r>
      <w:proofErr w:type="spellEnd"/>
      <w:r>
        <w:rPr>
          <w:color w:val="000000"/>
          <w:sz w:val="20"/>
          <w:szCs w:val="20"/>
        </w:rPr>
        <w:t xml:space="preserve"> </w:t>
      </w:r>
      <w:proofErr w:type="spellStart"/>
      <w:r>
        <w:rPr>
          <w:color w:val="000000"/>
          <w:sz w:val="20"/>
          <w:szCs w:val="20"/>
        </w:rPr>
        <w:t>Romaniei</w:t>
      </w:r>
      <w:proofErr w:type="spellEnd"/>
      <w:r>
        <w:rPr>
          <w:color w:val="000000"/>
          <w:sz w:val="20"/>
          <w:szCs w:val="20"/>
        </w:rPr>
        <w:t>” (2016) – see in particular page 63: ‘Then abortions should be outlawed and public displays of homosexuality and any propaganda in its favour. These are non-negotiable conditions if we are to remain upright as a people and alive as a 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69B8" w14:textId="77777777" w:rsidR="00C63176" w:rsidRDefault="00C63176">
    <w:pPr>
      <w:pStyle w:val="Header"/>
    </w:pPr>
    <w:r>
      <w:ptab w:relativeTo="margin" w:alignment="center" w:leader="none"/>
    </w:r>
    <w:r>
      <w:ptab w:relativeTo="margin" w:alignment="right" w:leader="none"/>
    </w:r>
    <w:r>
      <w:rPr>
        <w:noProof/>
      </w:rPr>
      <w:drawing>
        <wp:inline distT="0" distB="0" distL="0" distR="0" wp14:anchorId="104E1ED8" wp14:editId="2001ED88">
          <wp:extent cx="1739900" cy="6913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130" cy="69982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8C8CB" w14:textId="4D6E9610" w:rsidR="00C63176" w:rsidRDefault="00C63176" w:rsidP="00A532A6">
    <w:pPr>
      <w:pStyle w:val="Header"/>
      <w:jc w:val="right"/>
    </w:pPr>
    <w:r>
      <w:rPr>
        <w:noProof/>
      </w:rPr>
      <w:drawing>
        <wp:inline distT="0" distB="0" distL="0" distR="0" wp14:anchorId="267FBD81" wp14:editId="0D95C19A">
          <wp:extent cx="1739900" cy="6913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130" cy="6998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23B"/>
    <w:multiLevelType w:val="multilevel"/>
    <w:tmpl w:val="F2068564"/>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7167F9E"/>
    <w:multiLevelType w:val="hybridMultilevel"/>
    <w:tmpl w:val="D4984AD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B22BE"/>
    <w:multiLevelType w:val="multilevel"/>
    <w:tmpl w:val="0E60BA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B73B9"/>
    <w:multiLevelType w:val="hybridMultilevel"/>
    <w:tmpl w:val="C4465B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436A1"/>
    <w:multiLevelType w:val="multilevel"/>
    <w:tmpl w:val="20721146"/>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D6F7936"/>
    <w:multiLevelType w:val="multilevel"/>
    <w:tmpl w:val="D878E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AF076F"/>
    <w:multiLevelType w:val="multilevel"/>
    <w:tmpl w:val="AA146DF6"/>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A3F1EB5"/>
    <w:multiLevelType w:val="multilevel"/>
    <w:tmpl w:val="5628C6F2"/>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C8377F2"/>
    <w:multiLevelType w:val="multilevel"/>
    <w:tmpl w:val="A79C8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BF50CD"/>
    <w:multiLevelType w:val="multilevel"/>
    <w:tmpl w:val="07A0E98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57F35A27"/>
    <w:multiLevelType w:val="hybridMultilevel"/>
    <w:tmpl w:val="92BC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443E6"/>
    <w:multiLevelType w:val="multilevel"/>
    <w:tmpl w:val="40DEFEE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95962D2"/>
    <w:multiLevelType w:val="multilevel"/>
    <w:tmpl w:val="A13046CC"/>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6A200E91"/>
    <w:multiLevelType w:val="hybridMultilevel"/>
    <w:tmpl w:val="0A18AFA6"/>
    <w:styleLink w:val="Estiloimportado3"/>
    <w:lvl w:ilvl="0" w:tplc="168EC4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C407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8A01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D640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426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92E5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067C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D44B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C022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BE42DCA"/>
    <w:multiLevelType w:val="hybridMultilevel"/>
    <w:tmpl w:val="BF5A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1E145D"/>
    <w:multiLevelType w:val="hybridMultilevel"/>
    <w:tmpl w:val="6316A2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5"/>
  </w:num>
  <w:num w:numId="4">
    <w:abstractNumId w:val="12"/>
  </w:num>
  <w:num w:numId="5">
    <w:abstractNumId w:val="6"/>
  </w:num>
  <w:num w:numId="6">
    <w:abstractNumId w:val="7"/>
  </w:num>
  <w:num w:numId="7">
    <w:abstractNumId w:val="9"/>
  </w:num>
  <w:num w:numId="8">
    <w:abstractNumId w:val="4"/>
  </w:num>
  <w:num w:numId="9">
    <w:abstractNumId w:val="0"/>
  </w:num>
  <w:num w:numId="10">
    <w:abstractNumId w:val="11"/>
  </w:num>
  <w:num w:numId="11">
    <w:abstractNumId w:val="10"/>
  </w:num>
  <w:num w:numId="12">
    <w:abstractNumId w:val="3"/>
  </w:num>
  <w:num w:numId="13">
    <w:abstractNumId w:val="1"/>
  </w:num>
  <w:num w:numId="14">
    <w:abstractNumId w:val="14"/>
  </w:num>
  <w:num w:numId="15">
    <w:abstractNumId w:val="15"/>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81"/>
    <w:rsid w:val="000129F7"/>
    <w:rsid w:val="00024245"/>
    <w:rsid w:val="00032509"/>
    <w:rsid w:val="00032E6D"/>
    <w:rsid w:val="0003532B"/>
    <w:rsid w:val="000462D3"/>
    <w:rsid w:val="000630D1"/>
    <w:rsid w:val="00071180"/>
    <w:rsid w:val="0009769A"/>
    <w:rsid w:val="000976E5"/>
    <w:rsid w:val="00097E6B"/>
    <w:rsid w:val="000A7F3E"/>
    <w:rsid w:val="000B288C"/>
    <w:rsid w:val="000B38B1"/>
    <w:rsid w:val="000C10D2"/>
    <w:rsid w:val="000C2473"/>
    <w:rsid w:val="000C46ED"/>
    <w:rsid w:val="000D039F"/>
    <w:rsid w:val="000D6A71"/>
    <w:rsid w:val="000E7868"/>
    <w:rsid w:val="000F751C"/>
    <w:rsid w:val="001018EA"/>
    <w:rsid w:val="00101F81"/>
    <w:rsid w:val="00102D89"/>
    <w:rsid w:val="00115E52"/>
    <w:rsid w:val="00115F0B"/>
    <w:rsid w:val="00117961"/>
    <w:rsid w:val="00124843"/>
    <w:rsid w:val="001640B6"/>
    <w:rsid w:val="0017309B"/>
    <w:rsid w:val="00177C3E"/>
    <w:rsid w:val="00183066"/>
    <w:rsid w:val="00194E49"/>
    <w:rsid w:val="001A4D0B"/>
    <w:rsid w:val="001B3794"/>
    <w:rsid w:val="001B7276"/>
    <w:rsid w:val="001C09F7"/>
    <w:rsid w:val="001C22B5"/>
    <w:rsid w:val="001C2A2F"/>
    <w:rsid w:val="001C3B45"/>
    <w:rsid w:val="001D6D82"/>
    <w:rsid w:val="001E0673"/>
    <w:rsid w:val="0020791F"/>
    <w:rsid w:val="00210382"/>
    <w:rsid w:val="00210E88"/>
    <w:rsid w:val="00230712"/>
    <w:rsid w:val="002330E1"/>
    <w:rsid w:val="0023397C"/>
    <w:rsid w:val="002360B5"/>
    <w:rsid w:val="00255A11"/>
    <w:rsid w:val="00256FD5"/>
    <w:rsid w:val="00264845"/>
    <w:rsid w:val="00265336"/>
    <w:rsid w:val="00265E3B"/>
    <w:rsid w:val="002665D7"/>
    <w:rsid w:val="002669EE"/>
    <w:rsid w:val="00292147"/>
    <w:rsid w:val="002A2AC5"/>
    <w:rsid w:val="002B24E7"/>
    <w:rsid w:val="002C2DCB"/>
    <w:rsid w:val="002D2808"/>
    <w:rsid w:val="002F2CEB"/>
    <w:rsid w:val="002F5305"/>
    <w:rsid w:val="0032284E"/>
    <w:rsid w:val="0033345E"/>
    <w:rsid w:val="00333E72"/>
    <w:rsid w:val="00336E54"/>
    <w:rsid w:val="00343120"/>
    <w:rsid w:val="00353085"/>
    <w:rsid w:val="00353207"/>
    <w:rsid w:val="00356361"/>
    <w:rsid w:val="003565E3"/>
    <w:rsid w:val="00372F63"/>
    <w:rsid w:val="00376A58"/>
    <w:rsid w:val="00377B38"/>
    <w:rsid w:val="00384B5B"/>
    <w:rsid w:val="0039154C"/>
    <w:rsid w:val="003935A4"/>
    <w:rsid w:val="003A7416"/>
    <w:rsid w:val="003C215F"/>
    <w:rsid w:val="003C316F"/>
    <w:rsid w:val="003D0B8B"/>
    <w:rsid w:val="003D244B"/>
    <w:rsid w:val="003D3A99"/>
    <w:rsid w:val="00403F1B"/>
    <w:rsid w:val="00406300"/>
    <w:rsid w:val="00412EDD"/>
    <w:rsid w:val="004229F3"/>
    <w:rsid w:val="0043737A"/>
    <w:rsid w:val="0044412A"/>
    <w:rsid w:val="00444734"/>
    <w:rsid w:val="00453880"/>
    <w:rsid w:val="00464130"/>
    <w:rsid w:val="00467D5A"/>
    <w:rsid w:val="00471206"/>
    <w:rsid w:val="00471682"/>
    <w:rsid w:val="00471EC7"/>
    <w:rsid w:val="004913FD"/>
    <w:rsid w:val="004A31D4"/>
    <w:rsid w:val="004B662C"/>
    <w:rsid w:val="004F1806"/>
    <w:rsid w:val="004F1E1E"/>
    <w:rsid w:val="004F5E2D"/>
    <w:rsid w:val="004F6181"/>
    <w:rsid w:val="005054DA"/>
    <w:rsid w:val="005152BA"/>
    <w:rsid w:val="00525840"/>
    <w:rsid w:val="00535968"/>
    <w:rsid w:val="00544777"/>
    <w:rsid w:val="005452AC"/>
    <w:rsid w:val="00545537"/>
    <w:rsid w:val="0054585F"/>
    <w:rsid w:val="00546CD2"/>
    <w:rsid w:val="00554722"/>
    <w:rsid w:val="00561405"/>
    <w:rsid w:val="0058165D"/>
    <w:rsid w:val="00585A6C"/>
    <w:rsid w:val="005867D0"/>
    <w:rsid w:val="005879B9"/>
    <w:rsid w:val="005D01E8"/>
    <w:rsid w:val="005D414D"/>
    <w:rsid w:val="005E2209"/>
    <w:rsid w:val="005E540D"/>
    <w:rsid w:val="005E7992"/>
    <w:rsid w:val="005F6AC4"/>
    <w:rsid w:val="0061390F"/>
    <w:rsid w:val="00616FF4"/>
    <w:rsid w:val="0062781C"/>
    <w:rsid w:val="00627C7D"/>
    <w:rsid w:val="006339DA"/>
    <w:rsid w:val="00657DAB"/>
    <w:rsid w:val="006709B3"/>
    <w:rsid w:val="00671F9A"/>
    <w:rsid w:val="00680758"/>
    <w:rsid w:val="00685393"/>
    <w:rsid w:val="00686EF5"/>
    <w:rsid w:val="006912BE"/>
    <w:rsid w:val="006A75ED"/>
    <w:rsid w:val="006A78DD"/>
    <w:rsid w:val="006B75FA"/>
    <w:rsid w:val="006C0FC6"/>
    <w:rsid w:val="006C1EF9"/>
    <w:rsid w:val="006D0C97"/>
    <w:rsid w:val="006D0CC9"/>
    <w:rsid w:val="006E660C"/>
    <w:rsid w:val="006F6413"/>
    <w:rsid w:val="00704AC8"/>
    <w:rsid w:val="00711F15"/>
    <w:rsid w:val="00725DD8"/>
    <w:rsid w:val="00731C9A"/>
    <w:rsid w:val="00731F31"/>
    <w:rsid w:val="007403D4"/>
    <w:rsid w:val="00744569"/>
    <w:rsid w:val="007538DE"/>
    <w:rsid w:val="00756524"/>
    <w:rsid w:val="00763257"/>
    <w:rsid w:val="00776698"/>
    <w:rsid w:val="00784B47"/>
    <w:rsid w:val="00785E42"/>
    <w:rsid w:val="007865DF"/>
    <w:rsid w:val="007A3E2A"/>
    <w:rsid w:val="007A7E91"/>
    <w:rsid w:val="007B4E0D"/>
    <w:rsid w:val="007C3FF8"/>
    <w:rsid w:val="007C43E1"/>
    <w:rsid w:val="007F5E8B"/>
    <w:rsid w:val="007F7E21"/>
    <w:rsid w:val="008166D6"/>
    <w:rsid w:val="008269DD"/>
    <w:rsid w:val="008370B3"/>
    <w:rsid w:val="0084368D"/>
    <w:rsid w:val="00845692"/>
    <w:rsid w:val="00846A9E"/>
    <w:rsid w:val="0086056E"/>
    <w:rsid w:val="00877DF9"/>
    <w:rsid w:val="00882495"/>
    <w:rsid w:val="008E0FB1"/>
    <w:rsid w:val="008E1F29"/>
    <w:rsid w:val="008E61FE"/>
    <w:rsid w:val="009025A8"/>
    <w:rsid w:val="00903BE5"/>
    <w:rsid w:val="009043DE"/>
    <w:rsid w:val="009047B9"/>
    <w:rsid w:val="009063A2"/>
    <w:rsid w:val="00916664"/>
    <w:rsid w:val="00932EA1"/>
    <w:rsid w:val="009405B9"/>
    <w:rsid w:val="0094761D"/>
    <w:rsid w:val="0095134E"/>
    <w:rsid w:val="009710A1"/>
    <w:rsid w:val="0097449E"/>
    <w:rsid w:val="00974C81"/>
    <w:rsid w:val="00974E96"/>
    <w:rsid w:val="009C7487"/>
    <w:rsid w:val="009C77DD"/>
    <w:rsid w:val="009D192C"/>
    <w:rsid w:val="009D72E6"/>
    <w:rsid w:val="009D7C49"/>
    <w:rsid w:val="009E0DE4"/>
    <w:rsid w:val="009E6106"/>
    <w:rsid w:val="009F377D"/>
    <w:rsid w:val="009F4867"/>
    <w:rsid w:val="00A1063B"/>
    <w:rsid w:val="00A117F7"/>
    <w:rsid w:val="00A1267F"/>
    <w:rsid w:val="00A25AD1"/>
    <w:rsid w:val="00A32297"/>
    <w:rsid w:val="00A50278"/>
    <w:rsid w:val="00A532A6"/>
    <w:rsid w:val="00A568C4"/>
    <w:rsid w:val="00A57575"/>
    <w:rsid w:val="00A65D4E"/>
    <w:rsid w:val="00A71ABB"/>
    <w:rsid w:val="00A71C24"/>
    <w:rsid w:val="00A86D24"/>
    <w:rsid w:val="00AC1F2E"/>
    <w:rsid w:val="00AD4197"/>
    <w:rsid w:val="00AE3443"/>
    <w:rsid w:val="00AE67EF"/>
    <w:rsid w:val="00AE6D8C"/>
    <w:rsid w:val="00AF23AC"/>
    <w:rsid w:val="00AF34E3"/>
    <w:rsid w:val="00AF6F5C"/>
    <w:rsid w:val="00B24D06"/>
    <w:rsid w:val="00B4528C"/>
    <w:rsid w:val="00B45479"/>
    <w:rsid w:val="00B609F6"/>
    <w:rsid w:val="00B647A4"/>
    <w:rsid w:val="00B83C61"/>
    <w:rsid w:val="00B8498E"/>
    <w:rsid w:val="00B90CEC"/>
    <w:rsid w:val="00B92F92"/>
    <w:rsid w:val="00B97838"/>
    <w:rsid w:val="00BA0C3E"/>
    <w:rsid w:val="00BA4DF5"/>
    <w:rsid w:val="00BA54CF"/>
    <w:rsid w:val="00BA5EB4"/>
    <w:rsid w:val="00BC0AC3"/>
    <w:rsid w:val="00BC2F8E"/>
    <w:rsid w:val="00BD514D"/>
    <w:rsid w:val="00BE0752"/>
    <w:rsid w:val="00BE0BB9"/>
    <w:rsid w:val="00BE7A87"/>
    <w:rsid w:val="00BF473A"/>
    <w:rsid w:val="00BF5F00"/>
    <w:rsid w:val="00C00482"/>
    <w:rsid w:val="00C0109B"/>
    <w:rsid w:val="00C227D9"/>
    <w:rsid w:val="00C331DC"/>
    <w:rsid w:val="00C35183"/>
    <w:rsid w:val="00C37E52"/>
    <w:rsid w:val="00C50C1C"/>
    <w:rsid w:val="00C63176"/>
    <w:rsid w:val="00C7029F"/>
    <w:rsid w:val="00C835DB"/>
    <w:rsid w:val="00C91A9B"/>
    <w:rsid w:val="00C94623"/>
    <w:rsid w:val="00CA0660"/>
    <w:rsid w:val="00CA2B62"/>
    <w:rsid w:val="00CA4286"/>
    <w:rsid w:val="00CB5FDA"/>
    <w:rsid w:val="00CC25EF"/>
    <w:rsid w:val="00CE08BC"/>
    <w:rsid w:val="00CE525D"/>
    <w:rsid w:val="00CE566D"/>
    <w:rsid w:val="00CE70A7"/>
    <w:rsid w:val="00CE7A5D"/>
    <w:rsid w:val="00CF0051"/>
    <w:rsid w:val="00CF3386"/>
    <w:rsid w:val="00D03469"/>
    <w:rsid w:val="00D0570D"/>
    <w:rsid w:val="00D23CA2"/>
    <w:rsid w:val="00D24475"/>
    <w:rsid w:val="00D32097"/>
    <w:rsid w:val="00D458A2"/>
    <w:rsid w:val="00D628F4"/>
    <w:rsid w:val="00D63832"/>
    <w:rsid w:val="00D7044E"/>
    <w:rsid w:val="00D818D5"/>
    <w:rsid w:val="00D914EB"/>
    <w:rsid w:val="00D957E4"/>
    <w:rsid w:val="00DB1EBE"/>
    <w:rsid w:val="00DB60BA"/>
    <w:rsid w:val="00DB73FC"/>
    <w:rsid w:val="00DC062B"/>
    <w:rsid w:val="00DC1FC3"/>
    <w:rsid w:val="00DC6E40"/>
    <w:rsid w:val="00DE08D8"/>
    <w:rsid w:val="00DE1F93"/>
    <w:rsid w:val="00DF6A94"/>
    <w:rsid w:val="00E014CC"/>
    <w:rsid w:val="00E02445"/>
    <w:rsid w:val="00E10735"/>
    <w:rsid w:val="00E1103B"/>
    <w:rsid w:val="00E17043"/>
    <w:rsid w:val="00E40B3A"/>
    <w:rsid w:val="00E620A5"/>
    <w:rsid w:val="00E65AEF"/>
    <w:rsid w:val="00E75ECC"/>
    <w:rsid w:val="00E864E0"/>
    <w:rsid w:val="00EA457A"/>
    <w:rsid w:val="00EA6C68"/>
    <w:rsid w:val="00EC1E8B"/>
    <w:rsid w:val="00EC58C4"/>
    <w:rsid w:val="00EC680A"/>
    <w:rsid w:val="00EF437A"/>
    <w:rsid w:val="00EF48C6"/>
    <w:rsid w:val="00EF63A7"/>
    <w:rsid w:val="00F104B2"/>
    <w:rsid w:val="00F159A8"/>
    <w:rsid w:val="00F16EF0"/>
    <w:rsid w:val="00F32F60"/>
    <w:rsid w:val="00F37F63"/>
    <w:rsid w:val="00F54148"/>
    <w:rsid w:val="00F56C1C"/>
    <w:rsid w:val="00F74DE0"/>
    <w:rsid w:val="00F7534C"/>
    <w:rsid w:val="00F75B99"/>
    <w:rsid w:val="00F80C45"/>
    <w:rsid w:val="00F9361C"/>
    <w:rsid w:val="00F949CE"/>
    <w:rsid w:val="00FA1FD3"/>
    <w:rsid w:val="00FA7464"/>
    <w:rsid w:val="00FC1190"/>
    <w:rsid w:val="00FC3FEB"/>
    <w:rsid w:val="00FD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1460"/>
  <w15:chartTrackingRefBased/>
  <w15:docId w15:val="{18EA2753-0718-4532-BC1C-F5ED37C3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7EF"/>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101F81"/>
    <w:pPr>
      <w:keepNext/>
      <w:keepLines/>
      <w:spacing w:before="240" w:line="256" w:lineRule="auto"/>
      <w:outlineLvl w:val="0"/>
    </w:pPr>
    <w:rPr>
      <w:rFonts w:asciiTheme="majorHAnsi" w:eastAsiaTheme="majorEastAsia" w:hAnsiTheme="majorHAnsi" w:cstheme="majorBidi"/>
      <w:b/>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23397C"/>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F81"/>
    <w:rPr>
      <w:color w:val="0563C1" w:themeColor="hyperlink"/>
      <w:u w:val="single"/>
    </w:rPr>
  </w:style>
  <w:style w:type="paragraph" w:styleId="Header">
    <w:name w:val="header"/>
    <w:basedOn w:val="Normal"/>
    <w:link w:val="HeaderChar"/>
    <w:uiPriority w:val="99"/>
    <w:unhideWhenUsed/>
    <w:rsid w:val="00101F81"/>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101F81"/>
  </w:style>
  <w:style w:type="paragraph" w:styleId="Footer">
    <w:name w:val="footer"/>
    <w:basedOn w:val="Normal"/>
    <w:link w:val="FooterChar"/>
    <w:uiPriority w:val="99"/>
    <w:unhideWhenUsed/>
    <w:rsid w:val="00101F81"/>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101F81"/>
  </w:style>
  <w:style w:type="character" w:customStyle="1" w:styleId="Heading1Char">
    <w:name w:val="Heading 1 Char"/>
    <w:basedOn w:val="DefaultParagraphFont"/>
    <w:link w:val="Heading1"/>
    <w:uiPriority w:val="9"/>
    <w:rsid w:val="00101F81"/>
    <w:rPr>
      <w:rFonts w:asciiTheme="majorHAnsi" w:eastAsiaTheme="majorEastAsia" w:hAnsiTheme="majorHAnsi" w:cstheme="majorBidi"/>
      <w:b/>
      <w:color w:val="2F5496" w:themeColor="accent1" w:themeShade="BF"/>
      <w:sz w:val="32"/>
      <w:szCs w:val="32"/>
    </w:rPr>
  </w:style>
  <w:style w:type="paragraph" w:styleId="ListParagraph">
    <w:name w:val="List Paragraph"/>
    <w:basedOn w:val="Normal"/>
    <w:uiPriority w:val="99"/>
    <w:qFormat/>
    <w:rsid w:val="00101F81"/>
    <w:pPr>
      <w:spacing w:after="160" w:line="256" w:lineRule="auto"/>
      <w:ind w:left="720"/>
      <w:contextualSpacing/>
    </w:pPr>
    <w:rPr>
      <w:rFonts w:asciiTheme="minorHAnsi" w:hAnsiTheme="minorHAnsi" w:cstheme="minorBidi"/>
      <w:lang w:eastAsia="en-US"/>
    </w:rPr>
  </w:style>
  <w:style w:type="character" w:styleId="CommentReference">
    <w:name w:val="annotation reference"/>
    <w:basedOn w:val="DefaultParagraphFont"/>
    <w:uiPriority w:val="99"/>
    <w:semiHidden/>
    <w:unhideWhenUsed/>
    <w:rsid w:val="00C00482"/>
    <w:rPr>
      <w:sz w:val="16"/>
      <w:szCs w:val="16"/>
    </w:rPr>
  </w:style>
  <w:style w:type="paragraph" w:styleId="CommentText">
    <w:name w:val="annotation text"/>
    <w:basedOn w:val="Normal"/>
    <w:link w:val="CommentTextChar"/>
    <w:uiPriority w:val="99"/>
    <w:unhideWhenUsed/>
    <w:rsid w:val="00C00482"/>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00482"/>
    <w:rPr>
      <w:sz w:val="20"/>
      <w:szCs w:val="20"/>
    </w:rPr>
  </w:style>
  <w:style w:type="paragraph" w:styleId="BalloonText">
    <w:name w:val="Balloon Text"/>
    <w:basedOn w:val="Normal"/>
    <w:link w:val="BalloonTextChar"/>
    <w:uiPriority w:val="99"/>
    <w:semiHidden/>
    <w:unhideWhenUsed/>
    <w:rsid w:val="00C00482"/>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004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00482"/>
    <w:pPr>
      <w:spacing w:after="200"/>
    </w:pPr>
    <w:rPr>
      <w:b/>
      <w:bCs/>
    </w:rPr>
  </w:style>
  <w:style w:type="character" w:customStyle="1" w:styleId="CommentSubjectChar">
    <w:name w:val="Comment Subject Char"/>
    <w:basedOn w:val="CommentTextChar"/>
    <w:link w:val="CommentSubject"/>
    <w:uiPriority w:val="99"/>
    <w:semiHidden/>
    <w:rsid w:val="00C00482"/>
    <w:rPr>
      <w:b/>
      <w:bCs/>
      <w:sz w:val="20"/>
      <w:szCs w:val="20"/>
    </w:rPr>
  </w:style>
  <w:style w:type="character" w:customStyle="1" w:styleId="Heading2Char">
    <w:name w:val="Heading 2 Char"/>
    <w:basedOn w:val="DefaultParagraphFont"/>
    <w:link w:val="Heading2"/>
    <w:uiPriority w:val="9"/>
    <w:rsid w:val="0023397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3397C"/>
    <w:rPr>
      <w:color w:val="605E5C"/>
      <w:shd w:val="clear" w:color="auto" w:fill="E1DFDD"/>
    </w:rPr>
  </w:style>
  <w:style w:type="character" w:customStyle="1" w:styleId="EnlacedeInternet">
    <w:name w:val="Enlace de Internet"/>
    <w:basedOn w:val="DefaultParagraphFont"/>
    <w:rsid w:val="00B83C61"/>
    <w:rPr>
      <w:color w:val="0000FF"/>
      <w:u w:val="single"/>
    </w:rPr>
  </w:style>
  <w:style w:type="paragraph" w:styleId="TOCHeading">
    <w:name w:val="TOC Heading"/>
    <w:basedOn w:val="Heading1"/>
    <w:next w:val="Normal"/>
    <w:uiPriority w:val="39"/>
    <w:unhideWhenUsed/>
    <w:qFormat/>
    <w:rsid w:val="00A532A6"/>
    <w:pPr>
      <w:spacing w:line="259" w:lineRule="auto"/>
      <w:outlineLvl w:val="9"/>
    </w:pPr>
    <w:rPr>
      <w:b w:val="0"/>
      <w:lang w:val="en-US"/>
    </w:rPr>
  </w:style>
  <w:style w:type="paragraph" w:styleId="TOC1">
    <w:name w:val="toc 1"/>
    <w:basedOn w:val="Normal"/>
    <w:next w:val="Normal"/>
    <w:autoRedefine/>
    <w:uiPriority w:val="39"/>
    <w:unhideWhenUsed/>
    <w:rsid w:val="00A532A6"/>
    <w:pPr>
      <w:spacing w:after="100" w:line="256" w:lineRule="auto"/>
    </w:pPr>
    <w:rPr>
      <w:rFonts w:asciiTheme="minorHAnsi" w:hAnsiTheme="minorHAnsi" w:cstheme="minorBidi"/>
      <w:lang w:eastAsia="en-US"/>
    </w:rPr>
  </w:style>
  <w:style w:type="paragraph" w:styleId="FootnoteText">
    <w:name w:val="footnote text"/>
    <w:basedOn w:val="Normal"/>
    <w:link w:val="FootnoteTextChar"/>
    <w:uiPriority w:val="99"/>
    <w:semiHidden/>
    <w:unhideWhenUsed/>
    <w:rsid w:val="00711F15"/>
    <w:rPr>
      <w:rFonts w:asciiTheme="minorHAnsi" w:eastAsia="Times New Roman" w:hAnsiTheme="minorHAnsi" w:cs="Times New Roman"/>
      <w:sz w:val="20"/>
      <w:szCs w:val="20"/>
      <w:lang w:eastAsia="en-US"/>
    </w:rPr>
  </w:style>
  <w:style w:type="character" w:customStyle="1" w:styleId="FootnoteTextChar">
    <w:name w:val="Footnote Text Char"/>
    <w:basedOn w:val="DefaultParagraphFont"/>
    <w:link w:val="FootnoteText"/>
    <w:uiPriority w:val="99"/>
    <w:semiHidden/>
    <w:rsid w:val="00711F15"/>
    <w:rPr>
      <w:rFonts w:eastAsia="Times New Roman" w:cs="Times New Roman"/>
      <w:sz w:val="20"/>
      <w:szCs w:val="20"/>
    </w:rPr>
  </w:style>
  <w:style w:type="character" w:styleId="FootnoteReference">
    <w:name w:val="footnote reference"/>
    <w:basedOn w:val="DefaultParagraphFont"/>
    <w:uiPriority w:val="99"/>
    <w:semiHidden/>
    <w:unhideWhenUsed/>
    <w:rsid w:val="00711F15"/>
    <w:rPr>
      <w:rFonts w:cs="Times New Roman"/>
      <w:vertAlign w:val="superscript"/>
    </w:rPr>
  </w:style>
  <w:style w:type="character" w:styleId="FollowedHyperlink">
    <w:name w:val="FollowedHyperlink"/>
    <w:basedOn w:val="DefaultParagraphFont"/>
    <w:uiPriority w:val="99"/>
    <w:semiHidden/>
    <w:unhideWhenUsed/>
    <w:rsid w:val="00F159A8"/>
    <w:rPr>
      <w:color w:val="954F72" w:themeColor="followedHyperlink"/>
      <w:u w:val="single"/>
    </w:rPr>
  </w:style>
  <w:style w:type="paragraph" w:styleId="NormalWeb">
    <w:name w:val="Normal (Web)"/>
    <w:basedOn w:val="Normal"/>
    <w:uiPriority w:val="99"/>
    <w:unhideWhenUsed/>
    <w:rsid w:val="00FC1190"/>
    <w:pPr>
      <w:spacing w:before="100" w:beforeAutospacing="1" w:after="100" w:afterAutospacing="1"/>
    </w:pPr>
    <w:rPr>
      <w:rFonts w:ascii="Times New Roman" w:eastAsia="Times New Roman" w:hAnsi="Times New Roman" w:cs="Times New Roman"/>
      <w:sz w:val="24"/>
      <w:szCs w:val="24"/>
      <w:lang w:val="bg-BG" w:eastAsia="bg-BG"/>
    </w:rPr>
  </w:style>
  <w:style w:type="paragraph" w:customStyle="1" w:styleId="Cuerpo">
    <w:name w:val="Cuerpo"/>
    <w:rsid w:val="00D914EB"/>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eastAsia="ja-JP"/>
      <w14:textOutline w14:w="0" w14:cap="flat" w14:cmpd="sng" w14:algn="ctr">
        <w14:noFill/>
        <w14:prstDash w14:val="solid"/>
        <w14:bevel/>
      </w14:textOutline>
    </w:rPr>
  </w:style>
  <w:style w:type="character" w:customStyle="1" w:styleId="Ninguno">
    <w:name w:val="Ninguno"/>
    <w:rsid w:val="00D914EB"/>
    <w:rPr>
      <w:lang w:val="en-US"/>
    </w:rPr>
  </w:style>
  <w:style w:type="character" w:customStyle="1" w:styleId="Hyperlink1">
    <w:name w:val="Hyperlink.1"/>
    <w:basedOn w:val="DefaultParagraphFont"/>
    <w:rsid w:val="00D914EB"/>
    <w:rPr>
      <w:rFonts w:ascii="Calibri" w:eastAsia="Calibri" w:hAnsi="Calibri" w:cs="Calibri"/>
      <w:i/>
      <w:iCs/>
      <w:outline w:val="0"/>
      <w:color w:val="0000FF"/>
      <w:u w:val="single" w:color="0000FF"/>
    </w:rPr>
  </w:style>
  <w:style w:type="numbering" w:customStyle="1" w:styleId="Estiloimportado3">
    <w:name w:val="Estilo importado 3"/>
    <w:rsid w:val="00D914EB"/>
    <w:pPr>
      <w:numPr>
        <w:numId w:val="1"/>
      </w:numPr>
    </w:pPr>
  </w:style>
  <w:style w:type="character" w:customStyle="1" w:styleId="Hyperlink2">
    <w:name w:val="Hyperlink.2"/>
    <w:basedOn w:val="DefaultParagraphFont"/>
    <w:rsid w:val="00D914EB"/>
    <w:rPr>
      <w:outline w:val="0"/>
      <w:color w:val="1F497D"/>
      <w:u w:val="single" w:color="1F497D"/>
    </w:rPr>
  </w:style>
  <w:style w:type="character" w:customStyle="1" w:styleId="Hyperlink0">
    <w:name w:val="Hyperlink.0"/>
    <w:basedOn w:val="Hyperlink"/>
    <w:rsid w:val="00D914EB"/>
    <w:rPr>
      <w:outline w:val="0"/>
      <w:color w:val="0000FF"/>
      <w:u w:val="single" w:color="0000FF"/>
    </w:rPr>
  </w:style>
  <w:style w:type="paragraph" w:styleId="NoSpacing">
    <w:name w:val="No Spacing"/>
    <w:uiPriority w:val="1"/>
    <w:qFormat/>
    <w:rsid w:val="00376A58"/>
    <w:pPr>
      <w:spacing w:after="0"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064">
      <w:bodyDiv w:val="1"/>
      <w:marLeft w:val="0"/>
      <w:marRight w:val="0"/>
      <w:marTop w:val="0"/>
      <w:marBottom w:val="0"/>
      <w:divBdr>
        <w:top w:val="none" w:sz="0" w:space="0" w:color="auto"/>
        <w:left w:val="none" w:sz="0" w:space="0" w:color="auto"/>
        <w:bottom w:val="none" w:sz="0" w:space="0" w:color="auto"/>
        <w:right w:val="none" w:sz="0" w:space="0" w:color="auto"/>
      </w:divBdr>
    </w:div>
    <w:div w:id="41908810">
      <w:bodyDiv w:val="1"/>
      <w:marLeft w:val="0"/>
      <w:marRight w:val="0"/>
      <w:marTop w:val="0"/>
      <w:marBottom w:val="0"/>
      <w:divBdr>
        <w:top w:val="none" w:sz="0" w:space="0" w:color="auto"/>
        <w:left w:val="none" w:sz="0" w:space="0" w:color="auto"/>
        <w:bottom w:val="none" w:sz="0" w:space="0" w:color="auto"/>
        <w:right w:val="none" w:sz="0" w:space="0" w:color="auto"/>
      </w:divBdr>
    </w:div>
    <w:div w:id="87970834">
      <w:bodyDiv w:val="1"/>
      <w:marLeft w:val="0"/>
      <w:marRight w:val="0"/>
      <w:marTop w:val="0"/>
      <w:marBottom w:val="0"/>
      <w:divBdr>
        <w:top w:val="none" w:sz="0" w:space="0" w:color="auto"/>
        <w:left w:val="none" w:sz="0" w:space="0" w:color="auto"/>
        <w:bottom w:val="none" w:sz="0" w:space="0" w:color="auto"/>
        <w:right w:val="none" w:sz="0" w:space="0" w:color="auto"/>
      </w:divBdr>
    </w:div>
    <w:div w:id="185028604">
      <w:bodyDiv w:val="1"/>
      <w:marLeft w:val="0"/>
      <w:marRight w:val="0"/>
      <w:marTop w:val="0"/>
      <w:marBottom w:val="0"/>
      <w:divBdr>
        <w:top w:val="none" w:sz="0" w:space="0" w:color="auto"/>
        <w:left w:val="none" w:sz="0" w:space="0" w:color="auto"/>
        <w:bottom w:val="none" w:sz="0" w:space="0" w:color="auto"/>
        <w:right w:val="none" w:sz="0" w:space="0" w:color="auto"/>
      </w:divBdr>
    </w:div>
    <w:div w:id="226847748">
      <w:bodyDiv w:val="1"/>
      <w:marLeft w:val="0"/>
      <w:marRight w:val="0"/>
      <w:marTop w:val="0"/>
      <w:marBottom w:val="0"/>
      <w:divBdr>
        <w:top w:val="none" w:sz="0" w:space="0" w:color="auto"/>
        <w:left w:val="none" w:sz="0" w:space="0" w:color="auto"/>
        <w:bottom w:val="none" w:sz="0" w:space="0" w:color="auto"/>
        <w:right w:val="none" w:sz="0" w:space="0" w:color="auto"/>
      </w:divBdr>
    </w:div>
    <w:div w:id="240338650">
      <w:bodyDiv w:val="1"/>
      <w:marLeft w:val="0"/>
      <w:marRight w:val="0"/>
      <w:marTop w:val="0"/>
      <w:marBottom w:val="0"/>
      <w:divBdr>
        <w:top w:val="none" w:sz="0" w:space="0" w:color="auto"/>
        <w:left w:val="none" w:sz="0" w:space="0" w:color="auto"/>
        <w:bottom w:val="none" w:sz="0" w:space="0" w:color="auto"/>
        <w:right w:val="none" w:sz="0" w:space="0" w:color="auto"/>
      </w:divBdr>
    </w:div>
    <w:div w:id="262684916">
      <w:bodyDiv w:val="1"/>
      <w:marLeft w:val="0"/>
      <w:marRight w:val="0"/>
      <w:marTop w:val="0"/>
      <w:marBottom w:val="0"/>
      <w:divBdr>
        <w:top w:val="none" w:sz="0" w:space="0" w:color="auto"/>
        <w:left w:val="none" w:sz="0" w:space="0" w:color="auto"/>
        <w:bottom w:val="none" w:sz="0" w:space="0" w:color="auto"/>
        <w:right w:val="none" w:sz="0" w:space="0" w:color="auto"/>
      </w:divBdr>
    </w:div>
    <w:div w:id="275722906">
      <w:bodyDiv w:val="1"/>
      <w:marLeft w:val="0"/>
      <w:marRight w:val="0"/>
      <w:marTop w:val="0"/>
      <w:marBottom w:val="0"/>
      <w:divBdr>
        <w:top w:val="none" w:sz="0" w:space="0" w:color="auto"/>
        <w:left w:val="none" w:sz="0" w:space="0" w:color="auto"/>
        <w:bottom w:val="none" w:sz="0" w:space="0" w:color="auto"/>
        <w:right w:val="none" w:sz="0" w:space="0" w:color="auto"/>
      </w:divBdr>
    </w:div>
    <w:div w:id="332799395">
      <w:bodyDiv w:val="1"/>
      <w:marLeft w:val="0"/>
      <w:marRight w:val="0"/>
      <w:marTop w:val="0"/>
      <w:marBottom w:val="0"/>
      <w:divBdr>
        <w:top w:val="none" w:sz="0" w:space="0" w:color="auto"/>
        <w:left w:val="none" w:sz="0" w:space="0" w:color="auto"/>
        <w:bottom w:val="none" w:sz="0" w:space="0" w:color="auto"/>
        <w:right w:val="none" w:sz="0" w:space="0" w:color="auto"/>
      </w:divBdr>
    </w:div>
    <w:div w:id="354424670">
      <w:bodyDiv w:val="1"/>
      <w:marLeft w:val="0"/>
      <w:marRight w:val="0"/>
      <w:marTop w:val="0"/>
      <w:marBottom w:val="0"/>
      <w:divBdr>
        <w:top w:val="none" w:sz="0" w:space="0" w:color="auto"/>
        <w:left w:val="none" w:sz="0" w:space="0" w:color="auto"/>
        <w:bottom w:val="none" w:sz="0" w:space="0" w:color="auto"/>
        <w:right w:val="none" w:sz="0" w:space="0" w:color="auto"/>
      </w:divBdr>
    </w:div>
    <w:div w:id="357200420">
      <w:bodyDiv w:val="1"/>
      <w:marLeft w:val="0"/>
      <w:marRight w:val="0"/>
      <w:marTop w:val="0"/>
      <w:marBottom w:val="0"/>
      <w:divBdr>
        <w:top w:val="none" w:sz="0" w:space="0" w:color="auto"/>
        <w:left w:val="none" w:sz="0" w:space="0" w:color="auto"/>
        <w:bottom w:val="none" w:sz="0" w:space="0" w:color="auto"/>
        <w:right w:val="none" w:sz="0" w:space="0" w:color="auto"/>
      </w:divBdr>
    </w:div>
    <w:div w:id="372123619">
      <w:bodyDiv w:val="1"/>
      <w:marLeft w:val="0"/>
      <w:marRight w:val="0"/>
      <w:marTop w:val="0"/>
      <w:marBottom w:val="0"/>
      <w:divBdr>
        <w:top w:val="none" w:sz="0" w:space="0" w:color="auto"/>
        <w:left w:val="none" w:sz="0" w:space="0" w:color="auto"/>
        <w:bottom w:val="none" w:sz="0" w:space="0" w:color="auto"/>
        <w:right w:val="none" w:sz="0" w:space="0" w:color="auto"/>
      </w:divBdr>
    </w:div>
    <w:div w:id="381095102">
      <w:bodyDiv w:val="1"/>
      <w:marLeft w:val="0"/>
      <w:marRight w:val="0"/>
      <w:marTop w:val="0"/>
      <w:marBottom w:val="0"/>
      <w:divBdr>
        <w:top w:val="none" w:sz="0" w:space="0" w:color="auto"/>
        <w:left w:val="none" w:sz="0" w:space="0" w:color="auto"/>
        <w:bottom w:val="none" w:sz="0" w:space="0" w:color="auto"/>
        <w:right w:val="none" w:sz="0" w:space="0" w:color="auto"/>
      </w:divBdr>
    </w:div>
    <w:div w:id="426926538">
      <w:bodyDiv w:val="1"/>
      <w:marLeft w:val="0"/>
      <w:marRight w:val="0"/>
      <w:marTop w:val="0"/>
      <w:marBottom w:val="0"/>
      <w:divBdr>
        <w:top w:val="none" w:sz="0" w:space="0" w:color="auto"/>
        <w:left w:val="none" w:sz="0" w:space="0" w:color="auto"/>
        <w:bottom w:val="none" w:sz="0" w:space="0" w:color="auto"/>
        <w:right w:val="none" w:sz="0" w:space="0" w:color="auto"/>
      </w:divBdr>
    </w:div>
    <w:div w:id="433205740">
      <w:bodyDiv w:val="1"/>
      <w:marLeft w:val="0"/>
      <w:marRight w:val="0"/>
      <w:marTop w:val="0"/>
      <w:marBottom w:val="0"/>
      <w:divBdr>
        <w:top w:val="none" w:sz="0" w:space="0" w:color="auto"/>
        <w:left w:val="none" w:sz="0" w:space="0" w:color="auto"/>
        <w:bottom w:val="none" w:sz="0" w:space="0" w:color="auto"/>
        <w:right w:val="none" w:sz="0" w:space="0" w:color="auto"/>
      </w:divBdr>
    </w:div>
    <w:div w:id="475680692">
      <w:bodyDiv w:val="1"/>
      <w:marLeft w:val="0"/>
      <w:marRight w:val="0"/>
      <w:marTop w:val="0"/>
      <w:marBottom w:val="0"/>
      <w:divBdr>
        <w:top w:val="none" w:sz="0" w:space="0" w:color="auto"/>
        <w:left w:val="none" w:sz="0" w:space="0" w:color="auto"/>
        <w:bottom w:val="none" w:sz="0" w:space="0" w:color="auto"/>
        <w:right w:val="none" w:sz="0" w:space="0" w:color="auto"/>
      </w:divBdr>
    </w:div>
    <w:div w:id="494758430">
      <w:bodyDiv w:val="1"/>
      <w:marLeft w:val="0"/>
      <w:marRight w:val="0"/>
      <w:marTop w:val="0"/>
      <w:marBottom w:val="0"/>
      <w:divBdr>
        <w:top w:val="none" w:sz="0" w:space="0" w:color="auto"/>
        <w:left w:val="none" w:sz="0" w:space="0" w:color="auto"/>
        <w:bottom w:val="none" w:sz="0" w:space="0" w:color="auto"/>
        <w:right w:val="none" w:sz="0" w:space="0" w:color="auto"/>
      </w:divBdr>
    </w:div>
    <w:div w:id="499464466">
      <w:bodyDiv w:val="1"/>
      <w:marLeft w:val="0"/>
      <w:marRight w:val="0"/>
      <w:marTop w:val="0"/>
      <w:marBottom w:val="0"/>
      <w:divBdr>
        <w:top w:val="none" w:sz="0" w:space="0" w:color="auto"/>
        <w:left w:val="none" w:sz="0" w:space="0" w:color="auto"/>
        <w:bottom w:val="none" w:sz="0" w:space="0" w:color="auto"/>
        <w:right w:val="none" w:sz="0" w:space="0" w:color="auto"/>
      </w:divBdr>
    </w:div>
    <w:div w:id="503713766">
      <w:bodyDiv w:val="1"/>
      <w:marLeft w:val="0"/>
      <w:marRight w:val="0"/>
      <w:marTop w:val="0"/>
      <w:marBottom w:val="0"/>
      <w:divBdr>
        <w:top w:val="none" w:sz="0" w:space="0" w:color="auto"/>
        <w:left w:val="none" w:sz="0" w:space="0" w:color="auto"/>
        <w:bottom w:val="none" w:sz="0" w:space="0" w:color="auto"/>
        <w:right w:val="none" w:sz="0" w:space="0" w:color="auto"/>
      </w:divBdr>
    </w:div>
    <w:div w:id="528765190">
      <w:bodyDiv w:val="1"/>
      <w:marLeft w:val="0"/>
      <w:marRight w:val="0"/>
      <w:marTop w:val="0"/>
      <w:marBottom w:val="0"/>
      <w:divBdr>
        <w:top w:val="none" w:sz="0" w:space="0" w:color="auto"/>
        <w:left w:val="none" w:sz="0" w:space="0" w:color="auto"/>
        <w:bottom w:val="none" w:sz="0" w:space="0" w:color="auto"/>
        <w:right w:val="none" w:sz="0" w:space="0" w:color="auto"/>
      </w:divBdr>
    </w:div>
    <w:div w:id="531380324">
      <w:bodyDiv w:val="1"/>
      <w:marLeft w:val="0"/>
      <w:marRight w:val="0"/>
      <w:marTop w:val="0"/>
      <w:marBottom w:val="0"/>
      <w:divBdr>
        <w:top w:val="none" w:sz="0" w:space="0" w:color="auto"/>
        <w:left w:val="none" w:sz="0" w:space="0" w:color="auto"/>
        <w:bottom w:val="none" w:sz="0" w:space="0" w:color="auto"/>
        <w:right w:val="none" w:sz="0" w:space="0" w:color="auto"/>
      </w:divBdr>
    </w:div>
    <w:div w:id="549614264">
      <w:bodyDiv w:val="1"/>
      <w:marLeft w:val="0"/>
      <w:marRight w:val="0"/>
      <w:marTop w:val="0"/>
      <w:marBottom w:val="0"/>
      <w:divBdr>
        <w:top w:val="none" w:sz="0" w:space="0" w:color="auto"/>
        <w:left w:val="none" w:sz="0" w:space="0" w:color="auto"/>
        <w:bottom w:val="none" w:sz="0" w:space="0" w:color="auto"/>
        <w:right w:val="none" w:sz="0" w:space="0" w:color="auto"/>
      </w:divBdr>
    </w:div>
    <w:div w:id="609245538">
      <w:bodyDiv w:val="1"/>
      <w:marLeft w:val="0"/>
      <w:marRight w:val="0"/>
      <w:marTop w:val="0"/>
      <w:marBottom w:val="0"/>
      <w:divBdr>
        <w:top w:val="none" w:sz="0" w:space="0" w:color="auto"/>
        <w:left w:val="none" w:sz="0" w:space="0" w:color="auto"/>
        <w:bottom w:val="none" w:sz="0" w:space="0" w:color="auto"/>
        <w:right w:val="none" w:sz="0" w:space="0" w:color="auto"/>
      </w:divBdr>
    </w:div>
    <w:div w:id="654799372">
      <w:bodyDiv w:val="1"/>
      <w:marLeft w:val="0"/>
      <w:marRight w:val="0"/>
      <w:marTop w:val="0"/>
      <w:marBottom w:val="0"/>
      <w:divBdr>
        <w:top w:val="none" w:sz="0" w:space="0" w:color="auto"/>
        <w:left w:val="none" w:sz="0" w:space="0" w:color="auto"/>
        <w:bottom w:val="none" w:sz="0" w:space="0" w:color="auto"/>
        <w:right w:val="none" w:sz="0" w:space="0" w:color="auto"/>
      </w:divBdr>
    </w:div>
    <w:div w:id="657656638">
      <w:bodyDiv w:val="1"/>
      <w:marLeft w:val="0"/>
      <w:marRight w:val="0"/>
      <w:marTop w:val="0"/>
      <w:marBottom w:val="0"/>
      <w:divBdr>
        <w:top w:val="none" w:sz="0" w:space="0" w:color="auto"/>
        <w:left w:val="none" w:sz="0" w:space="0" w:color="auto"/>
        <w:bottom w:val="none" w:sz="0" w:space="0" w:color="auto"/>
        <w:right w:val="none" w:sz="0" w:space="0" w:color="auto"/>
      </w:divBdr>
    </w:div>
    <w:div w:id="678889791">
      <w:bodyDiv w:val="1"/>
      <w:marLeft w:val="0"/>
      <w:marRight w:val="0"/>
      <w:marTop w:val="0"/>
      <w:marBottom w:val="0"/>
      <w:divBdr>
        <w:top w:val="none" w:sz="0" w:space="0" w:color="auto"/>
        <w:left w:val="none" w:sz="0" w:space="0" w:color="auto"/>
        <w:bottom w:val="none" w:sz="0" w:space="0" w:color="auto"/>
        <w:right w:val="none" w:sz="0" w:space="0" w:color="auto"/>
      </w:divBdr>
    </w:div>
    <w:div w:id="725832548">
      <w:bodyDiv w:val="1"/>
      <w:marLeft w:val="0"/>
      <w:marRight w:val="0"/>
      <w:marTop w:val="0"/>
      <w:marBottom w:val="0"/>
      <w:divBdr>
        <w:top w:val="none" w:sz="0" w:space="0" w:color="auto"/>
        <w:left w:val="none" w:sz="0" w:space="0" w:color="auto"/>
        <w:bottom w:val="none" w:sz="0" w:space="0" w:color="auto"/>
        <w:right w:val="none" w:sz="0" w:space="0" w:color="auto"/>
      </w:divBdr>
    </w:div>
    <w:div w:id="764807646">
      <w:bodyDiv w:val="1"/>
      <w:marLeft w:val="0"/>
      <w:marRight w:val="0"/>
      <w:marTop w:val="0"/>
      <w:marBottom w:val="0"/>
      <w:divBdr>
        <w:top w:val="none" w:sz="0" w:space="0" w:color="auto"/>
        <w:left w:val="none" w:sz="0" w:space="0" w:color="auto"/>
        <w:bottom w:val="none" w:sz="0" w:space="0" w:color="auto"/>
        <w:right w:val="none" w:sz="0" w:space="0" w:color="auto"/>
      </w:divBdr>
    </w:div>
    <w:div w:id="770589404">
      <w:bodyDiv w:val="1"/>
      <w:marLeft w:val="0"/>
      <w:marRight w:val="0"/>
      <w:marTop w:val="0"/>
      <w:marBottom w:val="0"/>
      <w:divBdr>
        <w:top w:val="none" w:sz="0" w:space="0" w:color="auto"/>
        <w:left w:val="none" w:sz="0" w:space="0" w:color="auto"/>
        <w:bottom w:val="none" w:sz="0" w:space="0" w:color="auto"/>
        <w:right w:val="none" w:sz="0" w:space="0" w:color="auto"/>
      </w:divBdr>
    </w:div>
    <w:div w:id="788744485">
      <w:bodyDiv w:val="1"/>
      <w:marLeft w:val="0"/>
      <w:marRight w:val="0"/>
      <w:marTop w:val="0"/>
      <w:marBottom w:val="0"/>
      <w:divBdr>
        <w:top w:val="none" w:sz="0" w:space="0" w:color="auto"/>
        <w:left w:val="none" w:sz="0" w:space="0" w:color="auto"/>
        <w:bottom w:val="none" w:sz="0" w:space="0" w:color="auto"/>
        <w:right w:val="none" w:sz="0" w:space="0" w:color="auto"/>
      </w:divBdr>
    </w:div>
    <w:div w:id="797800781">
      <w:bodyDiv w:val="1"/>
      <w:marLeft w:val="0"/>
      <w:marRight w:val="0"/>
      <w:marTop w:val="0"/>
      <w:marBottom w:val="0"/>
      <w:divBdr>
        <w:top w:val="none" w:sz="0" w:space="0" w:color="auto"/>
        <w:left w:val="none" w:sz="0" w:space="0" w:color="auto"/>
        <w:bottom w:val="none" w:sz="0" w:space="0" w:color="auto"/>
        <w:right w:val="none" w:sz="0" w:space="0" w:color="auto"/>
      </w:divBdr>
    </w:div>
    <w:div w:id="812791749">
      <w:bodyDiv w:val="1"/>
      <w:marLeft w:val="0"/>
      <w:marRight w:val="0"/>
      <w:marTop w:val="0"/>
      <w:marBottom w:val="0"/>
      <w:divBdr>
        <w:top w:val="none" w:sz="0" w:space="0" w:color="auto"/>
        <w:left w:val="none" w:sz="0" w:space="0" w:color="auto"/>
        <w:bottom w:val="none" w:sz="0" w:space="0" w:color="auto"/>
        <w:right w:val="none" w:sz="0" w:space="0" w:color="auto"/>
      </w:divBdr>
    </w:div>
    <w:div w:id="819419494">
      <w:bodyDiv w:val="1"/>
      <w:marLeft w:val="0"/>
      <w:marRight w:val="0"/>
      <w:marTop w:val="0"/>
      <w:marBottom w:val="0"/>
      <w:divBdr>
        <w:top w:val="none" w:sz="0" w:space="0" w:color="auto"/>
        <w:left w:val="none" w:sz="0" w:space="0" w:color="auto"/>
        <w:bottom w:val="none" w:sz="0" w:space="0" w:color="auto"/>
        <w:right w:val="none" w:sz="0" w:space="0" w:color="auto"/>
      </w:divBdr>
    </w:div>
    <w:div w:id="834344845">
      <w:bodyDiv w:val="1"/>
      <w:marLeft w:val="0"/>
      <w:marRight w:val="0"/>
      <w:marTop w:val="0"/>
      <w:marBottom w:val="0"/>
      <w:divBdr>
        <w:top w:val="none" w:sz="0" w:space="0" w:color="auto"/>
        <w:left w:val="none" w:sz="0" w:space="0" w:color="auto"/>
        <w:bottom w:val="none" w:sz="0" w:space="0" w:color="auto"/>
        <w:right w:val="none" w:sz="0" w:space="0" w:color="auto"/>
      </w:divBdr>
    </w:div>
    <w:div w:id="854658700">
      <w:bodyDiv w:val="1"/>
      <w:marLeft w:val="0"/>
      <w:marRight w:val="0"/>
      <w:marTop w:val="0"/>
      <w:marBottom w:val="0"/>
      <w:divBdr>
        <w:top w:val="none" w:sz="0" w:space="0" w:color="auto"/>
        <w:left w:val="none" w:sz="0" w:space="0" w:color="auto"/>
        <w:bottom w:val="none" w:sz="0" w:space="0" w:color="auto"/>
        <w:right w:val="none" w:sz="0" w:space="0" w:color="auto"/>
      </w:divBdr>
    </w:div>
    <w:div w:id="879165689">
      <w:bodyDiv w:val="1"/>
      <w:marLeft w:val="0"/>
      <w:marRight w:val="0"/>
      <w:marTop w:val="0"/>
      <w:marBottom w:val="0"/>
      <w:divBdr>
        <w:top w:val="none" w:sz="0" w:space="0" w:color="auto"/>
        <w:left w:val="none" w:sz="0" w:space="0" w:color="auto"/>
        <w:bottom w:val="none" w:sz="0" w:space="0" w:color="auto"/>
        <w:right w:val="none" w:sz="0" w:space="0" w:color="auto"/>
      </w:divBdr>
    </w:div>
    <w:div w:id="908265929">
      <w:bodyDiv w:val="1"/>
      <w:marLeft w:val="0"/>
      <w:marRight w:val="0"/>
      <w:marTop w:val="0"/>
      <w:marBottom w:val="0"/>
      <w:divBdr>
        <w:top w:val="none" w:sz="0" w:space="0" w:color="auto"/>
        <w:left w:val="none" w:sz="0" w:space="0" w:color="auto"/>
        <w:bottom w:val="none" w:sz="0" w:space="0" w:color="auto"/>
        <w:right w:val="none" w:sz="0" w:space="0" w:color="auto"/>
      </w:divBdr>
    </w:div>
    <w:div w:id="936212467">
      <w:bodyDiv w:val="1"/>
      <w:marLeft w:val="0"/>
      <w:marRight w:val="0"/>
      <w:marTop w:val="0"/>
      <w:marBottom w:val="0"/>
      <w:divBdr>
        <w:top w:val="none" w:sz="0" w:space="0" w:color="auto"/>
        <w:left w:val="none" w:sz="0" w:space="0" w:color="auto"/>
        <w:bottom w:val="none" w:sz="0" w:space="0" w:color="auto"/>
        <w:right w:val="none" w:sz="0" w:space="0" w:color="auto"/>
      </w:divBdr>
    </w:div>
    <w:div w:id="943070193">
      <w:bodyDiv w:val="1"/>
      <w:marLeft w:val="0"/>
      <w:marRight w:val="0"/>
      <w:marTop w:val="0"/>
      <w:marBottom w:val="0"/>
      <w:divBdr>
        <w:top w:val="none" w:sz="0" w:space="0" w:color="auto"/>
        <w:left w:val="none" w:sz="0" w:space="0" w:color="auto"/>
        <w:bottom w:val="none" w:sz="0" w:space="0" w:color="auto"/>
        <w:right w:val="none" w:sz="0" w:space="0" w:color="auto"/>
      </w:divBdr>
    </w:div>
    <w:div w:id="987904334">
      <w:bodyDiv w:val="1"/>
      <w:marLeft w:val="0"/>
      <w:marRight w:val="0"/>
      <w:marTop w:val="0"/>
      <w:marBottom w:val="0"/>
      <w:divBdr>
        <w:top w:val="none" w:sz="0" w:space="0" w:color="auto"/>
        <w:left w:val="none" w:sz="0" w:space="0" w:color="auto"/>
        <w:bottom w:val="none" w:sz="0" w:space="0" w:color="auto"/>
        <w:right w:val="none" w:sz="0" w:space="0" w:color="auto"/>
      </w:divBdr>
    </w:div>
    <w:div w:id="1000699455">
      <w:bodyDiv w:val="1"/>
      <w:marLeft w:val="0"/>
      <w:marRight w:val="0"/>
      <w:marTop w:val="0"/>
      <w:marBottom w:val="0"/>
      <w:divBdr>
        <w:top w:val="none" w:sz="0" w:space="0" w:color="auto"/>
        <w:left w:val="none" w:sz="0" w:space="0" w:color="auto"/>
        <w:bottom w:val="none" w:sz="0" w:space="0" w:color="auto"/>
        <w:right w:val="none" w:sz="0" w:space="0" w:color="auto"/>
      </w:divBdr>
    </w:div>
    <w:div w:id="1108547662">
      <w:bodyDiv w:val="1"/>
      <w:marLeft w:val="0"/>
      <w:marRight w:val="0"/>
      <w:marTop w:val="0"/>
      <w:marBottom w:val="0"/>
      <w:divBdr>
        <w:top w:val="none" w:sz="0" w:space="0" w:color="auto"/>
        <w:left w:val="none" w:sz="0" w:space="0" w:color="auto"/>
        <w:bottom w:val="none" w:sz="0" w:space="0" w:color="auto"/>
        <w:right w:val="none" w:sz="0" w:space="0" w:color="auto"/>
      </w:divBdr>
    </w:div>
    <w:div w:id="1120488159">
      <w:bodyDiv w:val="1"/>
      <w:marLeft w:val="0"/>
      <w:marRight w:val="0"/>
      <w:marTop w:val="0"/>
      <w:marBottom w:val="0"/>
      <w:divBdr>
        <w:top w:val="none" w:sz="0" w:space="0" w:color="auto"/>
        <w:left w:val="none" w:sz="0" w:space="0" w:color="auto"/>
        <w:bottom w:val="none" w:sz="0" w:space="0" w:color="auto"/>
        <w:right w:val="none" w:sz="0" w:space="0" w:color="auto"/>
      </w:divBdr>
    </w:div>
    <w:div w:id="1179975797">
      <w:bodyDiv w:val="1"/>
      <w:marLeft w:val="0"/>
      <w:marRight w:val="0"/>
      <w:marTop w:val="0"/>
      <w:marBottom w:val="0"/>
      <w:divBdr>
        <w:top w:val="none" w:sz="0" w:space="0" w:color="auto"/>
        <w:left w:val="none" w:sz="0" w:space="0" w:color="auto"/>
        <w:bottom w:val="none" w:sz="0" w:space="0" w:color="auto"/>
        <w:right w:val="none" w:sz="0" w:space="0" w:color="auto"/>
      </w:divBdr>
    </w:div>
    <w:div w:id="1196693161">
      <w:bodyDiv w:val="1"/>
      <w:marLeft w:val="0"/>
      <w:marRight w:val="0"/>
      <w:marTop w:val="0"/>
      <w:marBottom w:val="0"/>
      <w:divBdr>
        <w:top w:val="none" w:sz="0" w:space="0" w:color="auto"/>
        <w:left w:val="none" w:sz="0" w:space="0" w:color="auto"/>
        <w:bottom w:val="none" w:sz="0" w:space="0" w:color="auto"/>
        <w:right w:val="none" w:sz="0" w:space="0" w:color="auto"/>
      </w:divBdr>
    </w:div>
    <w:div w:id="1244142218">
      <w:bodyDiv w:val="1"/>
      <w:marLeft w:val="0"/>
      <w:marRight w:val="0"/>
      <w:marTop w:val="0"/>
      <w:marBottom w:val="0"/>
      <w:divBdr>
        <w:top w:val="none" w:sz="0" w:space="0" w:color="auto"/>
        <w:left w:val="none" w:sz="0" w:space="0" w:color="auto"/>
        <w:bottom w:val="none" w:sz="0" w:space="0" w:color="auto"/>
        <w:right w:val="none" w:sz="0" w:space="0" w:color="auto"/>
      </w:divBdr>
    </w:div>
    <w:div w:id="1275207091">
      <w:bodyDiv w:val="1"/>
      <w:marLeft w:val="0"/>
      <w:marRight w:val="0"/>
      <w:marTop w:val="0"/>
      <w:marBottom w:val="0"/>
      <w:divBdr>
        <w:top w:val="none" w:sz="0" w:space="0" w:color="auto"/>
        <w:left w:val="none" w:sz="0" w:space="0" w:color="auto"/>
        <w:bottom w:val="none" w:sz="0" w:space="0" w:color="auto"/>
        <w:right w:val="none" w:sz="0" w:space="0" w:color="auto"/>
      </w:divBdr>
    </w:div>
    <w:div w:id="1306080305">
      <w:bodyDiv w:val="1"/>
      <w:marLeft w:val="0"/>
      <w:marRight w:val="0"/>
      <w:marTop w:val="0"/>
      <w:marBottom w:val="0"/>
      <w:divBdr>
        <w:top w:val="none" w:sz="0" w:space="0" w:color="auto"/>
        <w:left w:val="none" w:sz="0" w:space="0" w:color="auto"/>
        <w:bottom w:val="none" w:sz="0" w:space="0" w:color="auto"/>
        <w:right w:val="none" w:sz="0" w:space="0" w:color="auto"/>
      </w:divBdr>
    </w:div>
    <w:div w:id="1321468696">
      <w:bodyDiv w:val="1"/>
      <w:marLeft w:val="0"/>
      <w:marRight w:val="0"/>
      <w:marTop w:val="0"/>
      <w:marBottom w:val="0"/>
      <w:divBdr>
        <w:top w:val="none" w:sz="0" w:space="0" w:color="auto"/>
        <w:left w:val="none" w:sz="0" w:space="0" w:color="auto"/>
        <w:bottom w:val="none" w:sz="0" w:space="0" w:color="auto"/>
        <w:right w:val="none" w:sz="0" w:space="0" w:color="auto"/>
      </w:divBdr>
    </w:div>
    <w:div w:id="1329022099">
      <w:bodyDiv w:val="1"/>
      <w:marLeft w:val="0"/>
      <w:marRight w:val="0"/>
      <w:marTop w:val="0"/>
      <w:marBottom w:val="0"/>
      <w:divBdr>
        <w:top w:val="none" w:sz="0" w:space="0" w:color="auto"/>
        <w:left w:val="none" w:sz="0" w:space="0" w:color="auto"/>
        <w:bottom w:val="none" w:sz="0" w:space="0" w:color="auto"/>
        <w:right w:val="none" w:sz="0" w:space="0" w:color="auto"/>
      </w:divBdr>
    </w:div>
    <w:div w:id="1338075936">
      <w:bodyDiv w:val="1"/>
      <w:marLeft w:val="0"/>
      <w:marRight w:val="0"/>
      <w:marTop w:val="0"/>
      <w:marBottom w:val="0"/>
      <w:divBdr>
        <w:top w:val="none" w:sz="0" w:space="0" w:color="auto"/>
        <w:left w:val="none" w:sz="0" w:space="0" w:color="auto"/>
        <w:bottom w:val="none" w:sz="0" w:space="0" w:color="auto"/>
        <w:right w:val="none" w:sz="0" w:space="0" w:color="auto"/>
      </w:divBdr>
    </w:div>
    <w:div w:id="1338313920">
      <w:bodyDiv w:val="1"/>
      <w:marLeft w:val="0"/>
      <w:marRight w:val="0"/>
      <w:marTop w:val="0"/>
      <w:marBottom w:val="0"/>
      <w:divBdr>
        <w:top w:val="none" w:sz="0" w:space="0" w:color="auto"/>
        <w:left w:val="none" w:sz="0" w:space="0" w:color="auto"/>
        <w:bottom w:val="none" w:sz="0" w:space="0" w:color="auto"/>
        <w:right w:val="none" w:sz="0" w:space="0" w:color="auto"/>
      </w:divBdr>
    </w:div>
    <w:div w:id="1341852170">
      <w:bodyDiv w:val="1"/>
      <w:marLeft w:val="0"/>
      <w:marRight w:val="0"/>
      <w:marTop w:val="0"/>
      <w:marBottom w:val="0"/>
      <w:divBdr>
        <w:top w:val="none" w:sz="0" w:space="0" w:color="auto"/>
        <w:left w:val="none" w:sz="0" w:space="0" w:color="auto"/>
        <w:bottom w:val="none" w:sz="0" w:space="0" w:color="auto"/>
        <w:right w:val="none" w:sz="0" w:space="0" w:color="auto"/>
      </w:divBdr>
    </w:div>
    <w:div w:id="1344278440">
      <w:bodyDiv w:val="1"/>
      <w:marLeft w:val="0"/>
      <w:marRight w:val="0"/>
      <w:marTop w:val="0"/>
      <w:marBottom w:val="0"/>
      <w:divBdr>
        <w:top w:val="none" w:sz="0" w:space="0" w:color="auto"/>
        <w:left w:val="none" w:sz="0" w:space="0" w:color="auto"/>
        <w:bottom w:val="none" w:sz="0" w:space="0" w:color="auto"/>
        <w:right w:val="none" w:sz="0" w:space="0" w:color="auto"/>
      </w:divBdr>
    </w:div>
    <w:div w:id="1364479816">
      <w:bodyDiv w:val="1"/>
      <w:marLeft w:val="0"/>
      <w:marRight w:val="0"/>
      <w:marTop w:val="0"/>
      <w:marBottom w:val="0"/>
      <w:divBdr>
        <w:top w:val="none" w:sz="0" w:space="0" w:color="auto"/>
        <w:left w:val="none" w:sz="0" w:space="0" w:color="auto"/>
        <w:bottom w:val="none" w:sz="0" w:space="0" w:color="auto"/>
        <w:right w:val="none" w:sz="0" w:space="0" w:color="auto"/>
      </w:divBdr>
    </w:div>
    <w:div w:id="1419791066">
      <w:bodyDiv w:val="1"/>
      <w:marLeft w:val="0"/>
      <w:marRight w:val="0"/>
      <w:marTop w:val="0"/>
      <w:marBottom w:val="0"/>
      <w:divBdr>
        <w:top w:val="none" w:sz="0" w:space="0" w:color="auto"/>
        <w:left w:val="none" w:sz="0" w:space="0" w:color="auto"/>
        <w:bottom w:val="none" w:sz="0" w:space="0" w:color="auto"/>
        <w:right w:val="none" w:sz="0" w:space="0" w:color="auto"/>
      </w:divBdr>
    </w:div>
    <w:div w:id="1431706476">
      <w:bodyDiv w:val="1"/>
      <w:marLeft w:val="0"/>
      <w:marRight w:val="0"/>
      <w:marTop w:val="0"/>
      <w:marBottom w:val="0"/>
      <w:divBdr>
        <w:top w:val="none" w:sz="0" w:space="0" w:color="auto"/>
        <w:left w:val="none" w:sz="0" w:space="0" w:color="auto"/>
        <w:bottom w:val="none" w:sz="0" w:space="0" w:color="auto"/>
        <w:right w:val="none" w:sz="0" w:space="0" w:color="auto"/>
      </w:divBdr>
    </w:div>
    <w:div w:id="1453671259">
      <w:bodyDiv w:val="1"/>
      <w:marLeft w:val="0"/>
      <w:marRight w:val="0"/>
      <w:marTop w:val="0"/>
      <w:marBottom w:val="0"/>
      <w:divBdr>
        <w:top w:val="none" w:sz="0" w:space="0" w:color="auto"/>
        <w:left w:val="none" w:sz="0" w:space="0" w:color="auto"/>
        <w:bottom w:val="none" w:sz="0" w:space="0" w:color="auto"/>
        <w:right w:val="none" w:sz="0" w:space="0" w:color="auto"/>
      </w:divBdr>
    </w:div>
    <w:div w:id="1474789259">
      <w:bodyDiv w:val="1"/>
      <w:marLeft w:val="0"/>
      <w:marRight w:val="0"/>
      <w:marTop w:val="0"/>
      <w:marBottom w:val="0"/>
      <w:divBdr>
        <w:top w:val="none" w:sz="0" w:space="0" w:color="auto"/>
        <w:left w:val="none" w:sz="0" w:space="0" w:color="auto"/>
        <w:bottom w:val="none" w:sz="0" w:space="0" w:color="auto"/>
        <w:right w:val="none" w:sz="0" w:space="0" w:color="auto"/>
      </w:divBdr>
    </w:div>
    <w:div w:id="1528103366">
      <w:bodyDiv w:val="1"/>
      <w:marLeft w:val="0"/>
      <w:marRight w:val="0"/>
      <w:marTop w:val="0"/>
      <w:marBottom w:val="0"/>
      <w:divBdr>
        <w:top w:val="none" w:sz="0" w:space="0" w:color="auto"/>
        <w:left w:val="none" w:sz="0" w:space="0" w:color="auto"/>
        <w:bottom w:val="none" w:sz="0" w:space="0" w:color="auto"/>
        <w:right w:val="none" w:sz="0" w:space="0" w:color="auto"/>
      </w:divBdr>
    </w:div>
    <w:div w:id="1573151687">
      <w:bodyDiv w:val="1"/>
      <w:marLeft w:val="0"/>
      <w:marRight w:val="0"/>
      <w:marTop w:val="0"/>
      <w:marBottom w:val="0"/>
      <w:divBdr>
        <w:top w:val="none" w:sz="0" w:space="0" w:color="auto"/>
        <w:left w:val="none" w:sz="0" w:space="0" w:color="auto"/>
        <w:bottom w:val="none" w:sz="0" w:space="0" w:color="auto"/>
        <w:right w:val="none" w:sz="0" w:space="0" w:color="auto"/>
      </w:divBdr>
    </w:div>
    <w:div w:id="1588415907">
      <w:bodyDiv w:val="1"/>
      <w:marLeft w:val="0"/>
      <w:marRight w:val="0"/>
      <w:marTop w:val="0"/>
      <w:marBottom w:val="0"/>
      <w:divBdr>
        <w:top w:val="none" w:sz="0" w:space="0" w:color="auto"/>
        <w:left w:val="none" w:sz="0" w:space="0" w:color="auto"/>
        <w:bottom w:val="none" w:sz="0" w:space="0" w:color="auto"/>
        <w:right w:val="none" w:sz="0" w:space="0" w:color="auto"/>
      </w:divBdr>
    </w:div>
    <w:div w:id="1611156750">
      <w:bodyDiv w:val="1"/>
      <w:marLeft w:val="0"/>
      <w:marRight w:val="0"/>
      <w:marTop w:val="0"/>
      <w:marBottom w:val="0"/>
      <w:divBdr>
        <w:top w:val="none" w:sz="0" w:space="0" w:color="auto"/>
        <w:left w:val="none" w:sz="0" w:space="0" w:color="auto"/>
        <w:bottom w:val="none" w:sz="0" w:space="0" w:color="auto"/>
        <w:right w:val="none" w:sz="0" w:space="0" w:color="auto"/>
      </w:divBdr>
    </w:div>
    <w:div w:id="1621447757">
      <w:bodyDiv w:val="1"/>
      <w:marLeft w:val="0"/>
      <w:marRight w:val="0"/>
      <w:marTop w:val="0"/>
      <w:marBottom w:val="0"/>
      <w:divBdr>
        <w:top w:val="none" w:sz="0" w:space="0" w:color="auto"/>
        <w:left w:val="none" w:sz="0" w:space="0" w:color="auto"/>
        <w:bottom w:val="none" w:sz="0" w:space="0" w:color="auto"/>
        <w:right w:val="none" w:sz="0" w:space="0" w:color="auto"/>
      </w:divBdr>
    </w:div>
    <w:div w:id="1624774606">
      <w:bodyDiv w:val="1"/>
      <w:marLeft w:val="0"/>
      <w:marRight w:val="0"/>
      <w:marTop w:val="0"/>
      <w:marBottom w:val="0"/>
      <w:divBdr>
        <w:top w:val="none" w:sz="0" w:space="0" w:color="auto"/>
        <w:left w:val="none" w:sz="0" w:space="0" w:color="auto"/>
        <w:bottom w:val="none" w:sz="0" w:space="0" w:color="auto"/>
        <w:right w:val="none" w:sz="0" w:space="0" w:color="auto"/>
      </w:divBdr>
    </w:div>
    <w:div w:id="1630696409">
      <w:bodyDiv w:val="1"/>
      <w:marLeft w:val="0"/>
      <w:marRight w:val="0"/>
      <w:marTop w:val="0"/>
      <w:marBottom w:val="0"/>
      <w:divBdr>
        <w:top w:val="none" w:sz="0" w:space="0" w:color="auto"/>
        <w:left w:val="none" w:sz="0" w:space="0" w:color="auto"/>
        <w:bottom w:val="none" w:sz="0" w:space="0" w:color="auto"/>
        <w:right w:val="none" w:sz="0" w:space="0" w:color="auto"/>
      </w:divBdr>
    </w:div>
    <w:div w:id="1653873557">
      <w:bodyDiv w:val="1"/>
      <w:marLeft w:val="0"/>
      <w:marRight w:val="0"/>
      <w:marTop w:val="0"/>
      <w:marBottom w:val="0"/>
      <w:divBdr>
        <w:top w:val="none" w:sz="0" w:space="0" w:color="auto"/>
        <w:left w:val="none" w:sz="0" w:space="0" w:color="auto"/>
        <w:bottom w:val="none" w:sz="0" w:space="0" w:color="auto"/>
        <w:right w:val="none" w:sz="0" w:space="0" w:color="auto"/>
      </w:divBdr>
    </w:div>
    <w:div w:id="1694308781">
      <w:bodyDiv w:val="1"/>
      <w:marLeft w:val="0"/>
      <w:marRight w:val="0"/>
      <w:marTop w:val="0"/>
      <w:marBottom w:val="0"/>
      <w:divBdr>
        <w:top w:val="none" w:sz="0" w:space="0" w:color="auto"/>
        <w:left w:val="none" w:sz="0" w:space="0" w:color="auto"/>
        <w:bottom w:val="none" w:sz="0" w:space="0" w:color="auto"/>
        <w:right w:val="none" w:sz="0" w:space="0" w:color="auto"/>
      </w:divBdr>
    </w:div>
    <w:div w:id="1741751806">
      <w:bodyDiv w:val="1"/>
      <w:marLeft w:val="0"/>
      <w:marRight w:val="0"/>
      <w:marTop w:val="0"/>
      <w:marBottom w:val="0"/>
      <w:divBdr>
        <w:top w:val="none" w:sz="0" w:space="0" w:color="auto"/>
        <w:left w:val="none" w:sz="0" w:space="0" w:color="auto"/>
        <w:bottom w:val="none" w:sz="0" w:space="0" w:color="auto"/>
        <w:right w:val="none" w:sz="0" w:space="0" w:color="auto"/>
      </w:divBdr>
    </w:div>
    <w:div w:id="1743403123">
      <w:bodyDiv w:val="1"/>
      <w:marLeft w:val="0"/>
      <w:marRight w:val="0"/>
      <w:marTop w:val="0"/>
      <w:marBottom w:val="0"/>
      <w:divBdr>
        <w:top w:val="none" w:sz="0" w:space="0" w:color="auto"/>
        <w:left w:val="none" w:sz="0" w:space="0" w:color="auto"/>
        <w:bottom w:val="none" w:sz="0" w:space="0" w:color="auto"/>
        <w:right w:val="none" w:sz="0" w:space="0" w:color="auto"/>
      </w:divBdr>
    </w:div>
    <w:div w:id="1765760290">
      <w:bodyDiv w:val="1"/>
      <w:marLeft w:val="0"/>
      <w:marRight w:val="0"/>
      <w:marTop w:val="0"/>
      <w:marBottom w:val="0"/>
      <w:divBdr>
        <w:top w:val="none" w:sz="0" w:space="0" w:color="auto"/>
        <w:left w:val="none" w:sz="0" w:space="0" w:color="auto"/>
        <w:bottom w:val="none" w:sz="0" w:space="0" w:color="auto"/>
        <w:right w:val="none" w:sz="0" w:space="0" w:color="auto"/>
      </w:divBdr>
    </w:div>
    <w:div w:id="1847788595">
      <w:bodyDiv w:val="1"/>
      <w:marLeft w:val="0"/>
      <w:marRight w:val="0"/>
      <w:marTop w:val="0"/>
      <w:marBottom w:val="0"/>
      <w:divBdr>
        <w:top w:val="none" w:sz="0" w:space="0" w:color="auto"/>
        <w:left w:val="none" w:sz="0" w:space="0" w:color="auto"/>
        <w:bottom w:val="none" w:sz="0" w:space="0" w:color="auto"/>
        <w:right w:val="none" w:sz="0" w:space="0" w:color="auto"/>
      </w:divBdr>
    </w:div>
    <w:div w:id="1919248810">
      <w:bodyDiv w:val="1"/>
      <w:marLeft w:val="0"/>
      <w:marRight w:val="0"/>
      <w:marTop w:val="0"/>
      <w:marBottom w:val="0"/>
      <w:divBdr>
        <w:top w:val="none" w:sz="0" w:space="0" w:color="auto"/>
        <w:left w:val="none" w:sz="0" w:space="0" w:color="auto"/>
        <w:bottom w:val="none" w:sz="0" w:space="0" w:color="auto"/>
        <w:right w:val="none" w:sz="0" w:space="0" w:color="auto"/>
      </w:divBdr>
    </w:div>
    <w:div w:id="1962760669">
      <w:bodyDiv w:val="1"/>
      <w:marLeft w:val="0"/>
      <w:marRight w:val="0"/>
      <w:marTop w:val="0"/>
      <w:marBottom w:val="0"/>
      <w:divBdr>
        <w:top w:val="none" w:sz="0" w:space="0" w:color="auto"/>
        <w:left w:val="none" w:sz="0" w:space="0" w:color="auto"/>
        <w:bottom w:val="none" w:sz="0" w:space="0" w:color="auto"/>
        <w:right w:val="none" w:sz="0" w:space="0" w:color="auto"/>
      </w:divBdr>
    </w:div>
    <w:div w:id="1985351350">
      <w:bodyDiv w:val="1"/>
      <w:marLeft w:val="0"/>
      <w:marRight w:val="0"/>
      <w:marTop w:val="0"/>
      <w:marBottom w:val="0"/>
      <w:divBdr>
        <w:top w:val="none" w:sz="0" w:space="0" w:color="auto"/>
        <w:left w:val="none" w:sz="0" w:space="0" w:color="auto"/>
        <w:bottom w:val="none" w:sz="0" w:space="0" w:color="auto"/>
        <w:right w:val="none" w:sz="0" w:space="0" w:color="auto"/>
      </w:divBdr>
    </w:div>
    <w:div w:id="2005891602">
      <w:bodyDiv w:val="1"/>
      <w:marLeft w:val="0"/>
      <w:marRight w:val="0"/>
      <w:marTop w:val="0"/>
      <w:marBottom w:val="0"/>
      <w:divBdr>
        <w:top w:val="none" w:sz="0" w:space="0" w:color="auto"/>
        <w:left w:val="none" w:sz="0" w:space="0" w:color="auto"/>
        <w:bottom w:val="none" w:sz="0" w:space="0" w:color="auto"/>
        <w:right w:val="none" w:sz="0" w:space="0" w:color="auto"/>
      </w:divBdr>
    </w:div>
    <w:div w:id="2029016332">
      <w:bodyDiv w:val="1"/>
      <w:marLeft w:val="0"/>
      <w:marRight w:val="0"/>
      <w:marTop w:val="0"/>
      <w:marBottom w:val="0"/>
      <w:divBdr>
        <w:top w:val="none" w:sz="0" w:space="0" w:color="auto"/>
        <w:left w:val="none" w:sz="0" w:space="0" w:color="auto"/>
        <w:bottom w:val="none" w:sz="0" w:space="0" w:color="auto"/>
        <w:right w:val="none" w:sz="0" w:space="0" w:color="auto"/>
      </w:divBdr>
    </w:div>
    <w:div w:id="2040618291">
      <w:bodyDiv w:val="1"/>
      <w:marLeft w:val="0"/>
      <w:marRight w:val="0"/>
      <w:marTop w:val="0"/>
      <w:marBottom w:val="0"/>
      <w:divBdr>
        <w:top w:val="none" w:sz="0" w:space="0" w:color="auto"/>
        <w:left w:val="none" w:sz="0" w:space="0" w:color="auto"/>
        <w:bottom w:val="none" w:sz="0" w:space="0" w:color="auto"/>
        <w:right w:val="none" w:sz="0" w:space="0" w:color="auto"/>
      </w:divBdr>
    </w:div>
    <w:div w:id="2050258649">
      <w:bodyDiv w:val="1"/>
      <w:marLeft w:val="0"/>
      <w:marRight w:val="0"/>
      <w:marTop w:val="0"/>
      <w:marBottom w:val="0"/>
      <w:divBdr>
        <w:top w:val="none" w:sz="0" w:space="0" w:color="auto"/>
        <w:left w:val="none" w:sz="0" w:space="0" w:color="auto"/>
        <w:bottom w:val="none" w:sz="0" w:space="0" w:color="auto"/>
        <w:right w:val="none" w:sz="0" w:space="0" w:color="auto"/>
      </w:divBdr>
    </w:div>
    <w:div w:id="2056007811">
      <w:bodyDiv w:val="1"/>
      <w:marLeft w:val="0"/>
      <w:marRight w:val="0"/>
      <w:marTop w:val="0"/>
      <w:marBottom w:val="0"/>
      <w:divBdr>
        <w:top w:val="none" w:sz="0" w:space="0" w:color="auto"/>
        <w:left w:val="none" w:sz="0" w:space="0" w:color="auto"/>
        <w:bottom w:val="none" w:sz="0" w:space="0" w:color="auto"/>
        <w:right w:val="none" w:sz="0" w:space="0" w:color="auto"/>
      </w:divBdr>
    </w:div>
    <w:div w:id="2069649586">
      <w:bodyDiv w:val="1"/>
      <w:marLeft w:val="0"/>
      <w:marRight w:val="0"/>
      <w:marTop w:val="0"/>
      <w:marBottom w:val="0"/>
      <w:divBdr>
        <w:top w:val="none" w:sz="0" w:space="0" w:color="auto"/>
        <w:left w:val="none" w:sz="0" w:space="0" w:color="auto"/>
        <w:bottom w:val="none" w:sz="0" w:space="0" w:color="auto"/>
        <w:right w:val="none" w:sz="0" w:space="0" w:color="auto"/>
      </w:divBdr>
    </w:div>
    <w:div w:id="2104758955">
      <w:bodyDiv w:val="1"/>
      <w:marLeft w:val="0"/>
      <w:marRight w:val="0"/>
      <w:marTop w:val="0"/>
      <w:marBottom w:val="0"/>
      <w:divBdr>
        <w:top w:val="none" w:sz="0" w:space="0" w:color="auto"/>
        <w:left w:val="none" w:sz="0" w:space="0" w:color="auto"/>
        <w:bottom w:val="none" w:sz="0" w:space="0" w:color="auto"/>
        <w:right w:val="none" w:sz="0" w:space="0" w:color="auto"/>
      </w:divBdr>
    </w:div>
    <w:div w:id="2127233297">
      <w:bodyDiv w:val="1"/>
      <w:marLeft w:val="0"/>
      <w:marRight w:val="0"/>
      <w:marTop w:val="0"/>
      <w:marBottom w:val="0"/>
      <w:divBdr>
        <w:top w:val="none" w:sz="0" w:space="0" w:color="auto"/>
        <w:left w:val="none" w:sz="0" w:space="0" w:color="auto"/>
        <w:bottom w:val="none" w:sz="0" w:space="0" w:color="auto"/>
        <w:right w:val="none" w:sz="0" w:space="0" w:color="auto"/>
      </w:divBdr>
    </w:div>
    <w:div w:id="2134781857">
      <w:bodyDiv w:val="1"/>
      <w:marLeft w:val="0"/>
      <w:marRight w:val="0"/>
      <w:marTop w:val="0"/>
      <w:marBottom w:val="0"/>
      <w:divBdr>
        <w:top w:val="none" w:sz="0" w:space="0" w:color="auto"/>
        <w:left w:val="none" w:sz="0" w:space="0" w:color="auto"/>
        <w:bottom w:val="none" w:sz="0" w:space="0" w:color="auto"/>
        <w:right w:val="none" w:sz="0" w:space="0" w:color="auto"/>
      </w:divBdr>
    </w:div>
    <w:div w:id="214441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atter.hu/kiadvanyaink/the-anti-lgbtqi-law-of-hungary-in-action-a-combination-of-state-and-self-enforcement" TargetMode="External"/><Relationship Id="rId117" Type="http://schemas.openxmlformats.org/officeDocument/2006/relationships/hyperlink" Target="https://www.idnes.cz/zpravy/zahranicni/slovensko-matovic-transgender-pochod-protest.A230503_152654_zahranicni_jhr" TargetMode="External"/><Relationship Id="rId21" Type="http://schemas.openxmlformats.org/officeDocument/2006/relationships/hyperlink" Target="https://amnesty.444.hu/2024/10/17/csak-a-kezemet-figyeljetek" TargetMode="External"/><Relationship Id="rId42" Type="http://schemas.openxmlformats.org/officeDocument/2006/relationships/hyperlink" Target="https://hudoc.echr.coe.int/?i=001-225330" TargetMode="External"/><Relationship Id="rId47" Type="http://schemas.openxmlformats.org/officeDocument/2006/relationships/hyperlink" Target="https://helsinki.hu/en/wp-content/uploads/sites/2/2024/02/QandA_Sovereignty_Protection_Act_QandA_2024.pdf" TargetMode="External"/><Relationship Id="rId63" Type="http://schemas.openxmlformats.org/officeDocument/2006/relationships/hyperlink" Target="https://kph.org.pl/tecza-nie-obraza-prokurator-generalny-wycofal-skarge-nadzwyczajna-w-kolejnej-sprawie-dot-obrazy-uczuc-religijnych/" TargetMode="External"/><Relationship Id="rId68" Type="http://schemas.openxmlformats.org/officeDocument/2006/relationships/hyperlink" Target="https://wiadomosci.gazeta.pl/wiadomosci/7,114883,30690547,niespodziewane-przeprosiny-w-tvp-info-wzruszylem-sie-to-jest.html" TargetMode="External"/><Relationship Id="rId84" Type="http://schemas.openxmlformats.org/officeDocument/2006/relationships/hyperlink" Target="https://www.crj.ro/ce-propun-noile-modificari-ale-procedurii-interne-a-cncd-ului/" TargetMode="External"/><Relationship Id="rId89" Type="http://schemas.openxmlformats.org/officeDocument/2006/relationships/hyperlink" Target="https://www.euronews.ro/articole/natalia-intotero-despre-recunoasterea-familiei-formate-de-persoane-de-acelasi-sex" TargetMode="External"/><Relationship Id="rId112" Type="http://schemas.openxmlformats.org/officeDocument/2006/relationships/hyperlink" Target="https://www.health.gov.sk/Zdroje?/Sources/dokumenty/vestniky_mz_sr/2022/vestnik-2022-18-20.pdf" TargetMode="External"/><Relationship Id="rId16" Type="http://schemas.openxmlformats.org/officeDocument/2006/relationships/hyperlink" Target="https://www.bghelsinki.org/bg/news/2023-02-21-scc-legal-gender-recognition" TargetMode="External"/><Relationship Id="rId107" Type="http://schemas.openxmlformats.org/officeDocument/2006/relationships/hyperlink" Target="https://spravy.rtvs.sk/2024/03/zuzana-caputova-neexistuje-ziaden-realny-dovod-na-zrusenie-rtvs-okrem-jedineho-a-to-je-snaha-o-jej-politicke-ovladnutie/" TargetMode="External"/><Relationship Id="rId11" Type="http://schemas.openxmlformats.org/officeDocument/2006/relationships/hyperlink" Target="https://www.om-mp.be/fr/savoir-plus/circulaires" TargetMode="External"/><Relationship Id="rId32" Type="http://schemas.openxmlformats.org/officeDocument/2006/relationships/hyperlink" Target="https://drive.google.com/file/d/1-Egzv2uDB9I8-F0ru3gecLnlhY8vmTSL/view?usp=sharing" TargetMode="External"/><Relationship Id="rId37" Type="http://schemas.openxmlformats.org/officeDocument/2006/relationships/hyperlink" Target="https://hudoc.echr.coe.int/?i=001-84571" TargetMode="External"/><Relationship Id="rId53" Type="http://schemas.openxmlformats.org/officeDocument/2006/relationships/hyperlink" Target="https://m.hvg.hu/itthon/20240918_hazugsag_hogy_felsobb_utasitasra_jottem_el_Filo_Mariann_Budapest_Pride_Hatvannegy_Varmegye" TargetMode="External"/><Relationship Id="rId58" Type="http://schemas.openxmlformats.org/officeDocument/2006/relationships/hyperlink" Target="https://rm.coe.int/country-visit-report-on-italy-following-the-visit-from-19-to-23-june-2/1680adae5a" TargetMode="External"/><Relationship Id="rId74" Type="http://schemas.openxmlformats.org/officeDocument/2006/relationships/hyperlink" Target="https://equalitywatch.pl/2024/02/21/samorzadowa-karta-praw-rodzin-dyskryminuje-zawiadomienie-do-prokuratury/" TargetMode="External"/><Relationship Id="rId79" Type="http://schemas.openxmlformats.org/officeDocument/2006/relationships/hyperlink" Target="https://kph.org.pl/nowy-rok-szkolny-nowa-nagonka-interweniujemy-w-sprawie-poradnika-dla-szkol-ordo-iuris/" TargetMode="External"/><Relationship Id="rId102" Type="http://schemas.openxmlformats.org/officeDocument/2006/relationships/hyperlink" Target="https://context.ro/reteaua-minciunilor-pe-tiktok-europarlamentari-romani-rostogolesc-dezinformari-conspiratii-propaganda-rusa-si-incita-la-ura/" TargetMode="External"/><Relationship Id="rId123" Type="http://schemas.openxmlformats.org/officeDocument/2006/relationships/hyperlink" Target="https://uclpimedia.com/online/community-of-madrid-partially-revokes-trans-and-lgbtq-rights-laws"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stirileprotv.ro/divers/cum-motiveaza-cncd-respingerea-unei-sesizari-privind-o-tipografie-care-a-refuzat-sa-printeze-afise-depre-lgbtq.html" TargetMode="External"/><Relationship Id="rId95" Type="http://schemas.openxmlformats.org/officeDocument/2006/relationships/hyperlink" Target="https://curia.europa.eu/jcms/upload/docs/application/pdf/2018-06/cp180080en.pdf" TargetMode="External"/><Relationship Id="rId19" Type="http://schemas.openxmlformats.org/officeDocument/2006/relationships/hyperlink" Target="https://www.svobodnaevropa.bg/a/npmg-ani-kirilova-vazrazhdane/33153669.html" TargetMode="External"/><Relationship Id="rId14" Type="http://schemas.openxmlformats.org/officeDocument/2006/relationships/hyperlink" Target="https://hudoc.echr.coe.int/eng" TargetMode="External"/><Relationship Id="rId22" Type="http://schemas.openxmlformats.org/officeDocument/2006/relationships/hyperlink" Target="https://helsinki.hu/en/akta/independence-of-the-judiciary/" TargetMode="External"/><Relationship Id="rId27" Type="http://schemas.openxmlformats.org/officeDocument/2006/relationships/hyperlink" Target="https://www.ilga-europe.org/report/2024-rule-of-law-report/" TargetMode="External"/><Relationship Id="rId30" Type="http://schemas.openxmlformats.org/officeDocument/2006/relationships/hyperlink" Target="https://helsinki.hu/en/wp-content/uploads/sites/2/2024/04/HHC_Hungary_states_of_exception_20240402.pdf" TargetMode="External"/><Relationship Id="rId35" Type="http://schemas.openxmlformats.org/officeDocument/2006/relationships/hyperlink" Target="https://helsinki.hu/en/wp-content/uploads/sites/2/2024/12/HHC_Assessment_of_Hungarian_NHRI_2024-1.pdf" TargetMode="External"/><Relationship Id="rId43" Type="http://schemas.openxmlformats.org/officeDocument/2006/relationships/hyperlink" Target="https://hudoc.exec.coe.int/?i=CM/Del/Dec(2024)1507/H46-13E" TargetMode="External"/><Relationship Id="rId48" Type="http://schemas.openxmlformats.org/officeDocument/2006/relationships/hyperlink" Target="https://civilizacio.net/en/home" TargetMode="External"/><Relationship Id="rId56" Type="http://schemas.openxmlformats.org/officeDocument/2006/relationships/hyperlink" Target="https://x.com/tuzfalcsoport/status/1866037314931064978?mx=2" TargetMode="External"/><Relationship Id="rId64" Type="http://schemas.openxmlformats.org/officeDocument/2006/relationships/hyperlink" Target="https://kph.org.pl/wniosek-ziobry-o-utrudnienie-uzgodnienia-plci-wycofany-szybka-reakcja-adama-bodnara-m-in-na-prosbe-kph/" TargetMode="External"/><Relationship Id="rId69" Type="http://schemas.openxmlformats.org/officeDocument/2006/relationships/hyperlink" Target="https://oko.press/atlas-nienawisci-wygrywa-siodma-sprawe" TargetMode="External"/><Relationship Id="rId77" Type="http://schemas.openxmlformats.org/officeDocument/2006/relationships/hyperlink" Target="https://www.sejm.gov.pl/sejm10.nsf/PrzebiegProc.xsp?nr=26" TargetMode="External"/><Relationship Id="rId100" Type="http://schemas.openxmlformats.org/officeDocument/2006/relationships/hyperlink" Target="https://buletin.de/bucuresti/asociatia-mozaiq-reclama-indemnuri-la-distrugerea-sediului-din-bucuresti-difuzate-online-proiect-de-lege-anti-lgbtq-depus-de-un-parlamentar-din-ilfov/" TargetMode="External"/><Relationship Id="rId105" Type="http://schemas.openxmlformats.org/officeDocument/2006/relationships/hyperlink" Target="https://www.prezident.sk/page/podpisane-a-vratene-zakony-pp/" TargetMode="External"/><Relationship Id="rId113" Type="http://schemas.openxmlformats.org/officeDocument/2006/relationships/hyperlink" Target="https://www.health.gov.sk/Zdroje?/Sources/dokumenty/SDTP/standardy/ops-transsexualizmus/SP-pre-diagnostiku-a-komplexny-manazment-zdravotnej-starostlivosti-o-dospelu-osobu-s-transsexualizmom-F64-0.pdf" TargetMode="External"/><Relationship Id="rId118" Type="http://schemas.openxmlformats.org/officeDocument/2006/relationships/hyperlink" Target="https://www.euractiv.com/section/politics/news/slovakias-culture-ministry-to-stop-funding-lgbtq-projects/" TargetMode="External"/><Relationship Id="rId126" Type="http://schemas.openxmlformats.org/officeDocument/2006/relationships/header" Target="header2.xml"/><Relationship Id="rId8" Type="http://schemas.openxmlformats.org/officeDocument/2006/relationships/hyperlink" Target="https://www.ilga-europe.org/who-we-are/what-ilga-europe" TargetMode="External"/><Relationship Id="rId51" Type="http://schemas.openxmlformats.org/officeDocument/2006/relationships/hyperlink" Target="https://abouthungary.hu/issues/the-case-of-the-norway-grants-and-ngos-in-hungary" TargetMode="External"/><Relationship Id="rId72" Type="http://schemas.openxmlformats.org/officeDocument/2006/relationships/hyperlink" Target="https://hudoc.echr.coe.int/" TargetMode="External"/><Relationship Id="rId80" Type="http://schemas.openxmlformats.org/officeDocument/2006/relationships/hyperlink" Target="https://lgbtplusme.com/news/Oswiadczenie-Fundacji-GrowSPACE-Dotyczace-Poradnika-Ordo-Juris" TargetMode="External"/><Relationship Id="rId85" Type="http://schemas.openxmlformats.org/officeDocument/2006/relationships/hyperlink" Target="https://www.facebook.com/story.php/?story_fbid=881590447341197&amp;id=100064707485020" TargetMode="External"/><Relationship Id="rId93" Type="http://schemas.openxmlformats.org/officeDocument/2006/relationships/hyperlink" Target="https://hudoc.echr.coe.int/fre" TargetMode="External"/><Relationship Id="rId98" Type="http://schemas.openxmlformats.org/officeDocument/2006/relationships/hyperlink" Target="https://www.senat.ro/legis/lista.aspx?nr_cls=b617&amp;an_cls=2024" TargetMode="External"/><Relationship Id="rId121" Type="http://schemas.openxmlformats.org/officeDocument/2006/relationships/hyperlink" Target="https://plataformatrans.es/index.php/2024/02/22/isabel-garcia-directora-del-instituto-de-las-mujeres-participa-en-un-acto-abiertamente-transfobo/" TargetMode="External"/><Relationship Id="rId3" Type="http://schemas.openxmlformats.org/officeDocument/2006/relationships/styles" Target="styles.xml"/><Relationship Id="rId12" Type="http://schemas.openxmlformats.org/officeDocument/2006/relationships/hyperlink" Target="https://en.deystvie.org/baby-sara-court-of-justice-eu" TargetMode="External"/><Relationship Id="rId17" Type="http://schemas.openxmlformats.org/officeDocument/2006/relationships/hyperlink" Target="https://defakto.bg/2023/02/20/%d1%82%d1%8a%d0%bb%d0%ba%d1%83%d0%b2%d0%b0%d1%82%d0%b5%d0%bb%d0%bd%d0%be-%d1%80%d0%b5%d1%88%d0%b5%d0%bd%d0%b8%d0%b5-%d0%bd%d0%b0-%d0%b2%d0%ba%d1%81-%d0%bd%d0%b5-%d1%80%d0%b0%d0%b7%d1%80%d0%b5%d1%88/" TargetMode="External"/><Relationship Id="rId25" Type="http://schemas.openxmlformats.org/officeDocument/2006/relationships/hyperlink" Target="https://hatter.hu/kiadvanyaink/the-anti-lgbtqi-law-of-hungary-in-action-a-combination-of-state-and-self-enforcement" TargetMode="External"/><Relationship Id="rId33" Type="http://schemas.openxmlformats.org/officeDocument/2006/relationships/hyperlink" Target="https://cdn.kormany.hu/uploads/document/9/92/922/92259f011b3f776c5df656b97eca1d6e2782d890.pdf" TargetMode="External"/><Relationship Id="rId38" Type="http://schemas.openxmlformats.org/officeDocument/2006/relationships/hyperlink" Target="https://hatter.hu/tevekenysegunk/jogsegelyszolgalat/jelentosebb-ugyeink/orokbefogadasi-ugyek-2021" TargetMode="External"/><Relationship Id="rId46" Type="http://schemas.openxmlformats.org/officeDocument/2006/relationships/hyperlink" Target="https://eur-lex.europa.eu/legal-content/EN/TXT/?uri=celex:62023CJ0004" TargetMode="External"/><Relationship Id="rId59" Type="http://schemas.openxmlformats.org/officeDocument/2006/relationships/hyperlink" Target="https://www.senato.it/leg/19/BGT/Schede/Ddliter/57364.htm" TargetMode="External"/><Relationship Id="rId67" Type="http://schemas.openxmlformats.org/officeDocument/2006/relationships/hyperlink" Target="https://isap.sejm.gov.pl/isap.nsf/download.xsp/WDU20240001444/O/D20241444.pdf" TargetMode="External"/><Relationship Id="rId103" Type="http://schemas.openxmlformats.org/officeDocument/2006/relationships/hyperlink" Target="https://balkaninsight.com/2024/09/03/slovakias-new-period-of-normalisation-attacks-on-freedoms-and-rights/" TargetMode="External"/><Relationship Id="rId108" Type="http://schemas.openxmlformats.org/officeDocument/2006/relationships/hyperlink" Target="https://spravy.rtvs.sk/2024/02/pre-novelu-trestneho-zakona-podala-opozicia-ustavnu-staznost-podporili-ju-desiatky-opozicnych-poslancov/" TargetMode="External"/><Relationship Id="rId116" Type="http://schemas.openxmlformats.org/officeDocument/2006/relationships/hyperlink" Target="https://brainee.hnonline.sk/notsorry/news/spolocnost/slovensko/96080853-video-aktivisti-sa-nechali-vyprovokovat-podla-videa-napadli-matovica-utocil-na-nas-z-dialky-si-ho-nahraval-taraba-tvrdia" TargetMode="External"/><Relationship Id="rId124" Type="http://schemas.openxmlformats.org/officeDocument/2006/relationships/header" Target="header1.xml"/><Relationship Id="rId20" Type="http://schemas.openxmlformats.org/officeDocument/2006/relationships/hyperlink" Target="https://www.amnesty.hu/wp-content/uploads/2023/05/Assessment_of_the_Judicial_Reform_052023.pdf" TargetMode="External"/><Relationship Id="rId41" Type="http://schemas.openxmlformats.org/officeDocument/2006/relationships/hyperlink" Target="https://hudoc.exec.coe.int/?i=DH-DD(2024)834E" TargetMode="External"/><Relationship Id="rId54" Type="http://schemas.openxmlformats.org/officeDocument/2006/relationships/hyperlink" Target="https://szentkoronaradio.com/blog/2024/11/30/magyar-ugyvedi-kamara-a-hatter-tarsasaggal-erzekenyitteti-az-ugyvedeket/" TargetMode="External"/><Relationship Id="rId62" Type="http://schemas.openxmlformats.org/officeDocument/2006/relationships/hyperlink" Target="https://www.ilgrandecolibri.com/lista-paesi-sicuri/" TargetMode="External"/><Relationship Id="rId70" Type="http://schemas.openxmlformats.org/officeDocument/2006/relationships/hyperlink" Target="https://www.article19.org/pl/resources/polska-razem-przeciwko-slapp/" TargetMode="External"/><Relationship Id="rId75" Type="http://schemas.openxmlformats.org/officeDocument/2006/relationships/hyperlink" Target="https://equalitywatch.pl/2024/09/25/podkarpacie-skarga-komisja-europejska/" TargetMode="External"/><Relationship Id="rId83" Type="http://schemas.openxmlformats.org/officeDocument/2006/relationships/hyperlink" Target="https://oko.press/na-zywo/na-zywo-relacja/gw-osoby-lgbt-zaatakowane-podczas-swieta-w-boleslawcu" TargetMode="External"/><Relationship Id="rId88" Type="http://schemas.openxmlformats.org/officeDocument/2006/relationships/hyperlink" Target="https://stirileprotv.ro/stiri/actualitate/proiect-de-lege-anti-lgbt-in-scoli-depus-de-un-deputat-psd-si-unul-exclus-din-aur-zideologia-lgbtqia-dauneaza-rasei-umane.html" TargetMode="External"/><Relationship Id="rId91" Type="http://schemas.openxmlformats.org/officeDocument/2006/relationships/hyperlink" Target="https://curia.europa.eu/jcms/upload/docs/application/pdf/2018-06/cp180080en.pdf" TargetMode="External"/><Relationship Id="rId96" Type="http://schemas.openxmlformats.org/officeDocument/2006/relationships/hyperlink" Target="https://www.news.ro/politic-intern/proiect-lege-anti-lgbt-scoli-initiatori-normele-prohibitive-isi-propun-discrimineze-ci-ocroteasca-integritatea-intelectiva-precadere-minorilor-toleranta-ajunga-cote-ameninte-sanatatea-axiologica-1922403526002024111721849112" TargetMode="External"/><Relationship Id="rId111" Type="http://schemas.openxmlformats.org/officeDocument/2006/relationships/hyperlink" Target="https://www.euractiv.com/section/politics/news/slovak-national-party-pushes-anti-lgbti-school-bill-echoing-hungarian-controvers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fakto.bg/2023/02/20/%d1%82%d1%8a%d0%bb%d0%ba%d1%83%d0%b2%d0%b0%d1%82%d0%b5%d0%bb%d0%bd%d0%be-%d1%80%d0%b5%d1%88%d0%b5%d0%bd%d0%b8%d0%b5-%d0%bd%d0%b0-%d0%b2%d0%ba%d1%81-%d0%bd%d0%b5-%d1%80%d0%b0%d0%b7%d1%80%d0%b5%d1%88/" TargetMode="External"/><Relationship Id="rId23" Type="http://schemas.openxmlformats.org/officeDocument/2006/relationships/hyperlink" Target="https://drive.google.com/file/d/1MMlFexpIs7U9G5lEE1dX48Ja_T_bJMN2/view?usp=sharing" TargetMode="External"/><Relationship Id="rId28" Type="http://schemas.openxmlformats.org/officeDocument/2006/relationships/hyperlink" Target="https://politicalcapital.hu/pc-admin/source/documents/DisinfoHunfluence_Study_20231219.pdf" TargetMode="External"/><Relationship Id="rId36" Type="http://schemas.openxmlformats.org/officeDocument/2006/relationships/hyperlink" Target="https://www.venice.coe.int/webforms/documents/?pdf=CDL-AD(2021)034-e" TargetMode="External"/><Relationship Id="rId49" Type="http://schemas.openxmlformats.org/officeDocument/2006/relationships/hyperlink" Target="https://helsinki.hu/wp-content/uploads/2024/06/Consequences-of-the-Sovereignty-Protection-Act.pdf" TargetMode="External"/><Relationship Id="rId57" Type="http://schemas.openxmlformats.org/officeDocument/2006/relationships/hyperlink" Target="https://lespresso.it/c/politica/2023/3/14/beppe-sala-si-arrende-sulle-famiglie-arcobaleno-ora-mi-faccio-carico-di-portare-avanti-questa-battaglia/4059" TargetMode="External"/><Relationship Id="rId106" Type="http://schemas.openxmlformats.org/officeDocument/2006/relationships/hyperlink" Target="https://www.rtvs.sk/novinky/tipy-z-programu/361211/cierny-den-v-rtvs-zamestnanci-ale-aj-mnozstvo-inych-ludi-sa-zaodelo-do-ciernej" TargetMode="External"/><Relationship Id="rId114" Type="http://schemas.openxmlformats.org/officeDocument/2006/relationships/hyperlink" Target="https://balkaninsight.com/2023/05/05/democracy-digest-orban-says-west-under-attack-from-progressive-biological-virus/" TargetMode="External"/><Relationship Id="rId119" Type="http://schemas.openxmlformats.org/officeDocument/2006/relationships/hyperlink" Target="https://www.justice.gov.sk/sluzby/dotacie/dotacie-na-podporu-ludskych-prav/" TargetMode="External"/><Relationship Id="rId127" Type="http://schemas.openxmlformats.org/officeDocument/2006/relationships/fontTable" Target="fontTable.xml"/><Relationship Id="rId10" Type="http://schemas.openxmlformats.org/officeDocument/2006/relationships/hyperlink" Target="https://www.premier.be/sites/default/files/articles/Pour%20une%20Belgique%20LGBTQI+%20frienldy.pdf" TargetMode="External"/><Relationship Id="rId31" Type="http://schemas.openxmlformats.org/officeDocument/2006/relationships/hyperlink" Target="https://hatter.hu/kiadvanyaink/the-anti-lgbtqi-law-of-hungary-in-action-a-combination-of-state-and-self-enforcement" TargetMode="External"/><Relationship Id="rId44" Type="http://schemas.openxmlformats.org/officeDocument/2006/relationships/hyperlink" Target="https://eur-lex.europa.eu/legal-content/EN/TXT/?uri=celex:62016CJ0673" TargetMode="External"/><Relationship Id="rId52" Type="http://schemas.openxmlformats.org/officeDocument/2006/relationships/hyperlink" Target="https://hvg.hu/itthon/20240918_hazugsag_hogy_felsobb_utasitasra_jottem_el_Filo_Mariann_Budapest_Pride_Hatvannegy_Varmegye" TargetMode="External"/><Relationship Id="rId60" Type="http://schemas.openxmlformats.org/officeDocument/2006/relationships/hyperlink" Target="https://www.giurisprudenzapenale.com/wp-content/uploads/2024/09/ddl-1236__439410.pdf" TargetMode="External"/><Relationship Id="rId65" Type="http://schemas.openxmlformats.org/officeDocument/2006/relationships/hyperlink" Target="https://www.pap.pl/aktualnosci/rozdzielenie-funkcji-prokuratora-generalnego-i-ministra-sprawiedliwosci-projekt" TargetMode="External"/><Relationship Id="rId73" Type="http://schemas.openxmlformats.org/officeDocument/2006/relationships/hyperlink" Target="https://eur-lex.europa.eu/legal-content/PL/TXT/?uri=CELEX%3A62021CO0002" TargetMode="External"/><Relationship Id="rId78" Type="http://schemas.openxmlformats.org/officeDocument/2006/relationships/hyperlink" Target="https://ordoiuris.pl/edukacja/genderowe-spory-o-zaimki-w-polskiej-szkole-poradnik-dla-nauczycieli" TargetMode="External"/><Relationship Id="rId81" Type="http://schemas.openxmlformats.org/officeDocument/2006/relationships/hyperlink" Target="https://www.gov.pl/web/prokuratura-krajowa/powolaniu-zespolu-do-spraw-przeciwdzialania-mowie-nienawisci-i-przestepstwom-motywowanym-uprzedzeniami" TargetMode="External"/><Relationship Id="rId86" Type="http://schemas.openxmlformats.org/officeDocument/2006/relationships/hyperlink" Target="https://www.digi24.ro/stiri/externe/ue/diana-sosoaca-primul-live-din-parlamentul-european-niciodata-cu-ucraina-niciodata-pentru-lgbt-2862689" TargetMode="External"/><Relationship Id="rId94" Type="http://schemas.openxmlformats.org/officeDocument/2006/relationships/hyperlink" Target="https://www.ilga-europe.org/press-release/romanian-transgender-mans-landmark-case-requesting-that-romania-acknowledges-his-uk-gender-recognition-referred-to-the-court-of-justice-of-the-european-union/" TargetMode="External"/><Relationship Id="rId99" Type="http://schemas.openxmlformats.org/officeDocument/2006/relationships/hyperlink" Target="https://romania.europalibera.org/a/mars-pride-oradea-interzis/33072600.html" TargetMode="External"/><Relationship Id="rId101" Type="http://schemas.openxmlformats.org/officeDocument/2006/relationships/hyperlink" Target="https://panorama.ro/lgbt-atacuri-familia-traditionala-alegeri/" TargetMode="External"/><Relationship Id="rId122" Type="http://schemas.openxmlformats.org/officeDocument/2006/relationships/hyperlink" Target="https://www.elconfidencial.com/espana/2024-07-23/gobierno-cesara-directora-instituto-mujeres-isabel-garcia_3930083/" TargetMode="External"/><Relationship Id="rId4" Type="http://schemas.openxmlformats.org/officeDocument/2006/relationships/settings" Target="settings.xml"/><Relationship Id="rId9" Type="http://schemas.openxmlformats.org/officeDocument/2006/relationships/hyperlink" Target="https://www.ilga-europe.org/press-release/romanian-transgender-mans-landmark-case-requesting-that-romania-acknowledges-his-uk-gender-recognition-referred-to-the-court-of-justice-of-the-european-union/" TargetMode="External"/><Relationship Id="rId13" Type="http://schemas.openxmlformats.org/officeDocument/2006/relationships/hyperlink" Target="https://hudoc.echr.coe.int/eng?i=001-219507" TargetMode="External"/><Relationship Id="rId18" Type="http://schemas.openxmlformats.org/officeDocument/2006/relationships/hyperlink" Target="https://www.ilga-europe.org/press-release/romanian-transgender-mans-landmark-case-requesting-that-romania-acknowledges-his-uk-gender-recognition-referred-to-the-court-of-justice-of-the-european-union/" TargetMode="External"/><Relationship Id="rId39" Type="http://schemas.openxmlformats.org/officeDocument/2006/relationships/hyperlink" Target="https://hudoc.echr.coe.int/?i=001-203563" TargetMode="External"/><Relationship Id="rId109" Type="http://schemas.openxmlformats.org/officeDocument/2006/relationships/hyperlink" Target="https://viaiuris.sk/aktuality/zakony-sa-schvaluju-bez-diskusie-este-horsie-ako-pocas-pandemie/" TargetMode="External"/><Relationship Id="rId34" Type="http://schemas.openxmlformats.org/officeDocument/2006/relationships/hyperlink" Target="https://hatter.hu/kiadvanyaink/a-hatter-tarsasag-velemenye-a-2102009-ix-29-korm-rendelet-modositasarol" TargetMode="External"/><Relationship Id="rId50" Type="http://schemas.openxmlformats.org/officeDocument/2006/relationships/hyperlink" Target="https://szuverenitasvedelmihivatal.hu/dokumentumok/az-okotars-tevekenysegenek-hatasa-a-magyar-szuverenitasra.pdf" TargetMode="External"/><Relationship Id="rId55" Type="http://schemas.openxmlformats.org/officeDocument/2006/relationships/hyperlink" Target="https://www.hvim.hu/post/hvim-miert-erzekenyitheti-a-magyar-ugyvedi-kamara-a-hatter-tarsasaggal-az-ugyvedeket" TargetMode="External"/><Relationship Id="rId76" Type="http://schemas.openxmlformats.org/officeDocument/2006/relationships/hyperlink" Target="https://publicystyka.ngo.pl/projekt-ustawy-stop-lgbt-narusza-prawa-czlowieka-i-obywatela-kph-stanowczo-komentuje-sprawe" TargetMode="External"/><Relationship Id="rId97" Type="http://schemas.openxmlformats.org/officeDocument/2006/relationships/hyperlink" Target="https://www.cdep.ro/pls/proiecte/upl_pck2015.proiect?idp=22129" TargetMode="External"/><Relationship Id="rId104" Type="http://schemas.openxmlformats.org/officeDocument/2006/relationships/hyperlink" Target="https://www.aktuality.sk/clanok/bnmt6s3/rtvs-si-uz-od-jula-nezapnete-martina-simkovicova-si-presadila-novu-stvr/" TargetMode="External"/><Relationship Id="rId120" Type="http://schemas.openxmlformats.org/officeDocument/2006/relationships/hyperlink" Target="https://domov.sme.sk/c/23284725/ministerstvo-spravodlivosti-zrusilo-vyzvu-v-programe-ludske-prava-2024-mimovladka-hovori-o-skandale.html"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hudoc.echr.coe.int/" TargetMode="External"/><Relationship Id="rId92" Type="http://schemas.openxmlformats.org/officeDocument/2006/relationships/hyperlink" Target="https://hudoc.echr.coe.int/fre" TargetMode="External"/><Relationship Id="rId2" Type="http://schemas.openxmlformats.org/officeDocument/2006/relationships/numbering" Target="numbering.xml"/><Relationship Id="rId29" Type="http://schemas.openxmlformats.org/officeDocument/2006/relationships/hyperlink" Target="https://politicalcapital.hu/pc-admin/source/documents/DisinfoHunfluence_Study_20231219.pdf" TargetMode="External"/><Relationship Id="rId24" Type="http://schemas.openxmlformats.org/officeDocument/2006/relationships/hyperlink" Target="https://hatter.hu/kiadvanyaink/the-anti-lgbtqi-law-of-hungary-in-action-a-combination-of-state-and-self-enforcement" TargetMode="External"/><Relationship Id="rId40" Type="http://schemas.openxmlformats.org/officeDocument/2006/relationships/hyperlink" Target="https://hunconcourt.hu/datasheet/?id=C69D7F599B3CE25DC12580E3005E784B" TargetMode="External"/><Relationship Id="rId45" Type="http://schemas.openxmlformats.org/officeDocument/2006/relationships/hyperlink" Target="https://hatter.hu/sites/default/files/dokumentumok/jogallamisagi_jelentes_az_europai_bizottsagnak_2024.pdf" TargetMode="External"/><Relationship Id="rId66" Type="http://schemas.openxmlformats.org/officeDocument/2006/relationships/hyperlink" Target="https://kph.org.pl/po-7-latach-umorzenie-postepowania-tak-polska-nie-chroni-przed-mowa-nienawisci/" TargetMode="External"/><Relationship Id="rId87" Type="http://schemas.openxmlformats.org/officeDocument/2006/relationships/hyperlink" Target="https://www.digi24.ro/stiri/externe/ue/diana-sosoaca-primul-live-din-parlamentul-european-niciodata-cu-ucraina-niciodata-pentru-lgbt-2862689?__grsc=cookieIsUndef0&amp;__grts=57912085&amp;__grua=f51bb482c660d0eeadd1f058058a2b35&amp;__grrn=1" TargetMode="External"/><Relationship Id="rId110" Type="http://schemas.openxmlformats.org/officeDocument/2006/relationships/hyperlink" Target="https://legislationline.org/sites/default/files/2024-06/2024-06-25%20FINAL%20ODIHR%20Urgent%20Interim%20Opinion%20on%20Freedom%20of%20Peaceful%20Assembly_Slovak%20Republic_ENGLISH.pdf" TargetMode="External"/><Relationship Id="rId115" Type="http://schemas.openxmlformats.org/officeDocument/2006/relationships/hyperlink" Target="https://www.idnes.cz/nastaveni-souhlasu?url=https%3a%2f%2fwww.idnes.cz%2fzpravy%2fzahranicni%2fslovensko-matovic-transgender-pochod-protest.A230503_152654_zahranicni_jhr" TargetMode="External"/><Relationship Id="rId61" Type="http://schemas.openxmlformats.org/officeDocument/2006/relationships/hyperlink" Target="https://www.ilfattoquotidiano.it/2024/02/17/campagna-dodio-transfobico-dopo-lispezione-al-careggi-ma-noi-siamo-dalla-parte-giusta/7438754/" TargetMode="External"/><Relationship Id="rId82" Type="http://schemas.openxmlformats.org/officeDocument/2006/relationships/hyperlink" Target="https://opolska360.pl/szarpanina-po-vi-marszu-rownosci-teczowe-opole-dwa-ataki-na-tle-homofobiczny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bouthungary.hu/blog/caught-in-the-act-this-is-how-liberals-attempt-to-coopt-eu-institutions-for-their-own-political-agenda" TargetMode="External"/><Relationship Id="rId3" Type="http://schemas.openxmlformats.org/officeDocument/2006/relationships/hyperlink" Target="https://www.parliament.cy/tr/house-of-representatives" TargetMode="External"/><Relationship Id="rId7" Type="http://schemas.openxmlformats.org/officeDocument/2006/relationships/hyperlink" Target="https://mertek.eu/wp-content/uploads/2021/12/MertekFuzetek25.pdf" TargetMode="External"/><Relationship Id="rId12" Type="http://schemas.openxmlformats.org/officeDocument/2006/relationships/hyperlink" Target="https://ruleoflaw.pl/open-letter-to-the-european-commission-regarding-polish-national-council-of-the-judiciary/" TargetMode="External"/><Relationship Id="rId2" Type="http://schemas.openxmlformats.org/officeDocument/2006/relationships/hyperlink" Target="https://www.gov.cy/mjpo/en/" TargetMode="External"/><Relationship Id="rId1" Type="http://schemas.openxmlformats.org/officeDocument/2006/relationships/hyperlink" Target="https://www.mof.gov.cy/mof/gpo/gazette.nsf/officialgazette-en/officialgazette-en?OpenDocument" TargetMode="External"/><Relationship Id="rId6" Type="http://schemas.openxmlformats.org/officeDocument/2006/relationships/hyperlink" Target="https://medium.com/mediapowermonitor/hungarian-governments-monopoly-in-the-media-the-last-act-71057a5a456b" TargetMode="External"/><Relationship Id="rId11" Type="http://schemas.openxmlformats.org/officeDocument/2006/relationships/hyperlink" Target="https://pestisracok.hu/budapest-pride-2024-felvonulas-meleg-lmbtq-fair-right-video/" TargetMode="External"/><Relationship Id="rId5" Type="http://schemas.openxmlformats.org/officeDocument/2006/relationships/hyperlink" Target="https://cylaw.org/" TargetMode="External"/><Relationship Id="rId10" Type="http://schemas.openxmlformats.org/officeDocument/2006/relationships/hyperlink" Target="https://magyarnemzet.hu/belfold/2024/02/palfordulas-soros-szervezeteinel-hirtelen-mindenkinek-fontos-lett-a-gyermekvedelem" TargetMode="External"/><Relationship Id="rId4" Type="http://schemas.openxmlformats.org/officeDocument/2006/relationships/hyperlink" Target="https://www.leginet.eu/index.php?lang=en" TargetMode="External"/><Relationship Id="rId9" Type="http://schemas.openxmlformats.org/officeDocument/2006/relationships/hyperlink" Target="https://pestisracok.hu/hol-a-gyermekvedelmi-torveny-ellen-hol-a-gyermekek-vedelmeert-tuntetnek-a-hazai-libsi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75FF4-5642-4967-BC14-AE9C6689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40</Pages>
  <Words>20815</Words>
  <Characters>118652</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ILGA-EUROPE</Company>
  <LinksUpToDate>false</LinksUpToDate>
  <CharactersWithSpaces>139189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Dear</dc:creator>
  <cp:keywords/>
  <dc:description/>
  <cp:lastModifiedBy>Belinda Dear</cp:lastModifiedBy>
  <cp:revision>10</cp:revision>
  <cp:lastPrinted>2025-01-27T08:54:00Z</cp:lastPrinted>
  <dcterms:created xsi:type="dcterms:W3CDTF">2025-01-24T08:58:00Z</dcterms:created>
  <dcterms:modified xsi:type="dcterms:W3CDTF">2025-02-04T16:35:00Z</dcterms:modified>
</cp:coreProperties>
</file>