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people.xml" ContentType="application/vnd.openxmlformats-officedocument.wordprocessingml.peop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817"/>
        <w:tblW w:w="92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67"/>
        <w:gridCol w:w="4104"/>
        <w:gridCol w:w="993"/>
        <w:gridCol w:w="850"/>
      </w:tblGrid>
      <w:tr w14:paraId="1E40DBDA" w14:textId="77777777">
        <w:trPr>
          <w:trHeight w:val="340"/>
        </w:trPr>
        <w:tc>
          <w:tcPr>
            <w:tcW w:w="8364" w:type="dxa"/>
            <w:gridSpan w:val="3"/>
          </w:tcPr>
          <w:p w14:paraId="010EB224" w14:textId="77777777">
            <w:pPr>
              <w:jc w:val="right"/>
              <w:rPr>
                <w:rFonts w:ascii="Arial" w:hAnsi="Arial" w:cs="Arial"/>
                <w:color w:val="FFFFFF" w:themeColor="background1"/>
                <w:sz w:val="20"/>
                <w:lang w:val="en-GB"/>
              </w:rPr>
            </w:pPr>
            <w:bookmarkStart w:name="_Hlk181084140" w:id="0"/>
            <w:bookmarkStart w:name="_GoBack" w:id="1"/>
            <w:bookmarkEnd w:id="1"/>
          </w:p>
        </w:tc>
        <w:tc>
          <w:tcPr>
            <w:tcW w:w="850" w:type="dxa"/>
            <w:shd w:val="clear" w:color="auto" w:fill="007BC1"/>
            <w:vAlign w:val="center"/>
            <w:hideMark/>
          </w:tcPr>
          <w:p w14:paraId="2BD4D01E" w14:textId="7F6B92C2">
            <w:pPr>
              <w:jc w:val="center"/>
              <w:rPr>
                <w:rFonts w:ascii="Arial" w:hAnsi="Arial" w:cs="Arial"/>
                <w:color w:val="FFFFFF" w:themeColor="background1"/>
                <w:sz w:val="20"/>
                <w:lang w:val="en-GB"/>
              </w:rPr>
            </w:pPr>
            <w:r>
              <w:rPr>
                <w:rFonts w:ascii="Arial" w:hAnsi="Arial" w:cs="Arial"/>
                <w:color w:val="FFFFFF" w:themeColor="background1"/>
                <w:sz w:val="20"/>
                <w:lang w:val="en-GB"/>
              </w:rPr>
              <w:t>ENVE</w:t>
            </w:r>
          </w:p>
        </w:tc>
      </w:tr>
      <w:tr w14:paraId="65492F97" w14:textId="77777777">
        <w:trPr>
          <w:trHeight w:val="340"/>
        </w:trPr>
        <w:tc>
          <w:tcPr>
            <w:tcW w:w="3267" w:type="dxa"/>
            <w:vMerge w:val="restart"/>
          </w:tcPr>
          <w:p w14:paraId="393F0E14" w14:textId="77777777">
            <w:pPr>
              <w:jc w:val="left"/>
              <w:rPr>
                <w:rFonts w:ascii="Arial" w:hAnsi="Arial" w:cs="Arial"/>
                <w:b/>
                <w:bCs/>
                <w:sz w:val="20"/>
                <w:lang w:val="en-GB"/>
              </w:rPr>
            </w:pPr>
          </w:p>
        </w:tc>
        <w:tc>
          <w:tcPr>
            <w:tcW w:w="4104" w:type="dxa"/>
          </w:tcPr>
          <w:p w14:paraId="430BE939" w14:textId="77777777">
            <w:pPr>
              <w:rPr>
                <w:rFonts w:ascii="Arial" w:hAnsi="Arial" w:cs="Arial"/>
                <w:b/>
                <w:bCs/>
                <w:color w:val="FFFFFF" w:themeColor="background1"/>
                <w:sz w:val="20"/>
                <w:lang w:val="en-GB"/>
              </w:rPr>
            </w:pPr>
          </w:p>
        </w:tc>
        <w:tc>
          <w:tcPr>
            <w:tcW w:w="1843" w:type="dxa"/>
            <w:gridSpan w:val="2"/>
            <w:shd w:val="clear" w:color="auto" w:fill="008FDE"/>
            <w:vAlign w:val="center"/>
            <w:hideMark/>
          </w:tcPr>
          <w:p w14:paraId="3AFF0AAC" w14:textId="3B0DB351">
            <w:pPr>
              <w:jc w:val="right"/>
              <w:rPr>
                <w:rFonts w:ascii="Arial" w:hAnsi="Arial" w:cs="Arial"/>
                <w:sz w:val="20"/>
                <w:lang w:val="en-GB"/>
              </w:rPr>
            </w:pPr>
            <w:r>
              <w:rPr>
                <w:rFonts w:ascii="Arial" w:hAnsi="Arial" w:cs="Arial"/>
                <w:color w:val="FFFFFF" w:themeColor="background1"/>
                <w:sz w:val="20"/>
                <w:lang w:val="en-GB"/>
              </w:rPr>
              <w:t xml:space="preserve">8th </w:t>
            </w:r>
            <w:r>
              <w:rPr>
                <w:rFonts w:ascii="Arial" w:hAnsi="Arial" w:cs="Arial"/>
                <w:color w:val="FFFFFF" w:themeColor="background1"/>
                <w:sz w:val="20"/>
                <w:lang w:val="en-GB"/>
              </w:rPr>
              <w:t>term of office</w:t>
            </w:r>
          </w:p>
        </w:tc>
      </w:tr>
      <w:tr w14:paraId="624F0C87" w14:textId="77777777">
        <w:trPr>
          <w:trHeight w:val="1899"/>
        </w:trPr>
        <w:tc>
          <w:tcPr>
            <w:tcW w:w="0" w:type="auto"/>
            <w:vMerge/>
            <w:vAlign w:val="center"/>
            <w:hideMark/>
          </w:tcPr>
          <w:p w14:paraId="43B39C28" w14:textId="77777777">
            <w:pPr>
              <w:jc w:val="left"/>
              <w:rPr>
                <w:rFonts w:ascii="Arial" w:hAnsi="Arial" w:cs="Arial"/>
                <w:b/>
                <w:bCs/>
                <w:sz w:val="20"/>
                <w:lang w:val="en-GB"/>
              </w:rPr>
            </w:pPr>
          </w:p>
        </w:tc>
        <w:tc>
          <w:tcPr>
            <w:tcW w:w="5947" w:type="dxa"/>
            <w:gridSpan w:val="3"/>
          </w:tcPr>
          <w:p w14:paraId="25774C26" w14:textId="77777777">
            <w:pPr>
              <w:jc w:val="right"/>
              <w:rPr>
                <w:rFonts w:ascii="Arial" w:hAnsi="Arial" w:cs="Arial"/>
                <w:b/>
                <w:bCs/>
                <w:noProof/>
                <w:sz w:val="28"/>
                <w:szCs w:val="28"/>
                <w:lang w:val="en-GB" w:eastAsia="fr-BE"/>
              </w:rPr>
            </w:pPr>
          </w:p>
          <w:p w14:paraId="65E2CD51" w14:textId="2EF14C3B">
            <w:pPr>
              <w:jc w:val="right"/>
              <w:rPr>
                <w:rFonts w:ascii="Arial" w:hAnsi="Arial" w:cs="Arial"/>
                <w:b/>
                <w:bCs/>
                <w:noProof/>
                <w:sz w:val="32"/>
                <w:szCs w:val="32"/>
                <w:lang w:val="en-GB" w:eastAsia="fr-BE"/>
              </w:rPr>
            </w:pPr>
            <w:r>
              <w:rPr>
                <w:rFonts w:ascii="Arial" w:hAnsi="Arial" w:cs="Arial"/>
                <w:b/>
                <w:bCs/>
                <w:noProof/>
                <w:sz w:val="28"/>
                <w:szCs w:val="28"/>
                <w:lang w:val="en-GB" w:eastAsia="fr-BE"/>
              </w:rPr>
              <w:t>3rd</w:t>
            </w:r>
            <w:r>
              <w:rPr>
                <w:rFonts w:ascii="Arial" w:hAnsi="Arial" w:cs="Arial"/>
                <w:b/>
                <w:bCs/>
                <w:noProof/>
                <w:sz w:val="28"/>
                <w:szCs w:val="28"/>
                <w:lang w:val="en-GB" w:eastAsia="fr-BE"/>
              </w:rPr>
              <w:t xml:space="preserve"> meeting of the</w:t>
            </w:r>
            <w:r>
              <w:rPr>
                <w:rFonts w:ascii="Arial" w:hAnsi="Arial" w:cs="Arial"/>
                <w:b/>
                <w:bCs/>
                <w:noProof/>
                <w:sz w:val="28"/>
                <w:szCs w:val="28"/>
                <w:lang w:val="en-GB" w:eastAsia="fr-BE"/>
              </w:rPr>
              <w:br/>
              <w:t xml:space="preserve">Commission for </w:t>
            </w:r>
            <w:r>
              <w:rPr>
                <w:rFonts w:ascii="Arial" w:hAnsi="Arial" w:cs="Arial"/>
                <w:b/>
                <w:bCs/>
                <w:noProof/>
                <w:sz w:val="28"/>
                <w:szCs w:val="28"/>
                <w:lang w:val="en-GB" w:eastAsia="fr-BE"/>
              </w:rPr>
              <w:t>the Environment, Climate Change and Energy</w:t>
            </w:r>
          </w:p>
          <w:p w14:paraId="1C2DB4D0" w14:textId="77777777">
            <w:pPr>
              <w:ind w:right="-111"/>
              <w:jc w:val="right"/>
              <w:rPr>
                <w:rFonts w:ascii="Arial" w:hAnsi="Arial" w:cs="Arial"/>
                <w:noProof/>
                <w:sz w:val="20"/>
                <w:lang w:val="en-GB" w:eastAsia="fr-BE"/>
              </w:rPr>
            </w:pPr>
          </w:p>
          <w:p w14:paraId="5C7A7E60" w14:textId="31351BC3">
            <w:pPr>
              <w:ind w:right="-111"/>
              <w:jc w:val="right"/>
              <w:rPr>
                <w:rFonts w:ascii="Arial" w:hAnsi="Arial" w:cs="Arial"/>
                <w:b/>
                <w:bCs/>
                <w:color w:val="FFFFFF" w:themeColor="background1"/>
                <w:sz w:val="18"/>
                <w:szCs w:val="18"/>
                <w:lang w:val="en-GB"/>
              </w:rPr>
            </w:pPr>
            <w:r>
              <w:rPr>
                <w:rFonts w:ascii="Arial" w:hAnsi="Arial" w:cs="Arial"/>
                <w:noProof/>
                <w:sz w:val="20"/>
                <w:lang w:val="en-GB" w:eastAsia="fr-BE"/>
              </w:rPr>
              <w:t xml:space="preserve">Brussels, </w:t>
            </w:r>
            <w:r>
              <w:rPr>
                <w:rFonts w:ascii="Arial" w:hAnsi="Arial" w:cs="Arial"/>
                <w:noProof/>
                <w:sz w:val="20"/>
                <w:lang w:val="en-GB" w:eastAsia="fr-BE"/>
              </w:rPr>
              <w:t>5</w:t>
            </w:r>
            <w:r>
              <w:rPr>
                <w:rFonts w:ascii="Arial" w:hAnsi="Arial" w:cs="Arial"/>
                <w:noProof/>
                <w:sz w:val="20"/>
                <w:lang w:val="en-GB" w:eastAsia="fr-BE"/>
              </w:rPr>
              <w:t xml:space="preserve"> </w:t>
            </w:r>
            <w:r>
              <w:rPr>
                <w:rFonts w:ascii="Arial" w:hAnsi="Arial" w:cs="Arial"/>
                <w:noProof/>
                <w:sz w:val="20"/>
                <w:lang w:val="en-GB" w:eastAsia="fr-BE"/>
              </w:rPr>
              <w:t>May</w:t>
            </w:r>
            <w:r>
              <w:rPr>
                <w:rFonts w:ascii="Arial" w:hAnsi="Arial" w:cs="Arial"/>
                <w:noProof/>
                <w:sz w:val="20"/>
                <w:lang w:val="en-GB" w:eastAsia="fr-BE"/>
              </w:rPr>
              <w:t xml:space="preserve"> </w:t>
            </w:r>
            <w:r>
              <w:rPr>
                <w:rFonts w:ascii="Arial" w:hAnsi="Arial" w:cs="Arial"/>
                <w:noProof/>
                <w:sz w:val="20"/>
                <w:lang w:val="en-GB" w:eastAsia="fr-BE"/>
              </w:rPr>
              <w:t>2025</w:t>
            </w:r>
            <w:r>
              <w:rPr>
                <w:rFonts w:ascii="Arial" w:hAnsi="Arial" w:cs="Arial"/>
                <w:noProof/>
                <w:sz w:val="20"/>
                <w:lang w:val="en-GB" w:eastAsia="fr-BE"/>
              </w:rPr>
              <w:t xml:space="preserve">, </w:t>
            </w:r>
            <w:r>
              <w:rPr>
                <w:rFonts w:ascii="Arial" w:hAnsi="Arial" w:cs="Arial"/>
                <w:noProof/>
                <w:sz w:val="20"/>
                <w:lang w:val="en-GB" w:eastAsia="fr-BE"/>
              </w:rPr>
              <w:t>11</w:t>
            </w:r>
            <w:r>
              <w:rPr>
                <w:rFonts w:ascii="Arial" w:hAnsi="Arial" w:cs="Arial"/>
                <w:noProof/>
                <w:sz w:val="20"/>
                <w:lang w:val="en-GB" w:eastAsia="fr-BE"/>
              </w:rPr>
              <w:t>:</w:t>
            </w:r>
            <w:r>
              <w:rPr>
                <w:rFonts w:ascii="Arial" w:hAnsi="Arial" w:cs="Arial"/>
                <w:noProof/>
                <w:sz w:val="20"/>
                <w:lang w:val="en-GB" w:eastAsia="fr-BE"/>
              </w:rPr>
              <w:t>00</w:t>
            </w:r>
            <w:r>
              <w:rPr>
                <w:rFonts w:ascii="Arial" w:hAnsi="Arial" w:cs="Arial"/>
                <w:noProof/>
                <w:sz w:val="20"/>
                <w:lang w:val="en-GB" w:eastAsia="fr-BE"/>
              </w:rPr>
              <w:t>–</w:t>
            </w:r>
            <w:r>
              <w:rPr>
                <w:rFonts w:ascii="Arial" w:hAnsi="Arial" w:cs="Arial"/>
                <w:noProof/>
                <w:sz w:val="20"/>
                <w:lang w:val="en-GB" w:eastAsia="fr-BE"/>
              </w:rPr>
              <w:t>17</w:t>
            </w:r>
            <w:r>
              <w:rPr>
                <w:rFonts w:ascii="Arial" w:hAnsi="Arial" w:cs="Arial"/>
                <w:noProof/>
                <w:sz w:val="20"/>
                <w:lang w:val="en-GB" w:eastAsia="fr-BE"/>
              </w:rPr>
              <w:t>:</w:t>
            </w:r>
            <w:r>
              <w:rPr>
                <w:rFonts w:ascii="Arial" w:hAnsi="Arial" w:cs="Arial"/>
                <w:noProof/>
                <w:sz w:val="20"/>
                <w:lang w:val="en-GB" w:eastAsia="fr-BE"/>
              </w:rPr>
              <w:t>00</w:t>
            </w:r>
          </w:p>
        </w:tc>
      </w:tr>
    </w:tbl>
    <w:p w14:paraId="610FAB31" w14:textId="61C15073">
      <w:pPr>
        <w:ind w:right="142"/>
        <w:jc w:val="left"/>
        <w:rPr>
          <w:rFonts w:ascii="Arial" w:hAnsi="Arial" w:cs="Arial"/>
          <w:b/>
          <w:bCs/>
          <w:sz w:val="24"/>
          <w:szCs w:val="24"/>
          <w:lang w:val="en-GB"/>
        </w:rPr>
      </w:pPr>
      <w:r>
        <w:rPr>
          <w:rFonts w:ascii="Arial" w:hAnsi="Arial" w:cs="Arial"/>
          <w:b/>
          <w:bCs/>
          <w:noProof/>
          <w:sz w:val="20"/>
          <w:szCs w:val="20"/>
        </w:rPr>
        <w:drawing>
          <wp:anchor distT="0" distB="0" distL="114300" distR="114300" simplePos="0" relativeHeight="251656192" behindDoc="1" locked="0" layoutInCell="1" allowOverlap="1" wp14:editId="79BD05B8" wp14:anchorId="15AF87FB">
            <wp:simplePos x="0" y="0"/>
            <wp:positionH relativeFrom="page">
              <wp:posOffset>0</wp:posOffset>
            </wp:positionH>
            <wp:positionV relativeFrom="page">
              <wp:posOffset>0</wp:posOffset>
            </wp:positionV>
            <wp:extent cx="4586400" cy="2872800"/>
            <wp:effectExtent l="0" t="0" r="5080" b="0"/>
            <wp:wrapNone/>
            <wp:docPr id="1" name="Picture 1" descr="CoRLogo2025_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RLogo2025_EN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86400" cy="2872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sz w:val="20"/>
          <w:szCs w:val="24"/>
        </w:rPr>
        <mc:AlternateContent>
          <mc:Choice Requires="wps">
            <w:drawing>
              <wp:anchor distT="0" distB="0" distL="114300" distR="114300" simplePos="0" relativeHeight="251671552" behindDoc="1" locked="0" layoutInCell="0" allowOverlap="1" wp14:editId="436ECB77" wp14:anchorId="100C503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16777"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00C503C">
                <v:stroke joinstyle="miter"/>
                <v:path gradientshapeok="t" o:connecttype="rect"/>
              </v:shapetype>
              <v:shape id="Text Box 17" style="position:absolute;margin-left:533pt;margin-top:793.8pt;width:51pt;height:31.2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14:paraId="1DB16777"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14:paraId="4750DE47" w14:textId="77777777">
      <w:pPr>
        <w:jc w:val="left"/>
        <w:rPr>
          <w:rFonts w:ascii="Arial" w:hAnsi="Arial" w:cs="Arial"/>
          <w:b/>
          <w:bCs/>
          <w:sz w:val="24"/>
          <w:szCs w:val="24"/>
          <w:lang w:val="en-GB"/>
        </w:rPr>
      </w:pPr>
    </w:p>
    <w:p w14:paraId="468224C5" w14:textId="4924B642">
      <w:pPr>
        <w:jc w:val="left"/>
        <w:rPr>
          <w:rFonts w:ascii="Arial" w:hAnsi="Arial" w:cs="Arial"/>
          <w:b/>
          <w:bCs/>
          <w:sz w:val="24"/>
          <w:szCs w:val="24"/>
          <w:lang w:val="en-GB"/>
        </w:rPr>
      </w:pPr>
    </w:p>
    <w:p w14:paraId="2070E842" w14:textId="77777777">
      <w:pPr>
        <w:jc w:val="left"/>
        <w:rPr>
          <w:rFonts w:ascii="Arial" w:hAnsi="Arial" w:cs="Arial"/>
          <w:b/>
          <w:bCs/>
          <w:sz w:val="24"/>
          <w:szCs w:val="24"/>
          <w:lang w:val="en-GB"/>
        </w:rPr>
      </w:pPr>
    </w:p>
    <w:p w14:paraId="4DA9459A" w14:textId="0DEA1BC8">
      <w:pPr>
        <w:jc w:val="left"/>
        <w:rPr>
          <w:rFonts w:ascii="Arial" w:hAnsi="Arial" w:cs="Arial"/>
          <w:b/>
          <w:bCs/>
          <w:sz w:val="24"/>
          <w:szCs w:val="24"/>
          <w:lang w:val="en-GB"/>
        </w:rPr>
      </w:pPr>
    </w:p>
    <w:p w14:paraId="69387450" w14:textId="35D304CB">
      <w:pPr>
        <w:jc w:val="left"/>
        <w:rPr>
          <w:rFonts w:ascii="Arial" w:hAnsi="Arial" w:cs="Arial"/>
          <w:b/>
          <w:bCs/>
          <w:sz w:val="24"/>
          <w:szCs w:val="24"/>
          <w:lang w:val="en-GB"/>
        </w:rPr>
      </w:pPr>
    </w:p>
    <w:p w14:paraId="7B6BB084" w14:textId="64A6F145">
      <w:pPr>
        <w:jc w:val="left"/>
        <w:rPr>
          <w:rFonts w:ascii="Arial" w:hAnsi="Arial" w:cs="Arial"/>
          <w:b/>
          <w:bCs/>
          <w:sz w:val="24"/>
          <w:szCs w:val="24"/>
          <w:lang w:val="en-GB"/>
        </w:rPr>
      </w:pPr>
    </w:p>
    <w:p w14:paraId="153A3268" w14:textId="74AC6EE9">
      <w:pPr>
        <w:jc w:val="left"/>
        <w:rPr>
          <w:rFonts w:ascii="Arial" w:hAnsi="Arial" w:cs="Arial"/>
          <w:b/>
          <w:bCs/>
          <w:sz w:val="24"/>
          <w:szCs w:val="24"/>
          <w:lang w:val="en-GB"/>
        </w:rPr>
      </w:pPr>
    </w:p>
    <w:p w14:paraId="1627C427" w14:textId="0E9CC80A">
      <w:pPr>
        <w:jc w:val="left"/>
        <w:rPr>
          <w:rFonts w:ascii="Arial" w:hAnsi="Arial" w:cs="Arial"/>
          <w:b/>
          <w:bCs/>
          <w:sz w:val="24"/>
          <w:szCs w:val="24"/>
          <w:lang w:val="en-GB"/>
        </w:rPr>
      </w:pPr>
    </w:p>
    <w:p w14:paraId="2FB2E021" w14:textId="7C4D2A2D">
      <w:pPr>
        <w:jc w:val="left"/>
        <w:rPr>
          <w:rFonts w:ascii="Arial" w:hAnsi="Arial" w:cs="Arial"/>
          <w:b/>
          <w:bCs/>
          <w:sz w:val="24"/>
          <w:szCs w:val="24"/>
          <w:lang w:val="en-GB"/>
        </w:rPr>
      </w:pPr>
    </w:p>
    <w:p w14:paraId="3757F889" w14:textId="44E660BB">
      <w:pPr>
        <w:jc w:val="left"/>
        <w:rPr>
          <w:rFonts w:ascii="Arial" w:hAnsi="Arial" w:cs="Arial"/>
          <w:b/>
          <w:bCs/>
          <w:sz w:val="24"/>
          <w:szCs w:val="24"/>
          <w:lang w:val="en-GB"/>
        </w:rPr>
      </w:pPr>
    </w:p>
    <w:p w14:paraId="5519D247" w14:textId="77777777">
      <w:pPr>
        <w:jc w:val="left"/>
        <w:rPr>
          <w:rFonts w:ascii="Arial" w:hAnsi="Arial" w:cs="Arial"/>
          <w:b/>
          <w:bCs/>
          <w:sz w:val="24"/>
          <w:szCs w:val="24"/>
          <w:lang w:val="en-GB"/>
        </w:rPr>
      </w:pPr>
    </w:p>
    <w:p w14:paraId="392FD757" w14:textId="7B64EC4F">
      <w:pPr>
        <w:jc w:val="left"/>
        <w:rPr>
          <w:rFonts w:ascii="Arial" w:hAnsi="Arial" w:cs="Arial"/>
          <w:b/>
          <w:bCs/>
          <w:sz w:val="24"/>
          <w:szCs w:val="24"/>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7"/>
        <w:gridCol w:w="7632"/>
      </w:tblGrid>
      <w:tr w14:paraId="54273F38" w14:textId="51C7F8AC">
        <w:trPr>
          <w:trHeight w:val="387"/>
        </w:trPr>
        <w:tc>
          <w:tcPr>
            <w:tcW w:w="1417" w:type="dxa"/>
            <w:tcBorders>
              <w:bottom w:val="single" w:color="808080" w:themeColor="background1" w:themeShade="80" w:sz="4" w:space="0"/>
            </w:tcBorders>
            <w:shd w:val="clear" w:color="auto" w:fill="007BC1"/>
            <w:vAlign w:val="center"/>
          </w:tcPr>
          <w:p w14:paraId="7D9AA3AE" w14:textId="07344F94">
            <w:pPr>
              <w:jc w:val="left"/>
              <w:rPr>
                <w:rFonts w:ascii="Arial" w:hAnsi="Arial" w:cs="Arial"/>
                <w:b/>
                <w:bCs/>
                <w:sz w:val="24"/>
                <w:szCs w:val="24"/>
                <w:lang w:val="en-GB"/>
              </w:rPr>
            </w:pPr>
            <w:r>
              <w:rPr>
                <w:rFonts w:ascii="Arial" w:hAnsi="Arial" w:cs="Arial"/>
                <w:color w:val="FFFFFF" w:themeColor="background1"/>
                <w:sz w:val="20"/>
                <w:szCs w:val="20"/>
                <w:lang w:val="en-GB"/>
              </w:rPr>
              <w:t xml:space="preserve">Item </w:t>
            </w:r>
            <w:r>
              <w:rPr>
                <w:rFonts w:ascii="Arial" w:hAnsi="Arial" w:cs="Arial"/>
                <w:color w:val="FFFFFF" w:themeColor="background1"/>
                <w:sz w:val="20"/>
                <w:szCs w:val="20"/>
                <w:lang w:val="en-GB"/>
              </w:rPr>
              <w:t>9</w:t>
            </w:r>
          </w:p>
        </w:tc>
        <w:tc>
          <w:tcPr>
            <w:tcW w:w="7632" w:type="dxa"/>
            <w:tcBorders>
              <w:bottom w:val="single" w:color="808080" w:themeColor="background1" w:themeShade="80" w:sz="4" w:space="0"/>
            </w:tcBorders>
            <w:shd w:val="clear" w:color="auto" w:fill="auto"/>
            <w:vAlign w:val="center"/>
          </w:tcPr>
          <w:p w14:paraId="7F9BC6B5" w14:textId="7EDB906B">
            <w:pPr>
              <w:jc w:val="left"/>
              <w:rPr>
                <w:rFonts w:ascii="Arial" w:hAnsi="Arial" w:cs="Arial"/>
                <w:b/>
                <w:bCs/>
                <w:sz w:val="24"/>
                <w:szCs w:val="24"/>
                <w:lang w:val="en-GB"/>
              </w:rPr>
            </w:pPr>
            <w:r>
              <w:rPr>
                <w:rFonts w:ascii="Arial" w:hAnsi="Arial" w:cs="Arial"/>
                <w:sz w:val="20"/>
                <w:szCs w:val="20"/>
                <w:lang w:val="en-GB"/>
              </w:rPr>
              <w:t xml:space="preserve">For </w:t>
            </w:r>
            <w:r>
              <w:rPr>
                <w:rFonts w:ascii="Arial" w:hAnsi="Arial" w:cs="Arial"/>
                <w:sz w:val="20"/>
                <w:szCs w:val="20"/>
                <w:lang w:val="en-GB"/>
              </w:rPr>
              <w:t>endorsement</w:t>
            </w:r>
            <w:r>
              <w:rPr>
                <w:rFonts w:ascii="Arial" w:hAnsi="Arial" w:cs="Arial"/>
                <w:sz w:val="20"/>
                <w:szCs w:val="20"/>
                <w:lang w:val="en-GB"/>
              </w:rPr>
              <w:t xml:space="preserve"> </w:t>
            </w:r>
          </w:p>
        </w:tc>
      </w:tr>
      <w:tr w14:paraId="3F7C0893" w14:textId="77777777">
        <w:tc>
          <w:tcPr>
            <w:tcW w:w="9049" w:type="dxa"/>
            <w:gridSpan w:val="2"/>
          </w:tcPr>
          <w:p w14:paraId="30FB9B28" w14:textId="327978A6">
            <w:pPr>
              <w:jc w:val="left"/>
              <w:rPr>
                <w:rFonts w:ascii="Arial" w:hAnsi="Arial" w:cs="Arial"/>
                <w:b/>
                <w:bCs/>
                <w:sz w:val="20"/>
                <w:szCs w:val="20"/>
                <w:lang w:val="en-GB"/>
              </w:rPr>
            </w:pPr>
          </w:p>
        </w:tc>
      </w:tr>
      <w:tr w14:paraId="7CBF434B" w14:textId="77777777">
        <w:trPr>
          <w:trHeight w:val="404"/>
        </w:trPr>
        <w:tc>
          <w:tcPr>
            <w:tcW w:w="9049" w:type="dxa"/>
            <w:gridSpan w:val="2"/>
          </w:tcPr>
          <w:p w14:paraId="26C8B472" w14:textId="044905A4">
            <w:pPr>
              <w:jc w:val="left"/>
              <w:rPr>
                <w:rFonts w:ascii="Arial" w:hAnsi="Arial" w:cs="Arial"/>
                <w:b/>
                <w:bCs/>
                <w:sz w:val="24"/>
                <w:szCs w:val="24"/>
                <w:lang w:val="en-GB"/>
              </w:rPr>
            </w:pPr>
            <w:r>
              <w:rPr>
                <w:rFonts w:ascii="Arial" w:hAnsi="Arial" w:cs="Arial"/>
                <w:b/>
                <w:bCs/>
                <w:sz w:val="24"/>
                <w:szCs w:val="24"/>
                <w:lang w:val="en-GB"/>
              </w:rPr>
              <w:t>Green Deal Going Local Working Group in new CoR mandate</w:t>
            </w:r>
          </w:p>
        </w:tc>
      </w:tr>
    </w:tbl>
    <w:p w14:paraId="38E6140F" w14:textId="49B0FB6A">
      <w:pPr>
        <w:jc w:val="left"/>
        <w:rPr>
          <w:rFonts w:ascii="Arial" w:hAnsi="Arial" w:cs="Arial"/>
          <w:b/>
          <w:bCs/>
          <w:sz w:val="20"/>
          <w:szCs w:val="20"/>
          <w:lang w:val="en-GB"/>
        </w:rPr>
      </w:pPr>
    </w:p>
    <w:p w14:paraId="3C5FDE82" w14:textId="44E801A9">
      <w:pPr>
        <w:jc w:val="left"/>
        <w:rPr>
          <w:rFonts w:ascii="Arial" w:hAnsi="Arial" w:cs="Arial"/>
          <w:b/>
          <w:bCs/>
          <w:sz w:val="20"/>
          <w:szCs w:val="20"/>
          <w:lang w:val="en-GB"/>
        </w:rPr>
      </w:pPr>
    </w:p>
    <w:p w14:paraId="13948178" w14:textId="5867612B">
      <w:pPr>
        <w:jc w:val="left"/>
        <w:rPr>
          <w:rFonts w:ascii="Arial" w:hAnsi="Arial" w:cs="Arial"/>
          <w:b/>
          <w:bCs/>
          <w:sz w:val="20"/>
          <w:szCs w:val="20"/>
          <w:lang w:val="en-GB"/>
        </w:rPr>
      </w:pPr>
    </w:p>
    <w:p w14:paraId="110782D8" w14:textId="6833523D">
      <w:pPr>
        <w:jc w:val="left"/>
        <w:rPr>
          <w:rFonts w:ascii="Arial" w:hAnsi="Arial" w:cs="Arial"/>
          <w:b/>
          <w:bCs/>
          <w:sz w:val="20"/>
          <w:szCs w:val="20"/>
          <w:lang w:val="en-GB"/>
        </w:rPr>
      </w:pPr>
    </w:p>
    <w:p w14:paraId="13E6C9BA" w14:textId="17D596B3">
      <w:pPr>
        <w:jc w:val="left"/>
        <w:rPr>
          <w:rFonts w:ascii="Arial" w:hAnsi="Arial" w:cs="Arial"/>
          <w:b/>
          <w:bCs/>
          <w:sz w:val="20"/>
          <w:szCs w:val="20"/>
          <w:lang w:val="en-GB"/>
        </w:rPr>
      </w:pPr>
    </w:p>
    <w:p w14:paraId="05003DB1" w14:textId="754B6ED6">
      <w:pPr>
        <w:jc w:val="left"/>
        <w:rPr>
          <w:rFonts w:ascii="Arial" w:hAnsi="Arial" w:cs="Arial"/>
          <w:b/>
          <w:bCs/>
          <w:sz w:val="20"/>
          <w:szCs w:val="20"/>
          <w:lang w:val="en-GB"/>
        </w:rPr>
      </w:pPr>
    </w:p>
    <w:p w14:paraId="5A4BA858" w14:textId="77777777">
      <w:pPr>
        <w:jc w:val="left"/>
        <w:rPr>
          <w:rFonts w:ascii="Arial" w:hAnsi="Arial" w:cs="Arial"/>
          <w:b/>
          <w:bCs/>
          <w:sz w:val="20"/>
          <w:szCs w:val="20"/>
          <w:lang w:val="en-GB"/>
        </w:rPr>
      </w:pPr>
    </w:p>
    <w:p w14:paraId="6DAD3298" w14:textId="77777777">
      <w:pPr>
        <w:jc w:val="left"/>
        <w:rPr>
          <w:rFonts w:ascii="Arial" w:hAnsi="Arial" w:cs="Arial"/>
          <w:b/>
          <w:bCs/>
          <w:sz w:val="20"/>
          <w:szCs w:val="20"/>
          <w:lang w:val="en-GB"/>
        </w:rPr>
      </w:pPr>
    </w:p>
    <w:p w14:paraId="0FE5A9E6" w14:textId="77777777">
      <w:pPr>
        <w:jc w:val="left"/>
        <w:rPr>
          <w:rFonts w:ascii="Arial" w:hAnsi="Arial" w:cs="Arial"/>
          <w:b/>
          <w:bCs/>
          <w:sz w:val="20"/>
          <w:szCs w:val="20"/>
          <w:lang w:val="en-GB"/>
        </w:rPr>
      </w:pPr>
    </w:p>
    <w:p w14:paraId="1F7208FF" w14:textId="77777777">
      <w:pPr>
        <w:jc w:val="left"/>
        <w:rPr>
          <w:rFonts w:ascii="Arial" w:hAnsi="Arial" w:cs="Arial"/>
          <w:b/>
          <w:bCs/>
          <w:sz w:val="20"/>
          <w:szCs w:val="20"/>
          <w:lang w:val="en-GB"/>
        </w:rPr>
      </w:pPr>
    </w:p>
    <w:p w14:paraId="4EB94E66" w14:textId="36017EF7">
      <w:pPr>
        <w:jc w:val="left"/>
        <w:rPr>
          <w:rFonts w:ascii="Arial" w:hAnsi="Arial" w:cs="Arial"/>
          <w:b/>
          <w:bCs/>
          <w:sz w:val="20"/>
          <w:szCs w:val="20"/>
          <w:lang w:val="en-GB"/>
        </w:rPr>
      </w:pPr>
    </w:p>
    <w:p w14:paraId="72709063" w14:textId="63600AD1">
      <w:pPr>
        <w:jc w:val="left"/>
        <w:rPr>
          <w:rFonts w:ascii="Arial" w:hAnsi="Arial" w:cs="Arial"/>
          <w:b/>
          <w:bCs/>
          <w:sz w:val="20"/>
          <w:szCs w:val="20"/>
          <w:lang w:val="en-GB"/>
        </w:rPr>
      </w:pPr>
    </w:p>
    <w:p w14:paraId="45DC4D71" w14:textId="2ABEBE4A">
      <w:pPr>
        <w:jc w:val="left"/>
        <w:rPr>
          <w:rFonts w:ascii="Arial" w:hAnsi="Arial" w:cs="Arial"/>
          <w:b/>
          <w:kern w:val="28"/>
          <w:sz w:val="20"/>
          <w:szCs w:val="20"/>
          <w:lang w:val="en-GB"/>
        </w:rPr>
      </w:pPr>
    </w:p>
    <w:p w14:paraId="65662889" w14:textId="37055CF0">
      <w:pPr>
        <w:jc w:val="left"/>
        <w:rPr>
          <w:rFonts w:ascii="Arial" w:hAnsi="Arial" w:cs="Arial"/>
          <w:bCs/>
          <w:kern w:val="28"/>
          <w:sz w:val="20"/>
          <w:szCs w:val="20"/>
          <w:lang w:val="en-GB"/>
        </w:rPr>
      </w:pPr>
      <w:r>
        <w:rPr>
          <w:rFonts w:ascii="Arial" w:hAnsi="Arial" w:cs="Arial"/>
          <w:bCs/>
          <w:kern w:val="28"/>
          <w:sz w:val="20"/>
          <w:szCs w:val="20"/>
          <w:lang w:val="en-GB"/>
        </w:rPr>
        <w:br w:type="page"/>
      </w:r>
    </w:p>
    <w:p w14:paraId="1B2DF081" w14:textId="529CE1C4">
      <w:pPr>
        <w:pStyle w:val="Heading1"/>
        <w:rPr>
          <w:bCs/>
          <w:lang w:val="en-GB"/>
        </w:rPr>
      </w:pPr>
      <w:r>
        <w:rPr>
          <w:bCs/>
          <w:lang w:val="en-GB"/>
        </w:rPr>
        <w:lastRenderedPageBreak/>
        <w:t>Interinstitutional context</w:t>
      </w:r>
    </w:p>
    <w:p w14:paraId="003684DB" w14:textId="77777777">
      <w:pPr>
        <w:pStyle w:val="NormalWeb"/>
        <w:spacing w:before="0" w:beforeAutospacing="0" w:after="0" w:afterAutospacing="0" w:line="288" w:lineRule="auto"/>
        <w:jc w:val="both"/>
        <w:rPr>
          <w:rFonts w:ascii="Arial" w:hAnsi="Arial" w:cs="Arial" w:eastAsiaTheme="minorHAnsi"/>
          <w:sz w:val="20"/>
          <w:szCs w:val="20"/>
          <w:lang w:val="en-GB" w:eastAsia="en-US"/>
        </w:rPr>
      </w:pPr>
    </w:p>
    <w:p w14:paraId="11B1FDCD" w14:textId="0219A767">
      <w:pPr>
        <w:pStyle w:val="NormalWeb"/>
        <w:spacing w:before="0" w:beforeAutospacing="0" w:after="0" w:afterAutospacing="0" w:line="288" w:lineRule="auto"/>
        <w:jc w:val="both"/>
        <w:rPr>
          <w:rFonts w:ascii="Arial" w:hAnsi="Arial" w:cs="Arial" w:eastAsiaTheme="minorHAnsi"/>
          <w:sz w:val="20"/>
          <w:szCs w:val="20"/>
          <w:lang w:val="en-GB" w:eastAsia="en-US"/>
        </w:rPr>
      </w:pPr>
      <w:r>
        <w:rPr>
          <w:rFonts w:ascii="Arial" w:hAnsi="Arial" w:cs="Arial" w:eastAsiaTheme="minorHAnsi"/>
          <w:sz w:val="20"/>
          <w:szCs w:val="20"/>
          <w:lang w:val="en-GB" w:eastAsia="en-US"/>
        </w:rPr>
        <w:t xml:space="preserve">The European Green Deal ambitions, especially the efforts to secure cheaper and more sustainable energy sources, are becoming key elements to preserve </w:t>
      </w:r>
      <w:r>
        <w:rPr>
          <w:rFonts w:ascii="Arial" w:hAnsi="Arial" w:cs="Arial" w:eastAsiaTheme="minorHAnsi"/>
          <w:b/>
          <w:bCs/>
          <w:sz w:val="20"/>
          <w:szCs w:val="20"/>
          <w:lang w:val="en-GB" w:eastAsia="en-US"/>
        </w:rPr>
        <w:t>EU economic competitiveness</w:t>
      </w:r>
      <w:r>
        <w:rPr>
          <w:rFonts w:ascii="Arial" w:hAnsi="Arial" w:cs="Arial" w:eastAsiaTheme="minorHAnsi"/>
          <w:sz w:val="20"/>
          <w:szCs w:val="20"/>
          <w:lang w:val="en-GB" w:eastAsia="en-US"/>
        </w:rPr>
        <w:t xml:space="preserve">, making it a key priority for Europe. The </w:t>
      </w:r>
      <w:r>
        <w:rPr>
          <w:rFonts w:ascii="Arial" w:hAnsi="Arial" w:cs="Arial" w:eastAsiaTheme="minorHAnsi"/>
          <w:b/>
          <w:bCs/>
          <w:sz w:val="20"/>
          <w:szCs w:val="20"/>
          <w:lang w:val="en-GB" w:eastAsia="en-US"/>
        </w:rPr>
        <w:t>political guidelines</w:t>
      </w:r>
      <w:r>
        <w:rPr>
          <w:rStyle w:val="FootnoteReference"/>
          <w:rFonts w:ascii="Arial" w:hAnsi="Arial" w:cs="Arial" w:eastAsiaTheme="minorHAnsi"/>
          <w:sz w:val="22"/>
          <w:szCs w:val="22"/>
          <w:lang w:val="en-GB" w:eastAsia="en-US"/>
        </w:rPr>
        <w:footnoteReference w:id="2"/>
      </w:r>
      <w:r>
        <w:rPr>
          <w:rFonts w:ascii="Arial" w:hAnsi="Arial" w:cs="Arial" w:eastAsiaTheme="minorHAnsi"/>
          <w:sz w:val="20"/>
          <w:szCs w:val="20"/>
          <w:lang w:val="en-GB" w:eastAsia="en-US"/>
        </w:rPr>
        <w:t xml:space="preserve"> for the European Commission</w:t>
      </w:r>
      <w:r>
        <w:rPr>
          <w:rFonts w:ascii="Arial" w:hAnsi="Arial" w:cs="Arial" w:eastAsiaTheme="minorHAnsi"/>
          <w:sz w:val="20"/>
          <w:szCs w:val="20"/>
          <w:lang w:val="en-GB" w:eastAsia="en-US"/>
        </w:rPr>
        <w:t>,</w:t>
      </w:r>
      <w:r>
        <w:rPr>
          <w:rFonts w:ascii="Arial" w:hAnsi="Arial" w:cs="Arial" w:eastAsiaTheme="minorHAnsi"/>
          <w:sz w:val="20"/>
          <w:szCs w:val="20"/>
          <w:lang w:val="en-GB" w:eastAsia="en-US"/>
        </w:rPr>
        <w:t xml:space="preserve"> presented in July 2024, confirm that the EU will stay the course on the goals set out in the European Green Deal and streamline them across several other key priorities including competitiveness, security and international relations. This ambition is confirmed in the </w:t>
      </w:r>
      <w:r>
        <w:rPr>
          <w:rFonts w:ascii="Arial" w:hAnsi="Arial" w:cs="Arial" w:eastAsiaTheme="minorHAnsi"/>
          <w:b/>
          <w:bCs/>
          <w:sz w:val="20"/>
          <w:szCs w:val="20"/>
          <w:lang w:val="en-GB" w:eastAsia="en-US"/>
        </w:rPr>
        <w:t>Mission letters</w:t>
      </w:r>
      <w:r>
        <w:rPr>
          <w:rFonts w:ascii="Arial" w:hAnsi="Arial" w:cs="Arial" w:eastAsiaTheme="minorHAnsi"/>
          <w:sz w:val="20"/>
          <w:szCs w:val="20"/>
          <w:lang w:val="en-GB" w:eastAsia="en-US"/>
        </w:rPr>
        <w:t xml:space="preserve"> provided by Ursula von der Leyen to the European Commissioners. This objective is common to all Commissioners portfolios: it puts the European Green Deal objectives as a must for achieving success in all EU policy areas: </w:t>
      </w:r>
      <w:r>
        <w:rPr>
          <w:rFonts w:ascii="Arial" w:hAnsi="Arial" w:cs="Arial" w:eastAsiaTheme="minorHAnsi"/>
          <w:i/>
          <w:iCs/>
          <w:sz w:val="20"/>
          <w:szCs w:val="20"/>
          <w:lang w:val="en-GB" w:eastAsia="en-US"/>
        </w:rPr>
        <w:t>the success of this new Commission will be measured against our ability to meet the targets and objectives we set, notably as part of the European Green Deal</w:t>
      </w:r>
      <w:r>
        <w:rPr>
          <w:rFonts w:ascii="Arial" w:hAnsi="Arial" w:cs="Arial" w:eastAsiaTheme="minorHAnsi"/>
          <w:sz w:val="20"/>
          <w:szCs w:val="20"/>
          <w:lang w:val="en-GB" w:eastAsia="en-US"/>
        </w:rPr>
        <w:t>. While having a major focus on security and defence, as a ne</w:t>
      </w:r>
      <w:r>
        <w:rPr>
          <w:rFonts w:ascii="Arial" w:hAnsi="Arial" w:cs="Arial" w:eastAsiaTheme="minorHAnsi"/>
          <w:sz w:val="20"/>
          <w:szCs w:val="20"/>
          <w:lang w:val="en-GB" w:eastAsia="en-US"/>
        </w:rPr>
        <w:t>cessary</w:t>
      </w:r>
      <w:r>
        <w:rPr>
          <w:rFonts w:ascii="Arial" w:hAnsi="Arial" w:cs="Arial" w:eastAsiaTheme="minorHAnsi"/>
          <w:sz w:val="20"/>
          <w:szCs w:val="20"/>
          <w:lang w:val="en-GB" w:eastAsia="en-US"/>
        </w:rPr>
        <w:t xml:space="preserve"> reaction to a changing global political environment, in its </w:t>
      </w:r>
      <w:r>
        <w:rPr>
          <w:rFonts w:ascii="Arial" w:hAnsi="Arial" w:cs="Arial" w:eastAsiaTheme="minorHAnsi"/>
          <w:b/>
          <w:bCs/>
          <w:sz w:val="20"/>
          <w:szCs w:val="20"/>
          <w:lang w:val="en-GB" w:eastAsia="en-US"/>
        </w:rPr>
        <w:t>first 100 days</w:t>
      </w:r>
      <w:r>
        <w:rPr>
          <w:rStyle w:val="FootnoteReference"/>
          <w:rFonts w:ascii="Arial" w:hAnsi="Arial" w:cs="Arial" w:eastAsiaTheme="minorHAnsi"/>
          <w:sz w:val="22"/>
          <w:szCs w:val="22"/>
          <w:lang w:val="en-GB" w:eastAsia="en-US"/>
        </w:rPr>
        <w:footnoteReference w:id="3"/>
      </w:r>
      <w:r>
        <w:rPr>
          <w:rFonts w:ascii="Arial" w:hAnsi="Arial" w:cs="Arial" w:eastAsiaTheme="minorHAnsi"/>
          <w:sz w:val="20"/>
          <w:szCs w:val="20"/>
          <w:lang w:val="en-GB" w:eastAsia="en-US"/>
        </w:rPr>
        <w:t xml:space="preserve"> the new European Commission has taken some key steps to accelerate the transition to a competitive and clean Europe. In particular the </w:t>
      </w:r>
      <w:r>
        <w:rPr>
          <w:rFonts w:ascii="Arial" w:hAnsi="Arial" w:cs="Arial" w:eastAsiaTheme="minorHAnsi"/>
          <w:b/>
          <w:bCs/>
          <w:sz w:val="20"/>
          <w:szCs w:val="20"/>
          <w:lang w:val="en-GB" w:eastAsia="en-US"/>
        </w:rPr>
        <w:t>Clean Industrial Deal</w:t>
      </w:r>
      <w:r>
        <w:rPr>
          <w:rFonts w:ascii="Arial" w:hAnsi="Arial" w:cs="Arial" w:eastAsiaTheme="minorHAnsi"/>
          <w:sz w:val="20"/>
          <w:szCs w:val="20"/>
          <w:lang w:val="en-GB" w:eastAsia="en-US"/>
        </w:rPr>
        <w:t xml:space="preserve"> and the </w:t>
      </w:r>
      <w:r>
        <w:rPr>
          <w:rFonts w:ascii="Arial" w:hAnsi="Arial" w:cs="Arial" w:eastAsiaTheme="minorHAnsi"/>
          <w:b/>
          <w:bCs/>
          <w:sz w:val="20"/>
          <w:szCs w:val="20"/>
          <w:lang w:val="en-GB" w:eastAsia="en-US"/>
        </w:rPr>
        <w:t>Action Plan for Affordable Energy</w:t>
      </w:r>
      <w:r>
        <w:rPr>
          <w:rFonts w:ascii="Arial" w:hAnsi="Arial" w:cs="Arial" w:eastAsiaTheme="minorHAnsi"/>
          <w:sz w:val="20"/>
          <w:szCs w:val="20"/>
          <w:lang w:val="en-GB" w:eastAsia="en-US"/>
        </w:rPr>
        <w:t xml:space="preserve"> have been published to support and strengthen European energy-intensive industries and clean tech companies, while continuing Europe</w:t>
      </w:r>
      <w:r>
        <w:rPr>
          <w:rFonts w:ascii="Arial" w:hAnsi="Arial" w:cs="Arial" w:eastAsiaTheme="minorHAnsi"/>
          <w:sz w:val="20"/>
          <w:szCs w:val="20"/>
          <w:lang w:val="en-GB" w:eastAsia="en-US"/>
        </w:rPr>
        <w:t>’</w:t>
      </w:r>
      <w:r>
        <w:rPr>
          <w:rFonts w:ascii="Arial" w:hAnsi="Arial" w:cs="Arial" w:eastAsiaTheme="minorHAnsi"/>
          <w:sz w:val="20"/>
          <w:szCs w:val="20"/>
          <w:lang w:val="en-GB" w:eastAsia="en-US"/>
        </w:rPr>
        <w:t>s path towards climate neutrality by 2050.</w:t>
      </w:r>
    </w:p>
    <w:p w14:paraId="22356458" w14:textId="77777777">
      <w:pPr>
        <w:pStyle w:val="NormalWeb"/>
        <w:spacing w:before="0" w:beforeAutospacing="0" w:after="0" w:afterAutospacing="0" w:line="288" w:lineRule="auto"/>
        <w:jc w:val="both"/>
        <w:rPr>
          <w:rFonts w:ascii="Arial" w:hAnsi="Arial" w:cs="Arial" w:eastAsiaTheme="minorHAnsi"/>
          <w:sz w:val="20"/>
          <w:szCs w:val="20"/>
          <w:lang w:val="en-GB" w:eastAsia="en-US"/>
        </w:rPr>
      </w:pPr>
    </w:p>
    <w:p w14:paraId="746258EB" w14:textId="6FCA0738">
      <w:pPr>
        <w:pStyle w:val="NormalWeb"/>
        <w:spacing w:before="0" w:beforeAutospacing="0" w:after="0" w:afterAutospacing="0" w:line="288" w:lineRule="auto"/>
        <w:jc w:val="both"/>
        <w:rPr>
          <w:rFonts w:ascii="Arial" w:hAnsi="Arial" w:cs="Arial" w:eastAsiaTheme="minorHAnsi"/>
          <w:sz w:val="20"/>
          <w:szCs w:val="20"/>
          <w:lang w:val="en-GB" w:eastAsia="en-US"/>
        </w:rPr>
      </w:pPr>
      <w:r>
        <w:rPr>
          <w:rFonts w:ascii="Arial" w:hAnsi="Arial" w:cs="Arial" w:eastAsiaTheme="minorHAnsi"/>
          <w:sz w:val="20"/>
          <w:szCs w:val="20"/>
          <w:lang w:val="en-GB" w:eastAsia="en-US"/>
        </w:rPr>
        <w:t xml:space="preserve">The new setting embraces a </w:t>
      </w:r>
      <w:r>
        <w:rPr>
          <w:rFonts w:ascii="Arial" w:hAnsi="Arial" w:cs="Arial" w:eastAsiaTheme="minorHAnsi"/>
          <w:b/>
          <w:bCs/>
          <w:sz w:val="20"/>
          <w:szCs w:val="20"/>
          <w:lang w:val="en-GB" w:eastAsia="en-US"/>
        </w:rPr>
        <w:t>stronger system approach</w:t>
      </w:r>
      <w:r>
        <w:rPr>
          <w:rFonts w:ascii="Arial" w:hAnsi="Arial" w:cs="Arial" w:eastAsiaTheme="minorHAnsi"/>
          <w:sz w:val="20"/>
          <w:szCs w:val="20"/>
          <w:lang w:val="en-GB" w:eastAsia="en-US"/>
        </w:rPr>
        <w:t xml:space="preserve"> with closer </w:t>
      </w:r>
      <w:r>
        <w:rPr>
          <w:rFonts w:ascii="Arial" w:hAnsi="Arial" w:cs="Arial" w:eastAsiaTheme="minorHAnsi"/>
          <w:b/>
          <w:bCs/>
          <w:sz w:val="20"/>
          <w:szCs w:val="20"/>
          <w:lang w:val="en-GB" w:eastAsia="en-US"/>
        </w:rPr>
        <w:t>synergies across policy areas</w:t>
      </w:r>
      <w:r>
        <w:rPr>
          <w:rFonts w:ascii="Arial" w:hAnsi="Arial" w:cs="Arial" w:eastAsiaTheme="minorHAnsi"/>
          <w:sz w:val="20"/>
          <w:szCs w:val="20"/>
          <w:lang w:val="en-GB" w:eastAsia="en-US"/>
        </w:rPr>
        <w:t xml:space="preserve"> and more integrated Commissioner portfolios. The systemic nature of its guidelines takes into account the increasing complexity of </w:t>
      </w:r>
      <w:r>
        <w:rPr>
          <w:rFonts w:ascii="Arial" w:hAnsi="Arial" w:cs="Arial" w:eastAsiaTheme="minorHAnsi"/>
          <w:sz w:val="20"/>
          <w:szCs w:val="20"/>
          <w:lang w:val="en-GB" w:eastAsia="en-US"/>
        </w:rPr>
        <w:t xml:space="preserve">the </w:t>
      </w:r>
      <w:r>
        <w:rPr>
          <w:rFonts w:ascii="Arial" w:hAnsi="Arial" w:cs="Arial" w:eastAsiaTheme="minorHAnsi"/>
          <w:sz w:val="20"/>
          <w:szCs w:val="20"/>
          <w:lang w:val="en-GB" w:eastAsia="en-US"/>
        </w:rPr>
        <w:t>challenges the EU is and will face and incudes tools to future</w:t>
      </w:r>
      <w:r>
        <w:rPr>
          <w:rFonts w:ascii="Arial" w:hAnsi="Arial" w:cs="Arial" w:eastAsiaTheme="minorHAnsi"/>
          <w:sz w:val="20"/>
          <w:szCs w:val="20"/>
          <w:lang w:val="en-GB" w:eastAsia="en-US"/>
        </w:rPr>
        <w:t>-</w:t>
      </w:r>
      <w:r>
        <w:rPr>
          <w:rFonts w:ascii="Arial" w:hAnsi="Arial" w:cs="Arial" w:eastAsiaTheme="minorHAnsi"/>
          <w:sz w:val="20"/>
          <w:szCs w:val="20"/>
          <w:lang w:val="en-GB" w:eastAsia="en-US"/>
        </w:rPr>
        <w:t xml:space="preserve">proof policies by looking into emerging megatrends in the green, digital, geopolitical and socio-economic contexts. At the same time, during the 2024-2029 EU term of office, a number of revised directives and regulations will need to be implemented: these include both efforts at Member State level to transpose into national legislation, and joint efforts at EU level to mobilise resources for implementation and further strengthen European cohesion. </w:t>
      </w:r>
    </w:p>
    <w:p w14:paraId="2E0DE10D" w14:textId="77777777">
      <w:pPr>
        <w:pStyle w:val="NormalWeb"/>
        <w:spacing w:before="0" w:beforeAutospacing="0" w:after="0" w:afterAutospacing="0" w:line="288" w:lineRule="auto"/>
        <w:jc w:val="both"/>
        <w:rPr>
          <w:rFonts w:ascii="Arial" w:hAnsi="Arial" w:cs="Arial" w:eastAsiaTheme="minorHAnsi"/>
          <w:sz w:val="20"/>
          <w:szCs w:val="20"/>
          <w:lang w:val="en-GB" w:eastAsia="en-US"/>
        </w:rPr>
      </w:pPr>
    </w:p>
    <w:p w14:paraId="7BFA1917" w14:textId="75D3CFBE">
      <w:pPr>
        <w:pStyle w:val="NormalWeb"/>
        <w:spacing w:before="0" w:beforeAutospacing="0" w:after="0" w:afterAutospacing="0" w:line="288" w:lineRule="auto"/>
        <w:jc w:val="both"/>
        <w:rPr>
          <w:rFonts w:ascii="Arial" w:hAnsi="Arial" w:cs="Arial"/>
          <w:sz w:val="20"/>
          <w:szCs w:val="20"/>
          <w:lang w:val="en-GB"/>
        </w:rPr>
      </w:pPr>
      <w:r>
        <w:rPr>
          <w:rFonts w:ascii="Arial" w:hAnsi="Arial" w:cs="Arial"/>
          <w:sz w:val="20"/>
          <w:szCs w:val="20"/>
          <w:lang w:val="en-GB"/>
        </w:rPr>
        <w:t>The Mission letters and the hearings have also confirmed a</w:t>
      </w:r>
      <w:r>
        <w:rPr>
          <w:rFonts w:ascii="Arial" w:hAnsi="Arial" w:cs="Arial"/>
          <w:b/>
          <w:bCs/>
          <w:sz w:val="20"/>
          <w:szCs w:val="20"/>
          <w:lang w:val="en-GB"/>
        </w:rPr>
        <w:t xml:space="preserve"> more participatory approach</w:t>
      </w:r>
      <w:r>
        <w:rPr>
          <w:rFonts w:ascii="Arial" w:hAnsi="Arial" w:cs="Arial"/>
          <w:sz w:val="20"/>
          <w:szCs w:val="20"/>
          <w:lang w:val="en-GB"/>
        </w:rPr>
        <w:t xml:space="preserve"> to EU law-making, with </w:t>
      </w:r>
      <w:r>
        <w:rPr>
          <w:rFonts w:ascii="Arial" w:hAnsi="Arial" w:cs="Arial"/>
          <w:sz w:val="20"/>
          <w:szCs w:val="20"/>
          <w:lang w:val="en-GB"/>
        </w:rPr>
        <w:t>the</w:t>
      </w:r>
      <w:r>
        <w:rPr>
          <w:rFonts w:ascii="Arial" w:hAnsi="Arial" w:cs="Arial"/>
          <w:sz w:val="20"/>
          <w:szCs w:val="20"/>
          <w:lang w:val="en-GB"/>
        </w:rPr>
        <w:t xml:space="preserve"> clear intention </w:t>
      </w:r>
      <w:r>
        <w:rPr>
          <w:rFonts w:ascii="Arial" w:hAnsi="Arial" w:cs="Arial"/>
          <w:sz w:val="20"/>
          <w:szCs w:val="20"/>
          <w:lang w:val="en-GB"/>
        </w:rPr>
        <w:t xml:space="preserve">of </w:t>
      </w:r>
      <w:r>
        <w:rPr>
          <w:rFonts w:ascii="Arial" w:hAnsi="Arial" w:cs="Arial"/>
          <w:sz w:val="20"/>
          <w:szCs w:val="20"/>
          <w:lang w:val="en-GB"/>
        </w:rPr>
        <w:t>set</w:t>
      </w:r>
      <w:r>
        <w:rPr>
          <w:rFonts w:ascii="Arial" w:hAnsi="Arial" w:cs="Arial"/>
          <w:sz w:val="20"/>
          <w:szCs w:val="20"/>
          <w:lang w:val="en-GB"/>
        </w:rPr>
        <w:t>ting</w:t>
      </w:r>
      <w:r>
        <w:rPr>
          <w:rFonts w:ascii="Arial" w:hAnsi="Arial" w:cs="Arial"/>
          <w:sz w:val="20"/>
          <w:szCs w:val="20"/>
          <w:lang w:val="en-GB"/>
        </w:rPr>
        <w:t xml:space="preserve"> up </w:t>
      </w:r>
      <w:r>
        <w:rPr>
          <w:rFonts w:ascii="Arial" w:hAnsi="Arial" w:cs="Arial"/>
          <w:b/>
          <w:bCs/>
          <w:sz w:val="20"/>
          <w:szCs w:val="20"/>
          <w:lang w:val="en-GB"/>
        </w:rPr>
        <w:t>implementation</w:t>
      </w:r>
      <w:r>
        <w:rPr>
          <w:rFonts w:ascii="Arial" w:hAnsi="Arial" w:cs="Arial"/>
          <w:sz w:val="20"/>
          <w:szCs w:val="20"/>
          <w:lang w:val="en-GB"/>
        </w:rPr>
        <w:t xml:space="preserve"> </w:t>
      </w:r>
      <w:r>
        <w:rPr>
          <w:rFonts w:ascii="Arial" w:hAnsi="Arial" w:cs="Arial"/>
          <w:b/>
          <w:bCs/>
          <w:sz w:val="20"/>
          <w:szCs w:val="20"/>
          <w:lang w:val="en-GB"/>
        </w:rPr>
        <w:t xml:space="preserve">dialogues </w:t>
      </w:r>
      <w:r>
        <w:rPr>
          <w:rFonts w:ascii="Arial" w:hAnsi="Arial" w:cs="Arial"/>
          <w:sz w:val="20"/>
          <w:szCs w:val="20"/>
          <w:lang w:val="en-GB"/>
        </w:rPr>
        <w:t xml:space="preserve">with different stakeholders, including stronger cooperation between the European Commission and the European Parliament. In the next term the EU will also re-define its </w:t>
      </w:r>
      <w:r>
        <w:rPr>
          <w:rFonts w:ascii="Arial" w:hAnsi="Arial" w:cs="Arial"/>
          <w:b/>
          <w:bCs/>
          <w:sz w:val="20"/>
          <w:szCs w:val="20"/>
          <w:lang w:val="en-GB"/>
        </w:rPr>
        <w:t>multi annual financial framework</w:t>
      </w:r>
      <w:r>
        <w:rPr>
          <w:rFonts w:ascii="Arial" w:hAnsi="Arial" w:cs="Arial"/>
          <w:sz w:val="20"/>
          <w:szCs w:val="20"/>
          <w:lang w:val="en-GB"/>
        </w:rPr>
        <w:t xml:space="preserve"> (MFF): the EU budget allocations post 2027. The new MFF is expected to be tailored to new EU challenges and priorities. </w:t>
      </w:r>
    </w:p>
    <w:p w14:paraId="6990A230" w14:textId="77777777">
      <w:pPr>
        <w:pStyle w:val="NormalWeb"/>
        <w:spacing w:before="0" w:beforeAutospacing="0" w:after="0" w:afterAutospacing="0" w:line="288" w:lineRule="auto"/>
        <w:jc w:val="both"/>
        <w:rPr>
          <w:rFonts w:ascii="Arial" w:hAnsi="Arial" w:cs="Arial"/>
          <w:sz w:val="20"/>
          <w:szCs w:val="20"/>
          <w:lang w:val="en-GB"/>
        </w:rPr>
      </w:pPr>
    </w:p>
    <w:p w14:paraId="44A192F2" w14:textId="62480827">
      <w:pPr>
        <w:pStyle w:val="NormalWeb"/>
        <w:spacing w:before="0" w:beforeAutospacing="0" w:after="0" w:afterAutospacing="0" w:line="288" w:lineRule="auto"/>
        <w:jc w:val="both"/>
        <w:rPr>
          <w:rFonts w:ascii="Arial" w:hAnsi="Arial" w:cs="Arial" w:eastAsiaTheme="minorHAnsi"/>
          <w:sz w:val="20"/>
          <w:szCs w:val="20"/>
          <w:lang w:val="en-GB" w:eastAsia="en-US"/>
        </w:rPr>
      </w:pPr>
      <w:r>
        <w:rPr>
          <w:rFonts w:ascii="Arial" w:hAnsi="Arial" w:cs="Arial" w:eastAsiaTheme="minorHAnsi"/>
          <w:sz w:val="20"/>
          <w:szCs w:val="20"/>
          <w:lang w:val="en-GB" w:eastAsia="en-US"/>
        </w:rPr>
        <w:t xml:space="preserve">An executive Vice-President (EVP) of the European Commission will be in charge of the </w:t>
      </w:r>
      <w:r>
        <w:rPr>
          <w:rFonts w:ascii="Arial" w:hAnsi="Arial" w:cs="Arial" w:eastAsiaTheme="minorHAnsi"/>
          <w:b/>
          <w:bCs/>
          <w:sz w:val="20"/>
          <w:szCs w:val="20"/>
          <w:lang w:val="en-GB" w:eastAsia="en-US"/>
        </w:rPr>
        <w:t xml:space="preserve">Clean, Just and Competitive Transition </w:t>
      </w:r>
      <w:r>
        <w:rPr>
          <w:rFonts w:ascii="Arial" w:hAnsi="Arial" w:cs="Arial" w:eastAsiaTheme="minorHAnsi"/>
          <w:sz w:val="20"/>
          <w:szCs w:val="20"/>
          <w:lang w:val="en-GB" w:eastAsia="en-US"/>
        </w:rPr>
        <w:t xml:space="preserve">portfolio. Under this portfolio the EVP will: (i) jointly coordinate the work on the </w:t>
      </w:r>
      <w:r>
        <w:rPr>
          <w:rFonts w:ascii="Arial" w:hAnsi="Arial" w:cs="Arial" w:eastAsiaTheme="minorHAnsi"/>
          <w:b/>
          <w:bCs/>
          <w:sz w:val="20"/>
          <w:szCs w:val="20"/>
          <w:lang w:val="en-GB" w:eastAsia="en-US"/>
        </w:rPr>
        <w:t>Clean Industrial Deal</w:t>
      </w:r>
      <w:r>
        <w:rPr>
          <w:rFonts w:ascii="Arial" w:hAnsi="Arial" w:cs="Arial" w:eastAsiaTheme="minorHAnsi"/>
          <w:sz w:val="20"/>
          <w:szCs w:val="20"/>
          <w:lang w:val="en-GB" w:eastAsia="en-US"/>
        </w:rPr>
        <w:t xml:space="preserve">, helping to unlock investment, boost clean tech and put in place conditions for companies to grow and compete; (ii) guide the work implementing EU law to help reach our </w:t>
      </w:r>
      <w:r>
        <w:rPr>
          <w:rFonts w:ascii="Arial" w:hAnsi="Arial" w:cs="Arial" w:eastAsiaTheme="minorHAnsi"/>
          <w:b/>
          <w:bCs/>
          <w:sz w:val="20"/>
          <w:szCs w:val="20"/>
          <w:lang w:val="en-GB" w:eastAsia="en-US"/>
        </w:rPr>
        <w:t>2030 climate targets</w:t>
      </w:r>
      <w:r>
        <w:rPr>
          <w:rFonts w:ascii="Arial" w:hAnsi="Arial" w:cs="Arial" w:eastAsiaTheme="minorHAnsi"/>
          <w:sz w:val="20"/>
          <w:szCs w:val="20"/>
          <w:lang w:val="en-GB" w:eastAsia="en-US"/>
        </w:rPr>
        <w:t xml:space="preserve"> and prepare a new architecture beyond 2030; (iii) guide the work to </w:t>
      </w:r>
      <w:r>
        <w:rPr>
          <w:rFonts w:ascii="Arial" w:hAnsi="Arial" w:cs="Arial" w:eastAsiaTheme="minorHAnsi"/>
          <w:b/>
          <w:bCs/>
          <w:sz w:val="20"/>
          <w:szCs w:val="20"/>
          <w:lang w:val="en-GB" w:eastAsia="en-US"/>
        </w:rPr>
        <w:t>bring down energy prices</w:t>
      </w:r>
      <w:r>
        <w:rPr>
          <w:rFonts w:ascii="Arial" w:hAnsi="Arial" w:cs="Arial" w:eastAsiaTheme="minorHAnsi"/>
          <w:sz w:val="20"/>
          <w:szCs w:val="20"/>
          <w:lang w:val="en-GB" w:eastAsia="en-US"/>
        </w:rPr>
        <w:t xml:space="preserve">, end our dependencies on fossil fuels, invest in clean energy infrastructure and address energy poverty; (iv) steer investment and financing for a </w:t>
      </w:r>
      <w:r>
        <w:rPr>
          <w:rFonts w:ascii="Arial" w:hAnsi="Arial" w:cs="Arial" w:eastAsiaTheme="minorHAnsi"/>
          <w:b/>
          <w:bCs/>
          <w:sz w:val="20"/>
          <w:szCs w:val="20"/>
          <w:lang w:val="en-GB" w:eastAsia="en-US"/>
        </w:rPr>
        <w:t>just and social transition</w:t>
      </w:r>
      <w:r>
        <w:rPr>
          <w:rFonts w:ascii="Arial" w:hAnsi="Arial" w:cs="Arial" w:eastAsiaTheme="minorHAnsi"/>
          <w:sz w:val="20"/>
          <w:szCs w:val="20"/>
          <w:lang w:val="en-GB" w:eastAsia="en-US"/>
        </w:rPr>
        <w:t xml:space="preserve"> through dedicated funds and tax measures. </w:t>
      </w:r>
    </w:p>
    <w:p w14:paraId="7718B933" w14:textId="77777777">
      <w:pPr>
        <w:pStyle w:val="NormalWeb"/>
        <w:spacing w:before="0" w:beforeAutospacing="0" w:after="0" w:afterAutospacing="0" w:line="288" w:lineRule="auto"/>
        <w:jc w:val="both"/>
        <w:rPr>
          <w:rFonts w:ascii="Arial" w:hAnsi="Arial" w:cs="Arial" w:eastAsiaTheme="minorHAnsi"/>
          <w:sz w:val="20"/>
          <w:szCs w:val="20"/>
          <w:lang w:val="en-GB" w:eastAsia="en-US"/>
        </w:rPr>
      </w:pPr>
    </w:p>
    <w:p w14:paraId="058F370B" w14:textId="20ECA463">
      <w:pPr>
        <w:pStyle w:val="NormalWeb"/>
        <w:spacing w:before="0" w:beforeAutospacing="0" w:after="0" w:afterAutospacing="0" w:line="288" w:lineRule="auto"/>
        <w:jc w:val="both"/>
        <w:rPr>
          <w:rFonts w:ascii="Arial" w:hAnsi="Arial" w:cs="Arial"/>
          <w:sz w:val="20"/>
          <w:szCs w:val="20"/>
          <w:lang w:val="en-GB"/>
        </w:rPr>
      </w:pPr>
      <w:r>
        <w:rPr>
          <w:rFonts w:ascii="Arial" w:hAnsi="Arial" w:cs="Arial" w:eastAsiaTheme="minorHAnsi"/>
          <w:sz w:val="20"/>
          <w:szCs w:val="20"/>
          <w:lang w:val="en-GB" w:eastAsia="en-US"/>
        </w:rPr>
        <w:t xml:space="preserve">More specifically, in the new term of office, the EU will focus on implementing the 2030 legal framework in the </w:t>
      </w:r>
      <w:r>
        <w:rPr>
          <w:rFonts w:ascii="Arial" w:hAnsi="Arial" w:cs="Arial" w:eastAsiaTheme="minorHAnsi"/>
          <w:i/>
          <w:iCs/>
          <w:sz w:val="20"/>
          <w:szCs w:val="20"/>
          <w:lang w:val="en-GB" w:eastAsia="en-US"/>
        </w:rPr>
        <w:t>simplest, fairest and most cost-efficient way</w:t>
      </w:r>
      <w:r>
        <w:rPr>
          <w:rFonts w:ascii="Arial" w:hAnsi="Arial" w:cs="Arial" w:eastAsiaTheme="minorHAnsi"/>
          <w:sz w:val="20"/>
          <w:szCs w:val="20"/>
          <w:lang w:val="en-GB" w:eastAsia="en-US"/>
        </w:rPr>
        <w:t xml:space="preserve">, and will propose a </w:t>
      </w:r>
      <w:r>
        <w:rPr>
          <w:rFonts w:ascii="Arial" w:hAnsi="Arial" w:cs="Arial" w:eastAsiaTheme="minorHAnsi"/>
          <w:b/>
          <w:bCs/>
          <w:sz w:val="20"/>
          <w:szCs w:val="20"/>
          <w:lang w:val="en-GB" w:eastAsia="en-US"/>
        </w:rPr>
        <w:t>90% emission-reduction target for 2040</w:t>
      </w:r>
      <w:r>
        <w:rPr>
          <w:rFonts w:ascii="Arial" w:hAnsi="Arial" w:cs="Arial" w:eastAsiaTheme="minorHAnsi"/>
          <w:sz w:val="20"/>
          <w:szCs w:val="20"/>
          <w:lang w:val="en-GB" w:eastAsia="en-US"/>
        </w:rPr>
        <w:t xml:space="preserve"> in the European Climate Law, while ensuring a swift roll-out of the </w:t>
      </w:r>
      <w:r>
        <w:rPr>
          <w:rFonts w:ascii="Arial" w:hAnsi="Arial" w:cs="Arial" w:eastAsiaTheme="minorHAnsi"/>
          <w:b/>
          <w:bCs/>
          <w:sz w:val="20"/>
          <w:szCs w:val="20"/>
          <w:lang w:val="en-GB" w:eastAsia="en-US"/>
        </w:rPr>
        <w:t>Social Climate Fund</w:t>
      </w:r>
      <w:r>
        <w:rPr>
          <w:rFonts w:ascii="Arial" w:hAnsi="Arial" w:cs="Arial" w:eastAsiaTheme="minorHAnsi"/>
          <w:sz w:val="20"/>
          <w:szCs w:val="20"/>
          <w:lang w:val="en-GB" w:eastAsia="en-US"/>
        </w:rPr>
        <w:t xml:space="preserve">. Other key initiatives expected in the new term are: the </w:t>
      </w:r>
      <w:r>
        <w:rPr>
          <w:rFonts w:ascii="Arial" w:hAnsi="Arial" w:cs="Arial" w:eastAsiaTheme="minorHAnsi"/>
          <w:b/>
          <w:bCs/>
          <w:sz w:val="20"/>
          <w:szCs w:val="20"/>
          <w:lang w:val="en-GB" w:eastAsia="en-US"/>
        </w:rPr>
        <w:t>European Climate Adaptation Plan</w:t>
      </w:r>
      <w:r>
        <w:rPr>
          <w:rFonts w:ascii="Arial" w:hAnsi="Arial" w:cs="Arial" w:eastAsiaTheme="minorHAnsi"/>
          <w:sz w:val="20"/>
          <w:szCs w:val="20"/>
          <w:lang w:val="en-GB" w:eastAsia="en-US"/>
        </w:rPr>
        <w:t xml:space="preserve"> to support resilience and preparedness; t</w:t>
      </w:r>
      <w:r>
        <w:rPr>
          <w:rFonts w:ascii="Arial" w:hAnsi="Arial" w:cs="Arial"/>
          <w:sz w:val="20"/>
          <w:szCs w:val="20"/>
          <w:lang w:val="en-GB"/>
        </w:rPr>
        <w:t xml:space="preserve">he </w:t>
      </w:r>
      <w:r>
        <w:rPr>
          <w:rFonts w:ascii="Arial" w:hAnsi="Arial" w:cs="Arial"/>
          <w:b/>
          <w:bCs/>
          <w:sz w:val="20"/>
          <w:szCs w:val="20"/>
          <w:lang w:val="en-GB"/>
        </w:rPr>
        <w:t>European Water Resilience Strategy</w:t>
      </w:r>
      <w:r>
        <w:rPr>
          <w:rFonts w:ascii="Arial" w:hAnsi="Arial" w:cs="Arial"/>
          <w:sz w:val="20"/>
          <w:szCs w:val="20"/>
          <w:lang w:val="en-GB"/>
        </w:rPr>
        <w:t xml:space="preserve"> to manage water sources, address scarcity, and apply a circular economy approach; a new </w:t>
      </w:r>
      <w:r>
        <w:rPr>
          <w:rFonts w:ascii="Arial" w:hAnsi="Arial" w:cs="Arial"/>
          <w:b/>
          <w:bCs/>
          <w:sz w:val="20"/>
          <w:szCs w:val="20"/>
          <w:lang w:val="en-GB"/>
        </w:rPr>
        <w:t>Circular Economy Act</w:t>
      </w:r>
      <w:r>
        <w:rPr>
          <w:rFonts w:ascii="Arial" w:hAnsi="Arial" w:cs="Arial"/>
          <w:sz w:val="20"/>
          <w:szCs w:val="20"/>
          <w:lang w:val="en-GB"/>
        </w:rPr>
        <w:t xml:space="preserve"> to create market demand for secondary materials and a single market for waste and critical raw materials; a </w:t>
      </w:r>
      <w:r>
        <w:rPr>
          <w:rFonts w:ascii="Arial" w:hAnsi="Arial" w:cs="Arial"/>
          <w:b/>
          <w:bCs/>
          <w:sz w:val="20"/>
          <w:szCs w:val="20"/>
          <w:lang w:val="en-GB"/>
        </w:rPr>
        <w:t>European Affordable Housing Plan</w:t>
      </w:r>
      <w:r>
        <w:rPr>
          <w:rFonts w:ascii="Arial" w:hAnsi="Arial" w:cs="Arial"/>
          <w:sz w:val="20"/>
          <w:szCs w:val="20"/>
          <w:lang w:val="en-GB"/>
        </w:rPr>
        <w:t xml:space="preserve"> to mobili</w:t>
      </w:r>
      <w:r>
        <w:rPr>
          <w:rFonts w:ascii="Arial" w:hAnsi="Arial" w:cs="Arial"/>
          <w:sz w:val="20"/>
          <w:szCs w:val="20"/>
          <w:lang w:val="en-GB"/>
        </w:rPr>
        <w:t>s</w:t>
      </w:r>
      <w:r>
        <w:rPr>
          <w:rFonts w:ascii="Arial" w:hAnsi="Arial" w:cs="Arial"/>
          <w:sz w:val="20"/>
          <w:szCs w:val="20"/>
          <w:lang w:val="en-GB"/>
        </w:rPr>
        <w:t xml:space="preserve">e investments and assistance for cities for affordable and energy-efficient housing; </w:t>
      </w:r>
      <w:r>
        <w:rPr>
          <w:rFonts w:ascii="Arial" w:hAnsi="Arial" w:cs="Arial"/>
          <w:sz w:val="20"/>
          <w:szCs w:val="20"/>
          <w:lang w:val="en-GB"/>
        </w:rPr>
        <w:t xml:space="preserve">and </w:t>
      </w:r>
      <w:r>
        <w:rPr>
          <w:rFonts w:ascii="Arial" w:hAnsi="Arial" w:cs="Arial"/>
          <w:sz w:val="20"/>
          <w:szCs w:val="20"/>
          <w:lang w:val="en-GB"/>
        </w:rPr>
        <w:t xml:space="preserve">a </w:t>
      </w:r>
      <w:r>
        <w:rPr>
          <w:rFonts w:ascii="Arial" w:hAnsi="Arial" w:cs="Arial"/>
          <w:b/>
          <w:bCs/>
          <w:sz w:val="20"/>
          <w:szCs w:val="20"/>
          <w:lang w:val="en-GB"/>
        </w:rPr>
        <w:t>Vision for Agriculture and Food</w:t>
      </w:r>
      <w:r>
        <w:rPr>
          <w:rFonts w:ascii="Arial" w:hAnsi="Arial" w:cs="Arial"/>
          <w:sz w:val="20"/>
          <w:szCs w:val="20"/>
          <w:lang w:val="en-GB"/>
        </w:rPr>
        <w:t>, focused on rewarding farmers working with nature, preserving our biodiversity and natural ecosystems and helping to decarbonise our economy on the way to net-zero by 205</w:t>
      </w:r>
      <w:r>
        <w:rPr>
          <w:rFonts w:ascii="Arial" w:hAnsi="Arial" w:cs="Arial"/>
          <w:sz w:val="20"/>
          <w:szCs w:val="20"/>
          <w:lang w:val="en-GB"/>
        </w:rPr>
        <w:t>0</w:t>
      </w:r>
      <w:r>
        <w:rPr>
          <w:rFonts w:ascii="Arial" w:hAnsi="Arial" w:cs="Arial"/>
          <w:sz w:val="20"/>
          <w:szCs w:val="20"/>
          <w:lang w:val="en-GB"/>
        </w:rPr>
        <w:t>.</w:t>
      </w:r>
    </w:p>
    <w:p w14:paraId="03E603B2" w14:textId="77777777">
      <w:pPr>
        <w:pStyle w:val="NormalWeb"/>
        <w:spacing w:before="0" w:beforeAutospacing="0" w:after="0" w:afterAutospacing="0" w:line="288" w:lineRule="auto"/>
        <w:jc w:val="both"/>
        <w:rPr>
          <w:rFonts w:ascii="Arial" w:hAnsi="Arial" w:cs="Arial"/>
          <w:sz w:val="20"/>
          <w:szCs w:val="20"/>
          <w:lang w:val="en-GB"/>
        </w:rPr>
      </w:pPr>
    </w:p>
    <w:p w14:paraId="08440093" w14:textId="77777777">
      <w:pPr>
        <w:pStyle w:val="Heading1"/>
        <w:rPr>
          <w:b w:val="0"/>
          <w:lang w:val="en-GB"/>
        </w:rPr>
      </w:pPr>
      <w:r>
        <w:rPr>
          <w:lang w:val="en-GB"/>
        </w:rPr>
        <w:t xml:space="preserve">The CoR context </w:t>
      </w:r>
    </w:p>
    <w:p w14:paraId="487DD508" w14:textId="77777777">
      <w:pPr>
        <w:pStyle w:val="Corpo"/>
        <w:rPr>
          <w:rFonts w:ascii="Arial" w:hAnsi="Arial" w:cs="Arial" w:eastAsiaTheme="minorHAnsi"/>
          <w:color w:val="auto"/>
          <w:sz w:val="20"/>
          <w:szCs w:val="20"/>
          <w:bdr w:val="none" w:color="auto" w:sz="0" w:space="0"/>
          <w:lang w:val="en-GB" w:eastAsia="en-US"/>
          <w14:textOutline w14:w="0" w14:cap="rnd" w14:cmpd="sng" w14:algn="ctr">
            <w14:noFill/>
            <w14:prstDash w14:val="solid"/>
            <w14:bevel/>
          </w14:textOutline>
        </w:rPr>
      </w:pPr>
    </w:p>
    <w:p w14:paraId="33D6B14A" w14:textId="316B1ADB">
      <w:pPr>
        <w:pStyle w:val="Corpo"/>
        <w:rPr>
          <w:rFonts w:ascii="Arial" w:hAnsi="Arial" w:cs="Arial" w:eastAsiaTheme="minorHAnsi"/>
          <w:sz w:val="20"/>
          <w:szCs w:val="20"/>
          <w:lang w:val="en-GB" w:eastAsia="en-US"/>
        </w:rPr>
      </w:pPr>
      <w:r>
        <w:rPr>
          <w:rFonts w:ascii="Arial" w:hAnsi="Arial" w:cs="Arial" w:eastAsiaTheme="minorHAnsi"/>
          <w:color w:val="auto"/>
          <w:sz w:val="20"/>
          <w:szCs w:val="20"/>
          <w:bdr w:val="none" w:color="auto" w:sz="0" w:space="0"/>
          <w:lang w:val="en-GB" w:eastAsia="en-US"/>
          <w14:textOutline w14:w="0" w14:cap="rnd" w14:cmpd="sng" w14:algn="ctr">
            <w14:noFill/>
            <w14:prstDash w14:val="solid"/>
            <w14:bevel/>
          </w14:textOutline>
        </w:rPr>
        <w:t>In 2023 the CoR Bureau</w:t>
      </w:r>
      <w:r>
        <w:rPr>
          <w:rFonts w:ascii="Arial" w:hAnsi="Arial" w:cs="Arial"/>
          <w:color w:val="auto"/>
          <w:sz w:val="20"/>
          <w:szCs w:val="20"/>
          <w:u w:color="FF0000"/>
          <w:lang w:val="en-GB"/>
        </w:rPr>
        <w:t xml:space="preserve"> defined a set of actions that the CoR could take in order to boost its contribution to the EU goal of climate neutrality</w:t>
      </w:r>
      <w:r>
        <w:rPr>
          <w:rStyle w:val="FootnoteReference"/>
          <w:rFonts w:ascii="Arial" w:hAnsi="Arial" w:cs="Arial"/>
          <w:color w:val="auto"/>
          <w:sz w:val="22"/>
          <w:u w:color="FF0000"/>
          <w:lang w:val="en-GB"/>
        </w:rPr>
        <w:footnoteReference w:id="4"/>
      </w:r>
      <w:r>
        <w:rPr>
          <w:rFonts w:ascii="Arial" w:hAnsi="Arial" w:cs="Arial"/>
          <w:color w:val="auto"/>
          <w:sz w:val="20"/>
          <w:szCs w:val="20"/>
          <w:u w:color="FF0000"/>
          <w:lang w:val="en-GB"/>
        </w:rPr>
        <w:t>, both as a political assembly and as an institution. These stressed the important political role of the Green Deal Going Local working group and its comprehensive approach to the green transition, underlying the clear need to continue its work. Following up on these recommendations, i</w:t>
      </w:r>
      <w:r>
        <w:rPr>
          <w:rFonts w:ascii="Arial" w:hAnsi="Arial" w:cs="Arial" w:eastAsiaTheme="minorHAnsi"/>
          <w:sz w:val="20"/>
          <w:szCs w:val="20"/>
          <w:lang w:val="en-GB" w:eastAsia="en-US"/>
        </w:rPr>
        <w:t xml:space="preserve">n 2024 the Green Deal Going Local (GDGL) working group published the report </w:t>
      </w:r>
      <w:hyperlink w:history="1" r:id="rId11">
        <w:r>
          <w:rPr>
            <w:rStyle w:val="Hyperlink"/>
            <w:rFonts w:ascii="Arial" w:hAnsi="Arial" w:cs="Arial" w:eastAsiaTheme="minorHAnsi"/>
            <w:i/>
            <w:iCs/>
            <w:sz w:val="20"/>
            <w:szCs w:val="20"/>
            <w:lang w:val="en-GB" w:eastAsia="en-US"/>
          </w:rPr>
          <w:t>Regions and Cities shaping the Green Deal 2.0</w:t>
        </w:r>
      </w:hyperlink>
      <w:r>
        <w:rPr>
          <w:rFonts w:ascii="Arial" w:hAnsi="Arial" w:cs="Arial" w:eastAsiaTheme="minorHAnsi"/>
          <w:sz w:val="20"/>
          <w:szCs w:val="20"/>
          <w:lang w:val="en-GB" w:eastAsia="en-US"/>
        </w:rPr>
        <w:t xml:space="preserve">. The report includes the CoR recommendations on the future of the European Green Deal, developed under the leadership of the GDGL working group and adopted by the CoR Bureau in April 2024. The </w:t>
      </w:r>
      <w:r>
        <w:rPr>
          <w:rFonts w:ascii="Arial" w:hAnsi="Arial" w:cs="Arial" w:eastAsiaTheme="minorHAnsi"/>
          <w:sz w:val="20"/>
          <w:szCs w:val="20"/>
          <w:lang w:val="en-GB" w:eastAsia="en-US"/>
        </w:rPr>
        <w:t>five</w:t>
      </w:r>
      <w:r>
        <w:rPr>
          <w:rFonts w:ascii="Arial" w:hAnsi="Arial" w:cs="Arial" w:eastAsiaTheme="minorHAnsi"/>
          <w:sz w:val="20"/>
          <w:szCs w:val="20"/>
          <w:lang w:val="en-GB" w:eastAsia="en-US"/>
        </w:rPr>
        <w:t xml:space="preserve"> key messages of the report are the following:</w:t>
      </w:r>
    </w:p>
    <w:p w14:paraId="3F4A3EE1" w14:textId="77777777">
      <w:pPr>
        <w:pStyle w:val="Corpo"/>
        <w:rPr>
          <w:rFonts w:ascii="Arial" w:hAnsi="Arial" w:cs="Arial"/>
          <w:sz w:val="20"/>
          <w:szCs w:val="20"/>
          <w:lang w:val="en-GB"/>
        </w:rPr>
      </w:pPr>
    </w:p>
    <w:p w14:paraId="4E5C2BF7" w14:textId="077CD25F">
      <w:pPr>
        <w:pStyle w:val="Corpo"/>
        <w:numPr>
          <w:ilvl w:val="0"/>
          <w:numId w:val="41"/>
        </w:numPr>
        <w:rPr>
          <w:rFonts w:ascii="Arial" w:hAnsi="Arial" w:cs="Arial"/>
          <w:color w:val="auto"/>
          <w:sz w:val="20"/>
          <w:szCs w:val="20"/>
          <w:u w:color="FF0000"/>
          <w:lang w:val="en-GB"/>
        </w:rPr>
      </w:pPr>
      <w:r>
        <w:rPr>
          <w:rFonts w:ascii="Arial" w:hAnsi="Arial" w:cs="Arial"/>
          <w:color w:val="auto"/>
          <w:sz w:val="20"/>
          <w:szCs w:val="20"/>
          <w:u w:color="FF0000"/>
          <w:lang w:val="en-GB"/>
        </w:rPr>
        <w:t xml:space="preserve">Green Deal 2.0 must go </w:t>
      </w:r>
      <w:r>
        <w:rPr>
          <w:rFonts w:ascii="Arial" w:hAnsi="Arial" w:cs="Arial"/>
          <w:b/>
          <w:bCs/>
          <w:color w:val="auto"/>
          <w:sz w:val="20"/>
          <w:szCs w:val="20"/>
          <w:u w:color="FF0000"/>
          <w:lang w:val="en-GB"/>
        </w:rPr>
        <w:t>beyond a single term</w:t>
      </w:r>
      <w:r>
        <w:rPr>
          <w:rFonts w:ascii="Arial" w:hAnsi="Arial" w:cs="Arial"/>
          <w:color w:val="auto"/>
          <w:sz w:val="20"/>
          <w:szCs w:val="20"/>
          <w:u w:color="FF0000"/>
          <w:lang w:val="en-GB"/>
        </w:rPr>
        <w:t xml:space="preserve">, with the level of ambition required by science, and a stronger </w:t>
      </w:r>
      <w:r>
        <w:rPr>
          <w:rFonts w:ascii="Arial" w:hAnsi="Arial" w:cs="Arial"/>
          <w:color w:val="auto"/>
          <w:sz w:val="20"/>
          <w:szCs w:val="20"/>
          <w:u w:color="FF0000"/>
          <w:lang w:val="en-GB"/>
        </w:rPr>
        <w:t xml:space="preserve">focus </w:t>
      </w:r>
      <w:r>
        <w:rPr>
          <w:rFonts w:ascii="Arial" w:hAnsi="Arial" w:cs="Arial"/>
          <w:color w:val="auto"/>
          <w:sz w:val="20"/>
          <w:szCs w:val="20"/>
          <w:u w:color="FF0000"/>
          <w:lang w:val="en-GB"/>
        </w:rPr>
        <w:t>on the just transition.</w:t>
      </w:r>
    </w:p>
    <w:p w14:paraId="410F7288" w14:textId="5E94CD2E">
      <w:pPr>
        <w:pStyle w:val="Corpo"/>
        <w:numPr>
          <w:ilvl w:val="0"/>
          <w:numId w:val="41"/>
        </w:numPr>
        <w:rPr>
          <w:rFonts w:ascii="Arial" w:hAnsi="Arial" w:cs="Arial"/>
          <w:color w:val="auto"/>
          <w:sz w:val="20"/>
          <w:szCs w:val="20"/>
          <w:u w:color="FF0000"/>
          <w:lang w:val="en-GB"/>
        </w:rPr>
      </w:pPr>
      <w:r>
        <w:rPr>
          <w:rFonts w:ascii="Arial" w:hAnsi="Arial" w:cs="Arial"/>
          <w:color w:val="auto"/>
          <w:sz w:val="20"/>
          <w:szCs w:val="20"/>
          <w:u w:color="FF0000"/>
          <w:lang w:val="en-GB"/>
        </w:rPr>
        <w:t xml:space="preserve">Green Deal 2.0 must </w:t>
      </w:r>
      <w:r>
        <w:rPr>
          <w:rFonts w:ascii="Arial" w:hAnsi="Arial" w:cs="Arial"/>
          <w:b/>
          <w:bCs/>
          <w:color w:val="auto"/>
          <w:sz w:val="20"/>
          <w:szCs w:val="20"/>
          <w:u w:color="FF0000"/>
          <w:lang w:val="en-GB"/>
        </w:rPr>
        <w:t>foster better integration of different policy areas, leveraging synergies</w:t>
      </w:r>
      <w:r>
        <w:rPr>
          <w:rFonts w:ascii="Arial" w:hAnsi="Arial" w:cs="Arial"/>
          <w:color w:val="auto"/>
          <w:sz w:val="20"/>
          <w:szCs w:val="20"/>
          <w:u w:color="FF0000"/>
          <w:lang w:val="en-GB"/>
        </w:rPr>
        <w:t>, minimi</w:t>
      </w:r>
      <w:r>
        <w:rPr>
          <w:rFonts w:ascii="Arial" w:hAnsi="Arial" w:cs="Arial"/>
          <w:color w:val="auto"/>
          <w:sz w:val="20"/>
          <w:szCs w:val="20"/>
          <w:u w:color="FF0000"/>
          <w:lang w:val="en-GB"/>
        </w:rPr>
        <w:t>s</w:t>
      </w:r>
      <w:r>
        <w:rPr>
          <w:rFonts w:ascii="Arial" w:hAnsi="Arial" w:cs="Arial"/>
          <w:color w:val="auto"/>
          <w:sz w:val="20"/>
          <w:szCs w:val="20"/>
          <w:u w:color="FF0000"/>
          <w:lang w:val="en-GB"/>
        </w:rPr>
        <w:t>ing trade-offs, and includ</w:t>
      </w:r>
      <w:r>
        <w:rPr>
          <w:rFonts w:ascii="Arial" w:hAnsi="Arial" w:cs="Arial"/>
          <w:color w:val="auto"/>
          <w:sz w:val="20"/>
          <w:szCs w:val="20"/>
          <w:u w:color="FF0000"/>
          <w:lang w:val="en-GB"/>
        </w:rPr>
        <w:t>ing</w:t>
      </w:r>
      <w:r>
        <w:rPr>
          <w:rFonts w:ascii="Arial" w:hAnsi="Arial" w:cs="Arial"/>
          <w:color w:val="auto"/>
          <w:sz w:val="20"/>
          <w:szCs w:val="20"/>
          <w:u w:color="FF0000"/>
          <w:lang w:val="en-GB"/>
        </w:rPr>
        <w:t xml:space="preserve"> socio-ecological and well-being indicators to capture the real benefits of the transition.</w:t>
      </w:r>
    </w:p>
    <w:p w14:paraId="08A9900B" w14:textId="0D904B42">
      <w:pPr>
        <w:pStyle w:val="Corpo"/>
        <w:numPr>
          <w:ilvl w:val="0"/>
          <w:numId w:val="41"/>
        </w:numPr>
        <w:rPr>
          <w:rFonts w:ascii="Arial" w:hAnsi="Arial" w:cs="Arial"/>
          <w:color w:val="auto"/>
          <w:sz w:val="20"/>
          <w:szCs w:val="20"/>
          <w:u w:color="FF0000"/>
          <w:lang w:val="en-GB"/>
        </w:rPr>
      </w:pPr>
      <w:r>
        <w:rPr>
          <w:rFonts w:ascii="Arial" w:hAnsi="Arial" w:cs="Arial"/>
          <w:color w:val="auto"/>
          <w:sz w:val="20"/>
          <w:szCs w:val="20"/>
          <w:u w:color="FF0000"/>
          <w:lang w:val="en-GB"/>
        </w:rPr>
        <w:t xml:space="preserve">Green Deal 2.0 must </w:t>
      </w:r>
      <w:r>
        <w:rPr>
          <w:rFonts w:ascii="Arial" w:hAnsi="Arial" w:cs="Arial"/>
          <w:b/>
          <w:bCs/>
          <w:color w:val="auto"/>
          <w:sz w:val="20"/>
          <w:szCs w:val="20"/>
          <w:u w:color="FF0000"/>
          <w:lang w:val="en-GB"/>
        </w:rPr>
        <w:t>strengthen multi-level governance</w:t>
      </w:r>
      <w:r>
        <w:rPr>
          <w:rFonts w:ascii="Arial" w:hAnsi="Arial" w:cs="Arial"/>
          <w:color w:val="auto"/>
          <w:sz w:val="20"/>
          <w:szCs w:val="20"/>
          <w:u w:color="FF0000"/>
          <w:lang w:val="en-GB"/>
        </w:rPr>
        <w:t xml:space="preserve"> and act as a role model for a </w:t>
      </w:r>
      <w:r>
        <w:rPr>
          <w:rFonts w:ascii="Arial" w:hAnsi="Arial" w:cs="Arial"/>
          <w:color w:val="auto"/>
          <w:sz w:val="20"/>
          <w:szCs w:val="20"/>
          <w:u w:color="FF0000"/>
          <w:lang w:val="en-GB"/>
        </w:rPr>
        <w:t>global green deal</w:t>
      </w:r>
      <w:r>
        <w:rPr>
          <w:rFonts w:ascii="Arial" w:hAnsi="Arial" w:cs="Arial"/>
          <w:color w:val="auto"/>
          <w:sz w:val="20"/>
          <w:szCs w:val="20"/>
          <w:u w:color="FF0000"/>
          <w:lang w:val="en-GB"/>
        </w:rPr>
        <w:t xml:space="preserve">, where cities and regions have a central role in global level discussions. </w:t>
      </w:r>
    </w:p>
    <w:p w14:paraId="6C07B828" w14:textId="73A3EBE1">
      <w:pPr>
        <w:pStyle w:val="Corpo"/>
        <w:numPr>
          <w:ilvl w:val="0"/>
          <w:numId w:val="41"/>
        </w:numPr>
        <w:rPr>
          <w:rFonts w:ascii="Arial" w:hAnsi="Arial" w:cs="Arial"/>
          <w:color w:val="auto"/>
          <w:sz w:val="20"/>
          <w:szCs w:val="20"/>
          <w:u w:color="FF0000"/>
          <w:lang w:val="en-GB"/>
        </w:rPr>
      </w:pPr>
      <w:r>
        <w:rPr>
          <w:rFonts w:ascii="Arial" w:hAnsi="Arial" w:cs="Arial"/>
          <w:color w:val="auto"/>
          <w:sz w:val="20"/>
          <w:szCs w:val="20"/>
          <w:u w:color="FF0000"/>
          <w:lang w:val="en-GB"/>
        </w:rPr>
        <w:t xml:space="preserve">Green Deal 2.0 must </w:t>
      </w:r>
      <w:r>
        <w:rPr>
          <w:rFonts w:ascii="Arial" w:hAnsi="Arial" w:cs="Arial"/>
          <w:b/>
          <w:bCs/>
          <w:color w:val="auto"/>
          <w:sz w:val="20"/>
          <w:szCs w:val="20"/>
          <w:u w:color="FF0000"/>
          <w:lang w:val="en-GB"/>
        </w:rPr>
        <w:t>empower cities and region</w:t>
      </w:r>
      <w:r>
        <w:rPr>
          <w:rFonts w:ascii="Arial" w:hAnsi="Arial" w:cs="Arial"/>
          <w:color w:val="auto"/>
          <w:sz w:val="20"/>
          <w:szCs w:val="20"/>
          <w:u w:color="FF0000"/>
          <w:lang w:val="en-GB"/>
        </w:rPr>
        <w:t xml:space="preserve">s to tackle climate change, biodiversity loss, and achieve zero pollution targets simultaneously. </w:t>
      </w:r>
    </w:p>
    <w:p w14:paraId="7F30BF47" w14:textId="729D0CD3">
      <w:pPr>
        <w:pStyle w:val="Corpo"/>
        <w:numPr>
          <w:ilvl w:val="0"/>
          <w:numId w:val="41"/>
        </w:numPr>
        <w:rPr>
          <w:rFonts w:ascii="Arial" w:hAnsi="Arial" w:cs="Arial"/>
          <w:color w:val="auto"/>
          <w:sz w:val="20"/>
          <w:szCs w:val="20"/>
          <w:lang w:val="en-GB"/>
        </w:rPr>
      </w:pPr>
      <w:r>
        <w:rPr>
          <w:rFonts w:ascii="Arial" w:hAnsi="Arial" w:cs="Arial"/>
          <w:color w:val="auto"/>
          <w:sz w:val="20"/>
          <w:szCs w:val="20"/>
          <w:lang w:val="en-GB"/>
        </w:rPr>
        <w:t xml:space="preserve">Green Deal 2.0 must provide </w:t>
      </w:r>
      <w:r>
        <w:rPr>
          <w:rFonts w:ascii="Arial" w:hAnsi="Arial" w:cs="Arial"/>
          <w:b/>
          <w:bCs/>
          <w:color w:val="auto"/>
          <w:sz w:val="20"/>
          <w:szCs w:val="20"/>
          <w:lang w:val="en-GB"/>
        </w:rPr>
        <w:t>more investment opportunities</w:t>
      </w:r>
      <w:r>
        <w:rPr>
          <w:rFonts w:ascii="Arial" w:hAnsi="Arial" w:cs="Arial"/>
          <w:color w:val="auto"/>
          <w:sz w:val="20"/>
          <w:szCs w:val="20"/>
          <w:lang w:val="en-GB"/>
        </w:rPr>
        <w:t xml:space="preserve"> </w:t>
      </w:r>
      <w:r>
        <w:rPr>
          <w:rFonts w:ascii="Arial" w:hAnsi="Arial" w:cs="Arial"/>
          <w:b/>
          <w:bCs/>
          <w:color w:val="auto"/>
          <w:sz w:val="20"/>
          <w:szCs w:val="20"/>
          <w:lang w:val="en-GB"/>
        </w:rPr>
        <w:t>for cities and regions</w:t>
      </w:r>
      <w:r>
        <w:rPr>
          <w:rFonts w:ascii="Arial" w:hAnsi="Arial" w:cs="Arial"/>
          <w:color w:val="auto"/>
          <w:sz w:val="20"/>
          <w:szCs w:val="20"/>
          <w:lang w:val="en-GB"/>
        </w:rPr>
        <w:t>, from technical assistance to increased direct EU funding to accelerate implementation.</w:t>
      </w:r>
    </w:p>
    <w:p w14:paraId="294527B0" w14:textId="77777777">
      <w:pPr>
        <w:rPr>
          <w:rFonts w:ascii="Arial" w:hAnsi="Arial" w:cs="Arial"/>
          <w:b/>
          <w:bCs/>
          <w:kern w:val="28"/>
          <w:sz w:val="20"/>
          <w:szCs w:val="20"/>
          <w:lang w:val="en-GB"/>
        </w:rPr>
      </w:pPr>
    </w:p>
    <w:p w14:paraId="07E4DC9C" w14:textId="1E5B2272">
      <w:pPr>
        <w:pStyle w:val="Heading1"/>
        <w:rPr>
          <w:b w:val="0"/>
          <w:lang w:val="en-GB"/>
        </w:rPr>
      </w:pPr>
      <w:r>
        <w:rPr>
          <w:lang w:val="en-GB"/>
        </w:rPr>
        <w:t>Green Deal Going Local strategic directions</w:t>
      </w:r>
    </w:p>
    <w:p w14:paraId="7E06431E" w14:textId="77777777">
      <w:pPr>
        <w:pStyle w:val="NormalWeb"/>
        <w:spacing w:before="0" w:beforeAutospacing="0" w:after="0" w:afterAutospacing="0" w:line="288" w:lineRule="auto"/>
        <w:jc w:val="both"/>
        <w:rPr>
          <w:rFonts w:ascii="Arial" w:hAnsi="Arial" w:cs="Arial" w:eastAsiaTheme="minorHAnsi"/>
          <w:sz w:val="20"/>
          <w:szCs w:val="20"/>
          <w:lang w:val="en-GB" w:eastAsia="en-US"/>
        </w:rPr>
      </w:pPr>
    </w:p>
    <w:p w14:paraId="6AE365D5" w14:textId="723F6C14">
      <w:pPr>
        <w:pStyle w:val="NormalWeb"/>
        <w:spacing w:before="0" w:beforeAutospacing="0" w:after="0" w:afterAutospacing="0" w:line="288" w:lineRule="auto"/>
        <w:jc w:val="both"/>
        <w:rPr>
          <w:rFonts w:ascii="Arial" w:hAnsi="Arial" w:cs="Arial" w:eastAsiaTheme="minorHAnsi"/>
          <w:sz w:val="20"/>
          <w:szCs w:val="20"/>
          <w:lang w:val="en-GB" w:eastAsia="en-US"/>
        </w:rPr>
      </w:pPr>
      <w:r>
        <w:rPr>
          <w:rFonts w:ascii="Arial" w:hAnsi="Arial" w:cs="Arial" w:eastAsiaTheme="minorHAnsi"/>
          <w:sz w:val="20"/>
          <w:szCs w:val="20"/>
          <w:lang w:val="en-GB" w:eastAsia="en-US"/>
        </w:rPr>
        <w:t>The Green Deal Going Local working group will continue playing a key role as the CoR political body created to provide a forum for political interaction with other EU institutions and high-level partners on the Green Deal. In the 2025-2030 term of office</w:t>
      </w:r>
      <w:r>
        <w:rPr>
          <w:rFonts w:ascii="Arial" w:hAnsi="Arial" w:cs="Arial" w:eastAsiaTheme="minorHAnsi"/>
          <w:sz w:val="20"/>
          <w:szCs w:val="20"/>
          <w:lang w:val="en-GB" w:eastAsia="en-US"/>
        </w:rPr>
        <w:t>,</w:t>
      </w:r>
      <w:r>
        <w:rPr>
          <w:rFonts w:ascii="Arial" w:hAnsi="Arial" w:cs="Arial" w:eastAsiaTheme="minorHAnsi"/>
          <w:sz w:val="20"/>
          <w:szCs w:val="20"/>
          <w:lang w:val="en-GB" w:eastAsia="en-US"/>
        </w:rPr>
        <w:t xml:space="preserve"> GDGL working </w:t>
      </w:r>
      <w:r>
        <w:rPr>
          <w:rFonts w:ascii="Arial" w:hAnsi="Arial" w:cs="Arial" w:eastAsiaTheme="minorHAnsi"/>
          <w:sz w:val="20"/>
          <w:szCs w:val="20"/>
          <w:lang w:val="en-GB" w:eastAsia="en-US"/>
        </w:rPr>
        <w:t xml:space="preserve">group </w:t>
      </w:r>
      <w:r>
        <w:rPr>
          <w:rFonts w:ascii="Arial" w:hAnsi="Arial" w:cs="Arial" w:eastAsiaTheme="minorHAnsi"/>
          <w:sz w:val="20"/>
          <w:szCs w:val="20"/>
          <w:lang w:val="en-GB" w:eastAsia="en-US"/>
        </w:rPr>
        <w:t xml:space="preserve">will ensure </w:t>
      </w:r>
      <w:r>
        <w:rPr>
          <w:rFonts w:ascii="Arial" w:hAnsi="Arial" w:cs="Arial" w:eastAsiaTheme="minorHAnsi"/>
          <w:sz w:val="20"/>
          <w:szCs w:val="20"/>
          <w:lang w:val="en-GB" w:eastAsia="en-US"/>
        </w:rPr>
        <w:t>the</w:t>
      </w:r>
      <w:r>
        <w:rPr>
          <w:rFonts w:ascii="Arial" w:hAnsi="Arial" w:cs="Arial" w:eastAsiaTheme="minorHAnsi"/>
          <w:sz w:val="20"/>
          <w:szCs w:val="20"/>
          <w:lang w:val="en-GB" w:eastAsia="en-US"/>
        </w:rPr>
        <w:t xml:space="preserve"> continuation of the work done in the previous mandate and </w:t>
      </w:r>
      <w:r>
        <w:rPr>
          <w:rFonts w:ascii="Arial" w:hAnsi="Arial" w:cs="Arial" w:eastAsiaTheme="minorHAnsi"/>
          <w:sz w:val="20"/>
          <w:szCs w:val="20"/>
          <w:lang w:val="en-GB" w:eastAsia="en-US"/>
        </w:rPr>
        <w:t xml:space="preserve">the </w:t>
      </w:r>
      <w:r>
        <w:rPr>
          <w:rFonts w:ascii="Arial" w:hAnsi="Arial" w:cs="Arial" w:eastAsiaTheme="minorHAnsi"/>
          <w:sz w:val="20"/>
          <w:szCs w:val="20"/>
          <w:lang w:val="en-GB" w:eastAsia="en-US"/>
        </w:rPr>
        <w:t xml:space="preserve">follow-up on </w:t>
      </w:r>
      <w:r>
        <w:rPr>
          <w:rFonts w:ascii="Arial" w:hAnsi="Arial" w:cs="Arial" w:eastAsiaTheme="minorHAnsi"/>
          <w:b/>
          <w:bCs/>
          <w:sz w:val="20"/>
          <w:szCs w:val="20"/>
          <w:lang w:val="en-GB" w:eastAsia="en-US"/>
        </w:rPr>
        <w:t>Green Deal 2.0 recommendations</w:t>
      </w:r>
      <w:r>
        <w:rPr>
          <w:rFonts w:ascii="Arial" w:hAnsi="Arial" w:cs="Arial" w:eastAsiaTheme="minorHAnsi"/>
          <w:sz w:val="20"/>
          <w:szCs w:val="20"/>
          <w:lang w:val="en-GB" w:eastAsia="en-US"/>
        </w:rPr>
        <w:t xml:space="preserve">, </w:t>
      </w:r>
      <w:r>
        <w:rPr>
          <w:rFonts w:ascii="Arial" w:hAnsi="Arial" w:cs="Arial" w:eastAsiaTheme="minorHAnsi"/>
          <w:sz w:val="20"/>
          <w:szCs w:val="20"/>
          <w:lang w:val="en-GB" w:eastAsia="en-US"/>
        </w:rPr>
        <w:t xml:space="preserve">while </w:t>
      </w:r>
      <w:r>
        <w:rPr>
          <w:rFonts w:ascii="Arial" w:hAnsi="Arial" w:cs="Arial" w:eastAsiaTheme="minorHAnsi"/>
          <w:sz w:val="20"/>
          <w:szCs w:val="20"/>
          <w:lang w:val="en-GB" w:eastAsia="en-US"/>
        </w:rPr>
        <w:t>supporting the new EU priorities as well as the CoR ambition to contribute to the EU</w:t>
      </w:r>
      <w:r>
        <w:rPr>
          <w:rFonts w:ascii="Arial" w:hAnsi="Arial" w:cs="Arial" w:eastAsiaTheme="minorHAnsi"/>
          <w:sz w:val="20"/>
          <w:szCs w:val="20"/>
          <w:lang w:val="en-GB" w:eastAsia="en-US"/>
        </w:rPr>
        <w:t>’s</w:t>
      </w:r>
      <w:r>
        <w:rPr>
          <w:rFonts w:ascii="Arial" w:hAnsi="Arial" w:cs="Arial" w:eastAsiaTheme="minorHAnsi"/>
          <w:sz w:val="20"/>
          <w:szCs w:val="20"/>
          <w:lang w:val="en-GB" w:eastAsia="en-US"/>
        </w:rPr>
        <w:t xml:space="preserve"> climate neutrality goal</w:t>
      </w:r>
      <w:r>
        <w:rPr>
          <w:rFonts w:ascii="Arial" w:hAnsi="Arial" w:cs="Arial" w:eastAsiaTheme="minorHAnsi"/>
          <w:sz w:val="20"/>
          <w:szCs w:val="20"/>
          <w:lang w:val="en-GB" w:eastAsia="en-US"/>
        </w:rPr>
        <w:t>,</w:t>
      </w:r>
      <w:r>
        <w:rPr>
          <w:rFonts w:ascii="Arial" w:hAnsi="Arial" w:cs="Arial" w:eastAsiaTheme="minorHAnsi"/>
          <w:sz w:val="20"/>
          <w:szCs w:val="20"/>
          <w:lang w:val="en-GB" w:eastAsia="en-US"/>
        </w:rPr>
        <w:t xml:space="preserve"> both as a political assembly and as an institution.</w:t>
      </w:r>
    </w:p>
    <w:p w14:paraId="15E734F4" w14:textId="77777777">
      <w:pPr>
        <w:pStyle w:val="NormalWeb"/>
        <w:spacing w:before="0" w:beforeAutospacing="0" w:after="0" w:afterAutospacing="0" w:line="288" w:lineRule="auto"/>
        <w:jc w:val="both"/>
        <w:rPr>
          <w:rFonts w:ascii="Arial" w:hAnsi="Arial" w:cs="Arial" w:eastAsiaTheme="minorHAnsi"/>
          <w:sz w:val="20"/>
          <w:szCs w:val="20"/>
          <w:lang w:val="en-GB" w:eastAsia="en-US"/>
        </w:rPr>
      </w:pPr>
    </w:p>
    <w:p w14:paraId="43A005B7" w14:textId="105AB77F">
      <w:pPr>
        <w:pStyle w:val="NormalWeb"/>
        <w:spacing w:before="0" w:beforeAutospacing="0" w:after="0" w:afterAutospacing="0" w:line="288" w:lineRule="auto"/>
        <w:jc w:val="both"/>
        <w:rPr>
          <w:rFonts w:ascii="Arial" w:hAnsi="Arial" w:cs="Arial"/>
          <w:sz w:val="20"/>
          <w:szCs w:val="20"/>
          <w:lang w:val="en-GB"/>
        </w:rPr>
      </w:pPr>
      <w:r>
        <w:rPr>
          <w:rFonts w:ascii="Arial" w:hAnsi="Arial" w:cs="Arial"/>
          <w:sz w:val="20"/>
          <w:szCs w:val="20"/>
          <w:lang w:val="en-GB"/>
        </w:rPr>
        <w:t xml:space="preserve">The Green Deal Going Local working group will align its political priorities with the </w:t>
      </w:r>
      <w:r>
        <w:rPr>
          <w:rFonts w:ascii="Arial" w:hAnsi="Arial" w:cs="Arial"/>
          <w:b/>
          <w:bCs/>
          <w:sz w:val="20"/>
          <w:szCs w:val="20"/>
          <w:lang w:val="en-GB"/>
        </w:rPr>
        <w:t>CoR</w:t>
      </w:r>
      <w:r>
        <w:rPr>
          <w:rFonts w:ascii="Arial" w:hAnsi="Arial" w:cs="Arial"/>
          <w:b/>
          <w:bCs/>
          <w:sz w:val="20"/>
          <w:szCs w:val="20"/>
          <w:lang w:val="en-GB"/>
        </w:rPr>
        <w:t>’s</w:t>
      </w:r>
      <w:r>
        <w:rPr>
          <w:rFonts w:ascii="Arial" w:hAnsi="Arial" w:cs="Arial"/>
          <w:b/>
          <w:bCs/>
          <w:sz w:val="20"/>
          <w:szCs w:val="20"/>
          <w:lang w:val="en-GB"/>
        </w:rPr>
        <w:t xml:space="preserve"> political agenda and </w:t>
      </w:r>
      <w:r>
        <w:rPr>
          <w:rFonts w:ascii="Arial" w:hAnsi="Arial" w:cs="Arial"/>
          <w:b/>
          <w:bCs/>
          <w:sz w:val="20"/>
          <w:szCs w:val="20"/>
          <w:lang w:val="en-GB"/>
        </w:rPr>
        <w:t xml:space="preserve">the </w:t>
      </w:r>
      <w:r>
        <w:rPr>
          <w:rFonts w:ascii="Arial" w:hAnsi="Arial" w:cs="Arial"/>
          <w:b/>
          <w:bCs/>
          <w:sz w:val="20"/>
          <w:szCs w:val="20"/>
          <w:lang w:val="en-GB"/>
        </w:rPr>
        <w:t>President</w:t>
      </w:r>
      <w:r>
        <w:rPr>
          <w:rFonts w:ascii="Arial" w:hAnsi="Arial" w:cs="Arial"/>
          <w:b/>
          <w:bCs/>
          <w:sz w:val="20"/>
          <w:szCs w:val="20"/>
          <w:lang w:val="en-GB"/>
        </w:rPr>
        <w:t>’s</w:t>
      </w:r>
      <w:r>
        <w:rPr>
          <w:rFonts w:ascii="Arial" w:hAnsi="Arial" w:cs="Arial"/>
          <w:b/>
          <w:bCs/>
          <w:sz w:val="20"/>
          <w:szCs w:val="20"/>
          <w:lang w:val="en-GB"/>
        </w:rPr>
        <w:t xml:space="preserve"> priorities</w:t>
      </w:r>
      <w:r>
        <w:rPr>
          <w:rFonts w:ascii="Arial" w:hAnsi="Arial" w:cs="Arial"/>
          <w:sz w:val="20"/>
          <w:szCs w:val="20"/>
          <w:lang w:val="en-GB"/>
        </w:rPr>
        <w:t xml:space="preserve"> to ensure greater impact and strategic anchoring of its activities.</w:t>
      </w:r>
    </w:p>
    <w:p w14:paraId="7FD4CC35" w14:textId="77777777">
      <w:pPr>
        <w:pStyle w:val="NormalWeb"/>
        <w:spacing w:before="0" w:beforeAutospacing="0" w:after="0" w:afterAutospacing="0" w:line="288" w:lineRule="auto"/>
        <w:jc w:val="both"/>
        <w:rPr>
          <w:rFonts w:ascii="Arial" w:hAnsi="Arial" w:cs="Arial"/>
          <w:sz w:val="20"/>
          <w:szCs w:val="20"/>
          <w:lang w:val="en-GB"/>
        </w:rPr>
      </w:pPr>
    </w:p>
    <w:p w14:paraId="30C68C2C" w14:textId="062220F2">
      <w:pPr>
        <w:pStyle w:val="NormalWeb"/>
        <w:spacing w:before="0" w:beforeAutospacing="0" w:after="0" w:afterAutospacing="0" w:line="288" w:lineRule="auto"/>
        <w:jc w:val="both"/>
        <w:rPr>
          <w:rFonts w:ascii="Arial" w:hAnsi="Arial" w:cs="Arial" w:eastAsiaTheme="minorHAnsi"/>
          <w:sz w:val="20"/>
          <w:szCs w:val="20"/>
          <w:lang w:val="en-GB" w:eastAsia="en-US"/>
        </w:rPr>
      </w:pPr>
      <w:r>
        <w:rPr>
          <w:rFonts w:ascii="Arial" w:hAnsi="Arial" w:cs="Arial" w:eastAsiaTheme="minorHAnsi"/>
          <w:sz w:val="20"/>
          <w:szCs w:val="20"/>
          <w:lang w:val="en-GB" w:eastAsia="en-US"/>
        </w:rPr>
        <w:t>The GDGL working group will work towards a new green transition agenda to be more flexible and more ready to respond to Europe</w:t>
      </w:r>
      <w:r>
        <w:rPr>
          <w:rFonts w:ascii="Arial" w:hAnsi="Arial" w:cs="Arial" w:eastAsiaTheme="minorHAnsi"/>
          <w:sz w:val="20"/>
          <w:szCs w:val="20"/>
          <w:lang w:val="en-GB" w:eastAsia="en-US"/>
        </w:rPr>
        <w:t>’</w:t>
      </w:r>
      <w:r>
        <w:rPr>
          <w:rFonts w:ascii="Arial" w:hAnsi="Arial" w:cs="Arial" w:eastAsiaTheme="minorHAnsi"/>
          <w:sz w:val="20"/>
          <w:szCs w:val="20"/>
          <w:lang w:val="en-GB" w:eastAsia="en-US"/>
        </w:rPr>
        <w:t xml:space="preserve">s needs in an evolving context. A renewed agenda that fosters </w:t>
      </w:r>
      <w:r>
        <w:rPr>
          <w:rFonts w:ascii="Arial" w:hAnsi="Arial" w:cs="Arial" w:eastAsiaTheme="minorHAnsi"/>
          <w:b/>
          <w:bCs/>
          <w:sz w:val="20"/>
          <w:szCs w:val="20"/>
          <w:lang w:val="en-GB" w:eastAsia="en-US"/>
        </w:rPr>
        <w:t>sustainable competitiveness</w:t>
      </w:r>
      <w:r>
        <w:rPr>
          <w:rFonts w:ascii="Arial" w:hAnsi="Arial" w:cs="Arial" w:eastAsiaTheme="minorHAnsi"/>
          <w:sz w:val="20"/>
          <w:szCs w:val="20"/>
          <w:lang w:val="en-GB" w:eastAsia="en-US"/>
        </w:rPr>
        <w:t xml:space="preserve"> and </w:t>
      </w:r>
      <w:r>
        <w:rPr>
          <w:rFonts w:ascii="Arial" w:hAnsi="Arial" w:cs="Arial" w:eastAsiaTheme="minorHAnsi"/>
          <w:b/>
          <w:bCs/>
          <w:sz w:val="20"/>
          <w:szCs w:val="20"/>
          <w:lang w:val="en-GB" w:eastAsia="en-US"/>
        </w:rPr>
        <w:t>strategic autonomy</w:t>
      </w:r>
      <w:r>
        <w:rPr>
          <w:rFonts w:ascii="Arial" w:hAnsi="Arial" w:cs="Arial" w:eastAsiaTheme="minorHAnsi"/>
          <w:sz w:val="20"/>
          <w:szCs w:val="20"/>
          <w:lang w:val="en-GB" w:eastAsia="en-US"/>
        </w:rPr>
        <w:t>, eradicate</w:t>
      </w:r>
      <w:r>
        <w:rPr>
          <w:rFonts w:ascii="Arial" w:hAnsi="Arial" w:cs="Arial" w:eastAsiaTheme="minorHAnsi"/>
          <w:sz w:val="20"/>
          <w:szCs w:val="20"/>
          <w:lang w:val="en-GB" w:eastAsia="en-US"/>
        </w:rPr>
        <w:t>s</w:t>
      </w:r>
      <w:r>
        <w:rPr>
          <w:rFonts w:ascii="Arial" w:hAnsi="Arial" w:cs="Arial" w:eastAsiaTheme="minorHAnsi"/>
          <w:sz w:val="20"/>
          <w:szCs w:val="20"/>
          <w:lang w:val="en-GB" w:eastAsia="en-US"/>
        </w:rPr>
        <w:t xml:space="preserve"> </w:t>
      </w:r>
      <w:r>
        <w:rPr>
          <w:rFonts w:ascii="Arial" w:hAnsi="Arial" w:cs="Arial" w:eastAsiaTheme="minorHAnsi"/>
          <w:b/>
          <w:bCs/>
          <w:sz w:val="20"/>
          <w:szCs w:val="20"/>
          <w:lang w:val="en-GB" w:eastAsia="en-US"/>
        </w:rPr>
        <w:t>social inequalities</w:t>
      </w:r>
      <w:r>
        <w:rPr>
          <w:rFonts w:ascii="Arial" w:hAnsi="Arial" w:cs="Arial" w:eastAsiaTheme="minorHAnsi"/>
          <w:sz w:val="20"/>
          <w:szCs w:val="20"/>
          <w:lang w:val="en-GB" w:eastAsia="en-US"/>
        </w:rPr>
        <w:t xml:space="preserve"> and further exploit</w:t>
      </w:r>
      <w:r>
        <w:rPr>
          <w:rFonts w:ascii="Arial" w:hAnsi="Arial" w:cs="Arial" w:eastAsiaTheme="minorHAnsi"/>
          <w:sz w:val="20"/>
          <w:szCs w:val="20"/>
          <w:lang w:val="en-GB" w:eastAsia="en-US"/>
        </w:rPr>
        <w:t>s</w:t>
      </w:r>
      <w:r>
        <w:rPr>
          <w:rFonts w:ascii="Arial" w:hAnsi="Arial" w:cs="Arial" w:eastAsiaTheme="minorHAnsi"/>
          <w:sz w:val="20"/>
          <w:szCs w:val="20"/>
          <w:lang w:val="en-GB" w:eastAsia="en-US"/>
        </w:rPr>
        <w:t xml:space="preserve"> the potential of </w:t>
      </w:r>
      <w:r>
        <w:rPr>
          <w:rFonts w:ascii="Arial" w:hAnsi="Arial" w:cs="Arial" w:eastAsiaTheme="minorHAnsi"/>
          <w:b/>
          <w:bCs/>
          <w:sz w:val="20"/>
          <w:szCs w:val="20"/>
          <w:lang w:val="en-GB" w:eastAsia="en-US"/>
        </w:rPr>
        <w:t>green innovation within the planetary boundaries</w:t>
      </w:r>
      <w:r>
        <w:rPr>
          <w:rFonts w:ascii="Arial" w:hAnsi="Arial" w:cs="Arial" w:eastAsiaTheme="minorHAnsi"/>
          <w:sz w:val="20"/>
          <w:szCs w:val="20"/>
          <w:lang w:val="en-GB" w:eastAsia="en-US"/>
        </w:rPr>
        <w:t xml:space="preserve">, placing regions and cities, and their specific contexts and needs, at its centre. </w:t>
      </w:r>
    </w:p>
    <w:p w14:paraId="3B01E9BC" w14:textId="77777777">
      <w:pPr>
        <w:pStyle w:val="NormalWeb"/>
        <w:spacing w:before="0" w:beforeAutospacing="0" w:after="0" w:afterAutospacing="0" w:line="288" w:lineRule="auto"/>
        <w:jc w:val="both"/>
        <w:rPr>
          <w:rFonts w:ascii="Arial" w:hAnsi="Arial" w:cs="Arial" w:eastAsiaTheme="minorHAnsi"/>
          <w:sz w:val="20"/>
          <w:szCs w:val="20"/>
          <w:lang w:val="en-GB" w:eastAsia="en-US"/>
        </w:rPr>
      </w:pPr>
    </w:p>
    <w:p w14:paraId="4BFC4E1F" w14:textId="7B115362">
      <w:pPr>
        <w:pStyle w:val="NormalWeb"/>
        <w:spacing w:before="0" w:beforeAutospacing="0" w:after="0" w:afterAutospacing="0" w:line="288" w:lineRule="auto"/>
        <w:jc w:val="both"/>
        <w:rPr>
          <w:rFonts w:ascii="Arial" w:hAnsi="Arial" w:cs="Arial"/>
          <w:sz w:val="20"/>
          <w:szCs w:val="20"/>
          <w:lang w:val="en-GB"/>
        </w:rPr>
      </w:pPr>
      <w:r>
        <w:rPr>
          <w:rFonts w:ascii="Arial" w:hAnsi="Arial" w:cs="Arial" w:eastAsiaTheme="minorHAnsi"/>
          <w:sz w:val="20"/>
          <w:szCs w:val="20"/>
          <w:lang w:val="en-GB" w:eastAsia="en-US"/>
        </w:rPr>
        <w:t xml:space="preserve">Taking </w:t>
      </w:r>
      <w:r>
        <w:rPr>
          <w:rFonts w:ascii="Arial" w:hAnsi="Arial" w:cs="Arial" w:eastAsiaTheme="minorHAnsi"/>
          <w:sz w:val="20"/>
          <w:szCs w:val="20"/>
          <w:lang w:val="en-GB" w:eastAsia="en-US"/>
        </w:rPr>
        <w:t xml:space="preserve">into account </w:t>
      </w:r>
      <w:r>
        <w:rPr>
          <w:rFonts w:ascii="Arial" w:hAnsi="Arial" w:cs="Arial" w:eastAsiaTheme="minorHAnsi"/>
          <w:sz w:val="20"/>
          <w:szCs w:val="20"/>
          <w:lang w:val="en-GB" w:eastAsia="en-US"/>
        </w:rPr>
        <w:t xml:space="preserve">the key achievements of the GDGL working group, the Bureau decision on </w:t>
      </w:r>
      <w:r>
        <w:rPr>
          <w:rFonts w:ascii="Arial" w:hAnsi="Arial" w:cs="Arial" w:eastAsiaTheme="minorHAnsi"/>
          <w:i/>
          <w:iCs/>
          <w:sz w:val="20"/>
          <w:szCs w:val="20"/>
          <w:lang w:val="en-GB" w:eastAsia="en-US"/>
        </w:rPr>
        <w:t xml:space="preserve">Green Deal 2.0 </w:t>
      </w:r>
      <w:r>
        <w:rPr>
          <w:rFonts w:ascii="Arial" w:hAnsi="Arial" w:cs="Arial" w:eastAsiaTheme="minorHAnsi"/>
          <w:sz w:val="20"/>
          <w:szCs w:val="20"/>
          <w:lang w:val="en-GB" w:eastAsia="en-US"/>
        </w:rPr>
        <w:t xml:space="preserve">of April 2024, the Bureau decision on </w:t>
      </w:r>
      <w:r>
        <w:rPr>
          <w:rFonts w:ascii="Arial" w:hAnsi="Arial" w:cs="Arial" w:eastAsiaTheme="minorHAnsi"/>
          <w:i/>
          <w:iCs/>
          <w:sz w:val="20"/>
          <w:szCs w:val="20"/>
          <w:lang w:val="en-GB" w:eastAsia="en-US"/>
        </w:rPr>
        <w:t>Recommendations by the outgoing CoR bureau concerning the new 2025-2030 term of office</w:t>
      </w:r>
      <w:r>
        <w:rPr>
          <w:rFonts w:ascii="Arial" w:hAnsi="Arial" w:cs="Arial" w:eastAsiaTheme="minorHAnsi"/>
          <w:sz w:val="20"/>
          <w:szCs w:val="20"/>
          <w:lang w:val="en-GB" w:eastAsia="en-US"/>
        </w:rPr>
        <w:t xml:space="preserve"> of November 2024, the Bureau decision on </w:t>
      </w:r>
      <w:r>
        <w:rPr>
          <w:rFonts w:ascii="Arial" w:hAnsi="Arial" w:cs="Arial" w:eastAsiaTheme="minorHAnsi"/>
          <w:i/>
          <w:iCs/>
          <w:sz w:val="20"/>
          <w:szCs w:val="20"/>
          <w:lang w:val="en-GB" w:eastAsia="en-US"/>
        </w:rPr>
        <w:t>Setting-up and renewal of working groups, joint consultative committees and other political bodies in the CoR 8th term of office 2025–2030</w:t>
      </w:r>
      <w:r>
        <w:rPr>
          <w:rFonts w:ascii="Arial" w:hAnsi="Arial" w:cs="Arial" w:eastAsiaTheme="minorHAnsi"/>
          <w:sz w:val="20"/>
          <w:szCs w:val="20"/>
          <w:lang w:val="en-GB" w:eastAsia="en-US"/>
        </w:rPr>
        <w:t xml:space="preserve"> of April 2025, and the directions of the EU Better Regulation agenda and the European Commission political guidelines 2024-2029, the strategic directions of the working group </w:t>
      </w:r>
      <w:r>
        <w:rPr>
          <w:rFonts w:ascii="Arial" w:hAnsi="Arial" w:cs="Arial" w:eastAsiaTheme="minorHAnsi"/>
          <w:sz w:val="20"/>
          <w:szCs w:val="20"/>
          <w:lang w:val="en-GB" w:eastAsia="en-US"/>
        </w:rPr>
        <w:t>during</w:t>
      </w:r>
      <w:r>
        <w:rPr>
          <w:rFonts w:ascii="Arial" w:hAnsi="Arial" w:cs="Arial" w:eastAsiaTheme="minorHAnsi"/>
          <w:sz w:val="20"/>
          <w:szCs w:val="20"/>
          <w:lang w:val="en-GB" w:eastAsia="en-US"/>
        </w:rPr>
        <w:t xml:space="preserve"> the CoR </w:t>
      </w:r>
      <w:r>
        <w:rPr>
          <w:rFonts w:ascii="Arial" w:hAnsi="Arial" w:cs="Arial" w:eastAsiaTheme="minorHAnsi"/>
          <w:sz w:val="20"/>
          <w:szCs w:val="20"/>
          <w:lang w:val="en-GB" w:eastAsia="en-US"/>
        </w:rPr>
        <w:t xml:space="preserve">2025-2030 </w:t>
      </w:r>
      <w:r>
        <w:rPr>
          <w:rFonts w:ascii="Arial" w:hAnsi="Arial" w:cs="Arial" w:eastAsiaTheme="minorHAnsi"/>
          <w:sz w:val="20"/>
          <w:szCs w:val="20"/>
          <w:lang w:val="en-GB" w:eastAsia="en-US"/>
        </w:rPr>
        <w:t xml:space="preserve">term of office are set </w:t>
      </w:r>
      <w:r>
        <w:rPr>
          <w:rFonts w:ascii="Arial" w:hAnsi="Arial" w:cs="Arial" w:eastAsiaTheme="minorHAnsi"/>
          <w:sz w:val="20"/>
          <w:szCs w:val="20"/>
          <w:lang w:val="en-GB" w:eastAsia="en-US"/>
        </w:rPr>
        <w:t xml:space="preserve">according to </w:t>
      </w:r>
      <w:r>
        <w:rPr>
          <w:rFonts w:ascii="Arial" w:hAnsi="Arial" w:cs="Arial" w:eastAsiaTheme="minorHAnsi"/>
          <w:sz w:val="20"/>
          <w:szCs w:val="20"/>
          <w:lang w:val="en-GB" w:eastAsia="en-US"/>
        </w:rPr>
        <w:t>the following elements.</w:t>
      </w:r>
      <w:r>
        <w:rPr>
          <w:rFonts w:ascii="Arial" w:hAnsi="Arial" w:cs="Arial"/>
          <w:sz w:val="20"/>
          <w:szCs w:val="20"/>
          <w:lang w:val="en-GB"/>
        </w:rPr>
        <w:t xml:space="preserve"> </w:t>
      </w:r>
    </w:p>
    <w:p w14:paraId="2539C5B0" w14:textId="77777777">
      <w:pPr>
        <w:pStyle w:val="NormalWeb"/>
        <w:spacing w:before="0" w:beforeAutospacing="0" w:after="0" w:afterAutospacing="0" w:line="288" w:lineRule="auto"/>
        <w:jc w:val="both"/>
        <w:rPr>
          <w:rFonts w:ascii="Arial" w:hAnsi="Arial" w:cs="Arial"/>
          <w:sz w:val="20"/>
          <w:szCs w:val="20"/>
          <w:lang w:val="en-GB"/>
        </w:rPr>
      </w:pPr>
    </w:p>
    <w:p w14:paraId="294DE8CF" w14:textId="62B8C3C5">
      <w:pPr>
        <w:pStyle w:val="NormalWeb"/>
        <w:numPr>
          <w:ilvl w:val="0"/>
          <w:numId w:val="42"/>
        </w:numPr>
        <w:spacing w:before="0" w:beforeAutospacing="0" w:after="0" w:afterAutospacing="0" w:line="288" w:lineRule="auto"/>
        <w:ind w:left="567" w:hanging="567"/>
        <w:jc w:val="both"/>
        <w:rPr>
          <w:rFonts w:ascii="Arial" w:hAnsi="Arial" w:cs="Arial" w:eastAsiaTheme="minorEastAsia"/>
          <w:sz w:val="20"/>
          <w:szCs w:val="20"/>
          <w:lang w:val="en-GB" w:eastAsia="en-US"/>
        </w:rPr>
      </w:pPr>
      <w:r>
        <w:rPr>
          <w:rFonts w:ascii="Arial" w:hAnsi="Arial" w:cs="Arial" w:eastAsiaTheme="minorEastAsia"/>
          <w:sz w:val="20"/>
          <w:szCs w:val="20"/>
          <w:lang w:val="en-GB" w:eastAsia="en-US"/>
        </w:rPr>
        <w:t xml:space="preserve">The working group as the CoR body to increase inclusion of </w:t>
      </w:r>
      <w:r>
        <w:rPr>
          <w:rFonts w:ascii="Arial" w:hAnsi="Arial" w:cs="Arial" w:eastAsiaTheme="minorEastAsia"/>
          <w:b/>
          <w:bCs/>
          <w:sz w:val="20"/>
          <w:szCs w:val="20"/>
          <w:lang w:val="en-GB" w:eastAsia="en-US"/>
        </w:rPr>
        <w:t xml:space="preserve">cross-cutting considerations and system transformation approach </w:t>
      </w:r>
      <w:r>
        <w:rPr>
          <w:rFonts w:ascii="Arial" w:hAnsi="Arial" w:cs="Arial" w:eastAsiaTheme="minorEastAsia"/>
          <w:sz w:val="20"/>
          <w:szCs w:val="20"/>
          <w:lang w:val="en-GB" w:eastAsia="en-US"/>
        </w:rPr>
        <w:t>in the CoR legislative work on the EU green agenda, while promoting a periodic discussion on the</w:t>
      </w:r>
      <w:r>
        <w:rPr>
          <w:rFonts w:ascii="Arial" w:hAnsi="Arial" w:cs="Arial" w:eastAsiaTheme="minorEastAsia"/>
          <w:b/>
          <w:bCs/>
          <w:sz w:val="20"/>
          <w:szCs w:val="20"/>
          <w:lang w:val="en-GB" w:eastAsia="en-US"/>
        </w:rPr>
        <w:t xml:space="preserve"> implementation of the green transition</w:t>
      </w:r>
      <w:r>
        <w:rPr>
          <w:rFonts w:ascii="Arial" w:hAnsi="Arial" w:cs="Arial" w:eastAsiaTheme="minorEastAsia"/>
          <w:sz w:val="20"/>
          <w:szCs w:val="20"/>
          <w:lang w:val="en-GB" w:eastAsia="en-US"/>
        </w:rPr>
        <w:t>.</w:t>
      </w:r>
    </w:p>
    <w:p w14:paraId="2CE9161B" w14:textId="77777777">
      <w:pPr>
        <w:pStyle w:val="NormalWeb"/>
        <w:numPr>
          <w:ilvl w:val="0"/>
          <w:numId w:val="42"/>
        </w:numPr>
        <w:spacing w:before="0" w:beforeAutospacing="0" w:after="0" w:afterAutospacing="0" w:line="288" w:lineRule="auto"/>
        <w:ind w:left="567" w:hanging="567"/>
        <w:jc w:val="both"/>
        <w:rPr>
          <w:rFonts w:ascii="Arial" w:hAnsi="Arial" w:cs="Arial" w:eastAsiaTheme="minorHAnsi"/>
          <w:sz w:val="20"/>
          <w:szCs w:val="20"/>
          <w:lang w:val="en-GB" w:eastAsia="en-US"/>
        </w:rPr>
      </w:pPr>
      <w:r>
        <w:rPr>
          <w:rFonts w:ascii="Arial" w:hAnsi="Arial" w:cs="Arial" w:eastAsiaTheme="minorHAnsi"/>
          <w:sz w:val="20"/>
          <w:szCs w:val="20"/>
          <w:lang w:val="en-GB" w:eastAsia="en-US"/>
        </w:rPr>
        <w:t xml:space="preserve">The working group as the CoR body to provide a clear </w:t>
      </w:r>
      <w:r>
        <w:rPr>
          <w:rFonts w:ascii="Arial" w:hAnsi="Arial" w:cs="Arial" w:eastAsiaTheme="minorHAnsi"/>
          <w:b/>
          <w:bCs/>
          <w:sz w:val="20"/>
          <w:szCs w:val="20"/>
          <w:lang w:val="en-GB" w:eastAsia="en-US"/>
        </w:rPr>
        <w:t>long-term perspective</w:t>
      </w:r>
      <w:r>
        <w:rPr>
          <w:rFonts w:ascii="Arial" w:hAnsi="Arial" w:cs="Arial" w:eastAsiaTheme="minorHAnsi"/>
          <w:sz w:val="20"/>
          <w:szCs w:val="20"/>
          <w:lang w:val="en-GB" w:eastAsia="en-US"/>
        </w:rPr>
        <w:t xml:space="preserve"> and include </w:t>
      </w:r>
      <w:r>
        <w:rPr>
          <w:rFonts w:ascii="Arial" w:hAnsi="Arial" w:cs="Arial" w:eastAsiaTheme="minorHAnsi"/>
          <w:b/>
          <w:bCs/>
          <w:sz w:val="20"/>
          <w:szCs w:val="20"/>
          <w:lang w:val="en-GB" w:eastAsia="en-US"/>
        </w:rPr>
        <w:t>strategic foresight</w:t>
      </w:r>
      <w:r>
        <w:rPr>
          <w:rFonts w:ascii="Arial" w:hAnsi="Arial" w:cs="Arial" w:eastAsiaTheme="minorHAnsi"/>
          <w:sz w:val="20"/>
          <w:szCs w:val="20"/>
          <w:lang w:val="en-GB" w:eastAsia="en-US"/>
        </w:rPr>
        <w:t xml:space="preserve"> in the CoR legislative work on the EU green agenda and, more broadly, in line with the </w:t>
      </w:r>
      <w:r>
        <w:rPr>
          <w:rFonts w:ascii="Arial" w:hAnsi="Arial" w:cs="Arial" w:eastAsiaTheme="minorHAnsi"/>
          <w:b/>
          <w:bCs/>
          <w:sz w:val="20"/>
          <w:szCs w:val="20"/>
          <w:lang w:val="en-GB" w:eastAsia="en-US"/>
        </w:rPr>
        <w:t>Better Regulation agenda</w:t>
      </w:r>
      <w:r>
        <w:rPr>
          <w:rFonts w:ascii="Arial" w:hAnsi="Arial" w:cs="Arial" w:eastAsiaTheme="minorHAnsi"/>
          <w:sz w:val="20"/>
          <w:szCs w:val="20"/>
          <w:lang w:val="en-GB" w:eastAsia="en-US"/>
        </w:rPr>
        <w:t>.</w:t>
      </w:r>
    </w:p>
    <w:p w14:paraId="0501D989" w14:textId="33994E37">
      <w:pPr>
        <w:pStyle w:val="NormalWeb"/>
        <w:numPr>
          <w:ilvl w:val="0"/>
          <w:numId w:val="42"/>
        </w:numPr>
        <w:spacing w:before="0" w:beforeAutospacing="0" w:after="0" w:afterAutospacing="0" w:line="288" w:lineRule="auto"/>
        <w:ind w:left="567" w:hanging="567"/>
        <w:jc w:val="both"/>
        <w:rPr>
          <w:rFonts w:ascii="Arial" w:hAnsi="Arial" w:cs="Arial" w:eastAsiaTheme="minorHAnsi"/>
          <w:sz w:val="20"/>
          <w:szCs w:val="20"/>
          <w:lang w:val="en-GB" w:eastAsia="en-US"/>
        </w:rPr>
      </w:pPr>
      <w:r>
        <w:rPr>
          <w:rFonts w:ascii="Arial" w:hAnsi="Arial" w:cs="Arial" w:eastAsiaTheme="minorHAnsi"/>
          <w:sz w:val="20"/>
          <w:szCs w:val="20"/>
          <w:lang w:val="en-GB" w:eastAsia="en-US"/>
        </w:rPr>
        <w:t xml:space="preserve">The working group as the CoR body to work as a platform for steering the CoR work on the </w:t>
      </w:r>
      <w:r>
        <w:rPr>
          <w:rFonts w:ascii="Arial" w:hAnsi="Arial" w:cs="Arial" w:eastAsiaTheme="minorHAnsi"/>
          <w:b/>
          <w:bCs/>
          <w:sz w:val="20"/>
          <w:szCs w:val="20"/>
          <w:lang w:val="en-GB" w:eastAsia="en-US"/>
        </w:rPr>
        <w:t xml:space="preserve">global green agenda, </w:t>
      </w:r>
      <w:r>
        <w:rPr>
          <w:rFonts w:ascii="Arial" w:hAnsi="Arial" w:cs="Arial" w:eastAsiaTheme="minorHAnsi"/>
          <w:sz w:val="20"/>
          <w:szCs w:val="20"/>
          <w:lang w:val="en-GB" w:eastAsia="en-US"/>
        </w:rPr>
        <w:t>including the</w:t>
      </w:r>
      <w:r>
        <w:rPr>
          <w:rFonts w:ascii="Arial" w:hAnsi="Arial" w:cs="Arial" w:eastAsiaTheme="minorHAnsi"/>
          <w:b/>
          <w:bCs/>
          <w:sz w:val="20"/>
          <w:szCs w:val="20"/>
          <w:lang w:val="en-GB" w:eastAsia="en-US"/>
        </w:rPr>
        <w:t xml:space="preserve"> </w:t>
      </w:r>
      <w:r>
        <w:rPr>
          <w:rFonts w:ascii="Arial" w:hAnsi="Arial" w:cs="Arial" w:eastAsiaTheme="minorHAnsi"/>
          <w:sz w:val="20"/>
          <w:szCs w:val="20"/>
          <w:lang w:val="en-GB" w:eastAsia="en-US"/>
        </w:rPr>
        <w:t>implication of</w:t>
      </w:r>
      <w:r>
        <w:rPr>
          <w:rFonts w:ascii="Arial" w:hAnsi="Arial" w:cs="Arial" w:eastAsiaTheme="minorHAnsi"/>
          <w:sz w:val="20"/>
          <w:szCs w:val="20"/>
          <w:lang w:val="en-GB" w:eastAsia="en-US"/>
        </w:rPr>
        <w:t xml:space="preserve"> the</w:t>
      </w:r>
      <w:r>
        <w:rPr>
          <w:rFonts w:ascii="Arial" w:hAnsi="Arial" w:cs="Arial" w:eastAsiaTheme="minorHAnsi"/>
          <w:b/>
          <w:bCs/>
          <w:sz w:val="20"/>
          <w:szCs w:val="20"/>
          <w:lang w:val="en-GB" w:eastAsia="en-US"/>
        </w:rPr>
        <w:t xml:space="preserve"> green transition on the future EU enlargement</w:t>
      </w:r>
      <w:r>
        <w:rPr>
          <w:rFonts w:ascii="Arial" w:hAnsi="Arial" w:cs="Arial" w:eastAsiaTheme="minorHAnsi"/>
          <w:sz w:val="20"/>
          <w:szCs w:val="20"/>
          <w:lang w:val="en-GB" w:eastAsia="en-US"/>
        </w:rPr>
        <w:t>.</w:t>
      </w:r>
    </w:p>
    <w:p w14:paraId="33031A70" w14:textId="77777777">
      <w:pPr>
        <w:pStyle w:val="NormalWeb"/>
        <w:numPr>
          <w:ilvl w:val="0"/>
          <w:numId w:val="42"/>
        </w:numPr>
        <w:spacing w:before="0" w:beforeAutospacing="0" w:after="0" w:afterAutospacing="0" w:line="288" w:lineRule="auto"/>
        <w:ind w:left="567" w:hanging="567"/>
        <w:jc w:val="both"/>
        <w:rPr>
          <w:rFonts w:ascii="Arial" w:hAnsi="Arial" w:cs="Arial" w:eastAsiaTheme="minorHAnsi"/>
          <w:b/>
          <w:bCs/>
          <w:sz w:val="20"/>
          <w:szCs w:val="20"/>
          <w:lang w:val="en-GB" w:eastAsia="en-US"/>
        </w:rPr>
      </w:pPr>
      <w:r>
        <w:rPr>
          <w:rFonts w:ascii="Arial" w:hAnsi="Arial" w:cs="Arial" w:eastAsiaTheme="minorHAnsi"/>
          <w:sz w:val="20"/>
          <w:szCs w:val="20"/>
          <w:lang w:val="en-GB" w:eastAsia="en-US"/>
        </w:rPr>
        <w:t xml:space="preserve">The working group as the CoR body to </w:t>
      </w:r>
      <w:r>
        <w:rPr>
          <w:rFonts w:ascii="Arial" w:hAnsi="Arial" w:cs="Arial" w:eastAsiaTheme="minorHAnsi"/>
          <w:b/>
          <w:bCs/>
          <w:sz w:val="20"/>
          <w:szCs w:val="20"/>
          <w:lang w:val="en-GB" w:eastAsia="en-US"/>
        </w:rPr>
        <w:t>connect the different EU initiatives for cities and regions</w:t>
      </w:r>
      <w:r>
        <w:rPr>
          <w:rFonts w:ascii="Arial" w:hAnsi="Arial" w:cs="Arial" w:eastAsiaTheme="minorHAnsi"/>
          <w:sz w:val="20"/>
          <w:szCs w:val="20"/>
          <w:lang w:val="en-GB" w:eastAsia="en-US"/>
        </w:rPr>
        <w:t xml:space="preserve"> part of the EU green agenda and at the same time fostering stronger horizonal cooperation across initiatives and policy areas, including keeping a </w:t>
      </w:r>
      <w:r>
        <w:rPr>
          <w:rFonts w:ascii="Arial" w:hAnsi="Arial" w:cs="Arial" w:eastAsiaTheme="minorHAnsi"/>
          <w:b/>
          <w:bCs/>
          <w:sz w:val="20"/>
          <w:szCs w:val="20"/>
          <w:lang w:val="en-GB" w:eastAsia="en-US"/>
        </w:rPr>
        <w:t xml:space="preserve">political overview of the governance of the EU Missions </w:t>
      </w:r>
      <w:r>
        <w:rPr>
          <w:rFonts w:ascii="Arial" w:hAnsi="Arial" w:cs="Arial" w:eastAsiaTheme="minorHAnsi"/>
          <w:sz w:val="20"/>
          <w:szCs w:val="20"/>
          <w:lang w:val="en-GB" w:eastAsia="en-US"/>
        </w:rPr>
        <w:t>and on the engagement of CoR members in them.</w:t>
      </w:r>
    </w:p>
    <w:p w14:paraId="191A00F9" w14:textId="653B4F6E">
      <w:pPr>
        <w:pStyle w:val="NormalWeb"/>
        <w:numPr>
          <w:ilvl w:val="0"/>
          <w:numId w:val="42"/>
        </w:numPr>
        <w:spacing w:before="0" w:beforeAutospacing="0" w:after="0" w:afterAutospacing="0" w:line="288" w:lineRule="auto"/>
        <w:ind w:left="567" w:hanging="567"/>
        <w:jc w:val="both"/>
        <w:rPr>
          <w:rFonts w:ascii="Arial" w:hAnsi="Arial" w:cs="Arial" w:eastAsiaTheme="minorHAnsi"/>
          <w:sz w:val="20"/>
          <w:szCs w:val="20"/>
          <w:lang w:val="en-GB"/>
        </w:rPr>
      </w:pPr>
      <w:r>
        <w:rPr>
          <w:rFonts w:ascii="Arial" w:hAnsi="Arial" w:cs="Arial" w:eastAsiaTheme="minorHAnsi"/>
          <w:sz w:val="20"/>
          <w:szCs w:val="20"/>
          <w:lang w:val="en-GB" w:eastAsia="en-US"/>
        </w:rPr>
        <w:t xml:space="preserve">The working group as the CoR body to steer the </w:t>
      </w:r>
      <w:r>
        <w:rPr>
          <w:rFonts w:ascii="Arial" w:hAnsi="Arial" w:cs="Arial" w:eastAsiaTheme="minorHAnsi"/>
          <w:b/>
          <w:bCs/>
          <w:sz w:val="20"/>
          <w:szCs w:val="20"/>
          <w:lang w:val="en-GB" w:eastAsia="en-US"/>
        </w:rPr>
        <w:t xml:space="preserve">communication and engagement efforts </w:t>
      </w:r>
      <w:r>
        <w:rPr>
          <w:rFonts w:ascii="Arial" w:hAnsi="Arial" w:cs="Arial" w:eastAsiaTheme="minorHAnsi"/>
          <w:sz w:val="20"/>
          <w:szCs w:val="20"/>
          <w:lang w:val="en-GB" w:eastAsia="en-US"/>
        </w:rPr>
        <w:t>in the field of green transition</w:t>
      </w:r>
      <w:r>
        <w:rPr>
          <w:rFonts w:ascii="Arial" w:hAnsi="Arial" w:cs="Arial" w:eastAsiaTheme="minorHAnsi"/>
          <w:b/>
          <w:bCs/>
          <w:sz w:val="20"/>
          <w:szCs w:val="20"/>
          <w:lang w:val="en-GB" w:eastAsia="en-US"/>
        </w:rPr>
        <w:t xml:space="preserve"> </w:t>
      </w:r>
      <w:r>
        <w:rPr>
          <w:rFonts w:ascii="Arial" w:hAnsi="Arial" w:cs="Arial" w:eastAsiaTheme="minorHAnsi"/>
          <w:sz w:val="20"/>
          <w:szCs w:val="20"/>
          <w:lang w:val="en-GB" w:eastAsia="en-US"/>
        </w:rPr>
        <w:t>also</w:t>
      </w:r>
      <w:r>
        <w:rPr>
          <w:rFonts w:ascii="Arial" w:hAnsi="Arial" w:cs="Arial" w:eastAsiaTheme="minorHAnsi"/>
          <w:b/>
          <w:bCs/>
          <w:sz w:val="20"/>
          <w:szCs w:val="20"/>
          <w:lang w:val="en-GB" w:eastAsia="en-US"/>
        </w:rPr>
        <w:t xml:space="preserve"> addressing misinformation, </w:t>
      </w:r>
      <w:r>
        <w:rPr>
          <w:rFonts w:ascii="Arial" w:hAnsi="Arial" w:cs="Arial" w:eastAsiaTheme="minorHAnsi"/>
          <w:sz w:val="20"/>
          <w:szCs w:val="20"/>
          <w:lang w:val="en-GB" w:eastAsia="en-US"/>
        </w:rPr>
        <w:t>with a strong focus on the cross-cutting components and the feedback from the ground.</w:t>
      </w:r>
    </w:p>
    <w:p w14:paraId="29F93BAE" w14:textId="59734C3D">
      <w:pPr>
        <w:jc w:val="left"/>
        <w:rPr>
          <w:rFonts w:ascii="Arial" w:hAnsi="Arial" w:cs="Arial"/>
          <w:b/>
          <w:kern w:val="28"/>
          <w:sz w:val="20"/>
          <w:szCs w:val="20"/>
          <w:lang w:val="en-GB"/>
        </w:rPr>
      </w:pPr>
    </w:p>
    <w:p w14:paraId="75056F7D" w14:textId="2FAE0837">
      <w:pPr>
        <w:overflowPunct w:val="0"/>
        <w:autoSpaceDE w:val="0"/>
        <w:autoSpaceDN w:val="0"/>
        <w:adjustRightInd w:val="0"/>
        <w:jc w:val="center"/>
        <w:textAlignment w:val="baseline"/>
        <w:rPr>
          <w:rFonts w:ascii="Arial" w:hAnsi="Arial" w:cs="Arial"/>
          <w:lang w:val="en-GB"/>
        </w:rPr>
      </w:pPr>
      <w:r>
        <w:rPr>
          <w:rFonts w:ascii="Arial" w:hAnsi="Arial" w:cs="Arial"/>
          <w:lang w:val="en-GB"/>
        </w:rPr>
        <w:t>_____________</w:t>
      </w:r>
    </w:p>
    <w:sectPr>
      <w:headerReference w:type="even" r:id="rId12"/>
      <w:headerReference w:type="default" r:id="rId13"/>
      <w:footerReference w:type="even" r:id="rId14"/>
      <w:footerReference w:type="default" r:id="rId15"/>
      <w:headerReference w:type="first" r:id="rId16"/>
      <w:footerReference w:type="first" r:id="rId17"/>
      <w:pgSz w:w="11907" w:h="1683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4D7385" w14:textId="77777777">
      <w:pPr>
        <w:spacing w:line="240" w:lineRule="auto"/>
      </w:pPr>
      <w:r>
        <w:separator/>
      </w:r>
    </w:p>
  </w:endnote>
  <w:endnote w:type="continuationSeparator" w:id="0">
    <w:p w14:paraId="6BC3D5D3" w14:textId="77777777">
      <w:pPr>
        <w:spacing w:line="240" w:lineRule="auto"/>
      </w:pPr>
      <w:r>
        <w:continuationSeparator/>
      </w:r>
    </w:p>
  </w:endnote>
  <w:endnote w:type="continuationNotice" w:id="1">
    <w:p w14:paraId="32BB38A5"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3E251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E212C" w14:textId="6D293CE2">
    <w:pPr>
      <w:pStyle w:val="Footer"/>
    </w:pPr>
    <w:r>
      <w:t xml:space="preserve">COR-2025-01600-03-00-TCD-TRA (EN) </w:t>
    </w:r>
    <w:r>
      <w:fldChar w:fldCharType="begin"/>
    </w:r>
    <w:r>
      <w:instrText xml:space="preserve"> PAGE  \* Arabic  \* MERGEFORMAT </w:instrText>
    </w:r>
    <w:r>
      <w:fldChar w:fldCharType="separate"/>
    </w:r>
    <w:r>
      <w:rPr>
        <w:noProof/>
      </w:rPr>
      <w:t>1</w:t>
    </w:r>
    <w:r>
      <w:fldChar w:fldCharType="end"/>
    </w:r>
    <w:r>
      <w:t>/</w:t>
    </w:r>
    <w:r>
      <w:fldChar w:fldCharType="begin"/>
    </w:r>
    <w:r>
      <w:instrText xml:space="preserve"> NUMPAGES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663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3A03A" w14:textId="77777777">
      <w:pPr>
        <w:spacing w:line="240" w:lineRule="auto"/>
      </w:pPr>
      <w:r>
        <w:separator/>
      </w:r>
    </w:p>
  </w:footnote>
  <w:footnote w:type="continuationSeparator" w:id="0">
    <w:p w14:paraId="06614233" w14:textId="77777777">
      <w:pPr>
        <w:spacing w:line="240" w:lineRule="auto"/>
      </w:pPr>
      <w:r>
        <w:continuationSeparator/>
      </w:r>
    </w:p>
  </w:footnote>
  <w:footnote w:type="continuationNotice" w:id="1">
    <w:p w14:paraId="05CE3412" w14:textId="77777777">
      <w:pPr>
        <w:spacing w:line="240" w:lineRule="auto"/>
      </w:pPr>
    </w:p>
  </w:footnote>
  <w:footnote w:id="2">
    <w:p w14:paraId="623F4E67" w14:textId="7F688ED8">
      <w:pPr>
        <w:pStyle w:val="FootnoteText"/>
        <w:rPr>
          <w:lang w:val="en-GB"/>
        </w:rPr>
      </w:pPr>
      <w:r>
        <w:rPr>
          <w:rStyle w:val="FootnoteReference"/>
        </w:rPr>
        <w:footnoteRef/>
      </w:r>
      <w:r>
        <w:tab/>
      </w:r>
      <w:hyperlink r:id="rId1" w:history="1">
        <w:r>
          <w:rPr>
            <w:rStyle w:val="Hyperlink"/>
          </w:rPr>
          <w:t>e6cd4328-673c-4e7a-8683-f63ffb2cf648_en (europa.eu)</w:t>
        </w:r>
      </w:hyperlink>
      <w:r>
        <w:t>.</w:t>
      </w:r>
    </w:p>
  </w:footnote>
  <w:footnote w:id="3">
    <w:p w14:paraId="31AFA21B" w14:textId="693CFE09">
      <w:pPr>
        <w:pStyle w:val="FootnoteText"/>
        <w:rPr>
          <w:lang w:val="en-GB"/>
        </w:rPr>
      </w:pPr>
      <w:r>
        <w:rPr>
          <w:rStyle w:val="FootnoteReference"/>
        </w:rPr>
        <w:footnoteRef/>
      </w:r>
      <w:r>
        <w:tab/>
      </w:r>
      <w:hyperlink r:id="rId2" w:history="1">
        <w:r>
          <w:rPr>
            <w:rStyle w:val="Hyperlink"/>
          </w:rPr>
          <w:t>Commission 2024-2029 - 100 Days Factsheet.pdf</w:t>
        </w:r>
      </w:hyperlink>
      <w:r>
        <w:t>.</w:t>
      </w:r>
    </w:p>
  </w:footnote>
  <w:footnote w:id="4">
    <w:p w14:paraId="4FE83A85" w14:textId="38095841">
      <w:pPr>
        <w:pStyle w:val="FootnoteText"/>
        <w:rPr>
          <w:lang w:val="en-GB"/>
        </w:rPr>
      </w:pPr>
      <w:r>
        <w:rPr>
          <w:rStyle w:val="FootnoteReference"/>
        </w:rPr>
        <w:footnoteRef/>
      </w:r>
      <w:r>
        <w:tab/>
      </w:r>
      <w:r>
        <w:t>The CoR contribution to the EU</w:t>
      </w:r>
      <w:r>
        <w:t>’</w:t>
      </w:r>
      <w:r>
        <w:t xml:space="preserve">s goal of climate neutrality </w:t>
      </w:r>
      <w:r>
        <w:t>- COR-2023-01960-11-01-NB-TRA</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D6F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02625" w14:textId="281078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86B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51EB828"/>
    <w:lvl w:ilvl="0">
      <w:start w:val="1"/>
      <w:numFmt w:val="decimal"/>
      <w:pStyle w:val="Heading1"/>
      <w:lvlText w:val="%1."/>
      <w:legacy w:legacy="1" w:legacySpace="0" w:legacyIndent="0"/>
      <w:lvlJc w:val="left"/>
      <w:rPr>
        <w:b w:val="0"/>
        <w:bCs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3335BEE"/>
    <w:multiLevelType w:val="hybridMultilevel"/>
    <w:tmpl w:val="030E80F4"/>
    <w:lvl w:ilvl="0" w:tplc="080C0001">
      <w:start w:val="1"/>
      <w:numFmt w:val="bullet"/>
      <w:lvlText w:val=""/>
      <w:lvlJc w:val="left"/>
      <w:pPr>
        <w:ind w:left="770" w:hanging="360"/>
      </w:pPr>
      <w:rPr>
        <w:rFonts w:ascii="Symbol" w:hAnsi="Symbol" w:hint="default"/>
      </w:rPr>
    </w:lvl>
    <w:lvl w:ilvl="1" w:tplc="080C0003" w:tentative="1">
      <w:start w:val="1"/>
      <w:numFmt w:val="bullet"/>
      <w:lvlText w:val="o"/>
      <w:lvlJc w:val="left"/>
      <w:pPr>
        <w:ind w:left="1490" w:hanging="360"/>
      </w:pPr>
      <w:rPr>
        <w:rFonts w:ascii="Courier New" w:hAnsi="Courier New" w:cs="Courier New" w:hint="default"/>
      </w:rPr>
    </w:lvl>
    <w:lvl w:ilvl="2" w:tplc="080C0005" w:tentative="1">
      <w:start w:val="1"/>
      <w:numFmt w:val="bullet"/>
      <w:lvlText w:val=""/>
      <w:lvlJc w:val="left"/>
      <w:pPr>
        <w:ind w:left="2210" w:hanging="360"/>
      </w:pPr>
      <w:rPr>
        <w:rFonts w:ascii="Wingdings" w:hAnsi="Wingdings" w:hint="default"/>
      </w:rPr>
    </w:lvl>
    <w:lvl w:ilvl="3" w:tplc="080C0001" w:tentative="1">
      <w:start w:val="1"/>
      <w:numFmt w:val="bullet"/>
      <w:lvlText w:val=""/>
      <w:lvlJc w:val="left"/>
      <w:pPr>
        <w:ind w:left="2930" w:hanging="360"/>
      </w:pPr>
      <w:rPr>
        <w:rFonts w:ascii="Symbol" w:hAnsi="Symbol" w:hint="default"/>
      </w:rPr>
    </w:lvl>
    <w:lvl w:ilvl="4" w:tplc="080C0003" w:tentative="1">
      <w:start w:val="1"/>
      <w:numFmt w:val="bullet"/>
      <w:lvlText w:val="o"/>
      <w:lvlJc w:val="left"/>
      <w:pPr>
        <w:ind w:left="3650" w:hanging="360"/>
      </w:pPr>
      <w:rPr>
        <w:rFonts w:ascii="Courier New" w:hAnsi="Courier New" w:cs="Courier New" w:hint="default"/>
      </w:rPr>
    </w:lvl>
    <w:lvl w:ilvl="5" w:tplc="080C0005" w:tentative="1">
      <w:start w:val="1"/>
      <w:numFmt w:val="bullet"/>
      <w:lvlText w:val=""/>
      <w:lvlJc w:val="left"/>
      <w:pPr>
        <w:ind w:left="4370" w:hanging="360"/>
      </w:pPr>
      <w:rPr>
        <w:rFonts w:ascii="Wingdings" w:hAnsi="Wingdings" w:hint="default"/>
      </w:rPr>
    </w:lvl>
    <w:lvl w:ilvl="6" w:tplc="080C0001" w:tentative="1">
      <w:start w:val="1"/>
      <w:numFmt w:val="bullet"/>
      <w:lvlText w:val=""/>
      <w:lvlJc w:val="left"/>
      <w:pPr>
        <w:ind w:left="5090" w:hanging="360"/>
      </w:pPr>
      <w:rPr>
        <w:rFonts w:ascii="Symbol" w:hAnsi="Symbol" w:hint="default"/>
      </w:rPr>
    </w:lvl>
    <w:lvl w:ilvl="7" w:tplc="080C0003" w:tentative="1">
      <w:start w:val="1"/>
      <w:numFmt w:val="bullet"/>
      <w:lvlText w:val="o"/>
      <w:lvlJc w:val="left"/>
      <w:pPr>
        <w:ind w:left="5810" w:hanging="360"/>
      </w:pPr>
      <w:rPr>
        <w:rFonts w:ascii="Courier New" w:hAnsi="Courier New" w:cs="Courier New" w:hint="default"/>
      </w:rPr>
    </w:lvl>
    <w:lvl w:ilvl="8" w:tplc="080C0005" w:tentative="1">
      <w:start w:val="1"/>
      <w:numFmt w:val="bullet"/>
      <w:lvlText w:val=""/>
      <w:lvlJc w:val="left"/>
      <w:pPr>
        <w:ind w:left="6530" w:hanging="360"/>
      </w:pPr>
      <w:rPr>
        <w:rFonts w:ascii="Wingdings" w:hAnsi="Wingdings" w:hint="default"/>
      </w:rPr>
    </w:lvl>
  </w:abstractNum>
  <w:abstractNum w:abstractNumId="2" w15:restartNumberingAfterBreak="0">
    <w:nsid w:val="056D5032"/>
    <w:multiLevelType w:val="multilevel"/>
    <w:tmpl w:val="A6A2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C840DC"/>
    <w:multiLevelType w:val="multilevel"/>
    <w:tmpl w:val="FC92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B21C6B"/>
    <w:multiLevelType w:val="hybridMultilevel"/>
    <w:tmpl w:val="8B3634A4"/>
    <w:lvl w:ilvl="0" w:tplc="9E1C15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534C32"/>
    <w:multiLevelType w:val="multilevel"/>
    <w:tmpl w:val="BA608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B33446"/>
    <w:multiLevelType w:val="hybridMultilevel"/>
    <w:tmpl w:val="43C0A0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2D7884"/>
    <w:multiLevelType w:val="multilevel"/>
    <w:tmpl w:val="7D906A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8F2E74"/>
    <w:multiLevelType w:val="hybridMultilevel"/>
    <w:tmpl w:val="EABCBCF4"/>
    <w:lvl w:ilvl="0" w:tplc="8616A226">
      <w:start w:val="1"/>
      <w:numFmt w:val="bullet"/>
      <w:lvlText w:val="-"/>
      <w:lvlJc w:val="left"/>
      <w:pPr>
        <w:ind w:left="720" w:hanging="360"/>
      </w:pPr>
      <w:rPr>
        <w:rFonts w:ascii="Symbol" w:hAnsi="Symbol" w:hint="default"/>
      </w:rPr>
    </w:lvl>
    <w:lvl w:ilvl="1" w:tplc="0AF6CB9E">
      <w:start w:val="1"/>
      <w:numFmt w:val="bullet"/>
      <w:lvlText w:val="o"/>
      <w:lvlJc w:val="left"/>
      <w:pPr>
        <w:ind w:left="1440" w:hanging="360"/>
      </w:pPr>
      <w:rPr>
        <w:rFonts w:ascii="Courier New" w:hAnsi="Courier New" w:hint="default"/>
      </w:rPr>
    </w:lvl>
    <w:lvl w:ilvl="2" w:tplc="1BE45AEA">
      <w:start w:val="1"/>
      <w:numFmt w:val="bullet"/>
      <w:lvlText w:val=""/>
      <w:lvlJc w:val="left"/>
      <w:pPr>
        <w:ind w:left="2160" w:hanging="360"/>
      </w:pPr>
      <w:rPr>
        <w:rFonts w:ascii="Wingdings" w:hAnsi="Wingdings" w:hint="default"/>
      </w:rPr>
    </w:lvl>
    <w:lvl w:ilvl="3" w:tplc="4FD88994">
      <w:start w:val="1"/>
      <w:numFmt w:val="bullet"/>
      <w:lvlText w:val=""/>
      <w:lvlJc w:val="left"/>
      <w:pPr>
        <w:ind w:left="2880" w:hanging="360"/>
      </w:pPr>
      <w:rPr>
        <w:rFonts w:ascii="Symbol" w:hAnsi="Symbol" w:hint="default"/>
      </w:rPr>
    </w:lvl>
    <w:lvl w:ilvl="4" w:tplc="6C38FFBC">
      <w:start w:val="1"/>
      <w:numFmt w:val="bullet"/>
      <w:lvlText w:val="o"/>
      <w:lvlJc w:val="left"/>
      <w:pPr>
        <w:ind w:left="3600" w:hanging="360"/>
      </w:pPr>
      <w:rPr>
        <w:rFonts w:ascii="Courier New" w:hAnsi="Courier New" w:hint="default"/>
      </w:rPr>
    </w:lvl>
    <w:lvl w:ilvl="5" w:tplc="6F241288">
      <w:start w:val="1"/>
      <w:numFmt w:val="bullet"/>
      <w:lvlText w:val=""/>
      <w:lvlJc w:val="left"/>
      <w:pPr>
        <w:ind w:left="4320" w:hanging="360"/>
      </w:pPr>
      <w:rPr>
        <w:rFonts w:ascii="Wingdings" w:hAnsi="Wingdings" w:hint="default"/>
      </w:rPr>
    </w:lvl>
    <w:lvl w:ilvl="6" w:tplc="571C57B8">
      <w:start w:val="1"/>
      <w:numFmt w:val="bullet"/>
      <w:lvlText w:val=""/>
      <w:lvlJc w:val="left"/>
      <w:pPr>
        <w:ind w:left="5040" w:hanging="360"/>
      </w:pPr>
      <w:rPr>
        <w:rFonts w:ascii="Symbol" w:hAnsi="Symbol" w:hint="default"/>
      </w:rPr>
    </w:lvl>
    <w:lvl w:ilvl="7" w:tplc="B34AA41E">
      <w:start w:val="1"/>
      <w:numFmt w:val="bullet"/>
      <w:lvlText w:val="o"/>
      <w:lvlJc w:val="left"/>
      <w:pPr>
        <w:ind w:left="5760" w:hanging="360"/>
      </w:pPr>
      <w:rPr>
        <w:rFonts w:ascii="Courier New" w:hAnsi="Courier New" w:hint="default"/>
      </w:rPr>
    </w:lvl>
    <w:lvl w:ilvl="8" w:tplc="80C0CE4C">
      <w:start w:val="1"/>
      <w:numFmt w:val="bullet"/>
      <w:lvlText w:val=""/>
      <w:lvlJc w:val="left"/>
      <w:pPr>
        <w:ind w:left="6480" w:hanging="360"/>
      </w:pPr>
      <w:rPr>
        <w:rFonts w:ascii="Wingdings" w:hAnsi="Wingdings" w:hint="default"/>
      </w:rPr>
    </w:lvl>
  </w:abstractNum>
  <w:abstractNum w:abstractNumId="9" w15:restartNumberingAfterBreak="0">
    <w:nsid w:val="15452511"/>
    <w:multiLevelType w:val="multilevel"/>
    <w:tmpl w:val="47446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B9FF13"/>
    <w:multiLevelType w:val="hybridMultilevel"/>
    <w:tmpl w:val="5E789C3E"/>
    <w:lvl w:ilvl="0" w:tplc="9BA6BA5A">
      <w:start w:val="1"/>
      <w:numFmt w:val="bullet"/>
      <w:lvlText w:val="·"/>
      <w:lvlJc w:val="left"/>
      <w:pPr>
        <w:ind w:left="720" w:hanging="360"/>
      </w:pPr>
      <w:rPr>
        <w:rFonts w:ascii="Symbol" w:hAnsi="Symbol" w:hint="default"/>
      </w:rPr>
    </w:lvl>
    <w:lvl w:ilvl="1" w:tplc="BE32F48C">
      <w:start w:val="1"/>
      <w:numFmt w:val="bullet"/>
      <w:lvlText w:val="o"/>
      <w:lvlJc w:val="left"/>
      <w:pPr>
        <w:ind w:left="1440" w:hanging="360"/>
      </w:pPr>
      <w:rPr>
        <w:rFonts w:ascii="Courier New" w:hAnsi="Courier New" w:hint="default"/>
      </w:rPr>
    </w:lvl>
    <w:lvl w:ilvl="2" w:tplc="5FDAAC48">
      <w:start w:val="1"/>
      <w:numFmt w:val="bullet"/>
      <w:lvlText w:val=""/>
      <w:lvlJc w:val="left"/>
      <w:pPr>
        <w:ind w:left="2160" w:hanging="360"/>
      </w:pPr>
      <w:rPr>
        <w:rFonts w:ascii="Wingdings" w:hAnsi="Wingdings" w:hint="default"/>
      </w:rPr>
    </w:lvl>
    <w:lvl w:ilvl="3" w:tplc="B5B8D69A">
      <w:start w:val="1"/>
      <w:numFmt w:val="bullet"/>
      <w:lvlText w:val=""/>
      <w:lvlJc w:val="left"/>
      <w:pPr>
        <w:ind w:left="2880" w:hanging="360"/>
      </w:pPr>
      <w:rPr>
        <w:rFonts w:ascii="Symbol" w:hAnsi="Symbol" w:hint="default"/>
      </w:rPr>
    </w:lvl>
    <w:lvl w:ilvl="4" w:tplc="938005E2">
      <w:start w:val="1"/>
      <w:numFmt w:val="bullet"/>
      <w:lvlText w:val="o"/>
      <w:lvlJc w:val="left"/>
      <w:pPr>
        <w:ind w:left="3600" w:hanging="360"/>
      </w:pPr>
      <w:rPr>
        <w:rFonts w:ascii="Courier New" w:hAnsi="Courier New" w:hint="default"/>
      </w:rPr>
    </w:lvl>
    <w:lvl w:ilvl="5" w:tplc="17DCD96E">
      <w:start w:val="1"/>
      <w:numFmt w:val="bullet"/>
      <w:lvlText w:val=""/>
      <w:lvlJc w:val="left"/>
      <w:pPr>
        <w:ind w:left="4320" w:hanging="360"/>
      </w:pPr>
      <w:rPr>
        <w:rFonts w:ascii="Wingdings" w:hAnsi="Wingdings" w:hint="default"/>
      </w:rPr>
    </w:lvl>
    <w:lvl w:ilvl="6" w:tplc="FFEA4D16">
      <w:start w:val="1"/>
      <w:numFmt w:val="bullet"/>
      <w:lvlText w:val=""/>
      <w:lvlJc w:val="left"/>
      <w:pPr>
        <w:ind w:left="5040" w:hanging="360"/>
      </w:pPr>
      <w:rPr>
        <w:rFonts w:ascii="Symbol" w:hAnsi="Symbol" w:hint="default"/>
      </w:rPr>
    </w:lvl>
    <w:lvl w:ilvl="7" w:tplc="CFE65926">
      <w:start w:val="1"/>
      <w:numFmt w:val="bullet"/>
      <w:lvlText w:val="o"/>
      <w:lvlJc w:val="left"/>
      <w:pPr>
        <w:ind w:left="5760" w:hanging="360"/>
      </w:pPr>
      <w:rPr>
        <w:rFonts w:ascii="Courier New" w:hAnsi="Courier New" w:hint="default"/>
      </w:rPr>
    </w:lvl>
    <w:lvl w:ilvl="8" w:tplc="9ABCA8E2">
      <w:start w:val="1"/>
      <w:numFmt w:val="bullet"/>
      <w:lvlText w:val=""/>
      <w:lvlJc w:val="left"/>
      <w:pPr>
        <w:ind w:left="6480" w:hanging="360"/>
      </w:pPr>
      <w:rPr>
        <w:rFonts w:ascii="Wingdings" w:hAnsi="Wingdings" w:hint="default"/>
      </w:rPr>
    </w:lvl>
  </w:abstractNum>
  <w:abstractNum w:abstractNumId="11" w15:restartNumberingAfterBreak="0">
    <w:nsid w:val="17FF4455"/>
    <w:multiLevelType w:val="hybridMultilevel"/>
    <w:tmpl w:val="5DC23EE6"/>
    <w:lvl w:ilvl="0" w:tplc="FCB8A150">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B552253"/>
    <w:multiLevelType w:val="hybridMultilevel"/>
    <w:tmpl w:val="0562BAC6"/>
    <w:lvl w:ilvl="0" w:tplc="D884C186">
      <w:start w:val="1"/>
      <w:numFmt w:val="bullet"/>
      <w:lvlText w:val="-"/>
      <w:lvlJc w:val="left"/>
      <w:pPr>
        <w:ind w:left="720" w:hanging="360"/>
      </w:pPr>
      <w:rPr>
        <w:rFonts w:ascii="Symbol" w:hAnsi="Symbol" w:hint="default"/>
      </w:rPr>
    </w:lvl>
    <w:lvl w:ilvl="1" w:tplc="C7EA0BC4">
      <w:start w:val="1"/>
      <w:numFmt w:val="bullet"/>
      <w:lvlText w:val="o"/>
      <w:lvlJc w:val="left"/>
      <w:pPr>
        <w:ind w:left="1440" w:hanging="360"/>
      </w:pPr>
      <w:rPr>
        <w:rFonts w:ascii="Courier New" w:hAnsi="Courier New" w:hint="default"/>
      </w:rPr>
    </w:lvl>
    <w:lvl w:ilvl="2" w:tplc="A7C4A7F0">
      <w:start w:val="1"/>
      <w:numFmt w:val="bullet"/>
      <w:lvlText w:val=""/>
      <w:lvlJc w:val="left"/>
      <w:pPr>
        <w:ind w:left="2160" w:hanging="360"/>
      </w:pPr>
      <w:rPr>
        <w:rFonts w:ascii="Wingdings" w:hAnsi="Wingdings" w:hint="default"/>
      </w:rPr>
    </w:lvl>
    <w:lvl w:ilvl="3" w:tplc="3E1AF76E">
      <w:start w:val="1"/>
      <w:numFmt w:val="bullet"/>
      <w:lvlText w:val=""/>
      <w:lvlJc w:val="left"/>
      <w:pPr>
        <w:ind w:left="2880" w:hanging="360"/>
      </w:pPr>
      <w:rPr>
        <w:rFonts w:ascii="Symbol" w:hAnsi="Symbol" w:hint="default"/>
      </w:rPr>
    </w:lvl>
    <w:lvl w:ilvl="4" w:tplc="F410B974">
      <w:start w:val="1"/>
      <w:numFmt w:val="bullet"/>
      <w:lvlText w:val="o"/>
      <w:lvlJc w:val="left"/>
      <w:pPr>
        <w:ind w:left="3600" w:hanging="360"/>
      </w:pPr>
      <w:rPr>
        <w:rFonts w:ascii="Courier New" w:hAnsi="Courier New" w:hint="default"/>
      </w:rPr>
    </w:lvl>
    <w:lvl w:ilvl="5" w:tplc="4E1E506A">
      <w:start w:val="1"/>
      <w:numFmt w:val="bullet"/>
      <w:lvlText w:val=""/>
      <w:lvlJc w:val="left"/>
      <w:pPr>
        <w:ind w:left="4320" w:hanging="360"/>
      </w:pPr>
      <w:rPr>
        <w:rFonts w:ascii="Wingdings" w:hAnsi="Wingdings" w:hint="default"/>
      </w:rPr>
    </w:lvl>
    <w:lvl w:ilvl="6" w:tplc="77D23526">
      <w:start w:val="1"/>
      <w:numFmt w:val="bullet"/>
      <w:lvlText w:val=""/>
      <w:lvlJc w:val="left"/>
      <w:pPr>
        <w:ind w:left="5040" w:hanging="360"/>
      </w:pPr>
      <w:rPr>
        <w:rFonts w:ascii="Symbol" w:hAnsi="Symbol" w:hint="default"/>
      </w:rPr>
    </w:lvl>
    <w:lvl w:ilvl="7" w:tplc="65ACDF02">
      <w:start w:val="1"/>
      <w:numFmt w:val="bullet"/>
      <w:lvlText w:val="o"/>
      <w:lvlJc w:val="left"/>
      <w:pPr>
        <w:ind w:left="5760" w:hanging="360"/>
      </w:pPr>
      <w:rPr>
        <w:rFonts w:ascii="Courier New" w:hAnsi="Courier New" w:hint="default"/>
      </w:rPr>
    </w:lvl>
    <w:lvl w:ilvl="8" w:tplc="E29CFDD0">
      <w:start w:val="1"/>
      <w:numFmt w:val="bullet"/>
      <w:lvlText w:val=""/>
      <w:lvlJc w:val="left"/>
      <w:pPr>
        <w:ind w:left="6480" w:hanging="360"/>
      </w:pPr>
      <w:rPr>
        <w:rFonts w:ascii="Wingdings" w:hAnsi="Wingdings" w:hint="default"/>
      </w:rPr>
    </w:lvl>
  </w:abstractNum>
  <w:abstractNum w:abstractNumId="13" w15:restartNumberingAfterBreak="0">
    <w:nsid w:val="1BCE5810"/>
    <w:multiLevelType w:val="hybridMultilevel"/>
    <w:tmpl w:val="2C54216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200C1C99"/>
    <w:multiLevelType w:val="multilevel"/>
    <w:tmpl w:val="B644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1C7BA7"/>
    <w:multiLevelType w:val="hybridMultilevel"/>
    <w:tmpl w:val="1A629FD8"/>
    <w:lvl w:ilvl="0" w:tplc="080C0017">
      <w:start w:val="1"/>
      <w:numFmt w:val="low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A8F5AAA"/>
    <w:multiLevelType w:val="hybridMultilevel"/>
    <w:tmpl w:val="D922A3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3D715E"/>
    <w:multiLevelType w:val="multilevel"/>
    <w:tmpl w:val="FF922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813711"/>
    <w:multiLevelType w:val="hybridMultilevel"/>
    <w:tmpl w:val="3606D3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FDC44C9"/>
    <w:multiLevelType w:val="multilevel"/>
    <w:tmpl w:val="0F80E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4C6E29"/>
    <w:multiLevelType w:val="hybridMultilevel"/>
    <w:tmpl w:val="CB3C400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B7C3A12"/>
    <w:multiLevelType w:val="hybridMultilevel"/>
    <w:tmpl w:val="00B6A3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40D3209E"/>
    <w:multiLevelType w:val="multilevel"/>
    <w:tmpl w:val="04EE6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731F16"/>
    <w:multiLevelType w:val="hybridMultilevel"/>
    <w:tmpl w:val="9684C4A6"/>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18C5449"/>
    <w:multiLevelType w:val="hybridMultilevel"/>
    <w:tmpl w:val="CCD827E2"/>
    <w:lvl w:ilvl="0" w:tplc="040C0005">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44F361A7"/>
    <w:multiLevelType w:val="hybridMultilevel"/>
    <w:tmpl w:val="0096D91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6" w15:restartNumberingAfterBreak="0">
    <w:nsid w:val="458D66B6"/>
    <w:multiLevelType w:val="hybridMultilevel"/>
    <w:tmpl w:val="8A22AE66"/>
    <w:lvl w:ilvl="0" w:tplc="1FBE2F5C">
      <w:start w:val="1"/>
      <w:numFmt w:val="bullet"/>
      <w:lvlText w:val="·"/>
      <w:lvlJc w:val="left"/>
      <w:pPr>
        <w:ind w:left="720" w:hanging="360"/>
      </w:pPr>
      <w:rPr>
        <w:rFonts w:ascii="Symbol" w:hAnsi="Symbol" w:hint="default"/>
      </w:rPr>
    </w:lvl>
    <w:lvl w:ilvl="1" w:tplc="6762A548">
      <w:start w:val="1"/>
      <w:numFmt w:val="bullet"/>
      <w:lvlText w:val="o"/>
      <w:lvlJc w:val="left"/>
      <w:pPr>
        <w:ind w:left="1440" w:hanging="360"/>
      </w:pPr>
      <w:rPr>
        <w:rFonts w:ascii="Courier New" w:hAnsi="Courier New" w:hint="default"/>
      </w:rPr>
    </w:lvl>
    <w:lvl w:ilvl="2" w:tplc="56D49560">
      <w:start w:val="1"/>
      <w:numFmt w:val="bullet"/>
      <w:lvlText w:val=""/>
      <w:lvlJc w:val="left"/>
      <w:pPr>
        <w:ind w:left="2160" w:hanging="360"/>
      </w:pPr>
      <w:rPr>
        <w:rFonts w:ascii="Wingdings" w:hAnsi="Wingdings" w:hint="default"/>
      </w:rPr>
    </w:lvl>
    <w:lvl w:ilvl="3" w:tplc="067C3B5C">
      <w:start w:val="1"/>
      <w:numFmt w:val="bullet"/>
      <w:lvlText w:val=""/>
      <w:lvlJc w:val="left"/>
      <w:pPr>
        <w:ind w:left="2880" w:hanging="360"/>
      </w:pPr>
      <w:rPr>
        <w:rFonts w:ascii="Symbol" w:hAnsi="Symbol" w:hint="default"/>
      </w:rPr>
    </w:lvl>
    <w:lvl w:ilvl="4" w:tplc="878C9B0E">
      <w:start w:val="1"/>
      <w:numFmt w:val="bullet"/>
      <w:lvlText w:val="o"/>
      <w:lvlJc w:val="left"/>
      <w:pPr>
        <w:ind w:left="3600" w:hanging="360"/>
      </w:pPr>
      <w:rPr>
        <w:rFonts w:ascii="Courier New" w:hAnsi="Courier New" w:hint="default"/>
      </w:rPr>
    </w:lvl>
    <w:lvl w:ilvl="5" w:tplc="DD828074">
      <w:start w:val="1"/>
      <w:numFmt w:val="bullet"/>
      <w:lvlText w:val=""/>
      <w:lvlJc w:val="left"/>
      <w:pPr>
        <w:ind w:left="4320" w:hanging="360"/>
      </w:pPr>
      <w:rPr>
        <w:rFonts w:ascii="Wingdings" w:hAnsi="Wingdings" w:hint="default"/>
      </w:rPr>
    </w:lvl>
    <w:lvl w:ilvl="6" w:tplc="5D8EA9C4">
      <w:start w:val="1"/>
      <w:numFmt w:val="bullet"/>
      <w:lvlText w:val=""/>
      <w:lvlJc w:val="left"/>
      <w:pPr>
        <w:ind w:left="5040" w:hanging="360"/>
      </w:pPr>
      <w:rPr>
        <w:rFonts w:ascii="Symbol" w:hAnsi="Symbol" w:hint="default"/>
      </w:rPr>
    </w:lvl>
    <w:lvl w:ilvl="7" w:tplc="622474CE">
      <w:start w:val="1"/>
      <w:numFmt w:val="bullet"/>
      <w:lvlText w:val="o"/>
      <w:lvlJc w:val="left"/>
      <w:pPr>
        <w:ind w:left="5760" w:hanging="360"/>
      </w:pPr>
      <w:rPr>
        <w:rFonts w:ascii="Courier New" w:hAnsi="Courier New" w:hint="default"/>
      </w:rPr>
    </w:lvl>
    <w:lvl w:ilvl="8" w:tplc="70C4A35C">
      <w:start w:val="1"/>
      <w:numFmt w:val="bullet"/>
      <w:lvlText w:val=""/>
      <w:lvlJc w:val="left"/>
      <w:pPr>
        <w:ind w:left="6480" w:hanging="360"/>
      </w:pPr>
      <w:rPr>
        <w:rFonts w:ascii="Wingdings" w:hAnsi="Wingdings" w:hint="default"/>
      </w:rPr>
    </w:lvl>
  </w:abstractNum>
  <w:abstractNum w:abstractNumId="27" w15:restartNumberingAfterBreak="0">
    <w:nsid w:val="478B62E6"/>
    <w:multiLevelType w:val="multilevel"/>
    <w:tmpl w:val="ACBE90EE"/>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4A5FFF22"/>
    <w:multiLevelType w:val="hybridMultilevel"/>
    <w:tmpl w:val="C256E1F4"/>
    <w:lvl w:ilvl="0" w:tplc="CC9AE364">
      <w:start w:val="1"/>
      <w:numFmt w:val="bullet"/>
      <w:lvlText w:val="·"/>
      <w:lvlJc w:val="left"/>
      <w:pPr>
        <w:ind w:left="720" w:hanging="360"/>
      </w:pPr>
      <w:rPr>
        <w:rFonts w:ascii="Symbol" w:hAnsi="Symbol" w:hint="default"/>
      </w:rPr>
    </w:lvl>
    <w:lvl w:ilvl="1" w:tplc="EF52BFF4">
      <w:start w:val="1"/>
      <w:numFmt w:val="bullet"/>
      <w:lvlText w:val="o"/>
      <w:lvlJc w:val="left"/>
      <w:pPr>
        <w:ind w:left="1440" w:hanging="360"/>
      </w:pPr>
      <w:rPr>
        <w:rFonts w:ascii="Courier New" w:hAnsi="Courier New" w:hint="default"/>
      </w:rPr>
    </w:lvl>
    <w:lvl w:ilvl="2" w:tplc="8BF4B984">
      <w:start w:val="1"/>
      <w:numFmt w:val="bullet"/>
      <w:lvlText w:val=""/>
      <w:lvlJc w:val="left"/>
      <w:pPr>
        <w:ind w:left="2160" w:hanging="360"/>
      </w:pPr>
      <w:rPr>
        <w:rFonts w:ascii="Wingdings" w:hAnsi="Wingdings" w:hint="default"/>
      </w:rPr>
    </w:lvl>
    <w:lvl w:ilvl="3" w:tplc="8166CB74">
      <w:start w:val="1"/>
      <w:numFmt w:val="bullet"/>
      <w:lvlText w:val=""/>
      <w:lvlJc w:val="left"/>
      <w:pPr>
        <w:ind w:left="2880" w:hanging="360"/>
      </w:pPr>
      <w:rPr>
        <w:rFonts w:ascii="Symbol" w:hAnsi="Symbol" w:hint="default"/>
      </w:rPr>
    </w:lvl>
    <w:lvl w:ilvl="4" w:tplc="A9F23342">
      <w:start w:val="1"/>
      <w:numFmt w:val="bullet"/>
      <w:lvlText w:val="o"/>
      <w:lvlJc w:val="left"/>
      <w:pPr>
        <w:ind w:left="3600" w:hanging="360"/>
      </w:pPr>
      <w:rPr>
        <w:rFonts w:ascii="Courier New" w:hAnsi="Courier New" w:hint="default"/>
      </w:rPr>
    </w:lvl>
    <w:lvl w:ilvl="5" w:tplc="BA7E0A6E">
      <w:start w:val="1"/>
      <w:numFmt w:val="bullet"/>
      <w:lvlText w:val=""/>
      <w:lvlJc w:val="left"/>
      <w:pPr>
        <w:ind w:left="4320" w:hanging="360"/>
      </w:pPr>
      <w:rPr>
        <w:rFonts w:ascii="Wingdings" w:hAnsi="Wingdings" w:hint="default"/>
      </w:rPr>
    </w:lvl>
    <w:lvl w:ilvl="6" w:tplc="7C924988">
      <w:start w:val="1"/>
      <w:numFmt w:val="bullet"/>
      <w:lvlText w:val=""/>
      <w:lvlJc w:val="left"/>
      <w:pPr>
        <w:ind w:left="5040" w:hanging="360"/>
      </w:pPr>
      <w:rPr>
        <w:rFonts w:ascii="Symbol" w:hAnsi="Symbol" w:hint="default"/>
      </w:rPr>
    </w:lvl>
    <w:lvl w:ilvl="7" w:tplc="666C9C4E">
      <w:start w:val="1"/>
      <w:numFmt w:val="bullet"/>
      <w:lvlText w:val="o"/>
      <w:lvlJc w:val="left"/>
      <w:pPr>
        <w:ind w:left="5760" w:hanging="360"/>
      </w:pPr>
      <w:rPr>
        <w:rFonts w:ascii="Courier New" w:hAnsi="Courier New" w:hint="default"/>
      </w:rPr>
    </w:lvl>
    <w:lvl w:ilvl="8" w:tplc="F620B618">
      <w:start w:val="1"/>
      <w:numFmt w:val="bullet"/>
      <w:lvlText w:val=""/>
      <w:lvlJc w:val="left"/>
      <w:pPr>
        <w:ind w:left="6480" w:hanging="360"/>
      </w:pPr>
      <w:rPr>
        <w:rFonts w:ascii="Wingdings" w:hAnsi="Wingdings" w:hint="default"/>
      </w:rPr>
    </w:lvl>
  </w:abstractNum>
  <w:abstractNum w:abstractNumId="29" w15:restartNumberingAfterBreak="0">
    <w:nsid w:val="4DF610BD"/>
    <w:multiLevelType w:val="multilevel"/>
    <w:tmpl w:val="9D98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CA5BA3"/>
    <w:multiLevelType w:val="multilevel"/>
    <w:tmpl w:val="997CB2C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325B7C"/>
    <w:multiLevelType w:val="multilevel"/>
    <w:tmpl w:val="D288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7C621DE"/>
    <w:multiLevelType w:val="hybridMultilevel"/>
    <w:tmpl w:val="CF0EF20A"/>
    <w:lvl w:ilvl="0" w:tplc="084219FC">
      <w:start w:val="1"/>
      <w:numFmt w:val="bullet"/>
      <w:lvlText w:val=""/>
      <w:lvlJc w:val="left"/>
      <w:pPr>
        <w:ind w:left="360" w:hanging="360"/>
      </w:pPr>
      <w:rPr>
        <w:rFonts w:ascii="Wingdings" w:hAnsi="Wingdings" w:hint="default"/>
        <w:sz w:val="20"/>
        <w:szCs w:val="20"/>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61704FC0"/>
    <w:multiLevelType w:val="multilevel"/>
    <w:tmpl w:val="97D8C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BB1070"/>
    <w:multiLevelType w:val="multilevel"/>
    <w:tmpl w:val="AF40D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2755FF7"/>
    <w:multiLevelType w:val="multilevel"/>
    <w:tmpl w:val="C4E4D81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6" w15:restartNumberingAfterBreak="0">
    <w:nsid w:val="67CA7807"/>
    <w:multiLevelType w:val="hybridMultilevel"/>
    <w:tmpl w:val="AEB264AE"/>
    <w:lvl w:ilvl="0" w:tplc="04C07C78">
      <w:start w:val="1"/>
      <w:numFmt w:val="decimal"/>
      <w:lvlText w:val="%1."/>
      <w:lvlJc w:val="left"/>
      <w:pPr>
        <w:ind w:left="720" w:hanging="360"/>
      </w:pPr>
      <w:rPr>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7" w15:restartNumberingAfterBreak="0">
    <w:nsid w:val="69CE5661"/>
    <w:multiLevelType w:val="hybridMultilevel"/>
    <w:tmpl w:val="199A6F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6AFB7DF8"/>
    <w:multiLevelType w:val="hybridMultilevel"/>
    <w:tmpl w:val="0708047C"/>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B8D59CC"/>
    <w:multiLevelType w:val="multilevel"/>
    <w:tmpl w:val="602629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6DA523FE"/>
    <w:multiLevelType w:val="multilevel"/>
    <w:tmpl w:val="0D5A710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7E86979B"/>
    <w:multiLevelType w:val="hybridMultilevel"/>
    <w:tmpl w:val="5AB66DB2"/>
    <w:lvl w:ilvl="0" w:tplc="E27E98AA">
      <w:start w:val="1"/>
      <w:numFmt w:val="bullet"/>
      <w:lvlText w:val="·"/>
      <w:lvlJc w:val="left"/>
      <w:pPr>
        <w:ind w:left="720" w:hanging="360"/>
      </w:pPr>
      <w:rPr>
        <w:rFonts w:ascii="Symbol" w:hAnsi="Symbol" w:hint="default"/>
      </w:rPr>
    </w:lvl>
    <w:lvl w:ilvl="1" w:tplc="5FC68B04">
      <w:start w:val="1"/>
      <w:numFmt w:val="bullet"/>
      <w:lvlText w:val="o"/>
      <w:lvlJc w:val="left"/>
      <w:pPr>
        <w:ind w:left="1440" w:hanging="360"/>
      </w:pPr>
      <w:rPr>
        <w:rFonts w:ascii="Courier New" w:hAnsi="Courier New" w:hint="default"/>
      </w:rPr>
    </w:lvl>
    <w:lvl w:ilvl="2" w:tplc="BE44B494">
      <w:start w:val="1"/>
      <w:numFmt w:val="bullet"/>
      <w:lvlText w:val=""/>
      <w:lvlJc w:val="left"/>
      <w:pPr>
        <w:ind w:left="2160" w:hanging="360"/>
      </w:pPr>
      <w:rPr>
        <w:rFonts w:ascii="Wingdings" w:hAnsi="Wingdings" w:hint="default"/>
      </w:rPr>
    </w:lvl>
    <w:lvl w:ilvl="3" w:tplc="00BA619A">
      <w:start w:val="1"/>
      <w:numFmt w:val="bullet"/>
      <w:lvlText w:val=""/>
      <w:lvlJc w:val="left"/>
      <w:pPr>
        <w:ind w:left="2880" w:hanging="360"/>
      </w:pPr>
      <w:rPr>
        <w:rFonts w:ascii="Symbol" w:hAnsi="Symbol" w:hint="default"/>
      </w:rPr>
    </w:lvl>
    <w:lvl w:ilvl="4" w:tplc="B5E8F3C8">
      <w:start w:val="1"/>
      <w:numFmt w:val="bullet"/>
      <w:lvlText w:val="o"/>
      <w:lvlJc w:val="left"/>
      <w:pPr>
        <w:ind w:left="3600" w:hanging="360"/>
      </w:pPr>
      <w:rPr>
        <w:rFonts w:ascii="Courier New" w:hAnsi="Courier New" w:hint="default"/>
      </w:rPr>
    </w:lvl>
    <w:lvl w:ilvl="5" w:tplc="CC78C6AC">
      <w:start w:val="1"/>
      <w:numFmt w:val="bullet"/>
      <w:lvlText w:val=""/>
      <w:lvlJc w:val="left"/>
      <w:pPr>
        <w:ind w:left="4320" w:hanging="360"/>
      </w:pPr>
      <w:rPr>
        <w:rFonts w:ascii="Wingdings" w:hAnsi="Wingdings" w:hint="default"/>
      </w:rPr>
    </w:lvl>
    <w:lvl w:ilvl="6" w:tplc="3CA4F3FE">
      <w:start w:val="1"/>
      <w:numFmt w:val="bullet"/>
      <w:lvlText w:val=""/>
      <w:lvlJc w:val="left"/>
      <w:pPr>
        <w:ind w:left="5040" w:hanging="360"/>
      </w:pPr>
      <w:rPr>
        <w:rFonts w:ascii="Symbol" w:hAnsi="Symbol" w:hint="default"/>
      </w:rPr>
    </w:lvl>
    <w:lvl w:ilvl="7" w:tplc="FF7A7452">
      <w:start w:val="1"/>
      <w:numFmt w:val="bullet"/>
      <w:lvlText w:val="o"/>
      <w:lvlJc w:val="left"/>
      <w:pPr>
        <w:ind w:left="5760" w:hanging="360"/>
      </w:pPr>
      <w:rPr>
        <w:rFonts w:ascii="Courier New" w:hAnsi="Courier New" w:hint="default"/>
      </w:rPr>
    </w:lvl>
    <w:lvl w:ilvl="8" w:tplc="C748AD80">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41"/>
  </w:num>
  <w:num w:numId="4">
    <w:abstractNumId w:val="28"/>
  </w:num>
  <w:num w:numId="5">
    <w:abstractNumId w:val="12"/>
  </w:num>
  <w:num w:numId="6">
    <w:abstractNumId w:val="26"/>
  </w:num>
  <w:num w:numId="7">
    <w:abstractNumId w:val="0"/>
  </w:num>
  <w:num w:numId="8">
    <w:abstractNumId w:val="25"/>
  </w:num>
  <w:num w:numId="9">
    <w:abstractNumId w:val="13"/>
  </w:num>
  <w:num w:numId="10">
    <w:abstractNumId w:val="23"/>
  </w:num>
  <w:num w:numId="11">
    <w:abstractNumId w:val="37"/>
  </w:num>
  <w:num w:numId="12">
    <w:abstractNumId w:val="32"/>
  </w:num>
  <w:num w:numId="13">
    <w:abstractNumId w:val="16"/>
  </w:num>
  <w:num w:numId="14">
    <w:abstractNumId w:val="24"/>
  </w:num>
  <w:num w:numId="15">
    <w:abstractNumId w:val="15"/>
  </w:num>
  <w:num w:numId="16">
    <w:abstractNumId w:val="4"/>
  </w:num>
  <w:num w:numId="17">
    <w:abstractNumId w:val="11"/>
  </w:num>
  <w:num w:numId="18">
    <w:abstractNumId w:val="1"/>
  </w:num>
  <w:num w:numId="19">
    <w:abstractNumId w:val="18"/>
  </w:num>
  <w:num w:numId="20">
    <w:abstractNumId w:val="6"/>
  </w:num>
  <w:num w:numId="21">
    <w:abstractNumId w:val="38"/>
  </w:num>
  <w:num w:numId="22">
    <w:abstractNumId w:val="20"/>
  </w:num>
  <w:num w:numId="23">
    <w:abstractNumId w:val="39"/>
  </w:num>
  <w:num w:numId="24">
    <w:abstractNumId w:val="40"/>
  </w:num>
  <w:num w:numId="25">
    <w:abstractNumId w:val="3"/>
  </w:num>
  <w:num w:numId="26">
    <w:abstractNumId w:val="2"/>
  </w:num>
  <w:num w:numId="27">
    <w:abstractNumId w:val="33"/>
  </w:num>
  <w:num w:numId="28">
    <w:abstractNumId w:val="14"/>
  </w:num>
  <w:num w:numId="29">
    <w:abstractNumId w:val="9"/>
  </w:num>
  <w:num w:numId="30">
    <w:abstractNumId w:val="5"/>
  </w:num>
  <w:num w:numId="31">
    <w:abstractNumId w:val="29"/>
  </w:num>
  <w:num w:numId="32">
    <w:abstractNumId w:val="31"/>
  </w:num>
  <w:num w:numId="33">
    <w:abstractNumId w:val="17"/>
  </w:num>
  <w:num w:numId="34">
    <w:abstractNumId w:val="35"/>
  </w:num>
  <w:num w:numId="35">
    <w:abstractNumId w:val="27"/>
  </w:num>
  <w:num w:numId="36">
    <w:abstractNumId w:val="22"/>
  </w:num>
  <w:num w:numId="37">
    <w:abstractNumId w:val="34"/>
  </w:num>
  <w:num w:numId="38">
    <w:abstractNumId w:val="19"/>
  </w:num>
  <w:num w:numId="39">
    <w:abstractNumId w:val="30"/>
  </w:num>
  <w:num w:numId="40">
    <w:abstractNumId w:val="7"/>
  </w:num>
  <w:num w:numId="41">
    <w:abstractNumId w:val="21"/>
  </w:num>
  <w:num w:numId="42">
    <w:abstractNumId w:val="3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olas Henrietta">
    <w15:presenceInfo w15:providerId="AD" w15:userId="S::Henrietta.Nicolas@eesc.europa.eu::eecf5f3b-509b-42f4-8880-18dd57a47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5D9"/>
    <w:rsid w:val="00004A96"/>
    <w:rsid w:val="00006C32"/>
    <w:rsid w:val="0001165E"/>
    <w:rsid w:val="00015AAA"/>
    <w:rsid w:val="00017F27"/>
    <w:rsid w:val="00020E0C"/>
    <w:rsid w:val="00025939"/>
    <w:rsid w:val="000327AC"/>
    <w:rsid w:val="0003405D"/>
    <w:rsid w:val="00036BA3"/>
    <w:rsid w:val="000409EE"/>
    <w:rsid w:val="00043823"/>
    <w:rsid w:val="0004787E"/>
    <w:rsid w:val="00051DE3"/>
    <w:rsid w:val="000537CC"/>
    <w:rsid w:val="000544AF"/>
    <w:rsid w:val="00054B2D"/>
    <w:rsid w:val="00055A27"/>
    <w:rsid w:val="0006684B"/>
    <w:rsid w:val="00073526"/>
    <w:rsid w:val="00075B9D"/>
    <w:rsid w:val="00075D29"/>
    <w:rsid w:val="000812F6"/>
    <w:rsid w:val="00082D21"/>
    <w:rsid w:val="000847CE"/>
    <w:rsid w:val="00084F1B"/>
    <w:rsid w:val="00094384"/>
    <w:rsid w:val="0009590B"/>
    <w:rsid w:val="000B01F2"/>
    <w:rsid w:val="000B39C1"/>
    <w:rsid w:val="000B3CAA"/>
    <w:rsid w:val="000C6D91"/>
    <w:rsid w:val="000C7A7A"/>
    <w:rsid w:val="000D1A49"/>
    <w:rsid w:val="000D1C49"/>
    <w:rsid w:val="000D1C9C"/>
    <w:rsid w:val="000D46B0"/>
    <w:rsid w:val="000D7231"/>
    <w:rsid w:val="000E1E5B"/>
    <w:rsid w:val="000E51FD"/>
    <w:rsid w:val="00106177"/>
    <w:rsid w:val="001223C0"/>
    <w:rsid w:val="001228DD"/>
    <w:rsid w:val="00126BC0"/>
    <w:rsid w:val="00126FF8"/>
    <w:rsid w:val="0012BEFD"/>
    <w:rsid w:val="001302CB"/>
    <w:rsid w:val="00130C18"/>
    <w:rsid w:val="00137C7F"/>
    <w:rsid w:val="001402AF"/>
    <w:rsid w:val="00140721"/>
    <w:rsid w:val="0014320A"/>
    <w:rsid w:val="00144551"/>
    <w:rsid w:val="0014508E"/>
    <w:rsid w:val="00150FDC"/>
    <w:rsid w:val="001516F0"/>
    <w:rsid w:val="0015492B"/>
    <w:rsid w:val="00155EFA"/>
    <w:rsid w:val="00156D0C"/>
    <w:rsid w:val="001656A3"/>
    <w:rsid w:val="001677DC"/>
    <w:rsid w:val="0017113B"/>
    <w:rsid w:val="001717B2"/>
    <w:rsid w:val="00173A27"/>
    <w:rsid w:val="001763E6"/>
    <w:rsid w:val="0018010F"/>
    <w:rsid w:val="00181751"/>
    <w:rsid w:val="001827FF"/>
    <w:rsid w:val="00183852"/>
    <w:rsid w:val="00184F30"/>
    <w:rsid w:val="00187F76"/>
    <w:rsid w:val="001969BC"/>
    <w:rsid w:val="00197E4E"/>
    <w:rsid w:val="001A6471"/>
    <w:rsid w:val="001B2FE1"/>
    <w:rsid w:val="001C0A1F"/>
    <w:rsid w:val="001C431D"/>
    <w:rsid w:val="001C643E"/>
    <w:rsid w:val="001C776B"/>
    <w:rsid w:val="001D56FC"/>
    <w:rsid w:val="001D7A07"/>
    <w:rsid w:val="001D7C2E"/>
    <w:rsid w:val="001E1C0E"/>
    <w:rsid w:val="001E4C0B"/>
    <w:rsid w:val="001F3FAE"/>
    <w:rsid w:val="001F42F8"/>
    <w:rsid w:val="001F7256"/>
    <w:rsid w:val="0020339F"/>
    <w:rsid w:val="002052FC"/>
    <w:rsid w:val="00210F48"/>
    <w:rsid w:val="0021490D"/>
    <w:rsid w:val="00217623"/>
    <w:rsid w:val="00217F40"/>
    <w:rsid w:val="0022704E"/>
    <w:rsid w:val="00231CF1"/>
    <w:rsid w:val="00232B99"/>
    <w:rsid w:val="00233369"/>
    <w:rsid w:val="00234444"/>
    <w:rsid w:val="0024017B"/>
    <w:rsid w:val="002433C8"/>
    <w:rsid w:val="00244D0F"/>
    <w:rsid w:val="00246743"/>
    <w:rsid w:val="00252481"/>
    <w:rsid w:val="0025317A"/>
    <w:rsid w:val="00256252"/>
    <w:rsid w:val="00256748"/>
    <w:rsid w:val="0026343D"/>
    <w:rsid w:val="0026712B"/>
    <w:rsid w:val="00270384"/>
    <w:rsid w:val="00277A96"/>
    <w:rsid w:val="00282B69"/>
    <w:rsid w:val="00285D91"/>
    <w:rsid w:val="002879D3"/>
    <w:rsid w:val="00292567"/>
    <w:rsid w:val="00293AD4"/>
    <w:rsid w:val="0029536A"/>
    <w:rsid w:val="002A1FC3"/>
    <w:rsid w:val="002A3E02"/>
    <w:rsid w:val="002A43FA"/>
    <w:rsid w:val="002B038A"/>
    <w:rsid w:val="002B268D"/>
    <w:rsid w:val="002B26C0"/>
    <w:rsid w:val="002B36F0"/>
    <w:rsid w:val="002B718C"/>
    <w:rsid w:val="002C3AD1"/>
    <w:rsid w:val="002C75B2"/>
    <w:rsid w:val="002D07F4"/>
    <w:rsid w:val="002D5EF8"/>
    <w:rsid w:val="002D5F43"/>
    <w:rsid w:val="002E3FC1"/>
    <w:rsid w:val="002E5F8E"/>
    <w:rsid w:val="002E733B"/>
    <w:rsid w:val="002E78FC"/>
    <w:rsid w:val="002F0684"/>
    <w:rsid w:val="002F11EA"/>
    <w:rsid w:val="002F1CE1"/>
    <w:rsid w:val="002F4D8A"/>
    <w:rsid w:val="002F4E27"/>
    <w:rsid w:val="003018C0"/>
    <w:rsid w:val="0031339E"/>
    <w:rsid w:val="00314A4D"/>
    <w:rsid w:val="0032145C"/>
    <w:rsid w:val="003219B9"/>
    <w:rsid w:val="00322328"/>
    <w:rsid w:val="00324D7D"/>
    <w:rsid w:val="003279B0"/>
    <w:rsid w:val="003314B6"/>
    <w:rsid w:val="00334A91"/>
    <w:rsid w:val="00336F6F"/>
    <w:rsid w:val="003421F0"/>
    <w:rsid w:val="003432E4"/>
    <w:rsid w:val="0035120B"/>
    <w:rsid w:val="00357087"/>
    <w:rsid w:val="003575D1"/>
    <w:rsid w:val="00364724"/>
    <w:rsid w:val="00364CC9"/>
    <w:rsid w:val="00370A8E"/>
    <w:rsid w:val="00371AB8"/>
    <w:rsid w:val="00372736"/>
    <w:rsid w:val="00376D7B"/>
    <w:rsid w:val="003869F8"/>
    <w:rsid w:val="00393C79"/>
    <w:rsid w:val="003A0EF3"/>
    <w:rsid w:val="003A2BBD"/>
    <w:rsid w:val="003B4302"/>
    <w:rsid w:val="003C0E09"/>
    <w:rsid w:val="003C1F8D"/>
    <w:rsid w:val="003C35CA"/>
    <w:rsid w:val="003C7020"/>
    <w:rsid w:val="003C766E"/>
    <w:rsid w:val="003D069B"/>
    <w:rsid w:val="003D2F42"/>
    <w:rsid w:val="003D4E18"/>
    <w:rsid w:val="003F0310"/>
    <w:rsid w:val="003F1EFA"/>
    <w:rsid w:val="003F38C7"/>
    <w:rsid w:val="003F4440"/>
    <w:rsid w:val="003F461C"/>
    <w:rsid w:val="003F4CCF"/>
    <w:rsid w:val="003F54AB"/>
    <w:rsid w:val="003F5811"/>
    <w:rsid w:val="003F6C59"/>
    <w:rsid w:val="003F74F5"/>
    <w:rsid w:val="003F7695"/>
    <w:rsid w:val="00401B34"/>
    <w:rsid w:val="00410696"/>
    <w:rsid w:val="00413022"/>
    <w:rsid w:val="004137B3"/>
    <w:rsid w:val="00417D19"/>
    <w:rsid w:val="004204E2"/>
    <w:rsid w:val="00422E98"/>
    <w:rsid w:val="00427DBD"/>
    <w:rsid w:val="00430526"/>
    <w:rsid w:val="004318E1"/>
    <w:rsid w:val="0043192F"/>
    <w:rsid w:val="00432D93"/>
    <w:rsid w:val="00433432"/>
    <w:rsid w:val="004360F5"/>
    <w:rsid w:val="0043739A"/>
    <w:rsid w:val="0045273A"/>
    <w:rsid w:val="00455507"/>
    <w:rsid w:val="0045773B"/>
    <w:rsid w:val="00460FE9"/>
    <w:rsid w:val="00462C8E"/>
    <w:rsid w:val="00467113"/>
    <w:rsid w:val="00471580"/>
    <w:rsid w:val="0047399D"/>
    <w:rsid w:val="00474BC9"/>
    <w:rsid w:val="00476605"/>
    <w:rsid w:val="00477E5D"/>
    <w:rsid w:val="004833CF"/>
    <w:rsid w:val="00483826"/>
    <w:rsid w:val="00490B4C"/>
    <w:rsid w:val="0049746C"/>
    <w:rsid w:val="004A0187"/>
    <w:rsid w:val="004A7E68"/>
    <w:rsid w:val="004B1FF1"/>
    <w:rsid w:val="004B5E86"/>
    <w:rsid w:val="004C1C3A"/>
    <w:rsid w:val="004C1F10"/>
    <w:rsid w:val="004E025C"/>
    <w:rsid w:val="004E0916"/>
    <w:rsid w:val="004F01F4"/>
    <w:rsid w:val="004F0AB1"/>
    <w:rsid w:val="0050119A"/>
    <w:rsid w:val="00502D90"/>
    <w:rsid w:val="005048E8"/>
    <w:rsid w:val="00506970"/>
    <w:rsid w:val="00506E9C"/>
    <w:rsid w:val="0051368C"/>
    <w:rsid w:val="0051505C"/>
    <w:rsid w:val="005200DC"/>
    <w:rsid w:val="005325D9"/>
    <w:rsid w:val="00533717"/>
    <w:rsid w:val="00550490"/>
    <w:rsid w:val="0055359A"/>
    <w:rsid w:val="00553B6A"/>
    <w:rsid w:val="00553DA8"/>
    <w:rsid w:val="00554AF3"/>
    <w:rsid w:val="00556C7B"/>
    <w:rsid w:val="00564B11"/>
    <w:rsid w:val="00565B63"/>
    <w:rsid w:val="005755A9"/>
    <w:rsid w:val="00581D6D"/>
    <w:rsid w:val="00582B36"/>
    <w:rsid w:val="00587256"/>
    <w:rsid w:val="005879B0"/>
    <w:rsid w:val="005918BC"/>
    <w:rsid w:val="00591B0E"/>
    <w:rsid w:val="0059392A"/>
    <w:rsid w:val="005958D9"/>
    <w:rsid w:val="00595F5F"/>
    <w:rsid w:val="00596456"/>
    <w:rsid w:val="005A18B6"/>
    <w:rsid w:val="005A43B2"/>
    <w:rsid w:val="005A44AC"/>
    <w:rsid w:val="005A5703"/>
    <w:rsid w:val="005A6FC0"/>
    <w:rsid w:val="005B0656"/>
    <w:rsid w:val="005B0D9A"/>
    <w:rsid w:val="005B0DE8"/>
    <w:rsid w:val="005B5EB8"/>
    <w:rsid w:val="005C2293"/>
    <w:rsid w:val="005C4DFC"/>
    <w:rsid w:val="005D075B"/>
    <w:rsid w:val="005F03EE"/>
    <w:rsid w:val="005F153B"/>
    <w:rsid w:val="006012C6"/>
    <w:rsid w:val="00602C75"/>
    <w:rsid w:val="00606A6B"/>
    <w:rsid w:val="00607E2C"/>
    <w:rsid w:val="00611413"/>
    <w:rsid w:val="00612506"/>
    <w:rsid w:val="0061626A"/>
    <w:rsid w:val="006215BD"/>
    <w:rsid w:val="006227CF"/>
    <w:rsid w:val="006238D5"/>
    <w:rsid w:val="0063032D"/>
    <w:rsid w:val="0063336C"/>
    <w:rsid w:val="00633A61"/>
    <w:rsid w:val="00634411"/>
    <w:rsid w:val="0064135B"/>
    <w:rsid w:val="006433EC"/>
    <w:rsid w:val="00651D65"/>
    <w:rsid w:val="00651DB8"/>
    <w:rsid w:val="00652668"/>
    <w:rsid w:val="00652891"/>
    <w:rsid w:val="00652DB5"/>
    <w:rsid w:val="006602EB"/>
    <w:rsid w:val="00660527"/>
    <w:rsid w:val="00662875"/>
    <w:rsid w:val="00664058"/>
    <w:rsid w:val="006643C8"/>
    <w:rsid w:val="006653FB"/>
    <w:rsid w:val="00666A0D"/>
    <w:rsid w:val="006705F8"/>
    <w:rsid w:val="00673594"/>
    <w:rsid w:val="00680B9A"/>
    <w:rsid w:val="0068150C"/>
    <w:rsid w:val="00681BCA"/>
    <w:rsid w:val="00681E24"/>
    <w:rsid w:val="00683A85"/>
    <w:rsid w:val="0068694D"/>
    <w:rsid w:val="00691296"/>
    <w:rsid w:val="00691E0B"/>
    <w:rsid w:val="00694A9F"/>
    <w:rsid w:val="006A19C7"/>
    <w:rsid w:val="006A3A54"/>
    <w:rsid w:val="006A4BAB"/>
    <w:rsid w:val="006A5C8A"/>
    <w:rsid w:val="006A5C92"/>
    <w:rsid w:val="006A7F27"/>
    <w:rsid w:val="006B44FE"/>
    <w:rsid w:val="006C131C"/>
    <w:rsid w:val="006C45F4"/>
    <w:rsid w:val="006C716E"/>
    <w:rsid w:val="006C7C16"/>
    <w:rsid w:val="006D5E58"/>
    <w:rsid w:val="006E08E4"/>
    <w:rsid w:val="006E0B08"/>
    <w:rsid w:val="006E268C"/>
    <w:rsid w:val="006E419C"/>
    <w:rsid w:val="006E48CA"/>
    <w:rsid w:val="006E5201"/>
    <w:rsid w:val="006E5DCC"/>
    <w:rsid w:val="006F41EF"/>
    <w:rsid w:val="006F643B"/>
    <w:rsid w:val="006F7CBD"/>
    <w:rsid w:val="0070009E"/>
    <w:rsid w:val="0070442E"/>
    <w:rsid w:val="007045CF"/>
    <w:rsid w:val="007076E7"/>
    <w:rsid w:val="007139A0"/>
    <w:rsid w:val="00721A68"/>
    <w:rsid w:val="00724765"/>
    <w:rsid w:val="00727757"/>
    <w:rsid w:val="00727DA1"/>
    <w:rsid w:val="007319F1"/>
    <w:rsid w:val="0073329D"/>
    <w:rsid w:val="007338D8"/>
    <w:rsid w:val="00735722"/>
    <w:rsid w:val="007358B5"/>
    <w:rsid w:val="00735C22"/>
    <w:rsid w:val="00735E30"/>
    <w:rsid w:val="00736448"/>
    <w:rsid w:val="007411F5"/>
    <w:rsid w:val="00741E9B"/>
    <w:rsid w:val="00742444"/>
    <w:rsid w:val="00747313"/>
    <w:rsid w:val="0075180B"/>
    <w:rsid w:val="00753F16"/>
    <w:rsid w:val="00775BF7"/>
    <w:rsid w:val="0078155B"/>
    <w:rsid w:val="00781FA2"/>
    <w:rsid w:val="00782D9B"/>
    <w:rsid w:val="00794EBB"/>
    <w:rsid w:val="00797F26"/>
    <w:rsid w:val="007A423F"/>
    <w:rsid w:val="007B11B3"/>
    <w:rsid w:val="007B3AF0"/>
    <w:rsid w:val="007B695C"/>
    <w:rsid w:val="007B75E2"/>
    <w:rsid w:val="007C0F4C"/>
    <w:rsid w:val="007C0FCA"/>
    <w:rsid w:val="007C4D7C"/>
    <w:rsid w:val="007C5592"/>
    <w:rsid w:val="007C6C9B"/>
    <w:rsid w:val="007C6CDA"/>
    <w:rsid w:val="007D3F66"/>
    <w:rsid w:val="007E01F9"/>
    <w:rsid w:val="007E081A"/>
    <w:rsid w:val="007E1154"/>
    <w:rsid w:val="007E451A"/>
    <w:rsid w:val="007E5293"/>
    <w:rsid w:val="007E5493"/>
    <w:rsid w:val="007E5B84"/>
    <w:rsid w:val="00800FB7"/>
    <w:rsid w:val="0080391B"/>
    <w:rsid w:val="00811B28"/>
    <w:rsid w:val="00814310"/>
    <w:rsid w:val="00814A22"/>
    <w:rsid w:val="00817DEE"/>
    <w:rsid w:val="00823BC2"/>
    <w:rsid w:val="008249E3"/>
    <w:rsid w:val="00831407"/>
    <w:rsid w:val="00831F6D"/>
    <w:rsid w:val="00840935"/>
    <w:rsid w:val="008447CB"/>
    <w:rsid w:val="00844BBE"/>
    <w:rsid w:val="00850C2B"/>
    <w:rsid w:val="008519EB"/>
    <w:rsid w:val="008526C6"/>
    <w:rsid w:val="00854E6C"/>
    <w:rsid w:val="00860F5E"/>
    <w:rsid w:val="00862B4C"/>
    <w:rsid w:val="008807E5"/>
    <w:rsid w:val="00882025"/>
    <w:rsid w:val="00887D21"/>
    <w:rsid w:val="008908EA"/>
    <w:rsid w:val="008A05E7"/>
    <w:rsid w:val="008A67DB"/>
    <w:rsid w:val="008A768B"/>
    <w:rsid w:val="008B65B6"/>
    <w:rsid w:val="008C2303"/>
    <w:rsid w:val="008C2C36"/>
    <w:rsid w:val="008C65A3"/>
    <w:rsid w:val="008D0721"/>
    <w:rsid w:val="008D6CD7"/>
    <w:rsid w:val="008D7DE6"/>
    <w:rsid w:val="008E026F"/>
    <w:rsid w:val="008E39E1"/>
    <w:rsid w:val="008F2FF6"/>
    <w:rsid w:val="008F3627"/>
    <w:rsid w:val="008F42C1"/>
    <w:rsid w:val="00902ADE"/>
    <w:rsid w:val="009076F9"/>
    <w:rsid w:val="0091102E"/>
    <w:rsid w:val="00911034"/>
    <w:rsid w:val="009158F4"/>
    <w:rsid w:val="009171A6"/>
    <w:rsid w:val="009229C1"/>
    <w:rsid w:val="00923466"/>
    <w:rsid w:val="00924A80"/>
    <w:rsid w:val="009325A5"/>
    <w:rsid w:val="0093430E"/>
    <w:rsid w:val="00936B40"/>
    <w:rsid w:val="00936C18"/>
    <w:rsid w:val="00937D32"/>
    <w:rsid w:val="00940660"/>
    <w:rsid w:val="0094578D"/>
    <w:rsid w:val="009463C8"/>
    <w:rsid w:val="009506D7"/>
    <w:rsid w:val="00950AAD"/>
    <w:rsid w:val="0095217A"/>
    <w:rsid w:val="00954334"/>
    <w:rsid w:val="0095570A"/>
    <w:rsid w:val="00961515"/>
    <w:rsid w:val="00961D62"/>
    <w:rsid w:val="00962944"/>
    <w:rsid w:val="00963164"/>
    <w:rsid w:val="009635E1"/>
    <w:rsid w:val="00974D78"/>
    <w:rsid w:val="0097624C"/>
    <w:rsid w:val="0098195E"/>
    <w:rsid w:val="009826D6"/>
    <w:rsid w:val="00984BA3"/>
    <w:rsid w:val="00986F2B"/>
    <w:rsid w:val="00995D0C"/>
    <w:rsid w:val="009A5311"/>
    <w:rsid w:val="009B0E9D"/>
    <w:rsid w:val="009B6D7C"/>
    <w:rsid w:val="009B7CC4"/>
    <w:rsid w:val="009C0011"/>
    <w:rsid w:val="009C1578"/>
    <w:rsid w:val="009D2ED9"/>
    <w:rsid w:val="009D7C2D"/>
    <w:rsid w:val="009F1383"/>
    <w:rsid w:val="009F3A56"/>
    <w:rsid w:val="009F3FA1"/>
    <w:rsid w:val="009F6CFF"/>
    <w:rsid w:val="009F7D45"/>
    <w:rsid w:val="00A025A1"/>
    <w:rsid w:val="00A02E93"/>
    <w:rsid w:val="00A10FD0"/>
    <w:rsid w:val="00A12829"/>
    <w:rsid w:val="00A16191"/>
    <w:rsid w:val="00A161E7"/>
    <w:rsid w:val="00A23207"/>
    <w:rsid w:val="00A24A5E"/>
    <w:rsid w:val="00A251EB"/>
    <w:rsid w:val="00A306A1"/>
    <w:rsid w:val="00A45266"/>
    <w:rsid w:val="00A5336C"/>
    <w:rsid w:val="00A5630E"/>
    <w:rsid w:val="00A56AC3"/>
    <w:rsid w:val="00A57F31"/>
    <w:rsid w:val="00A63897"/>
    <w:rsid w:val="00A641A5"/>
    <w:rsid w:val="00A65C04"/>
    <w:rsid w:val="00A662C2"/>
    <w:rsid w:val="00A74B90"/>
    <w:rsid w:val="00A74D9A"/>
    <w:rsid w:val="00A75205"/>
    <w:rsid w:val="00A774D8"/>
    <w:rsid w:val="00A774E7"/>
    <w:rsid w:val="00A7780A"/>
    <w:rsid w:val="00A83A02"/>
    <w:rsid w:val="00A84077"/>
    <w:rsid w:val="00A91348"/>
    <w:rsid w:val="00AA57F0"/>
    <w:rsid w:val="00AA7333"/>
    <w:rsid w:val="00AB1F8D"/>
    <w:rsid w:val="00AC1C22"/>
    <w:rsid w:val="00AC433B"/>
    <w:rsid w:val="00AD0F3C"/>
    <w:rsid w:val="00AD1F03"/>
    <w:rsid w:val="00AD23DF"/>
    <w:rsid w:val="00AE3243"/>
    <w:rsid w:val="00AE3844"/>
    <w:rsid w:val="00AE490B"/>
    <w:rsid w:val="00AE650C"/>
    <w:rsid w:val="00AF77DE"/>
    <w:rsid w:val="00B00F2D"/>
    <w:rsid w:val="00B05A7A"/>
    <w:rsid w:val="00B106B8"/>
    <w:rsid w:val="00B10FE4"/>
    <w:rsid w:val="00B23372"/>
    <w:rsid w:val="00B3040F"/>
    <w:rsid w:val="00B31AF8"/>
    <w:rsid w:val="00B31FD9"/>
    <w:rsid w:val="00B34569"/>
    <w:rsid w:val="00B41E69"/>
    <w:rsid w:val="00B4309A"/>
    <w:rsid w:val="00B46D9F"/>
    <w:rsid w:val="00B471F1"/>
    <w:rsid w:val="00B533B6"/>
    <w:rsid w:val="00B536BF"/>
    <w:rsid w:val="00B53940"/>
    <w:rsid w:val="00B54A38"/>
    <w:rsid w:val="00B55E47"/>
    <w:rsid w:val="00B57717"/>
    <w:rsid w:val="00B60E02"/>
    <w:rsid w:val="00B6366A"/>
    <w:rsid w:val="00B63B89"/>
    <w:rsid w:val="00B63F7E"/>
    <w:rsid w:val="00B647AC"/>
    <w:rsid w:val="00B64B18"/>
    <w:rsid w:val="00B6503C"/>
    <w:rsid w:val="00B75C98"/>
    <w:rsid w:val="00B76A75"/>
    <w:rsid w:val="00B76C8D"/>
    <w:rsid w:val="00B80D6E"/>
    <w:rsid w:val="00B86DE7"/>
    <w:rsid w:val="00B871F2"/>
    <w:rsid w:val="00B90682"/>
    <w:rsid w:val="00B92D66"/>
    <w:rsid w:val="00B96A63"/>
    <w:rsid w:val="00BB12BB"/>
    <w:rsid w:val="00BB4005"/>
    <w:rsid w:val="00BB40FC"/>
    <w:rsid w:val="00BB449C"/>
    <w:rsid w:val="00BB4B9C"/>
    <w:rsid w:val="00BB55CC"/>
    <w:rsid w:val="00BC00DA"/>
    <w:rsid w:val="00BC5027"/>
    <w:rsid w:val="00BC6174"/>
    <w:rsid w:val="00BD0642"/>
    <w:rsid w:val="00BD4647"/>
    <w:rsid w:val="00BE1BD7"/>
    <w:rsid w:val="00BE2FBE"/>
    <w:rsid w:val="00BE4B86"/>
    <w:rsid w:val="00BE57F6"/>
    <w:rsid w:val="00BE7967"/>
    <w:rsid w:val="00BF12A7"/>
    <w:rsid w:val="00C028A4"/>
    <w:rsid w:val="00C03FCA"/>
    <w:rsid w:val="00C10655"/>
    <w:rsid w:val="00C11D71"/>
    <w:rsid w:val="00C120FA"/>
    <w:rsid w:val="00C12D3B"/>
    <w:rsid w:val="00C17EC9"/>
    <w:rsid w:val="00C20542"/>
    <w:rsid w:val="00C24AEA"/>
    <w:rsid w:val="00C24DB6"/>
    <w:rsid w:val="00C25FAE"/>
    <w:rsid w:val="00C26D26"/>
    <w:rsid w:val="00C26EA0"/>
    <w:rsid w:val="00C32301"/>
    <w:rsid w:val="00C33ACB"/>
    <w:rsid w:val="00C34BD4"/>
    <w:rsid w:val="00C430C9"/>
    <w:rsid w:val="00C46B75"/>
    <w:rsid w:val="00C47A06"/>
    <w:rsid w:val="00C51690"/>
    <w:rsid w:val="00C53223"/>
    <w:rsid w:val="00C53C0D"/>
    <w:rsid w:val="00C554D3"/>
    <w:rsid w:val="00C63661"/>
    <w:rsid w:val="00C80168"/>
    <w:rsid w:val="00C838D4"/>
    <w:rsid w:val="00C83C4B"/>
    <w:rsid w:val="00C90EAD"/>
    <w:rsid w:val="00C976BE"/>
    <w:rsid w:val="00CA0538"/>
    <w:rsid w:val="00CA2662"/>
    <w:rsid w:val="00CA7D64"/>
    <w:rsid w:val="00CB2F5C"/>
    <w:rsid w:val="00CB5A7F"/>
    <w:rsid w:val="00CC5FFF"/>
    <w:rsid w:val="00CD4286"/>
    <w:rsid w:val="00CE6D41"/>
    <w:rsid w:val="00CF55A6"/>
    <w:rsid w:val="00CF5939"/>
    <w:rsid w:val="00CF6841"/>
    <w:rsid w:val="00D018BA"/>
    <w:rsid w:val="00D05309"/>
    <w:rsid w:val="00D0670A"/>
    <w:rsid w:val="00D06942"/>
    <w:rsid w:val="00D06D61"/>
    <w:rsid w:val="00D106D8"/>
    <w:rsid w:val="00D1089F"/>
    <w:rsid w:val="00D1478C"/>
    <w:rsid w:val="00D14CBA"/>
    <w:rsid w:val="00D24F53"/>
    <w:rsid w:val="00D30E54"/>
    <w:rsid w:val="00D3214A"/>
    <w:rsid w:val="00D43A42"/>
    <w:rsid w:val="00D47D24"/>
    <w:rsid w:val="00D51FB6"/>
    <w:rsid w:val="00D53551"/>
    <w:rsid w:val="00D536D2"/>
    <w:rsid w:val="00D553A5"/>
    <w:rsid w:val="00D66832"/>
    <w:rsid w:val="00D80A10"/>
    <w:rsid w:val="00D82E14"/>
    <w:rsid w:val="00D87071"/>
    <w:rsid w:val="00DB18E6"/>
    <w:rsid w:val="00DB23AB"/>
    <w:rsid w:val="00DB3E9E"/>
    <w:rsid w:val="00DB55FA"/>
    <w:rsid w:val="00DB5A6B"/>
    <w:rsid w:val="00DC0D77"/>
    <w:rsid w:val="00DC35E0"/>
    <w:rsid w:val="00DC4120"/>
    <w:rsid w:val="00DC4958"/>
    <w:rsid w:val="00DC68F5"/>
    <w:rsid w:val="00DD0B68"/>
    <w:rsid w:val="00DD18F5"/>
    <w:rsid w:val="00DD259C"/>
    <w:rsid w:val="00DD734F"/>
    <w:rsid w:val="00DE17B0"/>
    <w:rsid w:val="00DF6A40"/>
    <w:rsid w:val="00DF7DE6"/>
    <w:rsid w:val="00DF7F95"/>
    <w:rsid w:val="00E04F6D"/>
    <w:rsid w:val="00E05851"/>
    <w:rsid w:val="00E11B34"/>
    <w:rsid w:val="00E1515B"/>
    <w:rsid w:val="00E226A1"/>
    <w:rsid w:val="00E23728"/>
    <w:rsid w:val="00E258A6"/>
    <w:rsid w:val="00E278B8"/>
    <w:rsid w:val="00E3026C"/>
    <w:rsid w:val="00E35E9C"/>
    <w:rsid w:val="00E35FA9"/>
    <w:rsid w:val="00E42352"/>
    <w:rsid w:val="00E4277E"/>
    <w:rsid w:val="00E57530"/>
    <w:rsid w:val="00E63057"/>
    <w:rsid w:val="00E643BA"/>
    <w:rsid w:val="00E65FED"/>
    <w:rsid w:val="00E66D26"/>
    <w:rsid w:val="00E762DD"/>
    <w:rsid w:val="00E76EE9"/>
    <w:rsid w:val="00E875FC"/>
    <w:rsid w:val="00E92164"/>
    <w:rsid w:val="00E96FB8"/>
    <w:rsid w:val="00EA093A"/>
    <w:rsid w:val="00EA1515"/>
    <w:rsid w:val="00EA29B2"/>
    <w:rsid w:val="00EA2C9A"/>
    <w:rsid w:val="00EA4BC7"/>
    <w:rsid w:val="00EA6861"/>
    <w:rsid w:val="00EB013B"/>
    <w:rsid w:val="00EB0991"/>
    <w:rsid w:val="00EC087D"/>
    <w:rsid w:val="00EC579F"/>
    <w:rsid w:val="00EC699A"/>
    <w:rsid w:val="00EC6FAB"/>
    <w:rsid w:val="00ED3E4F"/>
    <w:rsid w:val="00ED5008"/>
    <w:rsid w:val="00EE30DB"/>
    <w:rsid w:val="00EE3638"/>
    <w:rsid w:val="00EE665B"/>
    <w:rsid w:val="00EE6BD5"/>
    <w:rsid w:val="00EE6EE7"/>
    <w:rsid w:val="00EF0B39"/>
    <w:rsid w:val="00EF389D"/>
    <w:rsid w:val="00EF6A8A"/>
    <w:rsid w:val="00EF7D55"/>
    <w:rsid w:val="00F01581"/>
    <w:rsid w:val="00F04CD2"/>
    <w:rsid w:val="00F1514F"/>
    <w:rsid w:val="00F16121"/>
    <w:rsid w:val="00F169BF"/>
    <w:rsid w:val="00F17000"/>
    <w:rsid w:val="00F20E92"/>
    <w:rsid w:val="00F217FF"/>
    <w:rsid w:val="00F25FE1"/>
    <w:rsid w:val="00F265FA"/>
    <w:rsid w:val="00F312BE"/>
    <w:rsid w:val="00F32105"/>
    <w:rsid w:val="00F412D5"/>
    <w:rsid w:val="00F4164E"/>
    <w:rsid w:val="00F41CC8"/>
    <w:rsid w:val="00F42971"/>
    <w:rsid w:val="00F43383"/>
    <w:rsid w:val="00F46F71"/>
    <w:rsid w:val="00F50BCB"/>
    <w:rsid w:val="00F53B10"/>
    <w:rsid w:val="00F542AF"/>
    <w:rsid w:val="00F56E19"/>
    <w:rsid w:val="00F607E3"/>
    <w:rsid w:val="00F61875"/>
    <w:rsid w:val="00F6308C"/>
    <w:rsid w:val="00F6733E"/>
    <w:rsid w:val="00F70ABE"/>
    <w:rsid w:val="00F76B66"/>
    <w:rsid w:val="00F81C1C"/>
    <w:rsid w:val="00F83616"/>
    <w:rsid w:val="00F8564D"/>
    <w:rsid w:val="00F86E40"/>
    <w:rsid w:val="00F87304"/>
    <w:rsid w:val="00FA1561"/>
    <w:rsid w:val="00FA1C3D"/>
    <w:rsid w:val="00FA404E"/>
    <w:rsid w:val="00FA484D"/>
    <w:rsid w:val="00FA54D8"/>
    <w:rsid w:val="00FB62C7"/>
    <w:rsid w:val="00FB735D"/>
    <w:rsid w:val="00FC024A"/>
    <w:rsid w:val="00FC400E"/>
    <w:rsid w:val="00FC7078"/>
    <w:rsid w:val="00FD1239"/>
    <w:rsid w:val="00FD32B4"/>
    <w:rsid w:val="00FD3DF9"/>
    <w:rsid w:val="00FD585B"/>
    <w:rsid w:val="00FE3AA1"/>
    <w:rsid w:val="00FE5C04"/>
    <w:rsid w:val="00FE6167"/>
    <w:rsid w:val="00FF2D9E"/>
    <w:rsid w:val="00FF3AF9"/>
    <w:rsid w:val="02416E39"/>
    <w:rsid w:val="033B06D5"/>
    <w:rsid w:val="0348BF0E"/>
    <w:rsid w:val="0402D2B8"/>
    <w:rsid w:val="0404E8F1"/>
    <w:rsid w:val="059C1DFB"/>
    <w:rsid w:val="06C23EB3"/>
    <w:rsid w:val="06EECF10"/>
    <w:rsid w:val="07201735"/>
    <w:rsid w:val="0798D959"/>
    <w:rsid w:val="07DD2FBA"/>
    <w:rsid w:val="09E02F80"/>
    <w:rsid w:val="0AC2AC60"/>
    <w:rsid w:val="0AC5F736"/>
    <w:rsid w:val="0EE1DD44"/>
    <w:rsid w:val="10945F4D"/>
    <w:rsid w:val="1306374D"/>
    <w:rsid w:val="144C588B"/>
    <w:rsid w:val="145B996E"/>
    <w:rsid w:val="146D6617"/>
    <w:rsid w:val="1521B337"/>
    <w:rsid w:val="160AC240"/>
    <w:rsid w:val="193EB387"/>
    <w:rsid w:val="1AA35E41"/>
    <w:rsid w:val="1DDA1274"/>
    <w:rsid w:val="1E9C6C97"/>
    <w:rsid w:val="1F27BFE0"/>
    <w:rsid w:val="21EF18C8"/>
    <w:rsid w:val="2282A68C"/>
    <w:rsid w:val="22C507D2"/>
    <w:rsid w:val="243C5A54"/>
    <w:rsid w:val="26A7315D"/>
    <w:rsid w:val="273D8480"/>
    <w:rsid w:val="27D68470"/>
    <w:rsid w:val="2955BD6B"/>
    <w:rsid w:val="29C8E645"/>
    <w:rsid w:val="2A53909F"/>
    <w:rsid w:val="2AEF702F"/>
    <w:rsid w:val="2C20149F"/>
    <w:rsid w:val="2C28D416"/>
    <w:rsid w:val="2CD9FA3A"/>
    <w:rsid w:val="2D07D7D4"/>
    <w:rsid w:val="2FDFF86B"/>
    <w:rsid w:val="310B0CB3"/>
    <w:rsid w:val="31643C67"/>
    <w:rsid w:val="31D1E11A"/>
    <w:rsid w:val="34A11C48"/>
    <w:rsid w:val="3586C5C5"/>
    <w:rsid w:val="3619E16C"/>
    <w:rsid w:val="382ED3C1"/>
    <w:rsid w:val="386D704A"/>
    <w:rsid w:val="39FCF199"/>
    <w:rsid w:val="3BCE5448"/>
    <w:rsid w:val="3BFF7612"/>
    <w:rsid w:val="3C021369"/>
    <w:rsid w:val="3C7989DF"/>
    <w:rsid w:val="3CB49B0A"/>
    <w:rsid w:val="3CD61039"/>
    <w:rsid w:val="3CF39DAC"/>
    <w:rsid w:val="3D5D0D1F"/>
    <w:rsid w:val="3E8D378C"/>
    <w:rsid w:val="3EF61633"/>
    <w:rsid w:val="3FBB54F3"/>
    <w:rsid w:val="3FF32C38"/>
    <w:rsid w:val="4145D7C5"/>
    <w:rsid w:val="41F05E07"/>
    <w:rsid w:val="43ADB615"/>
    <w:rsid w:val="45661519"/>
    <w:rsid w:val="469854E3"/>
    <w:rsid w:val="473A3C28"/>
    <w:rsid w:val="4819360E"/>
    <w:rsid w:val="4ACB0DAB"/>
    <w:rsid w:val="4AE43BAE"/>
    <w:rsid w:val="4B00F4D2"/>
    <w:rsid w:val="4BA82C94"/>
    <w:rsid w:val="4C34E6CD"/>
    <w:rsid w:val="4CB7609B"/>
    <w:rsid w:val="533F90C4"/>
    <w:rsid w:val="5566CB64"/>
    <w:rsid w:val="56A9F529"/>
    <w:rsid w:val="56E6F716"/>
    <w:rsid w:val="5718ADA5"/>
    <w:rsid w:val="5B0113B1"/>
    <w:rsid w:val="5C752CC4"/>
    <w:rsid w:val="5EB047EC"/>
    <w:rsid w:val="5FD851CE"/>
    <w:rsid w:val="607832EB"/>
    <w:rsid w:val="60884CC2"/>
    <w:rsid w:val="60B93137"/>
    <w:rsid w:val="613A68BB"/>
    <w:rsid w:val="620DFDB7"/>
    <w:rsid w:val="627CD98A"/>
    <w:rsid w:val="6285D60E"/>
    <w:rsid w:val="633EE94B"/>
    <w:rsid w:val="63B8FD18"/>
    <w:rsid w:val="63FB7B56"/>
    <w:rsid w:val="64A5372C"/>
    <w:rsid w:val="68D56DBD"/>
    <w:rsid w:val="69B10D97"/>
    <w:rsid w:val="69F82BAA"/>
    <w:rsid w:val="6B68E24D"/>
    <w:rsid w:val="6BCD3A64"/>
    <w:rsid w:val="6BE25259"/>
    <w:rsid w:val="6CE20694"/>
    <w:rsid w:val="6E71FDA7"/>
    <w:rsid w:val="6EB84589"/>
    <w:rsid w:val="6ED4CFE2"/>
    <w:rsid w:val="704B98C5"/>
    <w:rsid w:val="713DD28D"/>
    <w:rsid w:val="714006C9"/>
    <w:rsid w:val="717A50D8"/>
    <w:rsid w:val="73084645"/>
    <w:rsid w:val="74ADA700"/>
    <w:rsid w:val="74C96F9A"/>
    <w:rsid w:val="763B220C"/>
    <w:rsid w:val="7676BDD7"/>
    <w:rsid w:val="76848E7B"/>
    <w:rsid w:val="7770950C"/>
    <w:rsid w:val="7A3B1F92"/>
    <w:rsid w:val="7AB81D9E"/>
    <w:rsid w:val="7AEDF358"/>
    <w:rsid w:val="7B02C9F7"/>
    <w:rsid w:val="7C15D8AE"/>
    <w:rsid w:val="7C9EEA6F"/>
    <w:rsid w:val="7CEC58A6"/>
    <w:rsid w:val="7E9F732D"/>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31C20D"/>
  <w15:docId w15:val="{1D17222E-4CC4-4751-897F-CC1AF95E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8E8"/>
    <w:pPr>
      <w:spacing w:after="0" w:line="288" w:lineRule="auto"/>
      <w:jc w:val="both"/>
    </w:pPr>
    <w:rPr>
      <w:rFonts w:ascii="Times New Roman" w:eastAsia="Times New Roman" w:hAnsi="Times New Roman" w:cs="Times New Roman"/>
      <w:lang w:val="en-US"/>
    </w:rPr>
  </w:style>
  <w:style w:type="paragraph" w:styleId="Heading1">
    <w:name w:val="heading 1"/>
    <w:basedOn w:val="Normal"/>
    <w:next w:val="Normal"/>
    <w:link w:val="Heading1Char"/>
    <w:qFormat/>
    <w:rsid w:val="006F643B"/>
    <w:pPr>
      <w:numPr>
        <w:numId w:val="7"/>
      </w:numPr>
      <w:ind w:left="567" w:hanging="567"/>
      <w:outlineLvl w:val="0"/>
    </w:pPr>
    <w:rPr>
      <w:rFonts w:ascii="Arial" w:hAnsi="Arial"/>
      <w:b/>
      <w:kern w:val="28"/>
      <w:sz w:val="20"/>
    </w:rPr>
  </w:style>
  <w:style w:type="paragraph" w:styleId="Heading2">
    <w:name w:val="heading 2"/>
    <w:basedOn w:val="Normal"/>
    <w:next w:val="Normal"/>
    <w:link w:val="Heading2Char"/>
    <w:qFormat/>
    <w:rsid w:val="005048E8"/>
    <w:pPr>
      <w:numPr>
        <w:ilvl w:val="1"/>
        <w:numId w:val="7"/>
      </w:numPr>
      <w:ind w:left="567" w:hanging="567"/>
      <w:outlineLvl w:val="1"/>
    </w:pPr>
  </w:style>
  <w:style w:type="paragraph" w:styleId="Heading3">
    <w:name w:val="heading 3"/>
    <w:basedOn w:val="Normal"/>
    <w:next w:val="Normal"/>
    <w:link w:val="Heading3Char"/>
    <w:qFormat/>
    <w:rsid w:val="005048E8"/>
    <w:pPr>
      <w:numPr>
        <w:ilvl w:val="2"/>
        <w:numId w:val="7"/>
      </w:numPr>
      <w:ind w:left="567" w:hanging="567"/>
      <w:outlineLvl w:val="2"/>
    </w:pPr>
  </w:style>
  <w:style w:type="paragraph" w:styleId="Heading4">
    <w:name w:val="heading 4"/>
    <w:basedOn w:val="Normal"/>
    <w:next w:val="Normal"/>
    <w:link w:val="Heading4Char"/>
    <w:qFormat/>
    <w:rsid w:val="005048E8"/>
    <w:pPr>
      <w:numPr>
        <w:ilvl w:val="3"/>
        <w:numId w:val="7"/>
      </w:numPr>
      <w:ind w:left="567" w:hanging="567"/>
      <w:outlineLvl w:val="3"/>
    </w:pPr>
  </w:style>
  <w:style w:type="paragraph" w:styleId="Heading5">
    <w:name w:val="heading 5"/>
    <w:basedOn w:val="Normal"/>
    <w:next w:val="Normal"/>
    <w:link w:val="Heading5Char"/>
    <w:qFormat/>
    <w:rsid w:val="005048E8"/>
    <w:pPr>
      <w:numPr>
        <w:ilvl w:val="4"/>
        <w:numId w:val="7"/>
      </w:numPr>
      <w:ind w:left="567" w:hanging="567"/>
      <w:outlineLvl w:val="4"/>
    </w:pPr>
  </w:style>
  <w:style w:type="paragraph" w:styleId="Heading6">
    <w:name w:val="heading 6"/>
    <w:basedOn w:val="Normal"/>
    <w:next w:val="Normal"/>
    <w:link w:val="Heading6Char"/>
    <w:qFormat/>
    <w:rsid w:val="005048E8"/>
    <w:pPr>
      <w:numPr>
        <w:ilvl w:val="5"/>
        <w:numId w:val="7"/>
      </w:numPr>
      <w:ind w:left="567" w:hanging="567"/>
      <w:outlineLvl w:val="5"/>
    </w:pPr>
  </w:style>
  <w:style w:type="paragraph" w:styleId="Heading7">
    <w:name w:val="heading 7"/>
    <w:basedOn w:val="Normal"/>
    <w:next w:val="Normal"/>
    <w:link w:val="Heading7Char"/>
    <w:qFormat/>
    <w:rsid w:val="005048E8"/>
    <w:pPr>
      <w:numPr>
        <w:ilvl w:val="6"/>
        <w:numId w:val="7"/>
      </w:numPr>
      <w:ind w:left="567" w:hanging="567"/>
      <w:outlineLvl w:val="6"/>
    </w:pPr>
  </w:style>
  <w:style w:type="paragraph" w:styleId="Heading8">
    <w:name w:val="heading 8"/>
    <w:basedOn w:val="Normal"/>
    <w:next w:val="Normal"/>
    <w:link w:val="Heading8Char"/>
    <w:qFormat/>
    <w:rsid w:val="005048E8"/>
    <w:pPr>
      <w:numPr>
        <w:ilvl w:val="7"/>
        <w:numId w:val="7"/>
      </w:numPr>
      <w:ind w:left="567" w:hanging="567"/>
      <w:outlineLvl w:val="7"/>
    </w:pPr>
  </w:style>
  <w:style w:type="paragraph" w:styleId="Heading9">
    <w:name w:val="heading 9"/>
    <w:basedOn w:val="Normal"/>
    <w:next w:val="Normal"/>
    <w:link w:val="Heading9Char"/>
    <w:qFormat/>
    <w:rsid w:val="005048E8"/>
    <w:pPr>
      <w:numPr>
        <w:ilvl w:val="8"/>
        <w:numId w:val="7"/>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643B"/>
    <w:rPr>
      <w:rFonts w:ascii="Arial" w:eastAsia="Times New Roman" w:hAnsi="Arial" w:cs="Times New Roman"/>
      <w:b/>
      <w:kern w:val="28"/>
      <w:sz w:val="20"/>
      <w:lang w:val="en-US"/>
    </w:rPr>
  </w:style>
  <w:style w:type="character" w:customStyle="1" w:styleId="Heading2Char">
    <w:name w:val="Heading 2 Char"/>
    <w:basedOn w:val="DefaultParagraphFont"/>
    <w:link w:val="Heading2"/>
    <w:rsid w:val="005325D9"/>
    <w:rPr>
      <w:rFonts w:ascii="Times New Roman" w:eastAsia="Times New Roman" w:hAnsi="Times New Roman" w:cs="Times New Roman"/>
      <w:lang w:val="en-US"/>
    </w:rPr>
  </w:style>
  <w:style w:type="character" w:customStyle="1" w:styleId="Heading3Char">
    <w:name w:val="Heading 3 Char"/>
    <w:basedOn w:val="DefaultParagraphFont"/>
    <w:link w:val="Heading3"/>
    <w:rsid w:val="005325D9"/>
    <w:rPr>
      <w:rFonts w:ascii="Times New Roman" w:eastAsia="Times New Roman" w:hAnsi="Times New Roman" w:cs="Times New Roman"/>
      <w:lang w:val="en-US"/>
    </w:rPr>
  </w:style>
  <w:style w:type="character" w:customStyle="1" w:styleId="Heading4Char">
    <w:name w:val="Heading 4 Char"/>
    <w:basedOn w:val="DefaultParagraphFont"/>
    <w:link w:val="Heading4"/>
    <w:rsid w:val="005325D9"/>
    <w:rPr>
      <w:rFonts w:ascii="Times New Roman" w:eastAsia="Times New Roman" w:hAnsi="Times New Roman" w:cs="Times New Roman"/>
      <w:lang w:val="en-US"/>
    </w:rPr>
  </w:style>
  <w:style w:type="character" w:customStyle="1" w:styleId="Heading5Char">
    <w:name w:val="Heading 5 Char"/>
    <w:basedOn w:val="DefaultParagraphFont"/>
    <w:link w:val="Heading5"/>
    <w:rsid w:val="005325D9"/>
    <w:rPr>
      <w:rFonts w:ascii="Times New Roman" w:eastAsia="Times New Roman" w:hAnsi="Times New Roman" w:cs="Times New Roman"/>
      <w:lang w:val="en-US"/>
    </w:rPr>
  </w:style>
  <w:style w:type="character" w:customStyle="1" w:styleId="Heading6Char">
    <w:name w:val="Heading 6 Char"/>
    <w:basedOn w:val="DefaultParagraphFont"/>
    <w:link w:val="Heading6"/>
    <w:rsid w:val="005325D9"/>
    <w:rPr>
      <w:rFonts w:ascii="Times New Roman" w:eastAsia="Times New Roman" w:hAnsi="Times New Roman" w:cs="Times New Roman"/>
      <w:lang w:val="en-US"/>
    </w:rPr>
  </w:style>
  <w:style w:type="character" w:customStyle="1" w:styleId="Heading7Char">
    <w:name w:val="Heading 7 Char"/>
    <w:basedOn w:val="DefaultParagraphFont"/>
    <w:link w:val="Heading7"/>
    <w:rsid w:val="005325D9"/>
    <w:rPr>
      <w:rFonts w:ascii="Times New Roman" w:eastAsia="Times New Roman" w:hAnsi="Times New Roman" w:cs="Times New Roman"/>
      <w:lang w:val="en-US"/>
    </w:rPr>
  </w:style>
  <w:style w:type="character" w:customStyle="1" w:styleId="Heading8Char">
    <w:name w:val="Heading 8 Char"/>
    <w:basedOn w:val="DefaultParagraphFont"/>
    <w:link w:val="Heading8"/>
    <w:rsid w:val="005325D9"/>
    <w:rPr>
      <w:rFonts w:ascii="Times New Roman" w:eastAsia="Times New Roman" w:hAnsi="Times New Roman" w:cs="Times New Roman"/>
      <w:lang w:val="en-US"/>
    </w:rPr>
  </w:style>
  <w:style w:type="character" w:customStyle="1" w:styleId="Heading9Char">
    <w:name w:val="Heading 9 Char"/>
    <w:basedOn w:val="DefaultParagraphFont"/>
    <w:link w:val="Heading9"/>
    <w:rsid w:val="005325D9"/>
    <w:rPr>
      <w:rFonts w:ascii="Times New Roman" w:eastAsia="Times New Roman" w:hAnsi="Times New Roman" w:cs="Times New Roman"/>
      <w:lang w:val="en-US"/>
    </w:rPr>
  </w:style>
  <w:style w:type="paragraph" w:styleId="Footer">
    <w:name w:val="footer"/>
    <w:basedOn w:val="Normal"/>
    <w:link w:val="FooterChar"/>
    <w:qFormat/>
    <w:rsid w:val="005048E8"/>
  </w:style>
  <w:style w:type="character" w:customStyle="1" w:styleId="FooterChar">
    <w:name w:val="Footer Char"/>
    <w:basedOn w:val="DefaultParagraphFont"/>
    <w:link w:val="Footer"/>
    <w:rsid w:val="005325D9"/>
    <w:rPr>
      <w:rFonts w:ascii="Times New Roman" w:eastAsia="Times New Roman" w:hAnsi="Times New Roman" w:cs="Times New Roman"/>
      <w:lang w:val="en-US"/>
    </w:rPr>
  </w:style>
  <w:style w:type="paragraph" w:styleId="FootnoteText">
    <w:name w:val="footnote text"/>
    <w:aliases w:val="AF Fußnotentext,Fußnote,Footnote,fn,Footnote Text Char Char,FOOTNOTES,single space,footnote text,Fußnotentext Char,Footnote Text Char Char1,Footnote Text Char Char Char,FOOTNOTES Char Char,fn Char Char,Char Char2,Fotnotstext1,Footnote text"/>
    <w:basedOn w:val="Normal"/>
    <w:link w:val="FootnoteTextChar"/>
    <w:qFormat/>
    <w:rsid w:val="005048E8"/>
    <w:pPr>
      <w:keepLines/>
      <w:spacing w:after="60" w:line="240" w:lineRule="auto"/>
      <w:ind w:left="567" w:hanging="567"/>
    </w:pPr>
    <w:rPr>
      <w:sz w:val="16"/>
    </w:rPr>
  </w:style>
  <w:style w:type="character" w:customStyle="1" w:styleId="FootnoteTextChar">
    <w:name w:val="Footnote Text Char"/>
    <w:aliases w:val="AF Fußnotentext Char,Fußnote Char,Footnote Char,fn Char,Footnote Text Char Char Char1,FOOTNOTES Char,single space Char,footnote text Char,Fußnotentext Char Char,Footnote Text Char Char1 Char,Footnote Text Char Char Char Char"/>
    <w:basedOn w:val="DefaultParagraphFont"/>
    <w:link w:val="FootnoteText"/>
    <w:qFormat/>
    <w:rsid w:val="005325D9"/>
    <w:rPr>
      <w:rFonts w:ascii="Times New Roman" w:eastAsia="Times New Roman" w:hAnsi="Times New Roman" w:cs="Times New Roman"/>
      <w:sz w:val="16"/>
      <w:lang w:val="en-US"/>
    </w:rPr>
  </w:style>
  <w:style w:type="paragraph" w:styleId="Header">
    <w:name w:val="header"/>
    <w:basedOn w:val="Normal"/>
    <w:link w:val="HeaderChar"/>
    <w:qFormat/>
    <w:rsid w:val="005048E8"/>
  </w:style>
  <w:style w:type="character" w:customStyle="1" w:styleId="HeaderChar">
    <w:name w:val="Header Char"/>
    <w:basedOn w:val="DefaultParagraphFont"/>
    <w:link w:val="Header"/>
    <w:rsid w:val="005325D9"/>
    <w:rPr>
      <w:rFonts w:ascii="Times New Roman" w:eastAsia="Times New Roman" w:hAnsi="Times New Roman" w:cs="Times New Roman"/>
      <w:lang w:val="en-US"/>
    </w:rPr>
  </w:style>
  <w:style w:type="paragraph" w:customStyle="1" w:styleId="quotes">
    <w:name w:val="quotes"/>
    <w:basedOn w:val="Normal"/>
    <w:next w:val="Normal"/>
    <w:rsid w:val="005048E8"/>
    <w:pPr>
      <w:ind w:left="720"/>
    </w:pPr>
    <w:rPr>
      <w:i/>
    </w:rPr>
  </w:style>
  <w:style w:type="character" w:styleId="FootnoteReference">
    <w:name w:val="footnote reference"/>
    <w:aliases w:val="SUPERS,Footnote symbol,Voetnootverwijzing,Times 10 Point,Exposant 3 Point,Nota,Footnote number,fr,o,Footnotemark,FR,Footnotemark1,Footnotemark2,FR1,Footnotemark3,FR2,Footnotemark4,FR3,Footnotemark5,FR4,Footnotemark6,Footnotemark7,Ref"/>
    <w:basedOn w:val="DefaultParagraphFont"/>
    <w:unhideWhenUsed/>
    <w:qFormat/>
    <w:rsid w:val="005048E8"/>
    <w:rPr>
      <w:sz w:val="24"/>
      <w:vertAlign w:val="superscript"/>
    </w:rPr>
  </w:style>
  <w:style w:type="table" w:styleId="TableGrid">
    <w:name w:val="Table Grid"/>
    <w:basedOn w:val="TableNormal"/>
    <w:uiPriority w:val="59"/>
    <w:rsid w:val="00532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42352"/>
    <w:pPr>
      <w:spacing w:after="0" w:line="240" w:lineRule="auto"/>
    </w:pPr>
    <w:rPr>
      <w:rFonts w:ascii="Times New Roman" w:eastAsia="Times New Roman" w:hAnsi="Times New Roman" w:cs="Times New Roman"/>
      <w:lang w:val="en-US"/>
    </w:rPr>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rsid w:val="009B0E9D"/>
    <w:pPr>
      <w:spacing w:before="100" w:beforeAutospacing="1" w:after="100" w:afterAutospacing="1" w:line="240" w:lineRule="auto"/>
      <w:jc w:val="left"/>
    </w:pPr>
    <w:rPr>
      <w:sz w:val="24"/>
      <w:szCs w:val="24"/>
      <w:lang w:val="fr-BE" w:eastAsia="fr-BE"/>
    </w:rPr>
  </w:style>
  <w:style w:type="character" w:styleId="FollowedHyperlink">
    <w:name w:val="FollowedHyperlink"/>
    <w:basedOn w:val="DefaultParagraphFont"/>
    <w:uiPriority w:val="99"/>
    <w:semiHidden/>
    <w:unhideWhenUsed/>
    <w:rsid w:val="0095570A"/>
    <w:rPr>
      <w:color w:val="800080" w:themeColor="followedHyperlink"/>
      <w:u w:val="single"/>
    </w:rPr>
  </w:style>
  <w:style w:type="paragraph" w:customStyle="1" w:styleId="Corpo">
    <w:name w:val="Corpo"/>
    <w:rsid w:val="0095570A"/>
    <w:pPr>
      <w:pBdr>
        <w:top w:val="nil"/>
        <w:left w:val="nil"/>
        <w:bottom w:val="nil"/>
        <w:right w:val="nil"/>
        <w:between w:val="nil"/>
        <w:bar w:val="nil"/>
      </w:pBdr>
      <w:spacing w:after="0" w:line="288" w:lineRule="auto"/>
      <w:jc w:val="both"/>
    </w:pPr>
    <w:rPr>
      <w:rFonts w:ascii="Times New Roman" w:eastAsia="Arial Unicode MS" w:hAnsi="Times New Roman" w:cs="Arial Unicode MS"/>
      <w:color w:val="000000"/>
      <w:u w:color="000000"/>
      <w:bdr w:val="nil"/>
      <w:lang w:val="en-US" w:eastAsia="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41431">
      <w:bodyDiv w:val="1"/>
      <w:marLeft w:val="0"/>
      <w:marRight w:val="0"/>
      <w:marTop w:val="0"/>
      <w:marBottom w:val="0"/>
      <w:divBdr>
        <w:top w:val="none" w:sz="0" w:space="0" w:color="auto"/>
        <w:left w:val="none" w:sz="0" w:space="0" w:color="auto"/>
        <w:bottom w:val="none" w:sz="0" w:space="0" w:color="auto"/>
        <w:right w:val="none" w:sz="0" w:space="0" w:color="auto"/>
      </w:divBdr>
    </w:div>
    <w:div w:id="124927954">
      <w:bodyDiv w:val="1"/>
      <w:marLeft w:val="0"/>
      <w:marRight w:val="0"/>
      <w:marTop w:val="0"/>
      <w:marBottom w:val="0"/>
      <w:divBdr>
        <w:top w:val="none" w:sz="0" w:space="0" w:color="auto"/>
        <w:left w:val="none" w:sz="0" w:space="0" w:color="auto"/>
        <w:bottom w:val="none" w:sz="0" w:space="0" w:color="auto"/>
        <w:right w:val="none" w:sz="0" w:space="0" w:color="auto"/>
      </w:divBdr>
    </w:div>
    <w:div w:id="133374104">
      <w:bodyDiv w:val="1"/>
      <w:marLeft w:val="0"/>
      <w:marRight w:val="0"/>
      <w:marTop w:val="0"/>
      <w:marBottom w:val="0"/>
      <w:divBdr>
        <w:top w:val="none" w:sz="0" w:space="0" w:color="auto"/>
        <w:left w:val="none" w:sz="0" w:space="0" w:color="auto"/>
        <w:bottom w:val="none" w:sz="0" w:space="0" w:color="auto"/>
        <w:right w:val="none" w:sz="0" w:space="0" w:color="auto"/>
      </w:divBdr>
    </w:div>
    <w:div w:id="185288010">
      <w:bodyDiv w:val="1"/>
      <w:marLeft w:val="0"/>
      <w:marRight w:val="0"/>
      <w:marTop w:val="0"/>
      <w:marBottom w:val="0"/>
      <w:divBdr>
        <w:top w:val="none" w:sz="0" w:space="0" w:color="auto"/>
        <w:left w:val="none" w:sz="0" w:space="0" w:color="auto"/>
        <w:bottom w:val="none" w:sz="0" w:space="0" w:color="auto"/>
        <w:right w:val="none" w:sz="0" w:space="0" w:color="auto"/>
      </w:divBdr>
    </w:div>
    <w:div w:id="272445159">
      <w:bodyDiv w:val="1"/>
      <w:marLeft w:val="0"/>
      <w:marRight w:val="0"/>
      <w:marTop w:val="0"/>
      <w:marBottom w:val="0"/>
      <w:divBdr>
        <w:top w:val="none" w:sz="0" w:space="0" w:color="auto"/>
        <w:left w:val="none" w:sz="0" w:space="0" w:color="auto"/>
        <w:bottom w:val="none" w:sz="0" w:space="0" w:color="auto"/>
        <w:right w:val="none" w:sz="0" w:space="0" w:color="auto"/>
      </w:divBdr>
    </w:div>
    <w:div w:id="302656621">
      <w:bodyDiv w:val="1"/>
      <w:marLeft w:val="0"/>
      <w:marRight w:val="0"/>
      <w:marTop w:val="0"/>
      <w:marBottom w:val="0"/>
      <w:divBdr>
        <w:top w:val="none" w:sz="0" w:space="0" w:color="auto"/>
        <w:left w:val="none" w:sz="0" w:space="0" w:color="auto"/>
        <w:bottom w:val="none" w:sz="0" w:space="0" w:color="auto"/>
        <w:right w:val="none" w:sz="0" w:space="0" w:color="auto"/>
      </w:divBdr>
    </w:div>
    <w:div w:id="374621269">
      <w:bodyDiv w:val="1"/>
      <w:marLeft w:val="0"/>
      <w:marRight w:val="0"/>
      <w:marTop w:val="0"/>
      <w:marBottom w:val="0"/>
      <w:divBdr>
        <w:top w:val="none" w:sz="0" w:space="0" w:color="auto"/>
        <w:left w:val="none" w:sz="0" w:space="0" w:color="auto"/>
        <w:bottom w:val="none" w:sz="0" w:space="0" w:color="auto"/>
        <w:right w:val="none" w:sz="0" w:space="0" w:color="auto"/>
      </w:divBdr>
    </w:div>
    <w:div w:id="381709725">
      <w:bodyDiv w:val="1"/>
      <w:marLeft w:val="0"/>
      <w:marRight w:val="0"/>
      <w:marTop w:val="0"/>
      <w:marBottom w:val="0"/>
      <w:divBdr>
        <w:top w:val="none" w:sz="0" w:space="0" w:color="auto"/>
        <w:left w:val="none" w:sz="0" w:space="0" w:color="auto"/>
        <w:bottom w:val="none" w:sz="0" w:space="0" w:color="auto"/>
        <w:right w:val="none" w:sz="0" w:space="0" w:color="auto"/>
      </w:divBdr>
    </w:div>
    <w:div w:id="631793283">
      <w:bodyDiv w:val="1"/>
      <w:marLeft w:val="0"/>
      <w:marRight w:val="0"/>
      <w:marTop w:val="0"/>
      <w:marBottom w:val="0"/>
      <w:divBdr>
        <w:top w:val="none" w:sz="0" w:space="0" w:color="auto"/>
        <w:left w:val="none" w:sz="0" w:space="0" w:color="auto"/>
        <w:bottom w:val="none" w:sz="0" w:space="0" w:color="auto"/>
        <w:right w:val="none" w:sz="0" w:space="0" w:color="auto"/>
      </w:divBdr>
    </w:div>
    <w:div w:id="667247062">
      <w:bodyDiv w:val="1"/>
      <w:marLeft w:val="0"/>
      <w:marRight w:val="0"/>
      <w:marTop w:val="0"/>
      <w:marBottom w:val="0"/>
      <w:divBdr>
        <w:top w:val="none" w:sz="0" w:space="0" w:color="auto"/>
        <w:left w:val="none" w:sz="0" w:space="0" w:color="auto"/>
        <w:bottom w:val="none" w:sz="0" w:space="0" w:color="auto"/>
        <w:right w:val="none" w:sz="0" w:space="0" w:color="auto"/>
      </w:divBdr>
    </w:div>
    <w:div w:id="714625969">
      <w:bodyDiv w:val="1"/>
      <w:marLeft w:val="0"/>
      <w:marRight w:val="0"/>
      <w:marTop w:val="0"/>
      <w:marBottom w:val="0"/>
      <w:divBdr>
        <w:top w:val="none" w:sz="0" w:space="0" w:color="auto"/>
        <w:left w:val="none" w:sz="0" w:space="0" w:color="auto"/>
        <w:bottom w:val="none" w:sz="0" w:space="0" w:color="auto"/>
        <w:right w:val="none" w:sz="0" w:space="0" w:color="auto"/>
      </w:divBdr>
    </w:div>
    <w:div w:id="735976947">
      <w:bodyDiv w:val="1"/>
      <w:marLeft w:val="0"/>
      <w:marRight w:val="0"/>
      <w:marTop w:val="0"/>
      <w:marBottom w:val="0"/>
      <w:divBdr>
        <w:top w:val="none" w:sz="0" w:space="0" w:color="auto"/>
        <w:left w:val="none" w:sz="0" w:space="0" w:color="auto"/>
        <w:bottom w:val="none" w:sz="0" w:space="0" w:color="auto"/>
        <w:right w:val="none" w:sz="0" w:space="0" w:color="auto"/>
      </w:divBdr>
    </w:div>
    <w:div w:id="749349034">
      <w:bodyDiv w:val="1"/>
      <w:marLeft w:val="0"/>
      <w:marRight w:val="0"/>
      <w:marTop w:val="0"/>
      <w:marBottom w:val="0"/>
      <w:divBdr>
        <w:top w:val="none" w:sz="0" w:space="0" w:color="auto"/>
        <w:left w:val="none" w:sz="0" w:space="0" w:color="auto"/>
        <w:bottom w:val="none" w:sz="0" w:space="0" w:color="auto"/>
        <w:right w:val="none" w:sz="0" w:space="0" w:color="auto"/>
      </w:divBdr>
    </w:div>
    <w:div w:id="944734081">
      <w:bodyDiv w:val="1"/>
      <w:marLeft w:val="0"/>
      <w:marRight w:val="0"/>
      <w:marTop w:val="0"/>
      <w:marBottom w:val="0"/>
      <w:divBdr>
        <w:top w:val="none" w:sz="0" w:space="0" w:color="auto"/>
        <w:left w:val="none" w:sz="0" w:space="0" w:color="auto"/>
        <w:bottom w:val="none" w:sz="0" w:space="0" w:color="auto"/>
        <w:right w:val="none" w:sz="0" w:space="0" w:color="auto"/>
      </w:divBdr>
    </w:div>
    <w:div w:id="988828838">
      <w:bodyDiv w:val="1"/>
      <w:marLeft w:val="0"/>
      <w:marRight w:val="0"/>
      <w:marTop w:val="0"/>
      <w:marBottom w:val="0"/>
      <w:divBdr>
        <w:top w:val="none" w:sz="0" w:space="0" w:color="auto"/>
        <w:left w:val="none" w:sz="0" w:space="0" w:color="auto"/>
        <w:bottom w:val="none" w:sz="0" w:space="0" w:color="auto"/>
        <w:right w:val="none" w:sz="0" w:space="0" w:color="auto"/>
      </w:divBdr>
      <w:divsChild>
        <w:div w:id="1946839483">
          <w:marLeft w:val="0"/>
          <w:marRight w:val="0"/>
          <w:marTop w:val="0"/>
          <w:marBottom w:val="0"/>
          <w:divBdr>
            <w:top w:val="none" w:sz="0" w:space="0" w:color="auto"/>
            <w:left w:val="none" w:sz="0" w:space="0" w:color="auto"/>
            <w:bottom w:val="none" w:sz="0" w:space="0" w:color="auto"/>
            <w:right w:val="none" w:sz="0" w:space="0" w:color="auto"/>
          </w:divBdr>
          <w:divsChild>
            <w:div w:id="268926654">
              <w:marLeft w:val="0"/>
              <w:marRight w:val="0"/>
              <w:marTop w:val="0"/>
              <w:marBottom w:val="0"/>
              <w:divBdr>
                <w:top w:val="none" w:sz="0" w:space="0" w:color="auto"/>
                <w:left w:val="none" w:sz="0" w:space="0" w:color="auto"/>
                <w:bottom w:val="none" w:sz="0" w:space="0" w:color="auto"/>
                <w:right w:val="none" w:sz="0" w:space="0" w:color="auto"/>
              </w:divBdr>
            </w:div>
            <w:div w:id="810056473">
              <w:marLeft w:val="0"/>
              <w:marRight w:val="0"/>
              <w:marTop w:val="0"/>
              <w:marBottom w:val="0"/>
              <w:divBdr>
                <w:top w:val="none" w:sz="0" w:space="0" w:color="auto"/>
                <w:left w:val="none" w:sz="0" w:space="0" w:color="auto"/>
                <w:bottom w:val="none" w:sz="0" w:space="0" w:color="auto"/>
                <w:right w:val="none" w:sz="0" w:space="0" w:color="auto"/>
              </w:divBdr>
            </w:div>
            <w:div w:id="478034575">
              <w:marLeft w:val="0"/>
              <w:marRight w:val="0"/>
              <w:marTop w:val="0"/>
              <w:marBottom w:val="0"/>
              <w:divBdr>
                <w:top w:val="none" w:sz="0" w:space="0" w:color="auto"/>
                <w:left w:val="none" w:sz="0" w:space="0" w:color="auto"/>
                <w:bottom w:val="none" w:sz="0" w:space="0" w:color="auto"/>
                <w:right w:val="none" w:sz="0" w:space="0" w:color="auto"/>
              </w:divBdr>
            </w:div>
            <w:div w:id="313025559">
              <w:marLeft w:val="0"/>
              <w:marRight w:val="0"/>
              <w:marTop w:val="0"/>
              <w:marBottom w:val="0"/>
              <w:divBdr>
                <w:top w:val="none" w:sz="0" w:space="0" w:color="auto"/>
                <w:left w:val="none" w:sz="0" w:space="0" w:color="auto"/>
                <w:bottom w:val="none" w:sz="0" w:space="0" w:color="auto"/>
                <w:right w:val="none" w:sz="0" w:space="0" w:color="auto"/>
              </w:divBdr>
            </w:div>
            <w:div w:id="2054772674">
              <w:marLeft w:val="0"/>
              <w:marRight w:val="0"/>
              <w:marTop w:val="0"/>
              <w:marBottom w:val="0"/>
              <w:divBdr>
                <w:top w:val="none" w:sz="0" w:space="0" w:color="auto"/>
                <w:left w:val="none" w:sz="0" w:space="0" w:color="auto"/>
                <w:bottom w:val="none" w:sz="0" w:space="0" w:color="auto"/>
                <w:right w:val="none" w:sz="0" w:space="0" w:color="auto"/>
              </w:divBdr>
            </w:div>
            <w:div w:id="1540388002">
              <w:marLeft w:val="0"/>
              <w:marRight w:val="0"/>
              <w:marTop w:val="0"/>
              <w:marBottom w:val="0"/>
              <w:divBdr>
                <w:top w:val="none" w:sz="0" w:space="0" w:color="auto"/>
                <w:left w:val="none" w:sz="0" w:space="0" w:color="auto"/>
                <w:bottom w:val="none" w:sz="0" w:space="0" w:color="auto"/>
                <w:right w:val="none" w:sz="0" w:space="0" w:color="auto"/>
              </w:divBdr>
            </w:div>
            <w:div w:id="406849628">
              <w:marLeft w:val="0"/>
              <w:marRight w:val="0"/>
              <w:marTop w:val="0"/>
              <w:marBottom w:val="0"/>
              <w:divBdr>
                <w:top w:val="none" w:sz="0" w:space="0" w:color="auto"/>
                <w:left w:val="none" w:sz="0" w:space="0" w:color="auto"/>
                <w:bottom w:val="none" w:sz="0" w:space="0" w:color="auto"/>
                <w:right w:val="none" w:sz="0" w:space="0" w:color="auto"/>
              </w:divBdr>
            </w:div>
            <w:div w:id="968165793">
              <w:marLeft w:val="0"/>
              <w:marRight w:val="0"/>
              <w:marTop w:val="0"/>
              <w:marBottom w:val="0"/>
              <w:divBdr>
                <w:top w:val="none" w:sz="0" w:space="0" w:color="auto"/>
                <w:left w:val="none" w:sz="0" w:space="0" w:color="auto"/>
                <w:bottom w:val="none" w:sz="0" w:space="0" w:color="auto"/>
                <w:right w:val="none" w:sz="0" w:space="0" w:color="auto"/>
              </w:divBdr>
            </w:div>
            <w:div w:id="214857741">
              <w:marLeft w:val="0"/>
              <w:marRight w:val="0"/>
              <w:marTop w:val="0"/>
              <w:marBottom w:val="0"/>
              <w:divBdr>
                <w:top w:val="none" w:sz="0" w:space="0" w:color="auto"/>
                <w:left w:val="none" w:sz="0" w:space="0" w:color="auto"/>
                <w:bottom w:val="none" w:sz="0" w:space="0" w:color="auto"/>
                <w:right w:val="none" w:sz="0" w:space="0" w:color="auto"/>
              </w:divBdr>
            </w:div>
            <w:div w:id="960502123">
              <w:marLeft w:val="0"/>
              <w:marRight w:val="0"/>
              <w:marTop w:val="0"/>
              <w:marBottom w:val="0"/>
              <w:divBdr>
                <w:top w:val="none" w:sz="0" w:space="0" w:color="auto"/>
                <w:left w:val="none" w:sz="0" w:space="0" w:color="auto"/>
                <w:bottom w:val="none" w:sz="0" w:space="0" w:color="auto"/>
                <w:right w:val="none" w:sz="0" w:space="0" w:color="auto"/>
              </w:divBdr>
            </w:div>
            <w:div w:id="823475083">
              <w:marLeft w:val="0"/>
              <w:marRight w:val="0"/>
              <w:marTop w:val="0"/>
              <w:marBottom w:val="0"/>
              <w:divBdr>
                <w:top w:val="none" w:sz="0" w:space="0" w:color="auto"/>
                <w:left w:val="none" w:sz="0" w:space="0" w:color="auto"/>
                <w:bottom w:val="none" w:sz="0" w:space="0" w:color="auto"/>
                <w:right w:val="none" w:sz="0" w:space="0" w:color="auto"/>
              </w:divBdr>
            </w:div>
            <w:div w:id="1584294736">
              <w:marLeft w:val="0"/>
              <w:marRight w:val="0"/>
              <w:marTop w:val="0"/>
              <w:marBottom w:val="0"/>
              <w:divBdr>
                <w:top w:val="none" w:sz="0" w:space="0" w:color="auto"/>
                <w:left w:val="none" w:sz="0" w:space="0" w:color="auto"/>
                <w:bottom w:val="none" w:sz="0" w:space="0" w:color="auto"/>
                <w:right w:val="none" w:sz="0" w:space="0" w:color="auto"/>
              </w:divBdr>
            </w:div>
            <w:div w:id="2038846116">
              <w:marLeft w:val="0"/>
              <w:marRight w:val="0"/>
              <w:marTop w:val="0"/>
              <w:marBottom w:val="0"/>
              <w:divBdr>
                <w:top w:val="none" w:sz="0" w:space="0" w:color="auto"/>
                <w:left w:val="none" w:sz="0" w:space="0" w:color="auto"/>
                <w:bottom w:val="none" w:sz="0" w:space="0" w:color="auto"/>
                <w:right w:val="none" w:sz="0" w:space="0" w:color="auto"/>
              </w:divBdr>
            </w:div>
            <w:div w:id="127667640">
              <w:marLeft w:val="0"/>
              <w:marRight w:val="0"/>
              <w:marTop w:val="0"/>
              <w:marBottom w:val="0"/>
              <w:divBdr>
                <w:top w:val="none" w:sz="0" w:space="0" w:color="auto"/>
                <w:left w:val="none" w:sz="0" w:space="0" w:color="auto"/>
                <w:bottom w:val="none" w:sz="0" w:space="0" w:color="auto"/>
                <w:right w:val="none" w:sz="0" w:space="0" w:color="auto"/>
              </w:divBdr>
            </w:div>
            <w:div w:id="294143792">
              <w:marLeft w:val="0"/>
              <w:marRight w:val="0"/>
              <w:marTop w:val="0"/>
              <w:marBottom w:val="0"/>
              <w:divBdr>
                <w:top w:val="none" w:sz="0" w:space="0" w:color="auto"/>
                <w:left w:val="none" w:sz="0" w:space="0" w:color="auto"/>
                <w:bottom w:val="none" w:sz="0" w:space="0" w:color="auto"/>
                <w:right w:val="none" w:sz="0" w:space="0" w:color="auto"/>
              </w:divBdr>
            </w:div>
            <w:div w:id="275455679">
              <w:marLeft w:val="0"/>
              <w:marRight w:val="0"/>
              <w:marTop w:val="0"/>
              <w:marBottom w:val="0"/>
              <w:divBdr>
                <w:top w:val="none" w:sz="0" w:space="0" w:color="auto"/>
                <w:left w:val="none" w:sz="0" w:space="0" w:color="auto"/>
                <w:bottom w:val="none" w:sz="0" w:space="0" w:color="auto"/>
                <w:right w:val="none" w:sz="0" w:space="0" w:color="auto"/>
              </w:divBdr>
            </w:div>
            <w:div w:id="427390721">
              <w:marLeft w:val="0"/>
              <w:marRight w:val="0"/>
              <w:marTop w:val="0"/>
              <w:marBottom w:val="0"/>
              <w:divBdr>
                <w:top w:val="none" w:sz="0" w:space="0" w:color="auto"/>
                <w:left w:val="none" w:sz="0" w:space="0" w:color="auto"/>
                <w:bottom w:val="none" w:sz="0" w:space="0" w:color="auto"/>
                <w:right w:val="none" w:sz="0" w:space="0" w:color="auto"/>
              </w:divBdr>
            </w:div>
            <w:div w:id="988822606">
              <w:marLeft w:val="0"/>
              <w:marRight w:val="0"/>
              <w:marTop w:val="0"/>
              <w:marBottom w:val="0"/>
              <w:divBdr>
                <w:top w:val="none" w:sz="0" w:space="0" w:color="auto"/>
                <w:left w:val="none" w:sz="0" w:space="0" w:color="auto"/>
                <w:bottom w:val="none" w:sz="0" w:space="0" w:color="auto"/>
                <w:right w:val="none" w:sz="0" w:space="0" w:color="auto"/>
              </w:divBdr>
            </w:div>
            <w:div w:id="2079395976">
              <w:marLeft w:val="0"/>
              <w:marRight w:val="0"/>
              <w:marTop w:val="0"/>
              <w:marBottom w:val="0"/>
              <w:divBdr>
                <w:top w:val="none" w:sz="0" w:space="0" w:color="auto"/>
                <w:left w:val="none" w:sz="0" w:space="0" w:color="auto"/>
                <w:bottom w:val="none" w:sz="0" w:space="0" w:color="auto"/>
                <w:right w:val="none" w:sz="0" w:space="0" w:color="auto"/>
              </w:divBdr>
            </w:div>
            <w:div w:id="210851445">
              <w:marLeft w:val="0"/>
              <w:marRight w:val="0"/>
              <w:marTop w:val="0"/>
              <w:marBottom w:val="0"/>
              <w:divBdr>
                <w:top w:val="none" w:sz="0" w:space="0" w:color="auto"/>
                <w:left w:val="none" w:sz="0" w:space="0" w:color="auto"/>
                <w:bottom w:val="none" w:sz="0" w:space="0" w:color="auto"/>
                <w:right w:val="none" w:sz="0" w:space="0" w:color="auto"/>
              </w:divBdr>
            </w:div>
          </w:divsChild>
        </w:div>
        <w:div w:id="1047530617">
          <w:marLeft w:val="0"/>
          <w:marRight w:val="0"/>
          <w:marTop w:val="0"/>
          <w:marBottom w:val="0"/>
          <w:divBdr>
            <w:top w:val="none" w:sz="0" w:space="0" w:color="auto"/>
            <w:left w:val="none" w:sz="0" w:space="0" w:color="auto"/>
            <w:bottom w:val="none" w:sz="0" w:space="0" w:color="auto"/>
            <w:right w:val="none" w:sz="0" w:space="0" w:color="auto"/>
          </w:divBdr>
          <w:divsChild>
            <w:div w:id="2139108096">
              <w:marLeft w:val="0"/>
              <w:marRight w:val="0"/>
              <w:marTop w:val="0"/>
              <w:marBottom w:val="0"/>
              <w:divBdr>
                <w:top w:val="none" w:sz="0" w:space="0" w:color="auto"/>
                <w:left w:val="none" w:sz="0" w:space="0" w:color="auto"/>
                <w:bottom w:val="none" w:sz="0" w:space="0" w:color="auto"/>
                <w:right w:val="none" w:sz="0" w:space="0" w:color="auto"/>
              </w:divBdr>
            </w:div>
            <w:div w:id="1234583380">
              <w:marLeft w:val="0"/>
              <w:marRight w:val="0"/>
              <w:marTop w:val="0"/>
              <w:marBottom w:val="0"/>
              <w:divBdr>
                <w:top w:val="none" w:sz="0" w:space="0" w:color="auto"/>
                <w:left w:val="none" w:sz="0" w:space="0" w:color="auto"/>
                <w:bottom w:val="none" w:sz="0" w:space="0" w:color="auto"/>
                <w:right w:val="none" w:sz="0" w:space="0" w:color="auto"/>
              </w:divBdr>
            </w:div>
            <w:div w:id="465240557">
              <w:marLeft w:val="0"/>
              <w:marRight w:val="0"/>
              <w:marTop w:val="0"/>
              <w:marBottom w:val="0"/>
              <w:divBdr>
                <w:top w:val="none" w:sz="0" w:space="0" w:color="auto"/>
                <w:left w:val="none" w:sz="0" w:space="0" w:color="auto"/>
                <w:bottom w:val="none" w:sz="0" w:space="0" w:color="auto"/>
                <w:right w:val="none" w:sz="0" w:space="0" w:color="auto"/>
              </w:divBdr>
            </w:div>
            <w:div w:id="1945729464">
              <w:marLeft w:val="0"/>
              <w:marRight w:val="0"/>
              <w:marTop w:val="0"/>
              <w:marBottom w:val="0"/>
              <w:divBdr>
                <w:top w:val="none" w:sz="0" w:space="0" w:color="auto"/>
                <w:left w:val="none" w:sz="0" w:space="0" w:color="auto"/>
                <w:bottom w:val="none" w:sz="0" w:space="0" w:color="auto"/>
                <w:right w:val="none" w:sz="0" w:space="0" w:color="auto"/>
              </w:divBdr>
            </w:div>
            <w:div w:id="814880361">
              <w:marLeft w:val="0"/>
              <w:marRight w:val="0"/>
              <w:marTop w:val="0"/>
              <w:marBottom w:val="0"/>
              <w:divBdr>
                <w:top w:val="none" w:sz="0" w:space="0" w:color="auto"/>
                <w:left w:val="none" w:sz="0" w:space="0" w:color="auto"/>
                <w:bottom w:val="none" w:sz="0" w:space="0" w:color="auto"/>
                <w:right w:val="none" w:sz="0" w:space="0" w:color="auto"/>
              </w:divBdr>
            </w:div>
            <w:div w:id="1107236534">
              <w:marLeft w:val="0"/>
              <w:marRight w:val="0"/>
              <w:marTop w:val="0"/>
              <w:marBottom w:val="0"/>
              <w:divBdr>
                <w:top w:val="none" w:sz="0" w:space="0" w:color="auto"/>
                <w:left w:val="none" w:sz="0" w:space="0" w:color="auto"/>
                <w:bottom w:val="none" w:sz="0" w:space="0" w:color="auto"/>
                <w:right w:val="none" w:sz="0" w:space="0" w:color="auto"/>
              </w:divBdr>
            </w:div>
            <w:div w:id="1406224082">
              <w:marLeft w:val="0"/>
              <w:marRight w:val="0"/>
              <w:marTop w:val="0"/>
              <w:marBottom w:val="0"/>
              <w:divBdr>
                <w:top w:val="none" w:sz="0" w:space="0" w:color="auto"/>
                <w:left w:val="none" w:sz="0" w:space="0" w:color="auto"/>
                <w:bottom w:val="none" w:sz="0" w:space="0" w:color="auto"/>
                <w:right w:val="none" w:sz="0" w:space="0" w:color="auto"/>
              </w:divBdr>
            </w:div>
            <w:div w:id="307367243">
              <w:marLeft w:val="0"/>
              <w:marRight w:val="0"/>
              <w:marTop w:val="0"/>
              <w:marBottom w:val="0"/>
              <w:divBdr>
                <w:top w:val="none" w:sz="0" w:space="0" w:color="auto"/>
                <w:left w:val="none" w:sz="0" w:space="0" w:color="auto"/>
                <w:bottom w:val="none" w:sz="0" w:space="0" w:color="auto"/>
                <w:right w:val="none" w:sz="0" w:space="0" w:color="auto"/>
              </w:divBdr>
            </w:div>
            <w:div w:id="2094013556">
              <w:marLeft w:val="0"/>
              <w:marRight w:val="0"/>
              <w:marTop w:val="0"/>
              <w:marBottom w:val="0"/>
              <w:divBdr>
                <w:top w:val="none" w:sz="0" w:space="0" w:color="auto"/>
                <w:left w:val="none" w:sz="0" w:space="0" w:color="auto"/>
                <w:bottom w:val="none" w:sz="0" w:space="0" w:color="auto"/>
                <w:right w:val="none" w:sz="0" w:space="0" w:color="auto"/>
              </w:divBdr>
            </w:div>
            <w:div w:id="231083440">
              <w:marLeft w:val="0"/>
              <w:marRight w:val="0"/>
              <w:marTop w:val="0"/>
              <w:marBottom w:val="0"/>
              <w:divBdr>
                <w:top w:val="none" w:sz="0" w:space="0" w:color="auto"/>
                <w:left w:val="none" w:sz="0" w:space="0" w:color="auto"/>
                <w:bottom w:val="none" w:sz="0" w:space="0" w:color="auto"/>
                <w:right w:val="none" w:sz="0" w:space="0" w:color="auto"/>
              </w:divBdr>
            </w:div>
            <w:div w:id="394278863">
              <w:marLeft w:val="0"/>
              <w:marRight w:val="0"/>
              <w:marTop w:val="0"/>
              <w:marBottom w:val="0"/>
              <w:divBdr>
                <w:top w:val="none" w:sz="0" w:space="0" w:color="auto"/>
                <w:left w:val="none" w:sz="0" w:space="0" w:color="auto"/>
                <w:bottom w:val="none" w:sz="0" w:space="0" w:color="auto"/>
                <w:right w:val="none" w:sz="0" w:space="0" w:color="auto"/>
              </w:divBdr>
            </w:div>
            <w:div w:id="251401846">
              <w:marLeft w:val="0"/>
              <w:marRight w:val="0"/>
              <w:marTop w:val="0"/>
              <w:marBottom w:val="0"/>
              <w:divBdr>
                <w:top w:val="none" w:sz="0" w:space="0" w:color="auto"/>
                <w:left w:val="none" w:sz="0" w:space="0" w:color="auto"/>
                <w:bottom w:val="none" w:sz="0" w:space="0" w:color="auto"/>
                <w:right w:val="none" w:sz="0" w:space="0" w:color="auto"/>
              </w:divBdr>
            </w:div>
            <w:div w:id="1022900854">
              <w:marLeft w:val="0"/>
              <w:marRight w:val="0"/>
              <w:marTop w:val="0"/>
              <w:marBottom w:val="0"/>
              <w:divBdr>
                <w:top w:val="none" w:sz="0" w:space="0" w:color="auto"/>
                <w:left w:val="none" w:sz="0" w:space="0" w:color="auto"/>
                <w:bottom w:val="none" w:sz="0" w:space="0" w:color="auto"/>
                <w:right w:val="none" w:sz="0" w:space="0" w:color="auto"/>
              </w:divBdr>
            </w:div>
            <w:div w:id="1199391926">
              <w:marLeft w:val="0"/>
              <w:marRight w:val="0"/>
              <w:marTop w:val="0"/>
              <w:marBottom w:val="0"/>
              <w:divBdr>
                <w:top w:val="none" w:sz="0" w:space="0" w:color="auto"/>
                <w:left w:val="none" w:sz="0" w:space="0" w:color="auto"/>
                <w:bottom w:val="none" w:sz="0" w:space="0" w:color="auto"/>
                <w:right w:val="none" w:sz="0" w:space="0" w:color="auto"/>
              </w:divBdr>
            </w:div>
            <w:div w:id="595485261">
              <w:marLeft w:val="0"/>
              <w:marRight w:val="0"/>
              <w:marTop w:val="0"/>
              <w:marBottom w:val="0"/>
              <w:divBdr>
                <w:top w:val="none" w:sz="0" w:space="0" w:color="auto"/>
                <w:left w:val="none" w:sz="0" w:space="0" w:color="auto"/>
                <w:bottom w:val="none" w:sz="0" w:space="0" w:color="auto"/>
                <w:right w:val="none" w:sz="0" w:space="0" w:color="auto"/>
              </w:divBdr>
            </w:div>
            <w:div w:id="113061095">
              <w:marLeft w:val="0"/>
              <w:marRight w:val="0"/>
              <w:marTop w:val="0"/>
              <w:marBottom w:val="0"/>
              <w:divBdr>
                <w:top w:val="none" w:sz="0" w:space="0" w:color="auto"/>
                <w:left w:val="none" w:sz="0" w:space="0" w:color="auto"/>
                <w:bottom w:val="none" w:sz="0" w:space="0" w:color="auto"/>
                <w:right w:val="none" w:sz="0" w:space="0" w:color="auto"/>
              </w:divBdr>
            </w:div>
            <w:div w:id="736131116">
              <w:marLeft w:val="0"/>
              <w:marRight w:val="0"/>
              <w:marTop w:val="0"/>
              <w:marBottom w:val="0"/>
              <w:divBdr>
                <w:top w:val="none" w:sz="0" w:space="0" w:color="auto"/>
                <w:left w:val="none" w:sz="0" w:space="0" w:color="auto"/>
                <w:bottom w:val="none" w:sz="0" w:space="0" w:color="auto"/>
                <w:right w:val="none" w:sz="0" w:space="0" w:color="auto"/>
              </w:divBdr>
            </w:div>
            <w:div w:id="74204116">
              <w:marLeft w:val="0"/>
              <w:marRight w:val="0"/>
              <w:marTop w:val="0"/>
              <w:marBottom w:val="0"/>
              <w:divBdr>
                <w:top w:val="none" w:sz="0" w:space="0" w:color="auto"/>
                <w:left w:val="none" w:sz="0" w:space="0" w:color="auto"/>
                <w:bottom w:val="none" w:sz="0" w:space="0" w:color="auto"/>
                <w:right w:val="none" w:sz="0" w:space="0" w:color="auto"/>
              </w:divBdr>
            </w:div>
            <w:div w:id="1264151147">
              <w:marLeft w:val="0"/>
              <w:marRight w:val="0"/>
              <w:marTop w:val="0"/>
              <w:marBottom w:val="0"/>
              <w:divBdr>
                <w:top w:val="none" w:sz="0" w:space="0" w:color="auto"/>
                <w:left w:val="none" w:sz="0" w:space="0" w:color="auto"/>
                <w:bottom w:val="none" w:sz="0" w:space="0" w:color="auto"/>
                <w:right w:val="none" w:sz="0" w:space="0" w:color="auto"/>
              </w:divBdr>
            </w:div>
            <w:div w:id="829171880">
              <w:marLeft w:val="0"/>
              <w:marRight w:val="0"/>
              <w:marTop w:val="0"/>
              <w:marBottom w:val="0"/>
              <w:divBdr>
                <w:top w:val="none" w:sz="0" w:space="0" w:color="auto"/>
                <w:left w:val="none" w:sz="0" w:space="0" w:color="auto"/>
                <w:bottom w:val="none" w:sz="0" w:space="0" w:color="auto"/>
                <w:right w:val="none" w:sz="0" w:space="0" w:color="auto"/>
              </w:divBdr>
            </w:div>
          </w:divsChild>
        </w:div>
        <w:div w:id="673187448">
          <w:marLeft w:val="0"/>
          <w:marRight w:val="0"/>
          <w:marTop w:val="0"/>
          <w:marBottom w:val="0"/>
          <w:divBdr>
            <w:top w:val="none" w:sz="0" w:space="0" w:color="auto"/>
            <w:left w:val="none" w:sz="0" w:space="0" w:color="auto"/>
            <w:bottom w:val="none" w:sz="0" w:space="0" w:color="auto"/>
            <w:right w:val="none" w:sz="0" w:space="0" w:color="auto"/>
          </w:divBdr>
          <w:divsChild>
            <w:div w:id="416947631">
              <w:marLeft w:val="0"/>
              <w:marRight w:val="0"/>
              <w:marTop w:val="0"/>
              <w:marBottom w:val="0"/>
              <w:divBdr>
                <w:top w:val="none" w:sz="0" w:space="0" w:color="auto"/>
                <w:left w:val="none" w:sz="0" w:space="0" w:color="auto"/>
                <w:bottom w:val="none" w:sz="0" w:space="0" w:color="auto"/>
                <w:right w:val="none" w:sz="0" w:space="0" w:color="auto"/>
              </w:divBdr>
            </w:div>
            <w:div w:id="2085950765">
              <w:marLeft w:val="0"/>
              <w:marRight w:val="0"/>
              <w:marTop w:val="0"/>
              <w:marBottom w:val="0"/>
              <w:divBdr>
                <w:top w:val="none" w:sz="0" w:space="0" w:color="auto"/>
                <w:left w:val="none" w:sz="0" w:space="0" w:color="auto"/>
                <w:bottom w:val="none" w:sz="0" w:space="0" w:color="auto"/>
                <w:right w:val="none" w:sz="0" w:space="0" w:color="auto"/>
              </w:divBdr>
            </w:div>
            <w:div w:id="1823619009">
              <w:marLeft w:val="0"/>
              <w:marRight w:val="0"/>
              <w:marTop w:val="0"/>
              <w:marBottom w:val="0"/>
              <w:divBdr>
                <w:top w:val="none" w:sz="0" w:space="0" w:color="auto"/>
                <w:left w:val="none" w:sz="0" w:space="0" w:color="auto"/>
                <w:bottom w:val="none" w:sz="0" w:space="0" w:color="auto"/>
                <w:right w:val="none" w:sz="0" w:space="0" w:color="auto"/>
              </w:divBdr>
            </w:div>
            <w:div w:id="479426564">
              <w:marLeft w:val="0"/>
              <w:marRight w:val="0"/>
              <w:marTop w:val="0"/>
              <w:marBottom w:val="0"/>
              <w:divBdr>
                <w:top w:val="none" w:sz="0" w:space="0" w:color="auto"/>
                <w:left w:val="none" w:sz="0" w:space="0" w:color="auto"/>
                <w:bottom w:val="none" w:sz="0" w:space="0" w:color="auto"/>
                <w:right w:val="none" w:sz="0" w:space="0" w:color="auto"/>
              </w:divBdr>
            </w:div>
            <w:div w:id="13269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485903">
      <w:bodyDiv w:val="1"/>
      <w:marLeft w:val="0"/>
      <w:marRight w:val="0"/>
      <w:marTop w:val="0"/>
      <w:marBottom w:val="0"/>
      <w:divBdr>
        <w:top w:val="none" w:sz="0" w:space="0" w:color="auto"/>
        <w:left w:val="none" w:sz="0" w:space="0" w:color="auto"/>
        <w:bottom w:val="none" w:sz="0" w:space="0" w:color="auto"/>
        <w:right w:val="none" w:sz="0" w:space="0" w:color="auto"/>
      </w:divBdr>
    </w:div>
    <w:div w:id="1009723706">
      <w:bodyDiv w:val="1"/>
      <w:marLeft w:val="0"/>
      <w:marRight w:val="0"/>
      <w:marTop w:val="0"/>
      <w:marBottom w:val="0"/>
      <w:divBdr>
        <w:top w:val="none" w:sz="0" w:space="0" w:color="auto"/>
        <w:left w:val="none" w:sz="0" w:space="0" w:color="auto"/>
        <w:bottom w:val="none" w:sz="0" w:space="0" w:color="auto"/>
        <w:right w:val="none" w:sz="0" w:space="0" w:color="auto"/>
      </w:divBdr>
    </w:div>
    <w:div w:id="1020934923">
      <w:bodyDiv w:val="1"/>
      <w:marLeft w:val="0"/>
      <w:marRight w:val="0"/>
      <w:marTop w:val="0"/>
      <w:marBottom w:val="0"/>
      <w:divBdr>
        <w:top w:val="none" w:sz="0" w:space="0" w:color="auto"/>
        <w:left w:val="none" w:sz="0" w:space="0" w:color="auto"/>
        <w:bottom w:val="none" w:sz="0" w:space="0" w:color="auto"/>
        <w:right w:val="none" w:sz="0" w:space="0" w:color="auto"/>
      </w:divBdr>
    </w:div>
    <w:div w:id="1191340907">
      <w:bodyDiv w:val="1"/>
      <w:marLeft w:val="0"/>
      <w:marRight w:val="0"/>
      <w:marTop w:val="0"/>
      <w:marBottom w:val="0"/>
      <w:divBdr>
        <w:top w:val="none" w:sz="0" w:space="0" w:color="auto"/>
        <w:left w:val="none" w:sz="0" w:space="0" w:color="auto"/>
        <w:bottom w:val="none" w:sz="0" w:space="0" w:color="auto"/>
        <w:right w:val="none" w:sz="0" w:space="0" w:color="auto"/>
      </w:divBdr>
    </w:div>
    <w:div w:id="1258900567">
      <w:bodyDiv w:val="1"/>
      <w:marLeft w:val="0"/>
      <w:marRight w:val="0"/>
      <w:marTop w:val="0"/>
      <w:marBottom w:val="0"/>
      <w:divBdr>
        <w:top w:val="none" w:sz="0" w:space="0" w:color="auto"/>
        <w:left w:val="none" w:sz="0" w:space="0" w:color="auto"/>
        <w:bottom w:val="none" w:sz="0" w:space="0" w:color="auto"/>
        <w:right w:val="none" w:sz="0" w:space="0" w:color="auto"/>
      </w:divBdr>
    </w:div>
    <w:div w:id="1414468058">
      <w:bodyDiv w:val="1"/>
      <w:marLeft w:val="0"/>
      <w:marRight w:val="0"/>
      <w:marTop w:val="0"/>
      <w:marBottom w:val="0"/>
      <w:divBdr>
        <w:top w:val="none" w:sz="0" w:space="0" w:color="auto"/>
        <w:left w:val="none" w:sz="0" w:space="0" w:color="auto"/>
        <w:bottom w:val="none" w:sz="0" w:space="0" w:color="auto"/>
        <w:right w:val="none" w:sz="0" w:space="0" w:color="auto"/>
      </w:divBdr>
    </w:div>
    <w:div w:id="1745297501">
      <w:bodyDiv w:val="1"/>
      <w:marLeft w:val="0"/>
      <w:marRight w:val="0"/>
      <w:marTop w:val="0"/>
      <w:marBottom w:val="0"/>
      <w:divBdr>
        <w:top w:val="none" w:sz="0" w:space="0" w:color="auto"/>
        <w:left w:val="none" w:sz="0" w:space="0" w:color="auto"/>
        <w:bottom w:val="none" w:sz="0" w:space="0" w:color="auto"/>
        <w:right w:val="none" w:sz="0" w:space="0" w:color="auto"/>
      </w:divBdr>
      <w:divsChild>
        <w:div w:id="1651864023">
          <w:marLeft w:val="0"/>
          <w:marRight w:val="0"/>
          <w:marTop w:val="0"/>
          <w:marBottom w:val="0"/>
          <w:divBdr>
            <w:top w:val="none" w:sz="0" w:space="0" w:color="auto"/>
            <w:left w:val="none" w:sz="0" w:space="0" w:color="auto"/>
            <w:bottom w:val="none" w:sz="0" w:space="0" w:color="auto"/>
            <w:right w:val="none" w:sz="0" w:space="0" w:color="auto"/>
          </w:divBdr>
          <w:divsChild>
            <w:div w:id="277759539">
              <w:marLeft w:val="0"/>
              <w:marRight w:val="0"/>
              <w:marTop w:val="0"/>
              <w:marBottom w:val="0"/>
              <w:divBdr>
                <w:top w:val="none" w:sz="0" w:space="0" w:color="auto"/>
                <w:left w:val="none" w:sz="0" w:space="0" w:color="auto"/>
                <w:bottom w:val="none" w:sz="0" w:space="0" w:color="auto"/>
                <w:right w:val="none" w:sz="0" w:space="0" w:color="auto"/>
              </w:divBdr>
            </w:div>
            <w:div w:id="598872660">
              <w:marLeft w:val="0"/>
              <w:marRight w:val="0"/>
              <w:marTop w:val="0"/>
              <w:marBottom w:val="0"/>
              <w:divBdr>
                <w:top w:val="none" w:sz="0" w:space="0" w:color="auto"/>
                <w:left w:val="none" w:sz="0" w:space="0" w:color="auto"/>
                <w:bottom w:val="none" w:sz="0" w:space="0" w:color="auto"/>
                <w:right w:val="none" w:sz="0" w:space="0" w:color="auto"/>
              </w:divBdr>
            </w:div>
            <w:div w:id="678388272">
              <w:marLeft w:val="0"/>
              <w:marRight w:val="0"/>
              <w:marTop w:val="0"/>
              <w:marBottom w:val="0"/>
              <w:divBdr>
                <w:top w:val="none" w:sz="0" w:space="0" w:color="auto"/>
                <w:left w:val="none" w:sz="0" w:space="0" w:color="auto"/>
                <w:bottom w:val="none" w:sz="0" w:space="0" w:color="auto"/>
                <w:right w:val="none" w:sz="0" w:space="0" w:color="auto"/>
              </w:divBdr>
            </w:div>
            <w:div w:id="1955359577">
              <w:marLeft w:val="0"/>
              <w:marRight w:val="0"/>
              <w:marTop w:val="0"/>
              <w:marBottom w:val="0"/>
              <w:divBdr>
                <w:top w:val="none" w:sz="0" w:space="0" w:color="auto"/>
                <w:left w:val="none" w:sz="0" w:space="0" w:color="auto"/>
                <w:bottom w:val="none" w:sz="0" w:space="0" w:color="auto"/>
                <w:right w:val="none" w:sz="0" w:space="0" w:color="auto"/>
              </w:divBdr>
            </w:div>
            <w:div w:id="1610090992">
              <w:marLeft w:val="0"/>
              <w:marRight w:val="0"/>
              <w:marTop w:val="0"/>
              <w:marBottom w:val="0"/>
              <w:divBdr>
                <w:top w:val="none" w:sz="0" w:space="0" w:color="auto"/>
                <w:left w:val="none" w:sz="0" w:space="0" w:color="auto"/>
                <w:bottom w:val="none" w:sz="0" w:space="0" w:color="auto"/>
                <w:right w:val="none" w:sz="0" w:space="0" w:color="auto"/>
              </w:divBdr>
            </w:div>
            <w:div w:id="1097941044">
              <w:marLeft w:val="0"/>
              <w:marRight w:val="0"/>
              <w:marTop w:val="0"/>
              <w:marBottom w:val="0"/>
              <w:divBdr>
                <w:top w:val="none" w:sz="0" w:space="0" w:color="auto"/>
                <w:left w:val="none" w:sz="0" w:space="0" w:color="auto"/>
                <w:bottom w:val="none" w:sz="0" w:space="0" w:color="auto"/>
                <w:right w:val="none" w:sz="0" w:space="0" w:color="auto"/>
              </w:divBdr>
            </w:div>
            <w:div w:id="741025989">
              <w:marLeft w:val="0"/>
              <w:marRight w:val="0"/>
              <w:marTop w:val="0"/>
              <w:marBottom w:val="0"/>
              <w:divBdr>
                <w:top w:val="none" w:sz="0" w:space="0" w:color="auto"/>
                <w:left w:val="none" w:sz="0" w:space="0" w:color="auto"/>
                <w:bottom w:val="none" w:sz="0" w:space="0" w:color="auto"/>
                <w:right w:val="none" w:sz="0" w:space="0" w:color="auto"/>
              </w:divBdr>
            </w:div>
            <w:div w:id="879128961">
              <w:marLeft w:val="0"/>
              <w:marRight w:val="0"/>
              <w:marTop w:val="0"/>
              <w:marBottom w:val="0"/>
              <w:divBdr>
                <w:top w:val="none" w:sz="0" w:space="0" w:color="auto"/>
                <w:left w:val="none" w:sz="0" w:space="0" w:color="auto"/>
                <w:bottom w:val="none" w:sz="0" w:space="0" w:color="auto"/>
                <w:right w:val="none" w:sz="0" w:space="0" w:color="auto"/>
              </w:divBdr>
            </w:div>
            <w:div w:id="1471091774">
              <w:marLeft w:val="0"/>
              <w:marRight w:val="0"/>
              <w:marTop w:val="0"/>
              <w:marBottom w:val="0"/>
              <w:divBdr>
                <w:top w:val="none" w:sz="0" w:space="0" w:color="auto"/>
                <w:left w:val="none" w:sz="0" w:space="0" w:color="auto"/>
                <w:bottom w:val="none" w:sz="0" w:space="0" w:color="auto"/>
                <w:right w:val="none" w:sz="0" w:space="0" w:color="auto"/>
              </w:divBdr>
            </w:div>
            <w:div w:id="743257239">
              <w:marLeft w:val="0"/>
              <w:marRight w:val="0"/>
              <w:marTop w:val="0"/>
              <w:marBottom w:val="0"/>
              <w:divBdr>
                <w:top w:val="none" w:sz="0" w:space="0" w:color="auto"/>
                <w:left w:val="none" w:sz="0" w:space="0" w:color="auto"/>
                <w:bottom w:val="none" w:sz="0" w:space="0" w:color="auto"/>
                <w:right w:val="none" w:sz="0" w:space="0" w:color="auto"/>
              </w:divBdr>
            </w:div>
            <w:div w:id="607859429">
              <w:marLeft w:val="0"/>
              <w:marRight w:val="0"/>
              <w:marTop w:val="0"/>
              <w:marBottom w:val="0"/>
              <w:divBdr>
                <w:top w:val="none" w:sz="0" w:space="0" w:color="auto"/>
                <w:left w:val="none" w:sz="0" w:space="0" w:color="auto"/>
                <w:bottom w:val="none" w:sz="0" w:space="0" w:color="auto"/>
                <w:right w:val="none" w:sz="0" w:space="0" w:color="auto"/>
              </w:divBdr>
            </w:div>
            <w:div w:id="252789818">
              <w:marLeft w:val="0"/>
              <w:marRight w:val="0"/>
              <w:marTop w:val="0"/>
              <w:marBottom w:val="0"/>
              <w:divBdr>
                <w:top w:val="none" w:sz="0" w:space="0" w:color="auto"/>
                <w:left w:val="none" w:sz="0" w:space="0" w:color="auto"/>
                <w:bottom w:val="none" w:sz="0" w:space="0" w:color="auto"/>
                <w:right w:val="none" w:sz="0" w:space="0" w:color="auto"/>
              </w:divBdr>
            </w:div>
            <w:div w:id="323514242">
              <w:marLeft w:val="0"/>
              <w:marRight w:val="0"/>
              <w:marTop w:val="0"/>
              <w:marBottom w:val="0"/>
              <w:divBdr>
                <w:top w:val="none" w:sz="0" w:space="0" w:color="auto"/>
                <w:left w:val="none" w:sz="0" w:space="0" w:color="auto"/>
                <w:bottom w:val="none" w:sz="0" w:space="0" w:color="auto"/>
                <w:right w:val="none" w:sz="0" w:space="0" w:color="auto"/>
              </w:divBdr>
            </w:div>
            <w:div w:id="323582328">
              <w:marLeft w:val="0"/>
              <w:marRight w:val="0"/>
              <w:marTop w:val="0"/>
              <w:marBottom w:val="0"/>
              <w:divBdr>
                <w:top w:val="none" w:sz="0" w:space="0" w:color="auto"/>
                <w:left w:val="none" w:sz="0" w:space="0" w:color="auto"/>
                <w:bottom w:val="none" w:sz="0" w:space="0" w:color="auto"/>
                <w:right w:val="none" w:sz="0" w:space="0" w:color="auto"/>
              </w:divBdr>
            </w:div>
            <w:div w:id="2083259084">
              <w:marLeft w:val="0"/>
              <w:marRight w:val="0"/>
              <w:marTop w:val="0"/>
              <w:marBottom w:val="0"/>
              <w:divBdr>
                <w:top w:val="none" w:sz="0" w:space="0" w:color="auto"/>
                <w:left w:val="none" w:sz="0" w:space="0" w:color="auto"/>
                <w:bottom w:val="none" w:sz="0" w:space="0" w:color="auto"/>
                <w:right w:val="none" w:sz="0" w:space="0" w:color="auto"/>
              </w:divBdr>
            </w:div>
            <w:div w:id="46295335">
              <w:marLeft w:val="0"/>
              <w:marRight w:val="0"/>
              <w:marTop w:val="0"/>
              <w:marBottom w:val="0"/>
              <w:divBdr>
                <w:top w:val="none" w:sz="0" w:space="0" w:color="auto"/>
                <w:left w:val="none" w:sz="0" w:space="0" w:color="auto"/>
                <w:bottom w:val="none" w:sz="0" w:space="0" w:color="auto"/>
                <w:right w:val="none" w:sz="0" w:space="0" w:color="auto"/>
              </w:divBdr>
            </w:div>
            <w:div w:id="435834364">
              <w:marLeft w:val="0"/>
              <w:marRight w:val="0"/>
              <w:marTop w:val="0"/>
              <w:marBottom w:val="0"/>
              <w:divBdr>
                <w:top w:val="none" w:sz="0" w:space="0" w:color="auto"/>
                <w:left w:val="none" w:sz="0" w:space="0" w:color="auto"/>
                <w:bottom w:val="none" w:sz="0" w:space="0" w:color="auto"/>
                <w:right w:val="none" w:sz="0" w:space="0" w:color="auto"/>
              </w:divBdr>
            </w:div>
            <w:div w:id="487208839">
              <w:marLeft w:val="0"/>
              <w:marRight w:val="0"/>
              <w:marTop w:val="0"/>
              <w:marBottom w:val="0"/>
              <w:divBdr>
                <w:top w:val="none" w:sz="0" w:space="0" w:color="auto"/>
                <w:left w:val="none" w:sz="0" w:space="0" w:color="auto"/>
                <w:bottom w:val="none" w:sz="0" w:space="0" w:color="auto"/>
                <w:right w:val="none" w:sz="0" w:space="0" w:color="auto"/>
              </w:divBdr>
            </w:div>
            <w:div w:id="627590765">
              <w:marLeft w:val="0"/>
              <w:marRight w:val="0"/>
              <w:marTop w:val="0"/>
              <w:marBottom w:val="0"/>
              <w:divBdr>
                <w:top w:val="none" w:sz="0" w:space="0" w:color="auto"/>
                <w:left w:val="none" w:sz="0" w:space="0" w:color="auto"/>
                <w:bottom w:val="none" w:sz="0" w:space="0" w:color="auto"/>
                <w:right w:val="none" w:sz="0" w:space="0" w:color="auto"/>
              </w:divBdr>
            </w:div>
            <w:div w:id="1893081223">
              <w:marLeft w:val="0"/>
              <w:marRight w:val="0"/>
              <w:marTop w:val="0"/>
              <w:marBottom w:val="0"/>
              <w:divBdr>
                <w:top w:val="none" w:sz="0" w:space="0" w:color="auto"/>
                <w:left w:val="none" w:sz="0" w:space="0" w:color="auto"/>
                <w:bottom w:val="none" w:sz="0" w:space="0" w:color="auto"/>
                <w:right w:val="none" w:sz="0" w:space="0" w:color="auto"/>
              </w:divBdr>
            </w:div>
          </w:divsChild>
        </w:div>
        <w:div w:id="840701392">
          <w:marLeft w:val="0"/>
          <w:marRight w:val="0"/>
          <w:marTop w:val="0"/>
          <w:marBottom w:val="0"/>
          <w:divBdr>
            <w:top w:val="none" w:sz="0" w:space="0" w:color="auto"/>
            <w:left w:val="none" w:sz="0" w:space="0" w:color="auto"/>
            <w:bottom w:val="none" w:sz="0" w:space="0" w:color="auto"/>
            <w:right w:val="none" w:sz="0" w:space="0" w:color="auto"/>
          </w:divBdr>
          <w:divsChild>
            <w:div w:id="791173632">
              <w:marLeft w:val="0"/>
              <w:marRight w:val="0"/>
              <w:marTop w:val="0"/>
              <w:marBottom w:val="0"/>
              <w:divBdr>
                <w:top w:val="none" w:sz="0" w:space="0" w:color="auto"/>
                <w:left w:val="none" w:sz="0" w:space="0" w:color="auto"/>
                <w:bottom w:val="none" w:sz="0" w:space="0" w:color="auto"/>
                <w:right w:val="none" w:sz="0" w:space="0" w:color="auto"/>
              </w:divBdr>
            </w:div>
            <w:div w:id="836461028">
              <w:marLeft w:val="0"/>
              <w:marRight w:val="0"/>
              <w:marTop w:val="0"/>
              <w:marBottom w:val="0"/>
              <w:divBdr>
                <w:top w:val="none" w:sz="0" w:space="0" w:color="auto"/>
                <w:left w:val="none" w:sz="0" w:space="0" w:color="auto"/>
                <w:bottom w:val="none" w:sz="0" w:space="0" w:color="auto"/>
                <w:right w:val="none" w:sz="0" w:space="0" w:color="auto"/>
              </w:divBdr>
            </w:div>
            <w:div w:id="473062804">
              <w:marLeft w:val="0"/>
              <w:marRight w:val="0"/>
              <w:marTop w:val="0"/>
              <w:marBottom w:val="0"/>
              <w:divBdr>
                <w:top w:val="none" w:sz="0" w:space="0" w:color="auto"/>
                <w:left w:val="none" w:sz="0" w:space="0" w:color="auto"/>
                <w:bottom w:val="none" w:sz="0" w:space="0" w:color="auto"/>
                <w:right w:val="none" w:sz="0" w:space="0" w:color="auto"/>
              </w:divBdr>
            </w:div>
            <w:div w:id="297036087">
              <w:marLeft w:val="0"/>
              <w:marRight w:val="0"/>
              <w:marTop w:val="0"/>
              <w:marBottom w:val="0"/>
              <w:divBdr>
                <w:top w:val="none" w:sz="0" w:space="0" w:color="auto"/>
                <w:left w:val="none" w:sz="0" w:space="0" w:color="auto"/>
                <w:bottom w:val="none" w:sz="0" w:space="0" w:color="auto"/>
                <w:right w:val="none" w:sz="0" w:space="0" w:color="auto"/>
              </w:divBdr>
            </w:div>
            <w:div w:id="85425785">
              <w:marLeft w:val="0"/>
              <w:marRight w:val="0"/>
              <w:marTop w:val="0"/>
              <w:marBottom w:val="0"/>
              <w:divBdr>
                <w:top w:val="none" w:sz="0" w:space="0" w:color="auto"/>
                <w:left w:val="none" w:sz="0" w:space="0" w:color="auto"/>
                <w:bottom w:val="none" w:sz="0" w:space="0" w:color="auto"/>
                <w:right w:val="none" w:sz="0" w:space="0" w:color="auto"/>
              </w:divBdr>
            </w:div>
            <w:div w:id="80488777">
              <w:marLeft w:val="0"/>
              <w:marRight w:val="0"/>
              <w:marTop w:val="0"/>
              <w:marBottom w:val="0"/>
              <w:divBdr>
                <w:top w:val="none" w:sz="0" w:space="0" w:color="auto"/>
                <w:left w:val="none" w:sz="0" w:space="0" w:color="auto"/>
                <w:bottom w:val="none" w:sz="0" w:space="0" w:color="auto"/>
                <w:right w:val="none" w:sz="0" w:space="0" w:color="auto"/>
              </w:divBdr>
            </w:div>
            <w:div w:id="2044162900">
              <w:marLeft w:val="0"/>
              <w:marRight w:val="0"/>
              <w:marTop w:val="0"/>
              <w:marBottom w:val="0"/>
              <w:divBdr>
                <w:top w:val="none" w:sz="0" w:space="0" w:color="auto"/>
                <w:left w:val="none" w:sz="0" w:space="0" w:color="auto"/>
                <w:bottom w:val="none" w:sz="0" w:space="0" w:color="auto"/>
                <w:right w:val="none" w:sz="0" w:space="0" w:color="auto"/>
              </w:divBdr>
            </w:div>
            <w:div w:id="202599955">
              <w:marLeft w:val="0"/>
              <w:marRight w:val="0"/>
              <w:marTop w:val="0"/>
              <w:marBottom w:val="0"/>
              <w:divBdr>
                <w:top w:val="none" w:sz="0" w:space="0" w:color="auto"/>
                <w:left w:val="none" w:sz="0" w:space="0" w:color="auto"/>
                <w:bottom w:val="none" w:sz="0" w:space="0" w:color="auto"/>
                <w:right w:val="none" w:sz="0" w:space="0" w:color="auto"/>
              </w:divBdr>
            </w:div>
            <w:div w:id="1705058951">
              <w:marLeft w:val="0"/>
              <w:marRight w:val="0"/>
              <w:marTop w:val="0"/>
              <w:marBottom w:val="0"/>
              <w:divBdr>
                <w:top w:val="none" w:sz="0" w:space="0" w:color="auto"/>
                <w:left w:val="none" w:sz="0" w:space="0" w:color="auto"/>
                <w:bottom w:val="none" w:sz="0" w:space="0" w:color="auto"/>
                <w:right w:val="none" w:sz="0" w:space="0" w:color="auto"/>
              </w:divBdr>
            </w:div>
            <w:div w:id="958530614">
              <w:marLeft w:val="0"/>
              <w:marRight w:val="0"/>
              <w:marTop w:val="0"/>
              <w:marBottom w:val="0"/>
              <w:divBdr>
                <w:top w:val="none" w:sz="0" w:space="0" w:color="auto"/>
                <w:left w:val="none" w:sz="0" w:space="0" w:color="auto"/>
                <w:bottom w:val="none" w:sz="0" w:space="0" w:color="auto"/>
                <w:right w:val="none" w:sz="0" w:space="0" w:color="auto"/>
              </w:divBdr>
            </w:div>
            <w:div w:id="348601632">
              <w:marLeft w:val="0"/>
              <w:marRight w:val="0"/>
              <w:marTop w:val="0"/>
              <w:marBottom w:val="0"/>
              <w:divBdr>
                <w:top w:val="none" w:sz="0" w:space="0" w:color="auto"/>
                <w:left w:val="none" w:sz="0" w:space="0" w:color="auto"/>
                <w:bottom w:val="none" w:sz="0" w:space="0" w:color="auto"/>
                <w:right w:val="none" w:sz="0" w:space="0" w:color="auto"/>
              </w:divBdr>
            </w:div>
            <w:div w:id="273488570">
              <w:marLeft w:val="0"/>
              <w:marRight w:val="0"/>
              <w:marTop w:val="0"/>
              <w:marBottom w:val="0"/>
              <w:divBdr>
                <w:top w:val="none" w:sz="0" w:space="0" w:color="auto"/>
                <w:left w:val="none" w:sz="0" w:space="0" w:color="auto"/>
                <w:bottom w:val="none" w:sz="0" w:space="0" w:color="auto"/>
                <w:right w:val="none" w:sz="0" w:space="0" w:color="auto"/>
              </w:divBdr>
            </w:div>
            <w:div w:id="1424838193">
              <w:marLeft w:val="0"/>
              <w:marRight w:val="0"/>
              <w:marTop w:val="0"/>
              <w:marBottom w:val="0"/>
              <w:divBdr>
                <w:top w:val="none" w:sz="0" w:space="0" w:color="auto"/>
                <w:left w:val="none" w:sz="0" w:space="0" w:color="auto"/>
                <w:bottom w:val="none" w:sz="0" w:space="0" w:color="auto"/>
                <w:right w:val="none" w:sz="0" w:space="0" w:color="auto"/>
              </w:divBdr>
            </w:div>
            <w:div w:id="1289700667">
              <w:marLeft w:val="0"/>
              <w:marRight w:val="0"/>
              <w:marTop w:val="0"/>
              <w:marBottom w:val="0"/>
              <w:divBdr>
                <w:top w:val="none" w:sz="0" w:space="0" w:color="auto"/>
                <w:left w:val="none" w:sz="0" w:space="0" w:color="auto"/>
                <w:bottom w:val="none" w:sz="0" w:space="0" w:color="auto"/>
                <w:right w:val="none" w:sz="0" w:space="0" w:color="auto"/>
              </w:divBdr>
            </w:div>
            <w:div w:id="2032491623">
              <w:marLeft w:val="0"/>
              <w:marRight w:val="0"/>
              <w:marTop w:val="0"/>
              <w:marBottom w:val="0"/>
              <w:divBdr>
                <w:top w:val="none" w:sz="0" w:space="0" w:color="auto"/>
                <w:left w:val="none" w:sz="0" w:space="0" w:color="auto"/>
                <w:bottom w:val="none" w:sz="0" w:space="0" w:color="auto"/>
                <w:right w:val="none" w:sz="0" w:space="0" w:color="auto"/>
              </w:divBdr>
            </w:div>
            <w:div w:id="968434555">
              <w:marLeft w:val="0"/>
              <w:marRight w:val="0"/>
              <w:marTop w:val="0"/>
              <w:marBottom w:val="0"/>
              <w:divBdr>
                <w:top w:val="none" w:sz="0" w:space="0" w:color="auto"/>
                <w:left w:val="none" w:sz="0" w:space="0" w:color="auto"/>
                <w:bottom w:val="none" w:sz="0" w:space="0" w:color="auto"/>
                <w:right w:val="none" w:sz="0" w:space="0" w:color="auto"/>
              </w:divBdr>
            </w:div>
            <w:div w:id="1084032026">
              <w:marLeft w:val="0"/>
              <w:marRight w:val="0"/>
              <w:marTop w:val="0"/>
              <w:marBottom w:val="0"/>
              <w:divBdr>
                <w:top w:val="none" w:sz="0" w:space="0" w:color="auto"/>
                <w:left w:val="none" w:sz="0" w:space="0" w:color="auto"/>
                <w:bottom w:val="none" w:sz="0" w:space="0" w:color="auto"/>
                <w:right w:val="none" w:sz="0" w:space="0" w:color="auto"/>
              </w:divBdr>
            </w:div>
            <w:div w:id="1032849242">
              <w:marLeft w:val="0"/>
              <w:marRight w:val="0"/>
              <w:marTop w:val="0"/>
              <w:marBottom w:val="0"/>
              <w:divBdr>
                <w:top w:val="none" w:sz="0" w:space="0" w:color="auto"/>
                <w:left w:val="none" w:sz="0" w:space="0" w:color="auto"/>
                <w:bottom w:val="none" w:sz="0" w:space="0" w:color="auto"/>
                <w:right w:val="none" w:sz="0" w:space="0" w:color="auto"/>
              </w:divBdr>
            </w:div>
            <w:div w:id="174152905">
              <w:marLeft w:val="0"/>
              <w:marRight w:val="0"/>
              <w:marTop w:val="0"/>
              <w:marBottom w:val="0"/>
              <w:divBdr>
                <w:top w:val="none" w:sz="0" w:space="0" w:color="auto"/>
                <w:left w:val="none" w:sz="0" w:space="0" w:color="auto"/>
                <w:bottom w:val="none" w:sz="0" w:space="0" w:color="auto"/>
                <w:right w:val="none" w:sz="0" w:space="0" w:color="auto"/>
              </w:divBdr>
            </w:div>
            <w:div w:id="1360357198">
              <w:marLeft w:val="0"/>
              <w:marRight w:val="0"/>
              <w:marTop w:val="0"/>
              <w:marBottom w:val="0"/>
              <w:divBdr>
                <w:top w:val="none" w:sz="0" w:space="0" w:color="auto"/>
                <w:left w:val="none" w:sz="0" w:space="0" w:color="auto"/>
                <w:bottom w:val="none" w:sz="0" w:space="0" w:color="auto"/>
                <w:right w:val="none" w:sz="0" w:space="0" w:color="auto"/>
              </w:divBdr>
            </w:div>
          </w:divsChild>
        </w:div>
        <w:div w:id="394084769">
          <w:marLeft w:val="0"/>
          <w:marRight w:val="0"/>
          <w:marTop w:val="0"/>
          <w:marBottom w:val="0"/>
          <w:divBdr>
            <w:top w:val="none" w:sz="0" w:space="0" w:color="auto"/>
            <w:left w:val="none" w:sz="0" w:space="0" w:color="auto"/>
            <w:bottom w:val="none" w:sz="0" w:space="0" w:color="auto"/>
            <w:right w:val="none" w:sz="0" w:space="0" w:color="auto"/>
          </w:divBdr>
          <w:divsChild>
            <w:div w:id="1224414181">
              <w:marLeft w:val="0"/>
              <w:marRight w:val="0"/>
              <w:marTop w:val="0"/>
              <w:marBottom w:val="0"/>
              <w:divBdr>
                <w:top w:val="none" w:sz="0" w:space="0" w:color="auto"/>
                <w:left w:val="none" w:sz="0" w:space="0" w:color="auto"/>
                <w:bottom w:val="none" w:sz="0" w:space="0" w:color="auto"/>
                <w:right w:val="none" w:sz="0" w:space="0" w:color="auto"/>
              </w:divBdr>
            </w:div>
            <w:div w:id="4552031">
              <w:marLeft w:val="0"/>
              <w:marRight w:val="0"/>
              <w:marTop w:val="0"/>
              <w:marBottom w:val="0"/>
              <w:divBdr>
                <w:top w:val="none" w:sz="0" w:space="0" w:color="auto"/>
                <w:left w:val="none" w:sz="0" w:space="0" w:color="auto"/>
                <w:bottom w:val="none" w:sz="0" w:space="0" w:color="auto"/>
                <w:right w:val="none" w:sz="0" w:space="0" w:color="auto"/>
              </w:divBdr>
            </w:div>
            <w:div w:id="1870337141">
              <w:marLeft w:val="0"/>
              <w:marRight w:val="0"/>
              <w:marTop w:val="0"/>
              <w:marBottom w:val="0"/>
              <w:divBdr>
                <w:top w:val="none" w:sz="0" w:space="0" w:color="auto"/>
                <w:left w:val="none" w:sz="0" w:space="0" w:color="auto"/>
                <w:bottom w:val="none" w:sz="0" w:space="0" w:color="auto"/>
                <w:right w:val="none" w:sz="0" w:space="0" w:color="auto"/>
              </w:divBdr>
            </w:div>
            <w:div w:id="1560629535">
              <w:marLeft w:val="0"/>
              <w:marRight w:val="0"/>
              <w:marTop w:val="0"/>
              <w:marBottom w:val="0"/>
              <w:divBdr>
                <w:top w:val="none" w:sz="0" w:space="0" w:color="auto"/>
                <w:left w:val="none" w:sz="0" w:space="0" w:color="auto"/>
                <w:bottom w:val="none" w:sz="0" w:space="0" w:color="auto"/>
                <w:right w:val="none" w:sz="0" w:space="0" w:color="auto"/>
              </w:divBdr>
            </w:div>
            <w:div w:id="95186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01536">
      <w:bodyDiv w:val="1"/>
      <w:marLeft w:val="0"/>
      <w:marRight w:val="0"/>
      <w:marTop w:val="0"/>
      <w:marBottom w:val="0"/>
      <w:divBdr>
        <w:top w:val="none" w:sz="0" w:space="0" w:color="auto"/>
        <w:left w:val="none" w:sz="0" w:space="0" w:color="auto"/>
        <w:bottom w:val="none" w:sz="0" w:space="0" w:color="auto"/>
        <w:right w:val="none" w:sz="0" w:space="0" w:color="auto"/>
      </w:divBdr>
    </w:div>
    <w:div w:id="1963224242">
      <w:bodyDiv w:val="1"/>
      <w:marLeft w:val="0"/>
      <w:marRight w:val="0"/>
      <w:marTop w:val="0"/>
      <w:marBottom w:val="0"/>
      <w:divBdr>
        <w:top w:val="none" w:sz="0" w:space="0" w:color="auto"/>
        <w:left w:val="none" w:sz="0" w:space="0" w:color="auto"/>
        <w:bottom w:val="none" w:sz="0" w:space="0" w:color="auto"/>
        <w:right w:val="none" w:sz="0" w:space="0" w:color="auto"/>
      </w:divBdr>
    </w:div>
    <w:div w:id="20272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ettings" Target="settings.xml"/><Relationship Id="rId11" Type="http://schemas.openxmlformats.org/officeDocument/2006/relationships/hyperlink" Target="https://op.europa.eu/en/publication-detail/-/publication/64f17ca7-1d63-11ef-a251-01aa75ed71a1/language-en?origin=spotlight"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image" Target="media/image1.png"/><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commission/presscorner/api/files/attachment/880751/Commission%202024-2029%20-%20100%20Days%20Factsheet.pdf" TargetMode="External"/><Relationship Id="rId1" Type="http://schemas.openxmlformats.org/officeDocument/2006/relationships/hyperlink" Target="https://commission.europa.eu/document/download/e6cd4328-673c-4e7a-8683-f63ffb2cf648_en?filename=Political%20Guidelines%202024-2029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8cf4dd3-9bb7-4441-a43c-55eeac69d3a9">3WJDCDQUXNHJ-553942533-4556</_dlc_DocId>
    <_dlc_DocIdUrl xmlns="28cf4dd3-9bb7-4441-a43c-55eeac69d3a9">
      <Url>http://dm/cor/2025/_layouts/15/DocIdRedir.aspx?ID=3WJDCDQUXNHJ-553942533-4556</Url>
      <Description>3WJDCDQUXNHJ-553942533-4556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28cf4dd3-9bb7-4441-a43c-55eeac69d3a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28cf4dd3-9bb7-4441-a43c-55eeac69d3a9">2025-05-21T12:00:00+00:00</ProductionDate>
    <FicheYear xmlns="28cf4dd3-9bb7-4441-a43c-55eeac69d3a9" xsi:nil="true"/>
    <DocumentNumber xmlns="9e47952d-450d-47fe-9907-a94bb21083af">1600</DocumentNumber>
    <DossierNumber xmlns="28cf4dd3-9bb7-4441-a43c-55eeac69d3a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28cf4dd3-9bb7-4441-a43c-55eeac69d3a9">2025-06-03T12:00:00+00:00</MeetingDate>
    <TaxCatchAll xmlns="28cf4dd3-9bb7-4441-a43c-55eeac69d3a9">
      <Value>34</Value>
      <Value>30</Value>
      <Value>27</Value>
      <Value>23</Value>
      <Value>22</Value>
      <Value>21</Value>
      <Value>20</Value>
      <Value>19</Value>
      <Value>18</Value>
      <Value>16</Value>
      <Value>10</Value>
      <Value>8</Value>
      <Value>6</Value>
      <Value>4</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28cf4dd3-9bb7-4441-a43c-55eeac69d3a9" xsi:nil="true"/>
    <DocumentYear xmlns="28cf4dd3-9bb7-4441-a43c-55eeac69d3a9">2025</DocumentYear>
    <FicheNumber xmlns="28cf4dd3-9bb7-4441-a43c-55eeac69d3a9">5369</FicheNumber>
    <OriginalSender xmlns="28cf4dd3-9bb7-4441-a43c-55eeac69d3a9">
      <UserInfo>
        <DisplayName>TDriveSVCUserProd</DisplayName>
        <AccountId>1358</AccountId>
        <AccountType/>
      </UserInfo>
    </OriginalSender>
    <DocumentPart xmlns="28cf4dd3-9bb7-4441-a43c-55eeac69d3a9">3</DocumentPart>
    <AdoptionDate xmlns="28cf4dd3-9bb7-4441-a43c-55eeac69d3a9" xsi:nil="true"/>
    <RequestingService xmlns="28cf4dd3-9bb7-4441-a43c-55eeac69d3a9">Commission ENVE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GD WG</TermName>
          <TermId xmlns="http://schemas.microsoft.com/office/infopath/2007/PartnerControls">613ba2bb-d7b9-4ca1-b69f-75d8d6261593</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e47952d-450d-47fe-9907-a94bb21083af" xsi:nil="true"/>
    <DossierName_0 xmlns="http://schemas.microsoft.com/sharepoint/v3/fields">
      <Terms xmlns="http://schemas.microsoft.com/office/infopath/2007/PartnerControls"/>
    </DossierName_0>
    <DocumentVersion xmlns="28cf4dd3-9bb7-4441-a43c-55eeac69d3a9">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FD7F0E77182A654196DB7066A24B158B" ma:contentTypeVersion="4" ma:contentTypeDescription="Defines the documents for Document Manager V2" ma:contentTypeScope="" ma:versionID="ffa8481b00cbb975effc3df6b0653b06">
  <xsd:schema xmlns:xsd="http://www.w3.org/2001/XMLSchema" xmlns:xs="http://www.w3.org/2001/XMLSchema" xmlns:p="http://schemas.microsoft.com/office/2006/metadata/properties" xmlns:ns2="28cf4dd3-9bb7-4441-a43c-55eeac69d3a9" xmlns:ns3="http://schemas.microsoft.com/sharepoint/v3/fields" xmlns:ns4="9e47952d-450d-47fe-9907-a94bb21083af" targetNamespace="http://schemas.microsoft.com/office/2006/metadata/properties" ma:root="true" ma:fieldsID="b7a8d211e3366679ede1adbb5dc5c118" ns2:_="" ns3:_="" ns4:_="">
    <xsd:import namespace="28cf4dd3-9bb7-4441-a43c-55eeac69d3a9"/>
    <xsd:import namespace="http://schemas.microsoft.com/sharepoint/v3/fields"/>
    <xsd:import namespace="9e47952d-450d-47fe-9907-a94bb21083a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f4dd3-9bb7-4441-a43c-55eeac69d3a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39ce6121-8882-4d44-bdd2-e23fac5a4c7f}" ma:internalName="TaxCatchAll" ma:showField="CatchAllData"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39ce6121-8882-4d44-bdd2-e23fac5a4c7f}" ma:internalName="TaxCatchAllLabel" ma:readOnly="true" ma:showField="CatchAllDataLabel" ma:web="28cf4dd3-9bb7-4441-a43c-55eeac69d3a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47952d-450d-47fe-9907-a94bb21083a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B451219-64CF-4228-A1DF-E641FC2AF88A}"/>
</file>

<file path=customXml/itemProps2.xml><?xml version="1.0" encoding="utf-8"?>
<ds:datastoreItem xmlns:ds="http://schemas.openxmlformats.org/officeDocument/2006/customXml" ds:itemID="{785D5D0B-9EC9-4ED4-B80A-C29DC40BCF00}"/>
</file>

<file path=customXml/itemProps3.xml><?xml version="1.0" encoding="utf-8"?>
<ds:datastoreItem xmlns:ds="http://schemas.openxmlformats.org/officeDocument/2006/customXml" ds:itemID="{19127528-F66B-4A81-A039-BB15BECC25FC}"/>
</file>

<file path=customXml/itemProps4.xml><?xml version="1.0" encoding="utf-8"?>
<ds:datastoreItem xmlns:ds="http://schemas.openxmlformats.org/officeDocument/2006/customXml" ds:itemID="{20B71136-0C40-442E-8EE0-BABD4EA5B65C}"/>
</file>

<file path=docProps/app.xml><?xml version="1.0" encoding="utf-8"?>
<Properties xmlns="http://schemas.openxmlformats.org/officeDocument/2006/extended-properties" xmlns:vt="http://schemas.openxmlformats.org/officeDocument/2006/docPropsVTypes">
  <Template>Normal</Template>
  <TotalTime>0</TotalTime>
  <Pages>1</Pages>
  <Words>1456</Words>
  <Characters>8301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CoR Commissions new templates - General document (Already proofread in EN)</vt:lpstr>
    </vt:vector>
  </TitlesOfParts>
  <Company>CESE-CdR</Company>
  <LinksUpToDate>false</LinksUpToDate>
  <CharactersWithSpaces>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Deal Going Local Working Group in new CoR mandate</dc:title>
  <dc:subject>Consultative work, various</dc:subject>
  <dc:creator>Marek Regulski</dc:creator>
  <cp:keywords>COR-2025-01600-03-00-TCD-TRA-EN</cp:keywords>
  <dc:description>Rapporteur: -  Original language: - EN Date of document: - 21/05/2025 Date of meeting: - 03/06/2025 External documents: -  Administrator responsible: -  PICCOLO GIUSTINO</dc:description>
  <cp:lastModifiedBy>TDriveSVCUserProd</cp:lastModifiedBy>
  <cp:revision>5</cp:revision>
  <cp:lastPrinted>2021-03-26T13:10:00Z</cp:lastPrinted>
  <dcterms:created xsi:type="dcterms:W3CDTF">2025-05-21T15:40:00Z</dcterms:created>
  <dcterms:modified xsi:type="dcterms:W3CDTF">2025-05-21T15:42:00Z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21/05/2025, 17/02/2025, 05/03/2021, 20/07/2016</vt:lpwstr>
  </property>
  <property fmtid="{D5CDD505-2E9C-101B-9397-08002B2CF9AE}" pid="4" name="Pref_Time">
    <vt:lpwstr>17:39:40, 14:55:36, 08:56:19, 18:33:52</vt:lpwstr>
  </property>
  <property fmtid="{D5CDD505-2E9C-101B-9397-08002B2CF9AE}" pid="5" name="Pref_User">
    <vt:lpwstr>amett, jhvi, hnic, amett</vt:lpwstr>
  </property>
  <property fmtid="{D5CDD505-2E9C-101B-9397-08002B2CF9AE}" pid="6" name="Pref_FileName">
    <vt:lpwstr>COR-2025-01600-03-00-TCD-TRA-EN-CRR.docx, COR-2025-00621-00-00-ADMIN-ORI.docx, COR-2021-00231-04-00-NB-TRA-EN-CRR.docx, COR-EESC-2016-04326-00-00-ADMIN-ORI.docx</vt:lpwstr>
  </property>
  <property fmtid="{D5CDD505-2E9C-101B-9397-08002B2CF9AE}" pid="7" name="ContentTypeId">
    <vt:lpwstr>0x010100EA97B91038054C99906057A708A1480A00FD7F0E77182A654196DB7066A24B158B</vt:lpwstr>
  </property>
  <property fmtid="{D5CDD505-2E9C-101B-9397-08002B2CF9AE}" pid="8" name="_dlc_DocIdItemGuid">
    <vt:lpwstr>f7677ed4-afb3-483f-bfae-51c6e2d1182b</vt:lpwstr>
  </property>
  <property fmtid="{D5CDD505-2E9C-101B-9397-08002B2CF9AE}" pid="9" name="AvailableTranslations">
    <vt:lpwstr>19;#FR|d2afafd3-4c81-4f60-8f52-ee33f2f54ff3;#22;#IT|0774613c-01ed-4e5d-a25d-11d2388de825;#30;#FI|87606a43-d45f-42d6-b8c9-e1a3457db5b7;#4;#EN|f2175f21-25d7-44a3-96da-d6a61b075e1b;#20;#PL|1e03da61-4678-4e07-b136-b5024ca9197b;#16;#NL|55c6556c-b4f4-441d-9acf-c498d4f838bd;#23;#PT|50ccc04a-eadd-42ae-a0cb-acaf45f812ba;#34;#EL|6d4f4d51-af9b-4650-94b4-4276bee85c91;#27;#LV|46f7e311-5d9f-4663-b433-18aeccb7ace7;#21;#SV|c2ed69e7-a339-43d7-8f22-d93680a92aa0</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1600</vt:i4>
  </property>
  <property fmtid="{D5CDD505-2E9C-101B-9397-08002B2CF9AE}" pid="14" name="FicheYear">
    <vt:i4>2025</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3</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3;#TCD|cd9d6eb6-3f4f-424a-b2d1-57c9d450eaaf</vt:lpwstr>
  </property>
  <property fmtid="{D5CDD505-2E9C-101B-9397-08002B2CF9AE}" pid="22" name="RequestingService">
    <vt:lpwstr>Commission ENVE</vt:lpwstr>
  </property>
  <property fmtid="{D5CDD505-2E9C-101B-9397-08002B2CF9AE}" pid="23" name="Confidentiality">
    <vt:lpwstr>10;#Unrestricted|826e22d7-d029-4ec0-a450-0c28ff673572</vt:lpwstr>
  </property>
  <property fmtid="{D5CDD505-2E9C-101B-9397-08002B2CF9AE}" pid="24" name="MeetingName_0">
    <vt:lpwstr>GD WG|613ba2bb-d7b9-4ca1-b69f-75d8d6261593</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18;#GD WG|613ba2bb-d7b9-4ca1-b69f-75d8d6261593</vt:lpwstr>
  </property>
  <property fmtid="{D5CDD505-2E9C-101B-9397-08002B2CF9AE}" pid="28" name="MeetingDate">
    <vt:filetime>2025-06-03T12:00:00Z</vt:filetime>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18;#GD WG|613ba2bb-d7b9-4ca1-b69f-75d8d6261593;#10;#Unrestricted|826e22d7-d029-4ec0-a450-0c28ff673572;#8;#TRA|150d2a88-1431-44e6-a8ca-0bb753ab8672;#6;#Final|ea5e6674-7b27-4bac-b091-73adbb394efe;#4;#EN|f2175f21-25d7-44a3-96da-d6a61b075e1b;#3;#TCD|cd9d6eb6-3f4f-424a-b2d1-57c9d450eaaf;#1;#CoR|cb2d75ef-4a7d-4393-b797-49ed6298a5ea</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2025</vt:i4>
  </property>
  <property fmtid="{D5CDD505-2E9C-101B-9397-08002B2CF9AE}" pid="36" name="FicheNumber">
    <vt:i4>5369</vt:i4>
  </property>
  <property fmtid="{D5CDD505-2E9C-101B-9397-08002B2CF9AE}" pid="37" name="DocumentLanguage">
    <vt:lpwstr>4;#EN|f2175f21-25d7-44a3-96da-d6a61b075e1b</vt:lpwstr>
  </property>
  <property fmtid="{D5CDD505-2E9C-101B-9397-08002B2CF9AE}" pid="38" name="_docset_NoMedatataSyncRequired">
    <vt:lpwstr>False</vt:lpwstr>
  </property>
</Properties>
</file>