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0F6" w:rsidRPr="00DE0879" w:rsidRDefault="00B830F6" w:rsidP="00B830F6">
      <w:pPr>
        <w:pBdr>
          <w:top w:val="single" w:sz="4" w:space="1" w:color="auto"/>
          <w:left w:val="single" w:sz="4" w:space="4" w:color="auto"/>
          <w:bottom w:val="single" w:sz="4" w:space="1" w:color="auto"/>
          <w:right w:val="single" w:sz="4" w:space="4" w:color="auto"/>
        </w:pBdr>
        <w:spacing w:before="120" w:after="120"/>
        <w:jc w:val="center"/>
        <w:rPr>
          <w:b/>
          <w:iCs/>
          <w:color w:val="000000" w:themeColor="text1"/>
          <w:sz w:val="28"/>
        </w:rPr>
      </w:pPr>
      <w:r w:rsidRPr="00DE0879">
        <w:rPr>
          <w:b/>
          <w:iCs/>
          <w:color w:val="000000" w:themeColor="text1"/>
          <w:sz w:val="28"/>
        </w:rPr>
        <w:t>INI on the role of simple tax rules and tax fragmentation in European competitiveness</w:t>
      </w:r>
    </w:p>
    <w:p w:rsidR="00B830F6" w:rsidRPr="00DE0879" w:rsidRDefault="00B830F6" w:rsidP="00B830F6">
      <w:pPr>
        <w:spacing w:before="120" w:after="120"/>
        <w:jc w:val="center"/>
        <w:rPr>
          <w:b/>
          <w:iCs/>
          <w:color w:val="000000" w:themeColor="text1"/>
          <w:szCs w:val="24"/>
        </w:rPr>
      </w:pPr>
    </w:p>
    <w:p w:rsidR="00B830F6" w:rsidRPr="00DE0879" w:rsidRDefault="00B830F6" w:rsidP="009D2755">
      <w:pPr>
        <w:pStyle w:val="Normal12a24b"/>
        <w:rPr>
          <w:i/>
          <w:iCs/>
          <w:color w:val="000000" w:themeColor="text1"/>
          <w:lang w:eastAsia="en-GB"/>
        </w:rPr>
      </w:pPr>
      <w:r w:rsidRPr="00DE0879">
        <w:rPr>
          <w:b/>
          <w:i/>
          <w:iCs/>
          <w:color w:val="000000" w:themeColor="text1"/>
          <w:lang w:eastAsia="en-GB"/>
        </w:rPr>
        <w:t>COMP A</w:t>
      </w:r>
      <w:r w:rsidR="009D2755" w:rsidRPr="00DE0879">
        <w:rPr>
          <w:b/>
          <w:i/>
          <w:iCs/>
          <w:color w:val="000000" w:themeColor="text1"/>
          <w:lang w:eastAsia="en-GB"/>
        </w:rPr>
        <w:t xml:space="preserve"> “</w:t>
      </w:r>
      <w:r w:rsidR="009D2755" w:rsidRPr="00DE0879">
        <w:rPr>
          <w:rStyle w:val="BoldItalic"/>
          <w:color w:val="000000" w:themeColor="text1"/>
        </w:rPr>
        <w:t>Taxation and the business environment</w:t>
      </w:r>
      <w:r w:rsidR="009D2755" w:rsidRPr="00DE0879">
        <w:rPr>
          <w:b/>
          <w:i/>
          <w:iCs/>
          <w:color w:val="000000" w:themeColor="text1"/>
          <w:lang w:eastAsia="en-GB"/>
        </w:rPr>
        <w:t>”</w:t>
      </w:r>
      <w:r w:rsidRPr="00DE0879">
        <w:rPr>
          <w:b/>
          <w:i/>
          <w:iCs/>
          <w:color w:val="000000" w:themeColor="text1"/>
          <w:lang w:eastAsia="en-GB"/>
        </w:rPr>
        <w:t xml:space="preserve"> </w:t>
      </w:r>
      <w:r w:rsidRPr="00DE0879">
        <w:rPr>
          <w:i/>
          <w:iCs/>
          <w:color w:val="000000" w:themeColor="text1"/>
          <w:lang w:eastAsia="en-GB"/>
        </w:rPr>
        <w:t>(paragraph 1, 2</w:t>
      </w:r>
      <w:r w:rsidR="009D2755" w:rsidRPr="00DE0879">
        <w:rPr>
          <w:i/>
          <w:iCs/>
          <w:color w:val="000000" w:themeColor="text1"/>
          <w:lang w:eastAsia="en-GB"/>
        </w:rPr>
        <w:t xml:space="preserve"> and </w:t>
      </w:r>
      <w:r w:rsidRPr="00DE0879">
        <w:rPr>
          <w:i/>
          <w:iCs/>
          <w:color w:val="000000" w:themeColor="text1"/>
          <w:lang w:eastAsia="en-GB"/>
        </w:rPr>
        <w:t>3)</w:t>
      </w:r>
    </w:p>
    <w:p w:rsidR="0016444A" w:rsidRPr="00DE0879" w:rsidRDefault="0016444A" w:rsidP="009D2755">
      <w:pPr>
        <w:pStyle w:val="Normal12a24b"/>
        <w:rPr>
          <w:i/>
          <w:iCs/>
          <w:color w:val="000000" w:themeColor="text1"/>
          <w:lang w:eastAsia="en-GB"/>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EPP, S&amp;D, PfE, ECR, Renew, Greens/EFA and The Left</w:t>
      </w:r>
    </w:p>
    <w:p w:rsidR="00647713" w:rsidRPr="00DE0879" w:rsidRDefault="00B830F6" w:rsidP="00B830F6">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 xml:space="preserve">by the COMP: </w:t>
      </w:r>
      <w:r w:rsidR="009D2755" w:rsidRPr="00DE0879">
        <w:rPr>
          <w:b w:val="0"/>
          <w:i/>
          <w:color w:val="000000" w:themeColor="text1"/>
        </w:rPr>
        <w:t>33, 38, 40, 41, 46, 55</w:t>
      </w:r>
      <w:r w:rsidR="00647713" w:rsidRPr="00DE0879">
        <w:rPr>
          <w:b w:val="0"/>
          <w:i/>
          <w:color w:val="000000" w:themeColor="text1"/>
        </w:rPr>
        <w:t>, 57, 61</w:t>
      </w:r>
      <w:r w:rsidR="00A94502" w:rsidRPr="00DE0879">
        <w:rPr>
          <w:b w:val="0"/>
          <w:i/>
          <w:color w:val="000000" w:themeColor="text1"/>
        </w:rPr>
        <w:t>, 84</w:t>
      </w:r>
      <w:r w:rsidR="001C41C0" w:rsidRPr="00DE0879">
        <w:rPr>
          <w:b w:val="0"/>
          <w:i/>
          <w:color w:val="000000" w:themeColor="text1"/>
        </w:rPr>
        <w:t>, 113</w:t>
      </w:r>
      <w:r w:rsidR="009D2755" w:rsidRPr="00DE0879">
        <w:rPr>
          <w:b w:val="0"/>
          <w:i/>
          <w:color w:val="000000" w:themeColor="text1"/>
        </w:rPr>
        <w:t xml:space="preserve"> EPP, 34, 43, </w:t>
      </w:r>
      <w:r w:rsidR="00DB45B2" w:rsidRPr="00DE0879">
        <w:rPr>
          <w:b w:val="0"/>
          <w:i/>
          <w:color w:val="000000" w:themeColor="text1"/>
        </w:rPr>
        <w:t xml:space="preserve">50, </w:t>
      </w:r>
      <w:r w:rsidR="009D2755" w:rsidRPr="00DE0879">
        <w:rPr>
          <w:b w:val="0"/>
          <w:i/>
          <w:color w:val="000000" w:themeColor="text1"/>
        </w:rPr>
        <w:t>54</w:t>
      </w:r>
      <w:r w:rsidR="001B468B" w:rsidRPr="00DE0879">
        <w:rPr>
          <w:b w:val="0"/>
          <w:i/>
          <w:color w:val="000000" w:themeColor="text1"/>
        </w:rPr>
        <w:t>, 245</w:t>
      </w:r>
      <w:r w:rsidR="009D2755" w:rsidRPr="00DE0879">
        <w:rPr>
          <w:b w:val="0"/>
          <w:i/>
          <w:color w:val="000000" w:themeColor="text1"/>
        </w:rPr>
        <w:t xml:space="preserve"> Greens/EFA, 37, 42, 53 Renew</w:t>
      </w:r>
      <w:r w:rsidR="00647713" w:rsidRPr="00DE0879">
        <w:rPr>
          <w:b w:val="0"/>
          <w:i/>
          <w:color w:val="000000" w:themeColor="text1"/>
        </w:rPr>
        <w:t>, 39</w:t>
      </w:r>
      <w:r w:rsidR="009D2755" w:rsidRPr="00DE0879">
        <w:rPr>
          <w:b w:val="0"/>
          <w:i/>
          <w:color w:val="000000" w:themeColor="text1"/>
        </w:rPr>
        <w:t xml:space="preserve">, </w:t>
      </w:r>
      <w:r w:rsidR="00647713" w:rsidRPr="00DE0879">
        <w:rPr>
          <w:b w:val="0"/>
          <w:i/>
          <w:color w:val="000000" w:themeColor="text1"/>
        </w:rPr>
        <w:t>52</w:t>
      </w:r>
      <w:r w:rsidR="001C331E" w:rsidRPr="00DE0879">
        <w:rPr>
          <w:b w:val="0"/>
          <w:i/>
          <w:color w:val="000000" w:themeColor="text1"/>
        </w:rPr>
        <w:t xml:space="preserve"> </w:t>
      </w:r>
      <w:r w:rsidR="00647713" w:rsidRPr="00DE0879">
        <w:rPr>
          <w:b w:val="0"/>
          <w:i/>
          <w:color w:val="000000" w:themeColor="text1"/>
        </w:rPr>
        <w:t>S</w:t>
      </w:r>
      <w:r w:rsidRPr="00DE0879">
        <w:rPr>
          <w:b w:val="0"/>
          <w:i/>
          <w:color w:val="000000" w:themeColor="text1"/>
        </w:rPr>
        <w:t xml:space="preserve">&amp;D, </w:t>
      </w:r>
      <w:r w:rsidR="009D2755" w:rsidRPr="00DE0879">
        <w:rPr>
          <w:b w:val="0"/>
          <w:i/>
          <w:color w:val="000000" w:themeColor="text1"/>
        </w:rPr>
        <w:t>44, 56 NA, 45</w:t>
      </w:r>
      <w:r w:rsidR="00647713" w:rsidRPr="00DE0879">
        <w:rPr>
          <w:b w:val="0"/>
          <w:i/>
          <w:color w:val="000000" w:themeColor="text1"/>
        </w:rPr>
        <w:t>, 58</w:t>
      </w:r>
      <w:r w:rsidR="009D2755" w:rsidRPr="00DE0879">
        <w:rPr>
          <w:b w:val="0"/>
          <w:i/>
          <w:color w:val="000000" w:themeColor="text1"/>
        </w:rPr>
        <w:t xml:space="preserve"> ECR, 48 </w:t>
      </w:r>
      <w:r w:rsidRPr="00DE0879">
        <w:rPr>
          <w:b w:val="0"/>
          <w:i/>
          <w:color w:val="000000" w:themeColor="text1"/>
        </w:rPr>
        <w:t xml:space="preserve">The Left, </w:t>
      </w:r>
      <w:r w:rsidR="00647713" w:rsidRPr="00DE0879">
        <w:rPr>
          <w:b w:val="0"/>
          <w:i/>
          <w:color w:val="000000" w:themeColor="text1"/>
        </w:rPr>
        <w:t>59, 64, 65 Rapp</w:t>
      </w:r>
    </w:p>
    <w:p w:rsidR="00B830F6" w:rsidRPr="00DE0879" w:rsidRDefault="00B830F6" w:rsidP="00B830F6">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9D2755" w:rsidRPr="00DE0879" w:rsidRDefault="00C52887" w:rsidP="00B830F6">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w:t>
      </w:r>
      <w:r w:rsidR="00B830F6" w:rsidRPr="00DE0879">
        <w:rPr>
          <w:b w:val="0"/>
          <w:i/>
          <w:color w:val="000000" w:themeColor="text1"/>
        </w:rPr>
        <w:t xml:space="preserve"> </w:t>
      </w:r>
      <w:r w:rsidR="009D2755" w:rsidRPr="00DE0879">
        <w:rPr>
          <w:b w:val="0"/>
          <w:i/>
          <w:color w:val="000000" w:themeColor="text1"/>
        </w:rPr>
        <w:t>35</w:t>
      </w:r>
      <w:r w:rsidR="001C331E" w:rsidRPr="00DE0879">
        <w:rPr>
          <w:b w:val="0"/>
          <w:i/>
          <w:color w:val="000000" w:themeColor="text1"/>
        </w:rPr>
        <w:t>, 60</w:t>
      </w:r>
      <w:r w:rsidR="009D2755" w:rsidRPr="00DE0879">
        <w:rPr>
          <w:b w:val="0"/>
          <w:i/>
          <w:color w:val="000000" w:themeColor="text1"/>
        </w:rPr>
        <w:t xml:space="preserve"> S&amp;D, 36, 47 ECR,</w:t>
      </w:r>
      <w:r w:rsidR="001C331E" w:rsidRPr="00DE0879">
        <w:rPr>
          <w:b w:val="0"/>
          <w:i/>
          <w:color w:val="000000" w:themeColor="text1"/>
        </w:rPr>
        <w:t xml:space="preserve"> 63 EPP</w:t>
      </w:r>
    </w:p>
    <w:p w:rsidR="00B830F6" w:rsidRPr="00DE0879" w:rsidRDefault="00B830F6" w:rsidP="00B830F6">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AB14E7" w:rsidRPr="00DE0879" w:rsidRDefault="00D50A31">
      <w:pPr>
        <w:pStyle w:val="Normal12a24b"/>
        <w:rPr>
          <w:color w:val="000000" w:themeColor="text1"/>
        </w:rPr>
      </w:pPr>
      <w:r w:rsidRPr="00DE0879">
        <w:rPr>
          <w:rStyle w:val="BoldItalic"/>
          <w:color w:val="000000" w:themeColor="text1"/>
        </w:rPr>
        <w:t>Taxation and the business environment</w:t>
      </w:r>
    </w:p>
    <w:p w:rsidR="00AB14E7" w:rsidRPr="00DE0879" w:rsidRDefault="00D50A31" w:rsidP="00DB45B2">
      <w:pPr>
        <w:pStyle w:val="NormalHanging12a"/>
        <w:jc w:val="both"/>
        <w:rPr>
          <w:b/>
          <w:i/>
          <w:color w:val="000000" w:themeColor="text1"/>
        </w:rPr>
      </w:pPr>
      <w:r w:rsidRPr="00DE0879">
        <w:rPr>
          <w:color w:val="000000" w:themeColor="text1"/>
        </w:rPr>
        <w:t>1.</w:t>
      </w:r>
      <w:r w:rsidRPr="00DE0879">
        <w:rPr>
          <w:color w:val="000000" w:themeColor="text1"/>
        </w:rPr>
        <w:tab/>
        <w:t xml:space="preserve">Emphasises that simple and predictable tax rules should make it easier for taxpayers to pay their taxes and for governments to administer and collect revenue; highlights the need to create a compliance-friendly and business-supportive European Union, where productive sectors can compete and thrive and workers can earn a </w:t>
      </w:r>
      <w:r w:rsidR="008531C9" w:rsidRPr="00DE0879">
        <w:rPr>
          <w:color w:val="000000" w:themeColor="text1"/>
          <w:u w:val="single"/>
        </w:rPr>
        <w:t xml:space="preserve">fair wage  </w:t>
      </w:r>
      <w:r w:rsidR="00A41113" w:rsidRPr="00DE0879">
        <w:rPr>
          <w:b/>
          <w:i/>
          <w:color w:val="000000" w:themeColor="text1"/>
          <w:u w:val="single"/>
        </w:rPr>
        <w:t xml:space="preserve">while supporting the </w:t>
      </w:r>
      <w:r w:rsidR="00DB56FE" w:rsidRPr="00DE0879">
        <w:rPr>
          <w:b/>
          <w:i/>
          <w:color w:val="000000" w:themeColor="text1"/>
          <w:u w:val="single"/>
        </w:rPr>
        <w:t xml:space="preserve">twin </w:t>
      </w:r>
      <w:r w:rsidR="00A41113" w:rsidRPr="00DE0879">
        <w:rPr>
          <w:b/>
          <w:i/>
          <w:color w:val="000000" w:themeColor="text1"/>
          <w:u w:val="single"/>
        </w:rPr>
        <w:t xml:space="preserve"> transition</w:t>
      </w:r>
      <w:r w:rsidRPr="00DE0879">
        <w:rPr>
          <w:color w:val="000000" w:themeColor="text1"/>
        </w:rPr>
        <w:t>;</w:t>
      </w:r>
      <w:r w:rsidR="00A41113" w:rsidRPr="00DE0879">
        <w:rPr>
          <w:color w:val="000000" w:themeColor="text1"/>
        </w:rPr>
        <w:t xml:space="preserve"> </w:t>
      </w:r>
      <w:r w:rsidR="00A17DE0" w:rsidRPr="00DE0879">
        <w:rPr>
          <w:color w:val="000000" w:themeColor="text1"/>
        </w:rPr>
        <w:t xml:space="preserve"> </w:t>
      </w:r>
      <w:r w:rsidR="00A3463D" w:rsidRPr="00DE0879">
        <w:rPr>
          <w:b/>
          <w:i/>
          <w:color w:val="000000" w:themeColor="text1"/>
        </w:rPr>
        <w:t>Stresses</w:t>
      </w:r>
      <w:r w:rsidR="00A17DE0" w:rsidRPr="00DE0879">
        <w:rPr>
          <w:b/>
          <w:i/>
          <w:color w:val="000000" w:themeColor="text1"/>
        </w:rPr>
        <w:t xml:space="preserve"> that overly complex taxation rules</w:t>
      </w:r>
      <w:r w:rsidR="00E44489" w:rsidRPr="00DE0879">
        <w:rPr>
          <w:b/>
          <w:i/>
          <w:color w:val="000000" w:themeColor="text1"/>
        </w:rPr>
        <w:t xml:space="preserve"> risks</w:t>
      </w:r>
      <w:r w:rsidR="00A17DE0" w:rsidRPr="00DE0879">
        <w:rPr>
          <w:b/>
          <w:i/>
          <w:color w:val="000000" w:themeColor="text1"/>
        </w:rPr>
        <w:t xml:space="preserve"> </w:t>
      </w:r>
      <w:r w:rsidR="00E44489" w:rsidRPr="00DE0879">
        <w:rPr>
          <w:b/>
          <w:i/>
          <w:color w:val="000000" w:themeColor="text1"/>
        </w:rPr>
        <w:t>deterring investment</w:t>
      </w:r>
      <w:r w:rsidR="00A17DE0" w:rsidRPr="00DE0879">
        <w:rPr>
          <w:b/>
          <w:i/>
          <w:color w:val="000000" w:themeColor="text1"/>
        </w:rPr>
        <w:t>, whilst also noting that tax policy design should</w:t>
      </w:r>
      <w:r w:rsidR="00087D2B" w:rsidRPr="00DE0879">
        <w:rPr>
          <w:b/>
          <w:i/>
          <w:color w:val="000000" w:themeColor="text1"/>
        </w:rPr>
        <w:t xml:space="preserve"> avoid distorting</w:t>
      </w:r>
      <w:r w:rsidR="00A17DE0" w:rsidRPr="00DE0879">
        <w:rPr>
          <w:b/>
          <w:i/>
          <w:color w:val="000000" w:themeColor="text1"/>
        </w:rPr>
        <w:t xml:space="preserve"> economic actors’ decision making</w:t>
      </w:r>
      <w:r w:rsidR="003C3779" w:rsidRPr="00DE0879">
        <w:rPr>
          <w:b/>
          <w:i/>
          <w:color w:val="000000" w:themeColor="text1"/>
        </w:rPr>
        <w:t xml:space="preserve"> </w:t>
      </w:r>
      <w:r w:rsidR="00A17DE0" w:rsidRPr="00DE0879">
        <w:rPr>
          <w:b/>
          <w:color w:val="000000" w:themeColor="text1"/>
        </w:rPr>
        <w:t xml:space="preserve">(AM 33, </w:t>
      </w:r>
      <w:r w:rsidR="00DB45B2" w:rsidRPr="00DE0879">
        <w:rPr>
          <w:b/>
          <w:color w:val="000000" w:themeColor="text1"/>
        </w:rPr>
        <w:t xml:space="preserve">AM 34 Greens/EFA; AM 35 S&amp;D; </w:t>
      </w:r>
      <w:r w:rsidR="00A17DE0" w:rsidRPr="00DE0879">
        <w:rPr>
          <w:b/>
          <w:color w:val="000000" w:themeColor="text1"/>
        </w:rPr>
        <w:t xml:space="preserve">AM </w:t>
      </w:r>
      <w:r w:rsidR="00DB45B2" w:rsidRPr="00DE0879">
        <w:rPr>
          <w:b/>
          <w:color w:val="000000" w:themeColor="text1"/>
        </w:rPr>
        <w:t xml:space="preserve">33, </w:t>
      </w:r>
      <w:r w:rsidR="00A17DE0" w:rsidRPr="00DE0879">
        <w:rPr>
          <w:b/>
          <w:color w:val="000000" w:themeColor="text1"/>
        </w:rPr>
        <w:t>38 EPP)</w:t>
      </w:r>
    </w:p>
    <w:p w:rsidR="002C6006" w:rsidRPr="00DE0879" w:rsidRDefault="002C6006" w:rsidP="00DB45B2">
      <w:pPr>
        <w:pStyle w:val="NormalHanging12a"/>
        <w:jc w:val="both"/>
        <w:rPr>
          <w:b/>
          <w:i/>
          <w:color w:val="000000" w:themeColor="text1"/>
        </w:rPr>
      </w:pPr>
      <w:r w:rsidRPr="00DE0879">
        <w:rPr>
          <w:b/>
          <w:i/>
          <w:color w:val="000000" w:themeColor="text1"/>
        </w:rPr>
        <w:t xml:space="preserve">1a (new) </w:t>
      </w:r>
      <w:r w:rsidR="00C82203" w:rsidRPr="00DE0879">
        <w:rPr>
          <w:b/>
          <w:i/>
          <w:color w:val="000000" w:themeColor="text1"/>
        </w:rPr>
        <w:t>Is deeply concerned with the threat to European tax sovereignty expressed in the US President’s statements on 2 April 2025 on VAT in EU Member States as part of the justification for imposing tariffs on US imports from the EU;</w:t>
      </w:r>
      <w:r w:rsidR="000E5B76" w:rsidRPr="00DE0879">
        <w:rPr>
          <w:rStyle w:val="fadeinm1hgl8"/>
          <w:b/>
          <w:color w:val="000000" w:themeColor="text1"/>
        </w:rPr>
        <w:t xml:space="preserve"> </w:t>
      </w:r>
      <w:r w:rsidRPr="00DE0879">
        <w:rPr>
          <w:rStyle w:val="fadeinm1hgl8"/>
          <w:b/>
          <w:bCs/>
          <w:i/>
          <w:color w:val="000000" w:themeColor="text1"/>
        </w:rPr>
        <w:t>Emphasises</w:t>
      </w:r>
      <w:r w:rsidRPr="00DE0879">
        <w:rPr>
          <w:rStyle w:val="fadeinm1hgl8"/>
          <w:b/>
          <w:i/>
          <w:color w:val="000000" w:themeColor="text1"/>
        </w:rPr>
        <w:t xml:space="preserve"> that trade wars </w:t>
      </w:r>
      <w:r w:rsidRPr="00DE0879">
        <w:rPr>
          <w:rStyle w:val="fadeinm1hgl8"/>
          <w:b/>
          <w:bCs/>
          <w:i/>
          <w:color w:val="000000" w:themeColor="text1"/>
        </w:rPr>
        <w:t>undermine businesses</w:t>
      </w:r>
      <w:r w:rsidRPr="00DE0879">
        <w:rPr>
          <w:rStyle w:val="fadeinm1hgl8"/>
          <w:b/>
          <w:i/>
          <w:color w:val="000000" w:themeColor="text1"/>
        </w:rPr>
        <w:t xml:space="preserve"> and </w:t>
      </w:r>
      <w:r w:rsidRPr="00DE0879">
        <w:rPr>
          <w:rStyle w:val="fadeinm1hgl8"/>
          <w:b/>
          <w:bCs/>
          <w:i/>
          <w:color w:val="000000" w:themeColor="text1"/>
        </w:rPr>
        <w:t>urges the Commission and Member States</w:t>
      </w:r>
      <w:r w:rsidRPr="00DE0879">
        <w:rPr>
          <w:rStyle w:val="fadeinm1hgl8"/>
          <w:b/>
          <w:i/>
          <w:color w:val="000000" w:themeColor="text1"/>
        </w:rPr>
        <w:t xml:space="preserve"> to </w:t>
      </w:r>
      <w:r w:rsidRPr="00DE0879">
        <w:rPr>
          <w:rStyle w:val="fadeinm1hgl8"/>
          <w:b/>
          <w:bCs/>
          <w:i/>
          <w:color w:val="000000" w:themeColor="text1"/>
        </w:rPr>
        <w:t>limit the trade turmoil</w:t>
      </w:r>
      <w:r w:rsidRPr="00DE0879">
        <w:rPr>
          <w:rStyle w:val="fadeinm1hgl8"/>
          <w:b/>
          <w:i/>
          <w:color w:val="000000" w:themeColor="text1"/>
        </w:rPr>
        <w:t xml:space="preserve"> and </w:t>
      </w:r>
      <w:r w:rsidRPr="00DE0879">
        <w:rPr>
          <w:rStyle w:val="fadeinm1hgl8"/>
          <w:b/>
          <w:bCs/>
          <w:i/>
          <w:color w:val="000000" w:themeColor="text1"/>
        </w:rPr>
        <w:t xml:space="preserve">consult European </w:t>
      </w:r>
      <w:r w:rsidR="008531C9" w:rsidRPr="00DE0879">
        <w:rPr>
          <w:rStyle w:val="fadeinm1hgl8"/>
          <w:b/>
          <w:color w:val="000000" w:themeColor="text1"/>
        </w:rPr>
        <w:t xml:space="preserve"> stakeholders </w:t>
      </w:r>
      <w:r w:rsidR="00E44489" w:rsidRPr="00DE0879">
        <w:rPr>
          <w:rStyle w:val="fadeinm1hgl8"/>
          <w:b/>
          <w:color w:val="000000" w:themeColor="text1"/>
        </w:rPr>
        <w:t xml:space="preserve"> when making decisions </w:t>
      </w:r>
      <w:r w:rsidR="00E44489" w:rsidRPr="00DE0879">
        <w:rPr>
          <w:rStyle w:val="fadeinm1hgl8"/>
          <w:b/>
          <w:color w:val="000000" w:themeColor="text1"/>
          <w:u w:val="single"/>
        </w:rPr>
        <w:t>in response to tariffs</w:t>
      </w:r>
      <w:r w:rsidR="00E44489" w:rsidRPr="00DE0879">
        <w:rPr>
          <w:rStyle w:val="fadeinm1hgl8"/>
          <w:b/>
          <w:color w:val="000000" w:themeColor="text1"/>
        </w:rPr>
        <w:t xml:space="preserve">; </w:t>
      </w:r>
      <w:r w:rsidRPr="00DE0879">
        <w:rPr>
          <w:rStyle w:val="fadeinm1hgl8"/>
          <w:b/>
          <w:color w:val="000000" w:themeColor="text1"/>
        </w:rPr>
        <w:t>(AM 37 Renew</w:t>
      </w:r>
      <w:r w:rsidR="00DB45B2" w:rsidRPr="00DE0879">
        <w:rPr>
          <w:rStyle w:val="fadeinm1hgl8"/>
          <w:b/>
          <w:color w:val="000000" w:themeColor="text1"/>
        </w:rPr>
        <w:t>, 38 EPP, 50 Greens/EFA</w:t>
      </w:r>
      <w:r w:rsidRPr="00DE0879">
        <w:rPr>
          <w:rStyle w:val="fadeinm1hgl8"/>
          <w:b/>
          <w:color w:val="000000" w:themeColor="text1"/>
        </w:rPr>
        <w:t>)</w:t>
      </w:r>
      <w:r w:rsidRPr="00DE0879">
        <w:rPr>
          <w:rStyle w:val="fadeinm1hgl8"/>
          <w:b/>
          <w:i/>
          <w:color w:val="000000" w:themeColor="text1"/>
        </w:rPr>
        <w:t>;</w:t>
      </w:r>
    </w:p>
    <w:p w:rsidR="00AB14E7" w:rsidRPr="00DE0879" w:rsidRDefault="00D50A31" w:rsidP="00DB45B2">
      <w:pPr>
        <w:pStyle w:val="NormalHanging12a"/>
        <w:jc w:val="both"/>
        <w:rPr>
          <w:color w:val="000000" w:themeColor="text1"/>
        </w:rPr>
      </w:pPr>
      <w:r w:rsidRPr="00DE0879">
        <w:rPr>
          <w:color w:val="000000" w:themeColor="text1"/>
        </w:rPr>
        <w:t>2.</w:t>
      </w:r>
      <w:r w:rsidRPr="00DE0879">
        <w:rPr>
          <w:color w:val="000000" w:themeColor="text1"/>
        </w:rPr>
        <w:tab/>
        <w:t>Stresses</w:t>
      </w:r>
      <w:r w:rsidR="00BA73DE" w:rsidRPr="00DE0879">
        <w:rPr>
          <w:b/>
          <w:i/>
          <w:color w:val="000000" w:themeColor="text1"/>
        </w:rPr>
        <w:t xml:space="preserve">, as stated in the Draghi report, that divergent tax rules across the Union are a significant hurdle to achieve a true Single Market. Acknowledges </w:t>
      </w:r>
      <w:r w:rsidRPr="00DE0879">
        <w:rPr>
          <w:color w:val="000000" w:themeColor="text1"/>
        </w:rPr>
        <w:t xml:space="preserve">that the </w:t>
      </w:r>
      <w:r w:rsidRPr="00DE0879">
        <w:rPr>
          <w:strike/>
          <w:color w:val="000000" w:themeColor="text1"/>
        </w:rPr>
        <w:t>EU tax system</w:t>
      </w:r>
      <w:r w:rsidR="00394C40" w:rsidRPr="00DE0879">
        <w:rPr>
          <w:color w:val="000000" w:themeColor="text1"/>
        </w:rPr>
        <w:t xml:space="preserve"> </w:t>
      </w:r>
      <w:r w:rsidR="00637380" w:rsidRPr="00DE0879">
        <w:rPr>
          <w:color w:val="000000" w:themeColor="text1"/>
        </w:rPr>
        <w:t xml:space="preserve">EU </w:t>
      </w:r>
      <w:r w:rsidR="00394C40" w:rsidRPr="00DE0879">
        <w:rPr>
          <w:b/>
          <w:i/>
          <w:color w:val="000000" w:themeColor="text1"/>
        </w:rPr>
        <w:t xml:space="preserve">tax framework  </w:t>
      </w:r>
      <w:r w:rsidRPr="00DE0879">
        <w:rPr>
          <w:strike/>
          <w:color w:val="000000" w:themeColor="text1"/>
        </w:rPr>
        <w:t>should</w:t>
      </w:r>
      <w:r w:rsidR="00BA73DE" w:rsidRPr="00DE0879">
        <w:rPr>
          <w:color w:val="000000" w:themeColor="text1"/>
        </w:rPr>
        <w:t xml:space="preserve"> </w:t>
      </w:r>
      <w:r w:rsidR="00BA73DE" w:rsidRPr="00DE0879">
        <w:rPr>
          <w:b/>
          <w:i/>
          <w:color w:val="000000" w:themeColor="text1"/>
        </w:rPr>
        <w:t xml:space="preserve">must strictly </w:t>
      </w:r>
      <w:r w:rsidRPr="00DE0879">
        <w:rPr>
          <w:color w:val="000000" w:themeColor="text1"/>
        </w:rPr>
        <w:t xml:space="preserve">uphold the principles of subsidiarity </w:t>
      </w:r>
      <w:r w:rsidR="00637380" w:rsidRPr="00DE0879">
        <w:rPr>
          <w:color w:val="000000" w:themeColor="text1"/>
        </w:rPr>
        <w:t xml:space="preserve">and </w:t>
      </w:r>
      <w:r w:rsidRPr="00DE0879">
        <w:rPr>
          <w:color w:val="000000" w:themeColor="text1"/>
        </w:rPr>
        <w:t>proportionality</w:t>
      </w:r>
      <w:r w:rsidR="00F3467D" w:rsidRPr="00DE0879">
        <w:rPr>
          <w:color w:val="000000" w:themeColor="text1"/>
        </w:rPr>
        <w:t xml:space="preserve"> </w:t>
      </w:r>
      <w:r w:rsidR="00637380" w:rsidRPr="00DE0879">
        <w:rPr>
          <w:b/>
          <w:i/>
          <w:color w:val="000000" w:themeColor="text1"/>
        </w:rPr>
        <w:t xml:space="preserve">as well as </w:t>
      </w:r>
      <w:r w:rsidR="00F3467D" w:rsidRPr="00DE0879">
        <w:rPr>
          <w:b/>
          <w:i/>
          <w:color w:val="000000" w:themeColor="text1"/>
        </w:rPr>
        <w:t xml:space="preserve">cooperation </w:t>
      </w:r>
      <w:r w:rsidR="00BA73DE" w:rsidRPr="00DE0879">
        <w:rPr>
          <w:b/>
          <w:color w:val="000000" w:themeColor="text1"/>
        </w:rPr>
        <w:t xml:space="preserve"> </w:t>
      </w:r>
      <w:r w:rsidR="00BA73DE" w:rsidRPr="00DE0879">
        <w:rPr>
          <w:b/>
          <w:i/>
          <w:color w:val="000000" w:themeColor="text1"/>
        </w:rPr>
        <w:t xml:space="preserve">to reduce </w:t>
      </w:r>
      <w:r w:rsidR="00637380" w:rsidRPr="00DE0879">
        <w:rPr>
          <w:b/>
          <w:i/>
          <w:color w:val="000000" w:themeColor="text1"/>
        </w:rPr>
        <w:t>compliance costs</w:t>
      </w:r>
      <w:r w:rsidR="00BA73DE" w:rsidRPr="00DE0879">
        <w:rPr>
          <w:b/>
          <w:i/>
          <w:color w:val="000000" w:themeColor="text1"/>
        </w:rPr>
        <w:t xml:space="preserve"> </w:t>
      </w:r>
      <w:r w:rsidR="00637380" w:rsidRPr="00DE0879">
        <w:rPr>
          <w:b/>
          <w:i/>
          <w:color w:val="000000" w:themeColor="text1"/>
        </w:rPr>
        <w:t>for businesses</w:t>
      </w:r>
      <w:r w:rsidR="00637380" w:rsidRPr="00DE0879">
        <w:rPr>
          <w:color w:val="000000" w:themeColor="text1"/>
        </w:rPr>
        <w:t>; Emphasises that Member</w:t>
      </w:r>
      <w:r w:rsidRPr="00DE0879">
        <w:rPr>
          <w:color w:val="000000" w:themeColor="text1"/>
        </w:rPr>
        <w:t xml:space="preserve"> States </w:t>
      </w:r>
      <w:r w:rsidRPr="00DE0879">
        <w:rPr>
          <w:strike/>
          <w:color w:val="000000" w:themeColor="text1"/>
        </w:rPr>
        <w:t>retain</w:t>
      </w:r>
      <w:r w:rsidRPr="00DE0879">
        <w:rPr>
          <w:color w:val="000000" w:themeColor="text1"/>
        </w:rPr>
        <w:t xml:space="preserve"> </w:t>
      </w:r>
      <w:r w:rsidR="00394C40" w:rsidRPr="00DE0879">
        <w:rPr>
          <w:b/>
          <w:i/>
          <w:color w:val="000000" w:themeColor="text1"/>
        </w:rPr>
        <w:t xml:space="preserve">have </w:t>
      </w:r>
      <w:r w:rsidRPr="00DE0879">
        <w:rPr>
          <w:color w:val="000000" w:themeColor="text1"/>
        </w:rPr>
        <w:t>the right to tailor their tax systems to their specific national needs, while adhering to common standards</w:t>
      </w:r>
      <w:r w:rsidR="00394C40" w:rsidRPr="00DE0879">
        <w:rPr>
          <w:b/>
          <w:i/>
          <w:color w:val="000000" w:themeColor="text1"/>
        </w:rPr>
        <w:t xml:space="preserve">, coordinating </w:t>
      </w:r>
      <w:r w:rsidR="00637380" w:rsidRPr="00DE0879">
        <w:rPr>
          <w:b/>
          <w:i/>
          <w:color w:val="000000" w:themeColor="text1"/>
          <w:u w:val="single"/>
        </w:rPr>
        <w:t>to combat tax fraud and evasion</w:t>
      </w:r>
      <w:r w:rsidR="00637380" w:rsidRPr="00DE0879">
        <w:rPr>
          <w:b/>
          <w:i/>
          <w:color w:val="000000" w:themeColor="text1"/>
        </w:rPr>
        <w:t xml:space="preserve"> ensuring timely information exchange</w:t>
      </w:r>
      <w:r w:rsidR="00394C40" w:rsidRPr="00DE0879">
        <w:rPr>
          <w:b/>
          <w:i/>
          <w:color w:val="000000" w:themeColor="text1"/>
        </w:rPr>
        <w:t>,</w:t>
      </w:r>
      <w:r w:rsidRPr="00DE0879">
        <w:rPr>
          <w:color w:val="000000" w:themeColor="text1"/>
        </w:rPr>
        <w:t xml:space="preserve"> and </w:t>
      </w:r>
      <w:r w:rsidRPr="00DE0879">
        <w:rPr>
          <w:strike/>
          <w:color w:val="000000" w:themeColor="text1"/>
        </w:rPr>
        <w:t>efficient use of revenues</w:t>
      </w:r>
      <w:r w:rsidR="00BA73DE" w:rsidRPr="00DE0879">
        <w:rPr>
          <w:color w:val="000000" w:themeColor="text1"/>
        </w:rPr>
        <w:t xml:space="preserve"> </w:t>
      </w:r>
      <w:r w:rsidR="00637380" w:rsidRPr="00DE0879">
        <w:rPr>
          <w:color w:val="000000" w:themeColor="text1"/>
        </w:rPr>
        <w:t xml:space="preserve"> promoting </w:t>
      </w:r>
      <w:r w:rsidR="00BA73DE" w:rsidRPr="00DE0879">
        <w:rPr>
          <w:b/>
          <w:i/>
          <w:color w:val="000000" w:themeColor="text1"/>
        </w:rPr>
        <w:t>a level playing field</w:t>
      </w:r>
      <w:r w:rsidR="00243EF3" w:rsidRPr="00DE0879">
        <w:rPr>
          <w:b/>
          <w:i/>
          <w:color w:val="000000" w:themeColor="text1"/>
        </w:rPr>
        <w:t>;</w:t>
      </w:r>
      <w:r w:rsidR="001C331E" w:rsidRPr="00DE0879">
        <w:rPr>
          <w:b/>
          <w:i/>
          <w:color w:val="000000" w:themeColor="text1"/>
        </w:rPr>
        <w:t xml:space="preserve"> </w:t>
      </w:r>
      <w:r w:rsidR="00F3467D" w:rsidRPr="00DE0879">
        <w:rPr>
          <w:b/>
          <w:i/>
          <w:color w:val="000000" w:themeColor="text1"/>
        </w:rPr>
        <w:t xml:space="preserve">believes that </w:t>
      </w:r>
      <w:r w:rsidR="000E5B76" w:rsidRPr="00DE0879">
        <w:rPr>
          <w:b/>
          <w:i/>
          <w:color w:val="000000" w:themeColor="text1"/>
          <w:u w:val="single"/>
        </w:rPr>
        <w:t xml:space="preserve">the above </w:t>
      </w:r>
      <w:r w:rsidR="00F3467D" w:rsidRPr="00DE0879">
        <w:rPr>
          <w:b/>
          <w:i/>
          <w:color w:val="000000" w:themeColor="text1"/>
          <w:u w:val="single"/>
        </w:rPr>
        <w:t>can be achieved</w:t>
      </w:r>
      <w:r w:rsidR="000E5B76" w:rsidRPr="00DE0879">
        <w:rPr>
          <w:b/>
          <w:i/>
          <w:color w:val="000000" w:themeColor="text1"/>
          <w:u w:val="single"/>
        </w:rPr>
        <w:t>, in particular,</w:t>
      </w:r>
      <w:r w:rsidR="00F3467D" w:rsidRPr="00DE0879">
        <w:rPr>
          <w:b/>
          <w:i/>
          <w:color w:val="000000" w:themeColor="text1"/>
          <w:u w:val="single"/>
        </w:rPr>
        <w:t xml:space="preserve"> by striking a balance</w:t>
      </w:r>
      <w:r w:rsidR="00F3467D" w:rsidRPr="00DE0879">
        <w:rPr>
          <w:b/>
          <w:i/>
          <w:color w:val="000000" w:themeColor="text1"/>
        </w:rPr>
        <w:t xml:space="preserve"> between respect for national competences </w:t>
      </w:r>
      <w:r w:rsidR="00F3467D" w:rsidRPr="00DE0879">
        <w:rPr>
          <w:b/>
          <w:i/>
          <w:color w:val="000000" w:themeColor="text1"/>
          <w:u w:val="single"/>
        </w:rPr>
        <w:t xml:space="preserve">and </w:t>
      </w:r>
      <w:r w:rsidR="00637380" w:rsidRPr="00DE0879">
        <w:rPr>
          <w:b/>
          <w:i/>
          <w:color w:val="000000" w:themeColor="text1"/>
        </w:rPr>
        <w:t>ensuring</w:t>
      </w:r>
      <w:r w:rsidR="008531C9" w:rsidRPr="00DE0879">
        <w:rPr>
          <w:b/>
          <w:i/>
          <w:color w:val="000000" w:themeColor="text1"/>
        </w:rPr>
        <w:t xml:space="preserve"> </w:t>
      </w:r>
      <w:r w:rsidR="00F3467D" w:rsidRPr="00DE0879">
        <w:rPr>
          <w:b/>
          <w:i/>
          <w:color w:val="000000" w:themeColor="text1"/>
        </w:rPr>
        <w:t xml:space="preserve">consistent interpretation </w:t>
      </w:r>
      <w:r w:rsidR="00F3467D" w:rsidRPr="00DE0879">
        <w:rPr>
          <w:b/>
          <w:color w:val="000000" w:themeColor="text1"/>
        </w:rPr>
        <w:t>(</w:t>
      </w:r>
      <w:r w:rsidR="00DB45B2" w:rsidRPr="00DE0879">
        <w:rPr>
          <w:b/>
          <w:color w:val="000000" w:themeColor="text1"/>
        </w:rPr>
        <w:t xml:space="preserve">AMs 43 Greens/EFA, 44 NA, 39 S&amp;D, </w:t>
      </w:r>
      <w:r w:rsidR="00DB45B2" w:rsidRPr="00DE0879">
        <w:rPr>
          <w:rStyle w:val="fadeinm1hgl8"/>
          <w:b/>
          <w:color w:val="000000" w:themeColor="text1"/>
        </w:rPr>
        <w:t xml:space="preserve">40, </w:t>
      </w:r>
      <w:r w:rsidR="00E02156" w:rsidRPr="00DE0879">
        <w:rPr>
          <w:rStyle w:val="fadeinm1hgl8"/>
          <w:b/>
          <w:color w:val="000000" w:themeColor="text1"/>
        </w:rPr>
        <w:t xml:space="preserve">41, </w:t>
      </w:r>
      <w:r w:rsidR="00DB45B2" w:rsidRPr="00DE0879">
        <w:rPr>
          <w:rStyle w:val="fadeinm1hgl8"/>
          <w:b/>
          <w:color w:val="000000" w:themeColor="text1"/>
        </w:rPr>
        <w:t xml:space="preserve">46 EPP, </w:t>
      </w:r>
      <w:r w:rsidR="00DB45B2" w:rsidRPr="00DE0879">
        <w:rPr>
          <w:b/>
          <w:color w:val="000000" w:themeColor="text1"/>
        </w:rPr>
        <w:t xml:space="preserve">45 ECR, 48 The Left, </w:t>
      </w:r>
      <w:r w:rsidR="00F3467D" w:rsidRPr="00DE0879">
        <w:rPr>
          <w:b/>
          <w:color w:val="000000" w:themeColor="text1"/>
        </w:rPr>
        <w:t>42 Renew)</w:t>
      </w:r>
      <w:r w:rsidR="00E02156" w:rsidRPr="00DE0879">
        <w:rPr>
          <w:b/>
          <w:i/>
          <w:color w:val="000000" w:themeColor="text1"/>
        </w:rPr>
        <w:t>;</w:t>
      </w:r>
    </w:p>
    <w:p w:rsidR="007668EC" w:rsidRPr="00DE0879" w:rsidRDefault="007668EC" w:rsidP="00E02156">
      <w:pPr>
        <w:pStyle w:val="NormalHanging12a"/>
        <w:jc w:val="both"/>
        <w:rPr>
          <w:b/>
          <w:i/>
          <w:color w:val="000000" w:themeColor="text1"/>
        </w:rPr>
      </w:pPr>
      <w:r w:rsidRPr="00DE0879">
        <w:rPr>
          <w:b/>
          <w:i/>
          <w:color w:val="000000" w:themeColor="text1"/>
        </w:rPr>
        <w:t>2</w:t>
      </w:r>
      <w:r w:rsidR="00872C2B" w:rsidRPr="00DE0879">
        <w:rPr>
          <w:b/>
          <w:i/>
          <w:color w:val="000000" w:themeColor="text1"/>
        </w:rPr>
        <w:t>a</w:t>
      </w:r>
      <w:r w:rsidR="00043A62" w:rsidRPr="00DE0879">
        <w:rPr>
          <w:b/>
          <w:i/>
          <w:color w:val="000000" w:themeColor="text1"/>
        </w:rPr>
        <w:t xml:space="preserve"> </w:t>
      </w:r>
      <w:r w:rsidRPr="00DE0879">
        <w:rPr>
          <w:b/>
          <w:i/>
          <w:color w:val="000000" w:themeColor="text1"/>
        </w:rPr>
        <w:t>(new) Stresses that</w:t>
      </w:r>
      <w:r w:rsidR="00084BD6" w:rsidRPr="00DE0879">
        <w:rPr>
          <w:b/>
          <w:i/>
          <w:color w:val="000000" w:themeColor="text1"/>
        </w:rPr>
        <w:t>, aside from harmonisation efforts,</w:t>
      </w:r>
      <w:r w:rsidRPr="00DE0879">
        <w:rPr>
          <w:b/>
          <w:i/>
          <w:color w:val="000000" w:themeColor="text1"/>
        </w:rPr>
        <w:t xml:space="preserve"> a lot of progress can be achieved in simplifying tax compliance and eliminating administrative hurdles in the internal market through common implementation tools</w:t>
      </w:r>
      <w:r w:rsidR="00B65BDE" w:rsidRPr="00DE0879">
        <w:rPr>
          <w:b/>
          <w:i/>
          <w:color w:val="000000" w:themeColor="text1"/>
          <w:u w:val="single"/>
        </w:rPr>
        <w:t xml:space="preserve">, for example, </w:t>
      </w:r>
      <w:r w:rsidR="005A3EB1" w:rsidRPr="00DE0879">
        <w:rPr>
          <w:b/>
          <w:i/>
          <w:color w:val="000000" w:themeColor="text1"/>
          <w:u w:val="single"/>
        </w:rPr>
        <w:t>standardised templates for data gathering and reporting</w:t>
      </w:r>
      <w:r w:rsidRPr="00DE0879">
        <w:rPr>
          <w:b/>
          <w:i/>
          <w:color w:val="000000" w:themeColor="text1"/>
        </w:rPr>
        <w:t xml:space="preserve">, guidance from the Commission, dialogue and exchange of best practices between Member States </w:t>
      </w:r>
      <w:r w:rsidRPr="00DE0879">
        <w:rPr>
          <w:b/>
          <w:color w:val="000000" w:themeColor="text1"/>
        </w:rPr>
        <w:t>(AM 52 S&amp;D)</w:t>
      </w:r>
      <w:r w:rsidRPr="00DE0879">
        <w:rPr>
          <w:b/>
          <w:i/>
          <w:color w:val="000000" w:themeColor="text1"/>
        </w:rPr>
        <w:t>;</w:t>
      </w:r>
    </w:p>
    <w:p w:rsidR="00813472" w:rsidRPr="00DE0879" w:rsidRDefault="00D50A31" w:rsidP="00F238FD">
      <w:pPr>
        <w:pStyle w:val="NormalHanging12a"/>
        <w:jc w:val="both"/>
        <w:rPr>
          <w:b/>
          <w:i/>
          <w:color w:val="000000" w:themeColor="text1"/>
        </w:rPr>
      </w:pPr>
      <w:r w:rsidRPr="00DE0879">
        <w:rPr>
          <w:color w:val="000000" w:themeColor="text1"/>
        </w:rPr>
        <w:t>3.</w:t>
      </w:r>
      <w:r w:rsidRPr="00DE0879">
        <w:rPr>
          <w:color w:val="000000" w:themeColor="text1"/>
        </w:rPr>
        <w:tab/>
        <w:t>Notes that European companies, particularly small and medium-sized enterprises (SMEs), are key drivers of economic growth across the continent; recalls that SMEs face significant</w:t>
      </w:r>
      <w:r w:rsidR="007668EC" w:rsidRPr="00DE0879">
        <w:rPr>
          <w:color w:val="000000" w:themeColor="text1"/>
        </w:rPr>
        <w:t xml:space="preserve"> </w:t>
      </w:r>
      <w:r w:rsidRPr="00DE0879">
        <w:rPr>
          <w:color w:val="000000" w:themeColor="text1"/>
        </w:rPr>
        <w:t>fiscal challenges on account of complex tax regulations and fragmented tax systems, which impose high administrative burdens and compliance costs,</w:t>
      </w:r>
      <w:r w:rsidR="00A3463D" w:rsidRPr="00DE0879">
        <w:rPr>
          <w:color w:val="000000" w:themeColor="text1"/>
        </w:rPr>
        <w:t xml:space="preserve"> </w:t>
      </w:r>
      <w:r w:rsidR="00BF7E4D" w:rsidRPr="00DE0879">
        <w:rPr>
          <w:b/>
          <w:i/>
          <w:color w:val="000000" w:themeColor="text1"/>
        </w:rPr>
        <w:t>with SMEs compliance costs estimated around 30% of taxes paid compared to about 2% for large companies</w:t>
      </w:r>
      <w:r w:rsidR="00BF7E4D" w:rsidRPr="00DE0879">
        <w:rPr>
          <w:color w:val="000000" w:themeColor="text1"/>
        </w:rPr>
        <w:t>,</w:t>
      </w:r>
      <w:r w:rsidRPr="00DE0879">
        <w:rPr>
          <w:color w:val="000000" w:themeColor="text1"/>
        </w:rPr>
        <w:t xml:space="preserve"> hindering their growth and innovation; urges the Commission to </w:t>
      </w:r>
      <w:r w:rsidR="00A3463D" w:rsidRPr="00DE0879">
        <w:rPr>
          <w:color w:val="000000" w:themeColor="text1"/>
        </w:rPr>
        <w:t xml:space="preserve">assess the impact on SMEs for current and future proposals and </w:t>
      </w:r>
      <w:r w:rsidRPr="00DE0879">
        <w:rPr>
          <w:color w:val="000000" w:themeColor="text1"/>
        </w:rPr>
        <w:t>explore solutions that simplify tax procedures and reduce compliance costs</w:t>
      </w:r>
      <w:r w:rsidR="007668EC" w:rsidRPr="00DE0879">
        <w:rPr>
          <w:color w:val="000000" w:themeColor="text1"/>
        </w:rPr>
        <w:t xml:space="preserve"> </w:t>
      </w:r>
      <w:r w:rsidR="00813472" w:rsidRPr="00DE0879">
        <w:rPr>
          <w:rStyle w:val="fadeinm1hgl8"/>
          <w:b/>
          <w:bCs/>
          <w:i/>
          <w:color w:val="000000" w:themeColor="text1"/>
        </w:rPr>
        <w:t>in strict cooperation with national tax authorities</w:t>
      </w:r>
      <w:r w:rsidR="00591DB1" w:rsidRPr="00DE0879">
        <w:rPr>
          <w:b/>
          <w:i/>
          <w:color w:val="000000" w:themeColor="text1"/>
        </w:rPr>
        <w:t>; further calls on the Commission to</w:t>
      </w:r>
      <w:r w:rsidR="00E02156" w:rsidRPr="00DE0879">
        <w:rPr>
          <w:b/>
          <w:i/>
          <w:color w:val="000000" w:themeColor="text1"/>
        </w:rPr>
        <w:t xml:space="preserve"> </w:t>
      </w:r>
      <w:r w:rsidR="00591DB1" w:rsidRPr="00DE0879">
        <w:rPr>
          <w:b/>
          <w:i/>
          <w:color w:val="000000" w:themeColor="text1"/>
        </w:rPr>
        <w:t xml:space="preserve">assess </w:t>
      </w:r>
      <w:r w:rsidR="007668EC" w:rsidRPr="00DE0879">
        <w:rPr>
          <w:b/>
          <w:i/>
          <w:color w:val="000000" w:themeColor="text1"/>
        </w:rPr>
        <w:t xml:space="preserve">why the proposed directive establishing a Head Office Tax System (HOT) for SMEs has not </w:t>
      </w:r>
      <w:r w:rsidR="00AE5B58" w:rsidRPr="00DE0879">
        <w:rPr>
          <w:b/>
          <w:i/>
          <w:color w:val="000000" w:themeColor="text1"/>
        </w:rPr>
        <w:t>gained traction</w:t>
      </w:r>
      <w:r w:rsidR="007668EC" w:rsidRPr="00DE0879">
        <w:rPr>
          <w:b/>
          <w:i/>
          <w:color w:val="000000" w:themeColor="text1"/>
        </w:rPr>
        <w:t xml:space="preserve"> in the Council</w:t>
      </w:r>
      <w:r w:rsidR="00C424EA" w:rsidRPr="00DE0879">
        <w:rPr>
          <w:b/>
          <w:i/>
          <w:color w:val="000000" w:themeColor="text1"/>
        </w:rPr>
        <w:t xml:space="preserve"> </w:t>
      </w:r>
      <w:r w:rsidR="00AE5B58" w:rsidRPr="00DE0879">
        <w:rPr>
          <w:b/>
          <w:i/>
          <w:color w:val="000000" w:themeColor="text1"/>
          <w:u w:val="single"/>
        </w:rPr>
        <w:t>and asks for concrete progress and feasible solutions to move forward</w:t>
      </w:r>
      <w:r w:rsidR="007668EC" w:rsidRPr="00DE0879">
        <w:rPr>
          <w:color w:val="000000" w:themeColor="text1"/>
        </w:rPr>
        <w:t>;</w:t>
      </w:r>
      <w:r w:rsidR="00BF7E4D" w:rsidRPr="00DE0879">
        <w:rPr>
          <w:b/>
          <w:i/>
          <w:color w:val="000000" w:themeColor="text1"/>
        </w:rPr>
        <w:t xml:space="preserve"> calls </w:t>
      </w:r>
      <w:r w:rsidR="00591DB1" w:rsidRPr="00DE0879">
        <w:rPr>
          <w:b/>
          <w:i/>
          <w:color w:val="000000" w:themeColor="text1"/>
        </w:rPr>
        <w:t>for the development of</w:t>
      </w:r>
      <w:r w:rsidR="00BF7E4D" w:rsidRPr="00DE0879">
        <w:rPr>
          <w:b/>
          <w:i/>
          <w:color w:val="000000" w:themeColor="text1"/>
        </w:rPr>
        <w:t xml:space="preserve"> a comprehensive, user-friendly toolkit for SMEs and startups, including guidelines, templates, and automated tax filing options for VAT, corporate tax, payroll and other obligations, freely available and regularly updated </w:t>
      </w:r>
      <w:r w:rsidR="00BF7E4D" w:rsidRPr="00DE0879">
        <w:rPr>
          <w:b/>
          <w:color w:val="000000" w:themeColor="text1"/>
        </w:rPr>
        <w:t>(</w:t>
      </w:r>
      <w:r w:rsidR="00E02156" w:rsidRPr="00DE0879">
        <w:rPr>
          <w:b/>
          <w:color w:val="000000" w:themeColor="text1"/>
        </w:rPr>
        <w:t>AM 55, 57, 61, 84 EPP</w:t>
      </w:r>
      <w:r w:rsidR="00F238FD" w:rsidRPr="00DE0879">
        <w:rPr>
          <w:b/>
          <w:color w:val="000000" w:themeColor="text1"/>
        </w:rPr>
        <w:t>,</w:t>
      </w:r>
      <w:r w:rsidR="00E02156" w:rsidRPr="00DE0879">
        <w:rPr>
          <w:b/>
          <w:color w:val="000000" w:themeColor="text1"/>
        </w:rPr>
        <w:t xml:space="preserve"> 58 ECR</w:t>
      </w:r>
      <w:r w:rsidR="00F238FD" w:rsidRPr="00DE0879">
        <w:rPr>
          <w:b/>
          <w:color w:val="000000" w:themeColor="text1"/>
        </w:rPr>
        <w:t>,</w:t>
      </w:r>
      <w:r w:rsidR="00E02156" w:rsidRPr="00DE0879">
        <w:rPr>
          <w:b/>
          <w:color w:val="000000" w:themeColor="text1"/>
        </w:rPr>
        <w:t xml:space="preserve"> 54 Greens/EFA</w:t>
      </w:r>
      <w:r w:rsidR="00F238FD" w:rsidRPr="00DE0879">
        <w:rPr>
          <w:b/>
          <w:color w:val="000000" w:themeColor="text1"/>
        </w:rPr>
        <w:t xml:space="preserve">, </w:t>
      </w:r>
      <w:r w:rsidR="00E02156" w:rsidRPr="00DE0879">
        <w:rPr>
          <w:b/>
          <w:color w:val="000000" w:themeColor="text1"/>
        </w:rPr>
        <w:t>53 R</w:t>
      </w:r>
      <w:r w:rsidR="00F238FD" w:rsidRPr="00DE0879">
        <w:rPr>
          <w:b/>
          <w:color w:val="000000" w:themeColor="text1"/>
        </w:rPr>
        <w:t xml:space="preserve">enew, </w:t>
      </w:r>
      <w:r w:rsidR="00BF7E4D" w:rsidRPr="00DE0879">
        <w:rPr>
          <w:b/>
          <w:color w:val="000000" w:themeColor="text1"/>
        </w:rPr>
        <w:t>59 Rapp)</w:t>
      </w:r>
      <w:r w:rsidR="00813472" w:rsidRPr="00DE0879">
        <w:rPr>
          <w:b/>
          <w:i/>
          <w:color w:val="000000" w:themeColor="text1"/>
        </w:rPr>
        <w:t>;</w:t>
      </w:r>
    </w:p>
    <w:p w:rsidR="00637380" w:rsidRPr="00DE0879" w:rsidRDefault="00043A62" w:rsidP="00F238FD">
      <w:pPr>
        <w:pStyle w:val="NormalHanging12a"/>
        <w:jc w:val="both"/>
        <w:rPr>
          <w:b/>
          <w:i/>
          <w:color w:val="000000" w:themeColor="text1"/>
        </w:rPr>
      </w:pPr>
      <w:r w:rsidRPr="00DE0879">
        <w:rPr>
          <w:b/>
          <w:i/>
          <w:color w:val="000000" w:themeColor="text1"/>
        </w:rPr>
        <w:t>3c</w:t>
      </w:r>
      <w:r w:rsidR="00872C2B" w:rsidRPr="00DE0879">
        <w:rPr>
          <w:b/>
          <w:i/>
          <w:color w:val="000000" w:themeColor="text1"/>
        </w:rPr>
        <w:t xml:space="preserve"> </w:t>
      </w:r>
      <w:r w:rsidR="009B11BC" w:rsidRPr="00DE0879">
        <w:rPr>
          <w:b/>
          <w:i/>
          <w:color w:val="000000" w:themeColor="text1"/>
        </w:rPr>
        <w:t xml:space="preserve">(new) </w:t>
      </w:r>
      <w:r w:rsidR="00637380" w:rsidRPr="00DE0879">
        <w:rPr>
          <w:color w:val="000000" w:themeColor="text1"/>
        </w:rPr>
        <w:t xml:space="preserve"> </w:t>
      </w:r>
      <w:r w:rsidR="00637380" w:rsidRPr="00DE0879">
        <w:rPr>
          <w:b/>
          <w:i/>
          <w:color w:val="000000" w:themeColor="text1"/>
        </w:rPr>
        <w:t xml:space="preserve">Takes note of the Draghi Report on sector-specific taxation proposals, specifically the recommendations on lowering the cost of electricity consumption without undermining Europe’s competitiveness, deterring investment, damaging job creation and weakening business confidence; in this respect, acknowledges the informal EU Finance Ministers’ reflection in January 2025 on high energy prices and its prioritisation; takes into account the </w:t>
      </w:r>
      <w:r w:rsidR="00591DB1" w:rsidRPr="00DE0879">
        <w:rPr>
          <w:b/>
          <w:i/>
          <w:color w:val="000000" w:themeColor="text1"/>
        </w:rPr>
        <w:t>ongoing work on</w:t>
      </w:r>
      <w:r w:rsidR="00637380" w:rsidRPr="00DE0879">
        <w:rPr>
          <w:b/>
          <w:i/>
          <w:color w:val="000000" w:themeColor="text1"/>
        </w:rPr>
        <w:t xml:space="preserve"> the revision of the Energy Taxation Directive, highlighting the importance of climate </w:t>
      </w:r>
      <w:r w:rsidR="00586DA4" w:rsidRPr="00DE0879">
        <w:rPr>
          <w:b/>
          <w:i/>
          <w:color w:val="000000" w:themeColor="text1"/>
        </w:rPr>
        <w:t>ambitions,</w:t>
      </w:r>
      <w:r w:rsidR="00C82203" w:rsidRPr="00DE0879">
        <w:rPr>
          <w:b/>
          <w:i/>
          <w:color w:val="000000" w:themeColor="text1"/>
        </w:rPr>
        <w:t xml:space="preserve"> current economic realities, </w:t>
      </w:r>
      <w:r w:rsidR="00637380" w:rsidRPr="00DE0879">
        <w:rPr>
          <w:b/>
          <w:i/>
          <w:color w:val="000000" w:themeColor="text1"/>
        </w:rPr>
        <w:t xml:space="preserve">high energy prices </w:t>
      </w:r>
      <w:r w:rsidR="00C82203" w:rsidRPr="00DE0879">
        <w:rPr>
          <w:b/>
          <w:i/>
          <w:color w:val="000000" w:themeColor="text1"/>
        </w:rPr>
        <w:t>and</w:t>
      </w:r>
      <w:r w:rsidR="00637380" w:rsidRPr="00DE0879">
        <w:rPr>
          <w:b/>
          <w:i/>
          <w:color w:val="000000" w:themeColor="text1"/>
        </w:rPr>
        <w:t xml:space="preserve"> connectivity needs</w:t>
      </w:r>
      <w:r w:rsidR="00F238FD" w:rsidRPr="00DE0879">
        <w:rPr>
          <w:b/>
          <w:i/>
          <w:color w:val="000000" w:themeColor="text1"/>
        </w:rPr>
        <w:t xml:space="preserve"> </w:t>
      </w:r>
      <w:r w:rsidR="00F238FD" w:rsidRPr="00DE0879">
        <w:rPr>
          <w:b/>
          <w:color w:val="000000" w:themeColor="text1"/>
        </w:rPr>
        <w:t>(AM 64, 65 Rapp, 113 EPP, 245 Greens/EFA)</w:t>
      </w:r>
      <w:r w:rsidR="00637380" w:rsidRPr="00DE0879">
        <w:rPr>
          <w:b/>
          <w:i/>
          <w:color w:val="000000" w:themeColor="text1"/>
        </w:rPr>
        <w:t>;</w:t>
      </w:r>
    </w:p>
    <w:p w:rsidR="00CA31A0" w:rsidRPr="00DE0879" w:rsidRDefault="00CA31A0">
      <w:pPr>
        <w:widowControl/>
        <w:rPr>
          <w:b/>
          <w:i/>
          <w:color w:val="000000" w:themeColor="text1"/>
        </w:rPr>
      </w:pPr>
    </w:p>
    <w:p w:rsidR="00F238FD" w:rsidRPr="00DE0879" w:rsidRDefault="00F238FD">
      <w:pPr>
        <w:widowControl/>
        <w:rPr>
          <w:b/>
          <w:i/>
          <w:iCs/>
          <w:color w:val="000000" w:themeColor="text1"/>
          <w:lang w:eastAsia="en-GB"/>
        </w:rPr>
      </w:pPr>
      <w:r w:rsidRPr="00DE0879">
        <w:rPr>
          <w:b/>
          <w:i/>
          <w:iCs/>
          <w:color w:val="000000" w:themeColor="text1"/>
          <w:lang w:eastAsia="en-GB"/>
        </w:rPr>
        <w:br w:type="page"/>
      </w:r>
    </w:p>
    <w:p w:rsidR="009B11BC" w:rsidRPr="00DE0879" w:rsidRDefault="009B11BC" w:rsidP="009B11BC">
      <w:pPr>
        <w:pStyle w:val="Normal12a24b"/>
        <w:rPr>
          <w:i/>
          <w:iCs/>
          <w:color w:val="000000" w:themeColor="text1"/>
          <w:lang w:eastAsia="en-GB"/>
        </w:rPr>
      </w:pPr>
      <w:r w:rsidRPr="00DE0879">
        <w:rPr>
          <w:b/>
          <w:i/>
          <w:iCs/>
          <w:color w:val="000000" w:themeColor="text1"/>
          <w:lang w:eastAsia="en-GB"/>
        </w:rPr>
        <w:t>COMP B “</w:t>
      </w:r>
      <w:r w:rsidRPr="00DE0879">
        <w:rPr>
          <w:rStyle w:val="BoldItalic"/>
          <w:color w:val="000000" w:themeColor="text1"/>
        </w:rPr>
        <w:t>Competitiveness and economic growth</w:t>
      </w:r>
      <w:r w:rsidRPr="00DE0879">
        <w:rPr>
          <w:b/>
          <w:i/>
          <w:iCs/>
          <w:color w:val="000000" w:themeColor="text1"/>
          <w:lang w:eastAsia="en-GB"/>
        </w:rPr>
        <w:t xml:space="preserve">” </w:t>
      </w:r>
      <w:r w:rsidRPr="00DE0879">
        <w:rPr>
          <w:i/>
          <w:iCs/>
          <w:color w:val="000000" w:themeColor="text1"/>
          <w:lang w:eastAsia="en-GB"/>
        </w:rPr>
        <w:t>(paragraph 4 and 5)</w:t>
      </w:r>
    </w:p>
    <w:p w:rsidR="001D4291" w:rsidRPr="00DE0879" w:rsidRDefault="001D4291" w:rsidP="009B11BC">
      <w:pPr>
        <w:pStyle w:val="Normal12a24b"/>
        <w:rPr>
          <w:color w:val="000000" w:themeColor="text1"/>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EPP, S&amp;D, PfE, ECR, Renew, Greens/EFA and The Left</w:t>
      </w:r>
    </w:p>
    <w:p w:rsidR="009B11BC" w:rsidRPr="00DE0879" w:rsidRDefault="009B11BC" w:rsidP="009B11BC">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 xml:space="preserve">by the COMP: </w:t>
      </w:r>
      <w:r w:rsidR="00082E68" w:rsidRPr="00DE0879">
        <w:rPr>
          <w:b w:val="0"/>
          <w:i/>
          <w:color w:val="000000" w:themeColor="text1"/>
        </w:rPr>
        <w:t>66, 74, 75, 76, 85</w:t>
      </w:r>
      <w:r w:rsidR="00C21B21" w:rsidRPr="00DE0879">
        <w:rPr>
          <w:b w:val="0"/>
          <w:i/>
          <w:color w:val="000000" w:themeColor="text1"/>
        </w:rPr>
        <w:t xml:space="preserve"> S&amp;D</w:t>
      </w:r>
      <w:r w:rsidR="00082E68" w:rsidRPr="00DE0879">
        <w:rPr>
          <w:b w:val="0"/>
          <w:i/>
          <w:color w:val="000000" w:themeColor="text1"/>
        </w:rPr>
        <w:t>;</w:t>
      </w:r>
      <w:r w:rsidR="00C21B21" w:rsidRPr="00DE0879">
        <w:rPr>
          <w:b w:val="0"/>
          <w:i/>
          <w:color w:val="000000" w:themeColor="text1"/>
        </w:rPr>
        <w:t xml:space="preserve"> </w:t>
      </w:r>
      <w:r w:rsidR="002D4870" w:rsidRPr="00DE0879">
        <w:rPr>
          <w:b w:val="0"/>
          <w:i/>
          <w:color w:val="000000" w:themeColor="text1"/>
        </w:rPr>
        <w:t>71, 82</w:t>
      </w:r>
      <w:r w:rsidR="00082E68" w:rsidRPr="00DE0879">
        <w:rPr>
          <w:b w:val="0"/>
          <w:i/>
          <w:color w:val="000000" w:themeColor="text1"/>
        </w:rPr>
        <w:t>, 84</w:t>
      </w:r>
      <w:r w:rsidR="002D4870" w:rsidRPr="00DE0879">
        <w:rPr>
          <w:b w:val="0"/>
          <w:i/>
          <w:color w:val="000000" w:themeColor="text1"/>
        </w:rPr>
        <w:t xml:space="preserve"> </w:t>
      </w:r>
      <w:r w:rsidRPr="00DE0879">
        <w:rPr>
          <w:b w:val="0"/>
          <w:i/>
          <w:color w:val="000000" w:themeColor="text1"/>
        </w:rPr>
        <w:t>EPP</w:t>
      </w:r>
      <w:r w:rsidR="00082E68" w:rsidRPr="00DE0879">
        <w:rPr>
          <w:b w:val="0"/>
          <w:i/>
          <w:color w:val="000000" w:themeColor="text1"/>
        </w:rPr>
        <w:t>;</w:t>
      </w:r>
      <w:r w:rsidR="00C21B21" w:rsidRPr="00DE0879">
        <w:rPr>
          <w:b w:val="0"/>
          <w:i/>
          <w:color w:val="000000" w:themeColor="text1"/>
        </w:rPr>
        <w:t xml:space="preserve"> </w:t>
      </w:r>
      <w:r w:rsidR="002D4870" w:rsidRPr="00DE0879">
        <w:rPr>
          <w:b w:val="0"/>
          <w:i/>
          <w:color w:val="000000" w:themeColor="text1"/>
        </w:rPr>
        <w:t>77</w:t>
      </w:r>
      <w:r w:rsidR="00456A62" w:rsidRPr="00DE0879">
        <w:rPr>
          <w:b w:val="0"/>
          <w:i/>
          <w:color w:val="000000" w:themeColor="text1"/>
        </w:rPr>
        <w:t>, 236</w:t>
      </w:r>
      <w:r w:rsidR="002D4870" w:rsidRPr="00DE0879">
        <w:rPr>
          <w:b w:val="0"/>
          <w:i/>
          <w:color w:val="000000" w:themeColor="text1"/>
        </w:rPr>
        <w:t xml:space="preserve"> </w:t>
      </w:r>
      <w:r w:rsidRPr="00DE0879">
        <w:rPr>
          <w:b w:val="0"/>
          <w:i/>
          <w:color w:val="000000" w:themeColor="text1"/>
        </w:rPr>
        <w:t>Greens/EFA</w:t>
      </w:r>
      <w:r w:rsidR="00082E68" w:rsidRPr="00DE0879">
        <w:rPr>
          <w:b w:val="0"/>
          <w:i/>
          <w:color w:val="000000" w:themeColor="text1"/>
        </w:rPr>
        <w:t>;</w:t>
      </w:r>
      <w:r w:rsidRPr="00DE0879">
        <w:rPr>
          <w:b w:val="0"/>
          <w:i/>
          <w:color w:val="000000" w:themeColor="text1"/>
        </w:rPr>
        <w:t xml:space="preserve"> </w:t>
      </w:r>
      <w:r w:rsidR="00C21B21" w:rsidRPr="00DE0879">
        <w:rPr>
          <w:b w:val="0"/>
          <w:i/>
          <w:color w:val="000000" w:themeColor="text1"/>
        </w:rPr>
        <w:t>68</w:t>
      </w:r>
      <w:r w:rsidR="002D4870" w:rsidRPr="00DE0879">
        <w:rPr>
          <w:b w:val="0"/>
          <w:i/>
          <w:color w:val="000000" w:themeColor="text1"/>
        </w:rPr>
        <w:t>, 80</w:t>
      </w:r>
      <w:r w:rsidR="00C21B21" w:rsidRPr="00DE0879">
        <w:rPr>
          <w:b w:val="0"/>
          <w:i/>
          <w:color w:val="000000" w:themeColor="text1"/>
        </w:rPr>
        <w:t xml:space="preserve"> </w:t>
      </w:r>
      <w:r w:rsidRPr="00DE0879">
        <w:rPr>
          <w:b w:val="0"/>
          <w:i/>
          <w:color w:val="000000" w:themeColor="text1"/>
        </w:rPr>
        <w:t>ECR</w:t>
      </w:r>
      <w:r w:rsidR="00082E68" w:rsidRPr="00DE0879">
        <w:rPr>
          <w:b w:val="0"/>
          <w:i/>
          <w:color w:val="000000" w:themeColor="text1"/>
        </w:rPr>
        <w:t>;</w:t>
      </w:r>
      <w:r w:rsidRPr="00DE0879">
        <w:rPr>
          <w:b w:val="0"/>
          <w:i/>
          <w:color w:val="000000" w:themeColor="text1"/>
        </w:rPr>
        <w:t xml:space="preserve"> </w:t>
      </w:r>
      <w:r w:rsidR="002D4870" w:rsidRPr="00DE0879">
        <w:rPr>
          <w:b w:val="0"/>
          <w:i/>
          <w:color w:val="000000" w:themeColor="text1"/>
        </w:rPr>
        <w:t xml:space="preserve">73, 86 </w:t>
      </w:r>
      <w:r w:rsidRPr="00DE0879">
        <w:rPr>
          <w:b w:val="0"/>
          <w:i/>
          <w:color w:val="000000" w:themeColor="text1"/>
        </w:rPr>
        <w:t>The Left</w:t>
      </w:r>
      <w:r w:rsidR="00082E68" w:rsidRPr="00DE0879">
        <w:rPr>
          <w:b w:val="0"/>
          <w:i/>
          <w:color w:val="000000" w:themeColor="text1"/>
        </w:rPr>
        <w:t xml:space="preserve">; </w:t>
      </w:r>
      <w:r w:rsidR="001B468B" w:rsidRPr="00DE0879">
        <w:rPr>
          <w:b w:val="0"/>
          <w:i/>
          <w:color w:val="000000" w:themeColor="text1"/>
        </w:rPr>
        <w:t xml:space="preserve">242 Renew; </w:t>
      </w:r>
      <w:r w:rsidR="00082E68" w:rsidRPr="00DE0879">
        <w:rPr>
          <w:b w:val="0"/>
          <w:i/>
          <w:color w:val="000000" w:themeColor="text1"/>
        </w:rPr>
        <w:t>70, 83 Rapp.</w:t>
      </w:r>
      <w:r w:rsidRPr="00DE0879">
        <w:rPr>
          <w:b w:val="0"/>
          <w:i/>
          <w:color w:val="000000" w:themeColor="text1"/>
        </w:rPr>
        <w:t xml:space="preserve"> </w:t>
      </w:r>
    </w:p>
    <w:p w:rsidR="009B11BC" w:rsidRPr="00DE0879" w:rsidRDefault="009B11BC" w:rsidP="009B11BC">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9B11BC" w:rsidRPr="00DE0879" w:rsidRDefault="004B1B9E" w:rsidP="009B11BC">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w:t>
      </w:r>
      <w:r w:rsidR="009B11BC" w:rsidRPr="00DE0879">
        <w:rPr>
          <w:b w:val="0"/>
          <w:i/>
          <w:color w:val="000000" w:themeColor="text1"/>
        </w:rPr>
        <w:t xml:space="preserve"> </w:t>
      </w:r>
      <w:r w:rsidR="00C21B21" w:rsidRPr="00DE0879">
        <w:rPr>
          <w:b w:val="0"/>
          <w:i/>
          <w:color w:val="000000" w:themeColor="text1"/>
        </w:rPr>
        <w:t>67 ECR</w:t>
      </w:r>
      <w:r w:rsidR="00082E68" w:rsidRPr="00DE0879">
        <w:rPr>
          <w:b w:val="0"/>
          <w:i/>
          <w:color w:val="000000" w:themeColor="text1"/>
        </w:rPr>
        <w:t>;</w:t>
      </w:r>
      <w:r w:rsidR="00C21B21" w:rsidRPr="00DE0879">
        <w:rPr>
          <w:b w:val="0"/>
          <w:i/>
          <w:color w:val="000000" w:themeColor="text1"/>
        </w:rPr>
        <w:t xml:space="preserve"> 69</w:t>
      </w:r>
      <w:r w:rsidR="002D4870" w:rsidRPr="00DE0879">
        <w:rPr>
          <w:b w:val="0"/>
          <w:i/>
          <w:color w:val="000000" w:themeColor="text1"/>
        </w:rPr>
        <w:t>, 81</w:t>
      </w:r>
      <w:r w:rsidR="00C21B21" w:rsidRPr="00DE0879">
        <w:rPr>
          <w:b w:val="0"/>
          <w:i/>
          <w:color w:val="000000" w:themeColor="text1"/>
        </w:rPr>
        <w:t xml:space="preserve"> PfE</w:t>
      </w:r>
      <w:r w:rsidR="00082E68" w:rsidRPr="00DE0879">
        <w:rPr>
          <w:b w:val="0"/>
          <w:i/>
          <w:color w:val="000000" w:themeColor="text1"/>
        </w:rPr>
        <w:t>;</w:t>
      </w:r>
      <w:r w:rsidR="002D4870" w:rsidRPr="00DE0879">
        <w:rPr>
          <w:b w:val="0"/>
          <w:i/>
          <w:color w:val="000000" w:themeColor="text1"/>
        </w:rPr>
        <w:t xml:space="preserve"> 78 NA</w:t>
      </w:r>
      <w:r w:rsidR="00082E68" w:rsidRPr="00DE0879">
        <w:rPr>
          <w:b w:val="0"/>
          <w:i/>
          <w:color w:val="000000" w:themeColor="text1"/>
        </w:rPr>
        <w:t>;</w:t>
      </w:r>
      <w:r w:rsidR="002D4870" w:rsidRPr="00DE0879">
        <w:rPr>
          <w:b w:val="0"/>
          <w:i/>
          <w:color w:val="000000" w:themeColor="text1"/>
        </w:rPr>
        <w:t xml:space="preserve"> 79 </w:t>
      </w:r>
      <w:r w:rsidR="009B11BC" w:rsidRPr="00DE0879">
        <w:rPr>
          <w:b w:val="0"/>
          <w:i/>
          <w:color w:val="000000" w:themeColor="text1"/>
        </w:rPr>
        <w:t>S&amp;D</w:t>
      </w:r>
      <w:r w:rsidR="00082E68" w:rsidRPr="00DE0879">
        <w:rPr>
          <w:b w:val="0"/>
          <w:i/>
          <w:color w:val="000000" w:themeColor="text1"/>
        </w:rPr>
        <w:t>;</w:t>
      </w:r>
      <w:r w:rsidR="009B11BC" w:rsidRPr="00DE0879">
        <w:rPr>
          <w:b w:val="0"/>
          <w:i/>
          <w:color w:val="000000" w:themeColor="text1"/>
        </w:rPr>
        <w:t xml:space="preserve"> </w:t>
      </w:r>
      <w:r w:rsidR="002D4870" w:rsidRPr="00DE0879">
        <w:rPr>
          <w:b w:val="0"/>
          <w:i/>
          <w:color w:val="000000" w:themeColor="text1"/>
        </w:rPr>
        <w:t xml:space="preserve">72 </w:t>
      </w:r>
      <w:r w:rsidR="009B11BC" w:rsidRPr="00DE0879">
        <w:rPr>
          <w:b w:val="0"/>
          <w:i/>
          <w:color w:val="000000" w:themeColor="text1"/>
        </w:rPr>
        <w:t>Greens/EFA</w:t>
      </w:r>
      <w:r w:rsidR="00082E68" w:rsidRPr="00DE0879">
        <w:rPr>
          <w:b w:val="0"/>
          <w:i/>
          <w:color w:val="000000" w:themeColor="text1"/>
        </w:rPr>
        <w:t>;</w:t>
      </w:r>
      <w:r w:rsidR="002D4870" w:rsidRPr="00DE0879">
        <w:rPr>
          <w:b w:val="0"/>
          <w:i/>
          <w:color w:val="000000" w:themeColor="text1"/>
        </w:rPr>
        <w:t xml:space="preserve"> 87 The Left</w:t>
      </w:r>
      <w:r w:rsidR="00082E68" w:rsidRPr="00DE0879">
        <w:rPr>
          <w:b w:val="0"/>
          <w:i/>
          <w:color w:val="000000" w:themeColor="text1"/>
        </w:rPr>
        <w:t>.</w:t>
      </w:r>
    </w:p>
    <w:p w:rsidR="009B11BC" w:rsidRPr="00DE0879" w:rsidRDefault="009B11BC" w:rsidP="009B11BC">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AB14E7" w:rsidRPr="00DE0879" w:rsidRDefault="00D50A31">
      <w:pPr>
        <w:pStyle w:val="Normal12a24b"/>
        <w:rPr>
          <w:color w:val="000000" w:themeColor="text1"/>
        </w:rPr>
      </w:pPr>
      <w:r w:rsidRPr="00DE0879">
        <w:rPr>
          <w:rStyle w:val="BoldItalic"/>
          <w:color w:val="000000" w:themeColor="text1"/>
        </w:rPr>
        <w:t>Competitiveness and economic growth</w:t>
      </w:r>
    </w:p>
    <w:p w:rsidR="009B11BC" w:rsidRPr="00DE0879" w:rsidRDefault="00C21B21" w:rsidP="00F238FD">
      <w:pPr>
        <w:pStyle w:val="NormalHanging12a"/>
        <w:jc w:val="both"/>
        <w:rPr>
          <w:color w:val="000000" w:themeColor="text1"/>
        </w:rPr>
      </w:pPr>
      <w:r w:rsidRPr="00DE0879">
        <w:rPr>
          <w:color w:val="000000" w:themeColor="text1"/>
        </w:rPr>
        <w:t>-4.</w:t>
      </w:r>
      <w:r w:rsidRPr="00DE0879">
        <w:rPr>
          <w:color w:val="000000" w:themeColor="text1"/>
        </w:rPr>
        <w:tab/>
      </w:r>
      <w:r w:rsidRPr="00DE0879">
        <w:rPr>
          <w:b/>
          <w:i/>
          <w:color w:val="000000" w:themeColor="text1"/>
        </w:rPr>
        <w:t xml:space="preserve">Highlights that competitiveness is a broad term which refers to </w:t>
      </w:r>
      <w:r w:rsidR="000D446A" w:rsidRPr="00DE0879">
        <w:rPr>
          <w:b/>
          <w:i/>
          <w:color w:val="000000" w:themeColor="text1"/>
          <w:u w:val="single"/>
        </w:rPr>
        <w:t>the</w:t>
      </w:r>
      <w:r w:rsidR="000D446A" w:rsidRPr="00DE0879">
        <w:rPr>
          <w:b/>
          <w:i/>
          <w:color w:val="000000" w:themeColor="text1"/>
        </w:rPr>
        <w:t xml:space="preserve"> </w:t>
      </w:r>
      <w:r w:rsidRPr="00DE0879">
        <w:rPr>
          <w:b/>
          <w:i/>
          <w:color w:val="000000" w:themeColor="text1"/>
        </w:rPr>
        <w:t xml:space="preserve">rate of productivity that is able to drive sustainable growth and, consequently, income and welfare for all; stresses that a competitive economy is not merely business-friendly, but rather one that delivers high levels of employment and social </w:t>
      </w:r>
      <w:r w:rsidR="001C331E" w:rsidRPr="00DE0879">
        <w:rPr>
          <w:b/>
          <w:i/>
          <w:color w:val="000000" w:themeColor="text1"/>
          <w:u w:val="single"/>
        </w:rPr>
        <w:t>welfare</w:t>
      </w:r>
      <w:r w:rsidRPr="00DE0879">
        <w:rPr>
          <w:b/>
          <w:i/>
          <w:color w:val="000000" w:themeColor="text1"/>
        </w:rPr>
        <w:t xml:space="preserve">, provides innovation capability, adequate educational opportunities and infrastructure, and strong institutions and rule of law standards; acknowledges that efficient </w:t>
      </w:r>
      <w:r w:rsidRPr="00DE0879">
        <w:rPr>
          <w:b/>
          <w:i/>
          <w:color w:val="000000" w:themeColor="text1"/>
          <w:u w:val="single"/>
        </w:rPr>
        <w:t>and</w:t>
      </w:r>
      <w:r w:rsidRPr="00DE0879">
        <w:rPr>
          <w:b/>
          <w:i/>
          <w:color w:val="000000" w:themeColor="text1"/>
        </w:rPr>
        <w:t xml:space="preserve"> effective taxation—including measures to curb harmful tax competition and a race to the bottom—is critical in generating the public resources needed for sustained public </w:t>
      </w:r>
      <w:r w:rsidRPr="00DE0879">
        <w:rPr>
          <w:b/>
          <w:i/>
          <w:color w:val="000000" w:themeColor="text1"/>
          <w:u w:val="single"/>
        </w:rPr>
        <w:t>and private</w:t>
      </w:r>
      <w:r w:rsidRPr="00DE0879">
        <w:rPr>
          <w:b/>
          <w:i/>
          <w:color w:val="000000" w:themeColor="text1"/>
        </w:rPr>
        <w:t xml:space="preserve"> investment that will enhance the EU’s competitiveness, social and economic cohesion and growth</w:t>
      </w:r>
      <w:r w:rsidRPr="00DE0879">
        <w:rPr>
          <w:color w:val="000000" w:themeColor="text1"/>
        </w:rPr>
        <w:t xml:space="preserve"> </w:t>
      </w:r>
      <w:r w:rsidRPr="00DE0879">
        <w:rPr>
          <w:b/>
          <w:color w:val="000000" w:themeColor="text1"/>
        </w:rPr>
        <w:t>(AM 66 S&amp;D)</w:t>
      </w:r>
      <w:r w:rsidRPr="00DE0879">
        <w:rPr>
          <w:color w:val="000000" w:themeColor="text1"/>
        </w:rPr>
        <w:t>;</w:t>
      </w:r>
    </w:p>
    <w:p w:rsidR="00AB14E7" w:rsidRPr="00DE0879" w:rsidRDefault="00D50A31" w:rsidP="00F238FD">
      <w:pPr>
        <w:pStyle w:val="NormalHanging12a"/>
        <w:jc w:val="both"/>
        <w:rPr>
          <w:color w:val="000000" w:themeColor="text1"/>
        </w:rPr>
      </w:pPr>
      <w:r w:rsidRPr="00DE0879">
        <w:rPr>
          <w:color w:val="000000" w:themeColor="text1"/>
        </w:rPr>
        <w:t>4.</w:t>
      </w:r>
      <w:r w:rsidRPr="00DE0879">
        <w:rPr>
          <w:color w:val="000000" w:themeColor="text1"/>
        </w:rPr>
        <w:tab/>
        <w:t xml:space="preserve">Welcomes the European Council conclusions on the New European Competitiveness Deal; </w:t>
      </w:r>
      <w:r w:rsidR="00F3768C" w:rsidRPr="00DE0879">
        <w:rPr>
          <w:b/>
          <w:i/>
          <w:color w:val="000000" w:themeColor="text1"/>
        </w:rPr>
        <w:t xml:space="preserve">regrets, in this regard, the omission of the field of taxation </w:t>
      </w:r>
      <w:r w:rsidRPr="00DE0879">
        <w:rPr>
          <w:strike/>
          <w:color w:val="000000" w:themeColor="text1"/>
        </w:rPr>
        <w:t>as a key factor in improving Europe’s competitiveness</w:t>
      </w:r>
      <w:r w:rsidR="00242A3A" w:rsidRPr="00DE0879">
        <w:rPr>
          <w:strike/>
          <w:color w:val="000000" w:themeColor="text1"/>
        </w:rPr>
        <w:t xml:space="preserve"> </w:t>
      </w:r>
      <w:r w:rsidR="00F3768C" w:rsidRPr="00DE0879">
        <w:rPr>
          <w:b/>
          <w:i/>
          <w:color w:val="000000" w:themeColor="text1"/>
        </w:rPr>
        <w:t>in improving Europe’s competitiveness</w:t>
      </w:r>
      <w:r w:rsidR="00F3768C" w:rsidRPr="00DE0879">
        <w:rPr>
          <w:color w:val="000000" w:themeColor="text1"/>
        </w:rPr>
        <w:t>;</w:t>
      </w:r>
      <w:r w:rsidRPr="00DE0879">
        <w:rPr>
          <w:color w:val="000000" w:themeColor="text1"/>
        </w:rPr>
        <w:t xml:space="preserve"> calls for better tax cooperation within the EU, reducing fragmentation and complexity while fostering greater cooperation and trust among Member States </w:t>
      </w:r>
      <w:r w:rsidR="00C21B21" w:rsidRPr="00DE0879">
        <w:rPr>
          <w:b/>
          <w:i/>
          <w:color w:val="000000" w:themeColor="text1"/>
        </w:rPr>
        <w:t xml:space="preserve">as this is essential </w:t>
      </w:r>
      <w:r w:rsidRPr="00DE0879">
        <w:rPr>
          <w:color w:val="000000" w:themeColor="text1"/>
        </w:rPr>
        <w:t>to enhance the competitiveness of the European economy</w:t>
      </w:r>
      <w:r w:rsidR="00F238FD" w:rsidRPr="00DE0879">
        <w:rPr>
          <w:color w:val="000000" w:themeColor="text1"/>
        </w:rPr>
        <w:t xml:space="preserve"> </w:t>
      </w:r>
      <w:r w:rsidR="00F238FD" w:rsidRPr="00DE0879">
        <w:rPr>
          <w:b/>
          <w:color w:val="000000" w:themeColor="text1"/>
        </w:rPr>
        <w:t>(AMs 68 ECR, 73 The Left, 70, 71 Rapp)</w:t>
      </w:r>
      <w:r w:rsidRPr="00DE0879">
        <w:rPr>
          <w:color w:val="000000" w:themeColor="text1"/>
        </w:rPr>
        <w:t>;</w:t>
      </w:r>
    </w:p>
    <w:p w:rsidR="002E57B6" w:rsidRPr="00DE0879" w:rsidRDefault="002E57B6" w:rsidP="002E57B6">
      <w:pPr>
        <w:pStyle w:val="NormalHanging12a"/>
        <w:jc w:val="both"/>
        <w:rPr>
          <w:snapToGrid/>
          <w:color w:val="000000" w:themeColor="text1"/>
        </w:rPr>
      </w:pPr>
      <w:r w:rsidRPr="00DE0879">
        <w:rPr>
          <w:b/>
          <w:i/>
          <w:color w:val="000000" w:themeColor="text1"/>
        </w:rPr>
        <w:t>4a (new) Calls on the Commission and Member States to agree  on a coordinated approach to enhance transparency of tax expenditure</w:t>
      </w:r>
      <w:r w:rsidR="004963D3" w:rsidRPr="00DE0879">
        <w:rPr>
          <w:b/>
          <w:i/>
          <w:color w:val="000000" w:themeColor="text1"/>
        </w:rPr>
        <w:t xml:space="preserve"> of governments</w:t>
      </w:r>
      <w:r w:rsidR="00890517" w:rsidRPr="00DE0879">
        <w:rPr>
          <w:b/>
          <w:i/>
          <w:color w:val="000000" w:themeColor="text1"/>
        </w:rPr>
        <w:t xml:space="preserve"> </w:t>
      </w:r>
      <w:r w:rsidRPr="00DE0879">
        <w:rPr>
          <w:b/>
          <w:i/>
          <w:color w:val="000000" w:themeColor="text1"/>
        </w:rPr>
        <w:t xml:space="preserve">to ensure that it is producing the desired policy goals in line with EU common objectives and priorities </w:t>
      </w:r>
      <w:r w:rsidRPr="00DE0879">
        <w:rPr>
          <w:b/>
          <w:i/>
          <w:color w:val="000000" w:themeColor="text1"/>
          <w:u w:val="single"/>
        </w:rPr>
        <w:t>in</w:t>
      </w:r>
      <w:r w:rsidRPr="00DE0879">
        <w:rPr>
          <w:b/>
          <w:i/>
          <w:color w:val="000000" w:themeColor="text1"/>
        </w:rPr>
        <w:t xml:space="preserve"> a cost-effective way, have no unexpected or negative externalities on the internal market, and do not offer opportunities for tax evasion and aggressive tax planning </w:t>
      </w:r>
      <w:r w:rsidRPr="00DE0879">
        <w:rPr>
          <w:b/>
          <w:color w:val="000000" w:themeColor="text1"/>
        </w:rPr>
        <w:t>(AM 76 S&amp;D)</w:t>
      </w:r>
      <w:r w:rsidRPr="00DE0879">
        <w:rPr>
          <w:b/>
          <w:i/>
          <w:color w:val="000000" w:themeColor="text1"/>
        </w:rPr>
        <w:t>;</w:t>
      </w:r>
    </w:p>
    <w:p w:rsidR="00AB14E7" w:rsidRPr="00DE0879" w:rsidRDefault="00D50A31" w:rsidP="00F238FD">
      <w:pPr>
        <w:pStyle w:val="NormalHanging12a"/>
        <w:jc w:val="both"/>
        <w:rPr>
          <w:b/>
          <w:i/>
          <w:color w:val="000000" w:themeColor="text1"/>
        </w:rPr>
      </w:pPr>
      <w:r w:rsidRPr="00DE0879">
        <w:rPr>
          <w:color w:val="000000" w:themeColor="text1"/>
        </w:rPr>
        <w:t>5.</w:t>
      </w:r>
      <w:r w:rsidRPr="00DE0879">
        <w:rPr>
          <w:color w:val="000000" w:themeColor="text1"/>
        </w:rPr>
        <w:tab/>
        <w:t xml:space="preserve">Welcomes the European Council conclusions on tax decluttering and simplification; stresses that future EU initiatives on taxation should focus </w:t>
      </w:r>
      <w:r w:rsidR="005F3E97" w:rsidRPr="00DE0879">
        <w:rPr>
          <w:b/>
          <w:i/>
          <w:color w:val="000000" w:themeColor="text1"/>
        </w:rPr>
        <w:t>with priority</w:t>
      </w:r>
      <w:r w:rsidR="005E7FD5" w:rsidRPr="00DE0879">
        <w:rPr>
          <w:color w:val="000000" w:themeColor="text1"/>
        </w:rPr>
        <w:t xml:space="preserve"> </w:t>
      </w:r>
      <w:r w:rsidRPr="00DE0879">
        <w:rPr>
          <w:color w:val="000000" w:themeColor="text1"/>
        </w:rPr>
        <w:t>on administrative simplification, elimination (where relevant) of overlapping tax rules, increasing clarity and streamlining the application of tax rules</w:t>
      </w:r>
      <w:r w:rsidR="002D4870" w:rsidRPr="00DE0879">
        <w:rPr>
          <w:color w:val="000000" w:themeColor="text1"/>
        </w:rPr>
        <w:t xml:space="preserve"> </w:t>
      </w:r>
      <w:r w:rsidR="00F10E8D" w:rsidRPr="00DE0879">
        <w:rPr>
          <w:b/>
          <w:color w:val="000000" w:themeColor="text1"/>
          <w:u w:val="single"/>
        </w:rPr>
        <w:t>and</w:t>
      </w:r>
      <w:r w:rsidR="00F10E8D" w:rsidRPr="00DE0879">
        <w:rPr>
          <w:b/>
          <w:color w:val="000000" w:themeColor="text1"/>
        </w:rPr>
        <w:t xml:space="preserve"> </w:t>
      </w:r>
      <w:r w:rsidR="002D4870" w:rsidRPr="00DE0879">
        <w:rPr>
          <w:b/>
          <w:i/>
          <w:color w:val="000000" w:themeColor="text1"/>
        </w:rPr>
        <w:t>addressing identified divergences or inefficiencies that may affect the functioning of the EU Single Market</w:t>
      </w:r>
      <w:r w:rsidRPr="00DE0879">
        <w:rPr>
          <w:color w:val="000000" w:themeColor="text1"/>
        </w:rPr>
        <w:t>;</w:t>
      </w:r>
      <w:r w:rsidR="002D4870" w:rsidRPr="00DE0879">
        <w:rPr>
          <w:color w:val="000000" w:themeColor="text1"/>
        </w:rPr>
        <w:t xml:space="preserve"> </w:t>
      </w:r>
      <w:r w:rsidR="002D4870" w:rsidRPr="00DE0879">
        <w:rPr>
          <w:b/>
          <w:i/>
          <w:color w:val="000000" w:themeColor="text1"/>
        </w:rPr>
        <w:t xml:space="preserve">stresses that the Commission should </w:t>
      </w:r>
      <w:r w:rsidR="00242A3A" w:rsidRPr="00DE0879">
        <w:rPr>
          <w:b/>
          <w:i/>
          <w:color w:val="000000" w:themeColor="text1"/>
          <w:u w:val="single"/>
        </w:rPr>
        <w:t>facilitate and encourage</w:t>
      </w:r>
      <w:r w:rsidR="00242A3A" w:rsidRPr="00DE0879">
        <w:rPr>
          <w:b/>
          <w:i/>
          <w:color w:val="000000" w:themeColor="text1"/>
        </w:rPr>
        <w:t xml:space="preserve"> </w:t>
      </w:r>
      <w:r w:rsidR="002D4870" w:rsidRPr="00DE0879">
        <w:rPr>
          <w:b/>
          <w:i/>
          <w:color w:val="000000" w:themeColor="text1"/>
        </w:rPr>
        <w:t xml:space="preserve">more robust cooperation between Member States and tax administrations to enable more consistent interpretation of direct and indirect tax legislation </w:t>
      </w:r>
      <w:r w:rsidR="002D4870" w:rsidRPr="00DE0879">
        <w:rPr>
          <w:b/>
          <w:color w:val="000000" w:themeColor="text1"/>
        </w:rPr>
        <w:t>(</w:t>
      </w:r>
      <w:r w:rsidR="00F238FD" w:rsidRPr="00DE0879">
        <w:rPr>
          <w:b/>
          <w:color w:val="000000" w:themeColor="text1"/>
        </w:rPr>
        <w:t xml:space="preserve">AM 82 EPP, 80 ECR, </w:t>
      </w:r>
      <w:r w:rsidR="002D4870" w:rsidRPr="00DE0879">
        <w:rPr>
          <w:b/>
          <w:color w:val="000000" w:themeColor="text1"/>
        </w:rPr>
        <w:t>77 Greens/EFA)</w:t>
      </w:r>
      <w:r w:rsidR="002D4870" w:rsidRPr="00DE0879">
        <w:rPr>
          <w:b/>
          <w:i/>
          <w:color w:val="000000" w:themeColor="text1"/>
        </w:rPr>
        <w:t>;</w:t>
      </w:r>
    </w:p>
    <w:p w:rsidR="002D4870" w:rsidRPr="00DE0879" w:rsidRDefault="00043A62" w:rsidP="00F238FD">
      <w:pPr>
        <w:pStyle w:val="NormalHanging12a"/>
        <w:jc w:val="both"/>
        <w:rPr>
          <w:color w:val="000000" w:themeColor="text1"/>
        </w:rPr>
      </w:pPr>
      <w:r w:rsidRPr="00DE0879">
        <w:rPr>
          <w:b/>
          <w:i/>
          <w:color w:val="000000" w:themeColor="text1"/>
        </w:rPr>
        <w:t>5</w:t>
      </w:r>
      <w:r w:rsidR="002D4870" w:rsidRPr="00DE0879">
        <w:rPr>
          <w:b/>
          <w:i/>
          <w:color w:val="000000" w:themeColor="text1"/>
        </w:rPr>
        <w:t>a</w:t>
      </w:r>
      <w:r w:rsidRPr="00DE0879">
        <w:rPr>
          <w:b/>
          <w:i/>
          <w:color w:val="000000" w:themeColor="text1"/>
        </w:rPr>
        <w:t xml:space="preserve"> (new) </w:t>
      </w:r>
      <w:r w:rsidR="002D4870" w:rsidRPr="00DE0879">
        <w:rPr>
          <w:b/>
          <w:i/>
          <w:color w:val="000000" w:themeColor="text1"/>
        </w:rPr>
        <w:t xml:space="preserve">Takes note of the research done by the JRC in 2022 which finds that revenues from taxes on local economic activities to local budgets can work as an incentive for municipalities to act locally and boost local economic activities; calls on the Commission, in this regard, to intensify the research and engage in a mutual learning exercise with the Member States to encourage municipalities to take care of their businesses, thereby unleashing untapped potential for more economic growth across the EU </w:t>
      </w:r>
      <w:r w:rsidR="002D4870" w:rsidRPr="00DE0879">
        <w:rPr>
          <w:b/>
          <w:color w:val="000000" w:themeColor="text1"/>
        </w:rPr>
        <w:t>(AM 83 Rapp)</w:t>
      </w:r>
      <w:r w:rsidR="002D4870" w:rsidRPr="00DE0879">
        <w:rPr>
          <w:b/>
          <w:i/>
          <w:color w:val="000000" w:themeColor="text1"/>
        </w:rPr>
        <w:t>;</w:t>
      </w:r>
    </w:p>
    <w:p w:rsidR="0084629D" w:rsidRPr="00DE0879" w:rsidRDefault="00872C2B" w:rsidP="00F238FD">
      <w:pPr>
        <w:pStyle w:val="NormalHanging12a"/>
        <w:jc w:val="both"/>
        <w:rPr>
          <w:b/>
          <w:i/>
          <w:color w:val="000000" w:themeColor="text1"/>
        </w:rPr>
      </w:pPr>
      <w:r w:rsidRPr="00DE0879">
        <w:rPr>
          <w:b/>
          <w:i/>
          <w:color w:val="000000" w:themeColor="text1"/>
        </w:rPr>
        <w:t>5b</w:t>
      </w:r>
      <w:r w:rsidR="00043A62" w:rsidRPr="00DE0879">
        <w:rPr>
          <w:b/>
          <w:i/>
          <w:color w:val="000000" w:themeColor="text1"/>
        </w:rPr>
        <w:t xml:space="preserve"> (new) </w:t>
      </w:r>
      <w:r w:rsidR="00E24E31" w:rsidRPr="00DE0879">
        <w:rPr>
          <w:b/>
          <w:i/>
          <w:color w:val="000000" w:themeColor="text1"/>
          <w:u w:val="single"/>
        </w:rPr>
        <w:t>S</w:t>
      </w:r>
      <w:r w:rsidR="00E24E31" w:rsidRPr="00DE0879">
        <w:rPr>
          <w:b/>
          <w:i/>
          <w:color w:val="000000" w:themeColor="text1"/>
        </w:rPr>
        <w:t xml:space="preserve">tresses that well-designed and justified tax incentives </w:t>
      </w:r>
      <w:r w:rsidR="00B65BDE" w:rsidRPr="00DE0879">
        <w:rPr>
          <w:b/>
          <w:i/>
          <w:color w:val="000000" w:themeColor="text1"/>
        </w:rPr>
        <w:t xml:space="preserve">with economic substance and </w:t>
      </w:r>
      <w:r w:rsidR="00F3768C" w:rsidRPr="00DE0879">
        <w:rPr>
          <w:b/>
          <w:i/>
          <w:color w:val="000000" w:themeColor="text1"/>
        </w:rPr>
        <w:t xml:space="preserve"> </w:t>
      </w:r>
      <w:r w:rsidR="00AA3AEB" w:rsidRPr="00DE0879">
        <w:rPr>
          <w:b/>
          <w:i/>
          <w:color w:val="000000" w:themeColor="text1"/>
        </w:rPr>
        <w:t>socioeconomic</w:t>
      </w:r>
      <w:r w:rsidR="00B65BDE" w:rsidRPr="00DE0879">
        <w:rPr>
          <w:b/>
          <w:i/>
          <w:color w:val="000000" w:themeColor="text1"/>
        </w:rPr>
        <w:t xml:space="preserve"> </w:t>
      </w:r>
      <w:r w:rsidR="007C76D4" w:rsidRPr="00DE0879">
        <w:rPr>
          <w:b/>
          <w:i/>
          <w:color w:val="000000" w:themeColor="text1"/>
        </w:rPr>
        <w:t xml:space="preserve">benefits </w:t>
      </w:r>
      <w:r w:rsidR="00E24E31" w:rsidRPr="00DE0879">
        <w:rPr>
          <w:b/>
          <w:i/>
          <w:color w:val="000000" w:themeColor="text1"/>
        </w:rPr>
        <w:t>can support economic activities that advance public goals</w:t>
      </w:r>
      <w:r w:rsidR="007C76D4" w:rsidRPr="00DE0879">
        <w:rPr>
          <w:b/>
          <w:i/>
          <w:color w:val="000000" w:themeColor="text1"/>
        </w:rPr>
        <w:t>,</w:t>
      </w:r>
      <w:r w:rsidR="00543825" w:rsidRPr="00DE0879">
        <w:rPr>
          <w:b/>
          <w:i/>
          <w:color w:val="000000" w:themeColor="text1"/>
        </w:rPr>
        <w:t xml:space="preserve"> in</w:t>
      </w:r>
      <w:r w:rsidR="007C76D4" w:rsidRPr="00DE0879">
        <w:rPr>
          <w:b/>
          <w:i/>
          <w:color w:val="000000" w:themeColor="text1"/>
        </w:rPr>
        <w:t>cluding</w:t>
      </w:r>
      <w:r w:rsidR="00543825" w:rsidRPr="00DE0879">
        <w:rPr>
          <w:b/>
          <w:i/>
          <w:color w:val="000000" w:themeColor="text1"/>
        </w:rPr>
        <w:t xml:space="preserve"> peripheral and other geographically disadvantaged areas in the EU; notes</w:t>
      </w:r>
      <w:r w:rsidR="00E24E31" w:rsidRPr="00DE0879">
        <w:rPr>
          <w:b/>
          <w:i/>
          <w:color w:val="000000" w:themeColor="text1"/>
        </w:rPr>
        <w:t xml:space="preserve">, that tax incentives should not only </w:t>
      </w:r>
      <w:r w:rsidR="00E24E31" w:rsidRPr="00DE0879">
        <w:rPr>
          <w:b/>
          <w:i/>
          <w:color w:val="000000" w:themeColor="text1"/>
          <w:u w:val="single"/>
        </w:rPr>
        <w:t>comply</w:t>
      </w:r>
      <w:r w:rsidR="00E24E31" w:rsidRPr="00DE0879">
        <w:rPr>
          <w:b/>
          <w:i/>
          <w:color w:val="000000" w:themeColor="text1"/>
        </w:rPr>
        <w:t xml:space="preserve"> with the Treaty and fiscal space</w:t>
      </w:r>
      <w:r w:rsidR="00E24E31" w:rsidRPr="00DE0879">
        <w:rPr>
          <w:color w:val="000000" w:themeColor="text1"/>
        </w:rPr>
        <w:t xml:space="preserve"> </w:t>
      </w:r>
      <w:r w:rsidR="00E24E31" w:rsidRPr="00DE0879">
        <w:rPr>
          <w:b/>
          <w:color w:val="000000" w:themeColor="text1"/>
          <w:u w:val="single"/>
        </w:rPr>
        <w:t>constraints</w:t>
      </w:r>
      <w:r w:rsidR="00E24E31" w:rsidRPr="00DE0879">
        <w:rPr>
          <w:b/>
          <w:i/>
          <w:color w:val="000000" w:themeColor="text1"/>
        </w:rPr>
        <w:t xml:space="preserve">, but </w:t>
      </w:r>
      <w:r w:rsidR="00E24E31" w:rsidRPr="00DE0879">
        <w:rPr>
          <w:b/>
          <w:i/>
          <w:color w:val="000000" w:themeColor="text1"/>
          <w:u w:val="single"/>
        </w:rPr>
        <w:t>should also not lead to internal market fragmentation</w:t>
      </w:r>
      <w:r w:rsidR="00543825" w:rsidRPr="00DE0879">
        <w:rPr>
          <w:b/>
          <w:i/>
          <w:color w:val="000000" w:themeColor="text1"/>
          <w:u w:val="single"/>
        </w:rPr>
        <w:t>,</w:t>
      </w:r>
      <w:r w:rsidR="00543825" w:rsidRPr="00DE0879">
        <w:rPr>
          <w:b/>
          <w:i/>
          <w:color w:val="000000" w:themeColor="text1"/>
        </w:rPr>
        <w:t xml:space="preserve"> </w:t>
      </w:r>
      <w:r w:rsidR="00543825" w:rsidRPr="00DE0879">
        <w:rPr>
          <w:b/>
          <w:i/>
          <w:color w:val="000000" w:themeColor="text1"/>
          <w:u w:val="single"/>
        </w:rPr>
        <w:t>and</w:t>
      </w:r>
      <w:r w:rsidR="00C7130F" w:rsidRPr="00DE0879">
        <w:rPr>
          <w:b/>
          <w:i/>
          <w:color w:val="000000" w:themeColor="text1"/>
          <w:u w:val="single"/>
        </w:rPr>
        <w:t xml:space="preserve"> calls for a set of tools to ensure dialogue, transparency and coordination between Member States on tax incentives</w:t>
      </w:r>
      <w:r w:rsidR="00C7130F" w:rsidRPr="00DE0879">
        <w:rPr>
          <w:b/>
          <w:i/>
          <w:color w:val="000000" w:themeColor="text1"/>
        </w:rPr>
        <w:t>;</w:t>
      </w:r>
      <w:r w:rsidR="00FF1AE1" w:rsidRPr="00DE0879">
        <w:rPr>
          <w:b/>
          <w:i/>
          <w:color w:val="000000" w:themeColor="text1"/>
        </w:rPr>
        <w:t xml:space="preserve"> </w:t>
      </w:r>
      <w:r w:rsidR="00E24E31" w:rsidRPr="00DE0879">
        <w:rPr>
          <w:b/>
          <w:i/>
          <w:color w:val="000000" w:themeColor="text1"/>
        </w:rPr>
        <w:t xml:space="preserve">welcomes the Commission's intention to issue </w:t>
      </w:r>
      <w:r w:rsidR="007C76D4" w:rsidRPr="00DE0879">
        <w:rPr>
          <w:b/>
          <w:i/>
          <w:color w:val="000000" w:themeColor="text1"/>
        </w:rPr>
        <w:t xml:space="preserve">non-binding </w:t>
      </w:r>
      <w:r w:rsidR="00E24E31" w:rsidRPr="00DE0879">
        <w:rPr>
          <w:b/>
          <w:i/>
          <w:color w:val="000000" w:themeColor="text1"/>
        </w:rPr>
        <w:t>guidelines on tax incentives and calls for a further study on the effect of the implementation of Pillar II on tax incentives and issue recommendations to ensure their effectiveness</w:t>
      </w:r>
      <w:r w:rsidR="003218E9" w:rsidRPr="00DE0879">
        <w:rPr>
          <w:b/>
          <w:i/>
          <w:color w:val="000000" w:themeColor="text1"/>
        </w:rPr>
        <w:t xml:space="preserve"> within the Pillar II framework</w:t>
      </w:r>
      <w:r w:rsidR="00E24E31" w:rsidRPr="00DE0879">
        <w:rPr>
          <w:b/>
          <w:i/>
          <w:color w:val="000000" w:themeColor="text1"/>
        </w:rPr>
        <w:t>;</w:t>
      </w:r>
      <w:r w:rsidR="00C7130F" w:rsidRPr="00DE0879">
        <w:rPr>
          <w:b/>
          <w:i/>
          <w:color w:val="000000" w:themeColor="text1"/>
        </w:rPr>
        <w:t xml:space="preserve"> </w:t>
      </w:r>
      <w:r w:rsidR="00BE7C39" w:rsidRPr="00DE0879">
        <w:rPr>
          <w:b/>
          <w:i/>
          <w:color w:val="000000" w:themeColor="text1"/>
          <w:u w:val="single"/>
        </w:rPr>
        <w:t>underlines</w:t>
      </w:r>
      <w:r w:rsidR="00BE7C39" w:rsidRPr="00DE0879">
        <w:rPr>
          <w:color w:val="000000" w:themeColor="text1"/>
        </w:rPr>
        <w:t xml:space="preserve"> </w:t>
      </w:r>
      <w:r w:rsidR="00BE7C39" w:rsidRPr="00DE0879">
        <w:rPr>
          <w:b/>
          <w:i/>
          <w:color w:val="000000" w:themeColor="text1"/>
        </w:rPr>
        <w:t xml:space="preserve">the importance of ensuring that tax incentives remain consistent with the EU State aid framework;; </w:t>
      </w:r>
      <w:r w:rsidR="001B468B" w:rsidRPr="00DE0879">
        <w:rPr>
          <w:b/>
          <w:i/>
          <w:color w:val="000000" w:themeColor="text1"/>
        </w:rPr>
        <w:t>Recalls the EU’s climate change commitments and the Parliament’s continued support for these targets and urges the Commission and Member States to</w:t>
      </w:r>
      <w:r w:rsidR="00E24E31" w:rsidRPr="00DE0879">
        <w:rPr>
          <w:b/>
          <w:i/>
          <w:color w:val="000000" w:themeColor="text1"/>
        </w:rPr>
        <w:t xml:space="preserve"> coordinate and</w:t>
      </w:r>
      <w:r w:rsidR="001B468B" w:rsidRPr="00DE0879">
        <w:rPr>
          <w:b/>
          <w:i/>
          <w:color w:val="000000" w:themeColor="text1"/>
        </w:rPr>
        <w:t xml:space="preserve"> consider the potential benefits of tax incentives for green investments </w:t>
      </w:r>
      <w:r w:rsidR="001B468B" w:rsidRPr="00DE0879">
        <w:rPr>
          <w:b/>
          <w:color w:val="000000" w:themeColor="text1"/>
        </w:rPr>
        <w:t>(</w:t>
      </w:r>
      <w:r w:rsidR="00F238FD" w:rsidRPr="00DE0879">
        <w:rPr>
          <w:b/>
          <w:color w:val="000000" w:themeColor="text1"/>
        </w:rPr>
        <w:t xml:space="preserve">AMs 74, 75, 85 S&amp;D, 71 EPP, </w:t>
      </w:r>
      <w:r w:rsidR="001B468B" w:rsidRPr="00DE0879">
        <w:rPr>
          <w:b/>
          <w:color w:val="000000" w:themeColor="text1"/>
        </w:rPr>
        <w:t>242 Renew</w:t>
      </w:r>
      <w:r w:rsidR="00F238FD" w:rsidRPr="00DE0879">
        <w:rPr>
          <w:b/>
          <w:color w:val="000000" w:themeColor="text1"/>
        </w:rPr>
        <w:t>, 236 Greens/EFA)</w:t>
      </w:r>
      <w:r w:rsidR="001B468B" w:rsidRPr="00DE0879">
        <w:rPr>
          <w:b/>
          <w:i/>
          <w:color w:val="000000" w:themeColor="text1"/>
        </w:rPr>
        <w:t>;</w:t>
      </w:r>
    </w:p>
    <w:p w:rsidR="00C21B21" w:rsidRPr="00DE0879" w:rsidRDefault="002D4870" w:rsidP="00F238FD">
      <w:pPr>
        <w:pStyle w:val="NormalHanging12a"/>
        <w:jc w:val="both"/>
        <w:rPr>
          <w:color w:val="000000" w:themeColor="text1"/>
        </w:rPr>
      </w:pPr>
      <w:r w:rsidRPr="00DE0879">
        <w:rPr>
          <w:b/>
          <w:i/>
          <w:color w:val="000000" w:themeColor="text1"/>
        </w:rPr>
        <w:t>5</w:t>
      </w:r>
      <w:r w:rsidR="00872C2B" w:rsidRPr="00DE0879">
        <w:rPr>
          <w:b/>
          <w:i/>
          <w:color w:val="000000" w:themeColor="text1"/>
        </w:rPr>
        <w:t>d</w:t>
      </w:r>
      <w:r w:rsidR="00043A62" w:rsidRPr="00DE0879">
        <w:rPr>
          <w:b/>
          <w:i/>
          <w:color w:val="000000" w:themeColor="text1"/>
        </w:rPr>
        <w:t xml:space="preserve"> (new) </w:t>
      </w:r>
      <w:r w:rsidRPr="00DE0879">
        <w:rPr>
          <w:b/>
          <w:i/>
          <w:color w:val="000000" w:themeColor="text1"/>
        </w:rPr>
        <w:t>Recalls that several legislative initiatives in the field of taxation are not moving forward; underlines, in this regard, the need to provide legal certainty and predictability to European businesses;</w:t>
      </w:r>
      <w:r w:rsidR="00857715" w:rsidRPr="00DE0879">
        <w:rPr>
          <w:b/>
          <w:i/>
          <w:color w:val="000000" w:themeColor="text1"/>
        </w:rPr>
        <w:t xml:space="preserve"> </w:t>
      </w:r>
      <w:r w:rsidR="006A3F49" w:rsidRPr="00DE0879">
        <w:rPr>
          <w:b/>
          <w:i/>
          <w:color w:val="000000" w:themeColor="text1"/>
        </w:rPr>
        <w:t>takes note of</w:t>
      </w:r>
      <w:r w:rsidRPr="00DE0879">
        <w:rPr>
          <w:b/>
          <w:i/>
          <w:color w:val="000000" w:themeColor="text1"/>
        </w:rPr>
        <w:t xml:space="preserve"> the Commission</w:t>
      </w:r>
      <w:r w:rsidR="005345CF" w:rsidRPr="00DE0879">
        <w:rPr>
          <w:b/>
          <w:i/>
          <w:color w:val="000000" w:themeColor="text1"/>
        </w:rPr>
        <w:t>’s</w:t>
      </w:r>
      <w:r w:rsidRPr="00DE0879">
        <w:rPr>
          <w:b/>
          <w:i/>
          <w:color w:val="000000" w:themeColor="text1"/>
        </w:rPr>
        <w:t xml:space="preserve"> </w:t>
      </w:r>
      <w:r w:rsidR="006A3F49" w:rsidRPr="00DE0879">
        <w:rPr>
          <w:b/>
          <w:i/>
          <w:color w:val="000000" w:themeColor="text1"/>
        </w:rPr>
        <w:t>clarifications on</w:t>
      </w:r>
      <w:r w:rsidRPr="00DE0879">
        <w:rPr>
          <w:b/>
          <w:i/>
          <w:color w:val="000000" w:themeColor="text1"/>
        </w:rPr>
        <w:t xml:space="preserve"> which initiatives are to be withdrawn in the field of taxation </w:t>
      </w:r>
      <w:r w:rsidRPr="00DE0879">
        <w:rPr>
          <w:b/>
          <w:color w:val="000000" w:themeColor="text1"/>
        </w:rPr>
        <w:t>(AM 84 EPP)</w:t>
      </w:r>
      <w:r w:rsidRPr="00DE0879">
        <w:rPr>
          <w:b/>
          <w:i/>
          <w:color w:val="000000" w:themeColor="text1"/>
        </w:rPr>
        <w:t>;</w:t>
      </w:r>
      <w:r w:rsidR="00BE7C39" w:rsidRPr="00DE0879">
        <w:rPr>
          <w:b/>
          <w:i/>
          <w:color w:val="000000" w:themeColor="text1"/>
        </w:rPr>
        <w:t xml:space="preserve"> </w:t>
      </w:r>
    </w:p>
    <w:p w:rsidR="00BC6780" w:rsidRPr="00DE0879" w:rsidRDefault="00BC6780">
      <w:pPr>
        <w:widowControl/>
        <w:rPr>
          <w:b/>
          <w:i/>
          <w:iCs/>
          <w:color w:val="000000" w:themeColor="text1"/>
          <w:lang w:eastAsia="en-GB"/>
        </w:rPr>
      </w:pPr>
      <w:r w:rsidRPr="00DE0879">
        <w:rPr>
          <w:b/>
          <w:i/>
          <w:iCs/>
          <w:color w:val="000000" w:themeColor="text1"/>
          <w:lang w:eastAsia="en-GB"/>
        </w:rPr>
        <w:br w:type="page"/>
      </w:r>
    </w:p>
    <w:p w:rsidR="00BC6780" w:rsidRPr="00DE0879" w:rsidRDefault="00BC6780" w:rsidP="00BC6780">
      <w:pPr>
        <w:pStyle w:val="Normal12a24b"/>
        <w:rPr>
          <w:i/>
          <w:iCs/>
          <w:color w:val="000000" w:themeColor="text1"/>
          <w:lang w:eastAsia="en-GB"/>
        </w:rPr>
      </w:pPr>
      <w:r w:rsidRPr="00DE0879">
        <w:rPr>
          <w:b/>
          <w:i/>
          <w:iCs/>
          <w:color w:val="000000" w:themeColor="text1"/>
          <w:lang w:eastAsia="en-GB"/>
        </w:rPr>
        <w:t>COMP C “</w:t>
      </w:r>
      <w:r w:rsidRPr="00DE0879">
        <w:rPr>
          <w:rStyle w:val="BoldItalic"/>
          <w:color w:val="000000" w:themeColor="text1"/>
        </w:rPr>
        <w:t>Tax simplification and digitalisation</w:t>
      </w:r>
      <w:r w:rsidRPr="00DE0879">
        <w:rPr>
          <w:b/>
          <w:i/>
          <w:iCs/>
          <w:color w:val="000000" w:themeColor="text1"/>
          <w:lang w:eastAsia="en-GB"/>
        </w:rPr>
        <w:t xml:space="preserve">” </w:t>
      </w:r>
      <w:r w:rsidRPr="00DE0879">
        <w:rPr>
          <w:i/>
          <w:iCs/>
          <w:color w:val="000000" w:themeColor="text1"/>
          <w:lang w:eastAsia="en-GB"/>
        </w:rPr>
        <w:t>(paragraph 6, 7, 8</w:t>
      </w:r>
      <w:r w:rsidR="0011011A" w:rsidRPr="00DE0879">
        <w:rPr>
          <w:i/>
          <w:iCs/>
          <w:color w:val="000000" w:themeColor="text1"/>
          <w:lang w:eastAsia="en-GB"/>
        </w:rPr>
        <w:t>, 9</w:t>
      </w:r>
      <w:r w:rsidR="00231912" w:rsidRPr="00DE0879">
        <w:rPr>
          <w:i/>
          <w:iCs/>
          <w:color w:val="000000" w:themeColor="text1"/>
          <w:lang w:eastAsia="en-GB"/>
        </w:rPr>
        <w:t xml:space="preserve"> and</w:t>
      </w:r>
      <w:r w:rsidRPr="00DE0879">
        <w:rPr>
          <w:i/>
          <w:iCs/>
          <w:color w:val="000000" w:themeColor="text1"/>
          <w:lang w:eastAsia="en-GB"/>
        </w:rPr>
        <w:t xml:space="preserve"> </w:t>
      </w:r>
      <w:r w:rsidR="0011011A" w:rsidRPr="00DE0879">
        <w:rPr>
          <w:i/>
          <w:iCs/>
          <w:color w:val="000000" w:themeColor="text1"/>
          <w:lang w:eastAsia="en-GB"/>
        </w:rPr>
        <w:t>10</w:t>
      </w:r>
      <w:r w:rsidRPr="00DE0879">
        <w:rPr>
          <w:i/>
          <w:iCs/>
          <w:color w:val="000000" w:themeColor="text1"/>
          <w:lang w:eastAsia="en-GB"/>
        </w:rPr>
        <w:t>)</w:t>
      </w:r>
    </w:p>
    <w:p w:rsidR="001D4291" w:rsidRPr="00DE0879" w:rsidRDefault="001D4291" w:rsidP="00BC6780">
      <w:pPr>
        <w:pStyle w:val="Normal12a24b"/>
        <w:rPr>
          <w:color w:val="000000" w:themeColor="text1"/>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EPP, S&amp;D, PfE, ECR, Renew, Greens/EFA and The Left</w:t>
      </w:r>
    </w:p>
    <w:p w:rsidR="00BC6780" w:rsidRPr="00DE0879" w:rsidRDefault="00BC6780" w:rsidP="00BC6780">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 xml:space="preserve">by the COMP: </w:t>
      </w:r>
      <w:r w:rsidR="00456A62" w:rsidRPr="00DE0879">
        <w:rPr>
          <w:b w:val="0"/>
          <w:i/>
          <w:color w:val="000000" w:themeColor="text1"/>
        </w:rPr>
        <w:t xml:space="preserve">49, 51, </w:t>
      </w:r>
      <w:r w:rsidR="00423219" w:rsidRPr="00DE0879">
        <w:rPr>
          <w:b w:val="0"/>
          <w:i/>
          <w:color w:val="000000" w:themeColor="text1"/>
        </w:rPr>
        <w:t>107</w:t>
      </w:r>
      <w:r w:rsidR="007A62DA" w:rsidRPr="00DE0879">
        <w:rPr>
          <w:b w:val="0"/>
          <w:i/>
          <w:color w:val="000000" w:themeColor="text1"/>
        </w:rPr>
        <w:t>, 120</w:t>
      </w:r>
      <w:r w:rsidR="00EB7D24" w:rsidRPr="00DE0879">
        <w:rPr>
          <w:b w:val="0"/>
          <w:i/>
          <w:color w:val="000000" w:themeColor="text1"/>
        </w:rPr>
        <w:t>, 130</w:t>
      </w:r>
      <w:r w:rsidR="001A3498" w:rsidRPr="00DE0879">
        <w:rPr>
          <w:b w:val="0"/>
          <w:i/>
          <w:color w:val="000000" w:themeColor="text1"/>
        </w:rPr>
        <w:t>,</w:t>
      </w:r>
      <w:r w:rsidR="00E951BA" w:rsidRPr="00DE0879">
        <w:rPr>
          <w:b w:val="0"/>
          <w:i/>
          <w:color w:val="000000" w:themeColor="text1"/>
        </w:rPr>
        <w:t xml:space="preserve"> 146</w:t>
      </w:r>
      <w:r w:rsidR="001A3498" w:rsidRPr="00DE0879">
        <w:rPr>
          <w:b w:val="0"/>
          <w:i/>
          <w:color w:val="000000" w:themeColor="text1"/>
        </w:rPr>
        <w:t xml:space="preserve"> </w:t>
      </w:r>
      <w:r w:rsidRPr="00DE0879">
        <w:rPr>
          <w:b w:val="0"/>
          <w:i/>
          <w:color w:val="000000" w:themeColor="text1"/>
        </w:rPr>
        <w:t>S&amp;D; 94</w:t>
      </w:r>
      <w:r w:rsidR="00423219" w:rsidRPr="00DE0879">
        <w:rPr>
          <w:b w:val="0"/>
          <w:i/>
          <w:color w:val="000000" w:themeColor="text1"/>
        </w:rPr>
        <w:t>, 105, 106, 109</w:t>
      </w:r>
      <w:r w:rsidR="00D734BE" w:rsidRPr="00DE0879">
        <w:rPr>
          <w:b w:val="0"/>
          <w:i/>
          <w:color w:val="000000" w:themeColor="text1"/>
        </w:rPr>
        <w:t xml:space="preserve">, 110, 112, </w:t>
      </w:r>
      <w:r w:rsidR="00EB7D24" w:rsidRPr="00DE0879">
        <w:rPr>
          <w:b w:val="0"/>
          <w:i/>
          <w:color w:val="000000" w:themeColor="text1"/>
        </w:rPr>
        <w:t>117</w:t>
      </w:r>
      <w:r w:rsidR="001C41C0" w:rsidRPr="00DE0879">
        <w:rPr>
          <w:b w:val="0"/>
          <w:i/>
          <w:color w:val="000000" w:themeColor="text1"/>
        </w:rPr>
        <w:t>, 133, 134, 142, 143, 144</w:t>
      </w:r>
      <w:r w:rsidR="00423219" w:rsidRPr="00DE0879">
        <w:rPr>
          <w:b w:val="0"/>
          <w:i/>
          <w:color w:val="000000" w:themeColor="text1"/>
        </w:rPr>
        <w:t xml:space="preserve"> </w:t>
      </w:r>
      <w:r w:rsidRPr="00DE0879">
        <w:rPr>
          <w:b w:val="0"/>
          <w:i/>
          <w:color w:val="000000" w:themeColor="text1"/>
        </w:rPr>
        <w:t>EPP; 93</w:t>
      </w:r>
      <w:r w:rsidR="00423219" w:rsidRPr="00DE0879">
        <w:rPr>
          <w:b w:val="0"/>
          <w:i/>
          <w:color w:val="000000" w:themeColor="text1"/>
        </w:rPr>
        <w:t xml:space="preserve">, </w:t>
      </w:r>
      <w:r w:rsidR="00E27DC1" w:rsidRPr="00DE0879">
        <w:rPr>
          <w:b w:val="0"/>
          <w:i/>
          <w:color w:val="000000" w:themeColor="text1"/>
        </w:rPr>
        <w:t xml:space="preserve">97, </w:t>
      </w:r>
      <w:r w:rsidR="00423219" w:rsidRPr="00DE0879">
        <w:rPr>
          <w:b w:val="0"/>
          <w:i/>
          <w:color w:val="000000" w:themeColor="text1"/>
        </w:rPr>
        <w:t>108</w:t>
      </w:r>
      <w:r w:rsidR="00D734BE" w:rsidRPr="00DE0879">
        <w:rPr>
          <w:b w:val="0"/>
          <w:i/>
          <w:color w:val="000000" w:themeColor="text1"/>
        </w:rPr>
        <w:t>, 111, 115</w:t>
      </w:r>
      <w:r w:rsidRPr="00DE0879">
        <w:rPr>
          <w:b w:val="0"/>
          <w:i/>
          <w:color w:val="000000" w:themeColor="text1"/>
        </w:rPr>
        <w:t xml:space="preserve"> Greens/EFA; 90</w:t>
      </w:r>
      <w:r w:rsidR="00CE2D5A" w:rsidRPr="00DE0879">
        <w:rPr>
          <w:b w:val="0"/>
          <w:i/>
          <w:color w:val="000000" w:themeColor="text1"/>
        </w:rPr>
        <w:t>, 95</w:t>
      </w:r>
      <w:r w:rsidR="002F741C" w:rsidRPr="00DE0879">
        <w:rPr>
          <w:b w:val="0"/>
          <w:i/>
          <w:color w:val="000000" w:themeColor="text1"/>
        </w:rPr>
        <w:t>, 99</w:t>
      </w:r>
      <w:r w:rsidR="00423219" w:rsidRPr="00DE0879">
        <w:rPr>
          <w:b w:val="0"/>
          <w:i/>
          <w:color w:val="000000" w:themeColor="text1"/>
        </w:rPr>
        <w:t xml:space="preserve">, </w:t>
      </w:r>
      <w:r w:rsidR="00EB7D24" w:rsidRPr="00DE0879">
        <w:rPr>
          <w:b w:val="0"/>
          <w:i/>
          <w:color w:val="000000" w:themeColor="text1"/>
        </w:rPr>
        <w:t>116, 122, 127, 128</w:t>
      </w:r>
      <w:r w:rsidRPr="00DE0879">
        <w:rPr>
          <w:b w:val="0"/>
          <w:i/>
          <w:color w:val="000000" w:themeColor="text1"/>
        </w:rPr>
        <w:t xml:space="preserve"> ECR; </w:t>
      </w:r>
      <w:r w:rsidR="00423219" w:rsidRPr="00DE0879">
        <w:rPr>
          <w:b w:val="0"/>
          <w:i/>
          <w:color w:val="000000" w:themeColor="text1"/>
        </w:rPr>
        <w:t>101, 102, 103</w:t>
      </w:r>
      <w:r w:rsidR="00EB7D24" w:rsidRPr="00DE0879">
        <w:rPr>
          <w:b w:val="0"/>
          <w:i/>
          <w:color w:val="000000" w:themeColor="text1"/>
        </w:rPr>
        <w:t>, 125, 126</w:t>
      </w:r>
      <w:r w:rsidR="00423219" w:rsidRPr="00DE0879">
        <w:rPr>
          <w:b w:val="0"/>
          <w:i/>
          <w:color w:val="000000" w:themeColor="text1"/>
        </w:rPr>
        <w:t xml:space="preserve"> </w:t>
      </w:r>
      <w:r w:rsidRPr="00DE0879">
        <w:rPr>
          <w:b w:val="0"/>
          <w:i/>
          <w:color w:val="000000" w:themeColor="text1"/>
        </w:rPr>
        <w:t xml:space="preserve">The Left; </w:t>
      </w:r>
      <w:r w:rsidR="00EB7D24" w:rsidRPr="00DE0879">
        <w:rPr>
          <w:b w:val="0"/>
          <w:i/>
          <w:color w:val="000000" w:themeColor="text1"/>
        </w:rPr>
        <w:t>124</w:t>
      </w:r>
      <w:r w:rsidR="00231912" w:rsidRPr="00DE0879">
        <w:rPr>
          <w:b w:val="0"/>
          <w:i/>
          <w:color w:val="000000" w:themeColor="text1"/>
        </w:rPr>
        <w:t>, 136</w:t>
      </w:r>
      <w:r w:rsidR="00EB7D24" w:rsidRPr="00DE0879">
        <w:rPr>
          <w:b w:val="0"/>
          <w:i/>
          <w:color w:val="000000" w:themeColor="text1"/>
        </w:rPr>
        <w:t xml:space="preserve"> Renew, </w:t>
      </w:r>
      <w:r w:rsidR="00CE2D5A" w:rsidRPr="00DE0879">
        <w:rPr>
          <w:b w:val="0"/>
          <w:i/>
          <w:color w:val="000000" w:themeColor="text1"/>
        </w:rPr>
        <w:t xml:space="preserve">96 </w:t>
      </w:r>
      <w:r w:rsidR="002F741C" w:rsidRPr="00DE0879">
        <w:rPr>
          <w:b w:val="0"/>
          <w:i/>
          <w:color w:val="000000" w:themeColor="text1"/>
        </w:rPr>
        <w:t>100</w:t>
      </w:r>
      <w:r w:rsidR="007A62DA" w:rsidRPr="00DE0879">
        <w:rPr>
          <w:b w:val="0"/>
          <w:i/>
          <w:color w:val="000000" w:themeColor="text1"/>
        </w:rPr>
        <w:t>,</w:t>
      </w:r>
      <w:r w:rsidR="001C41C0" w:rsidRPr="00DE0879">
        <w:rPr>
          <w:b w:val="0"/>
          <w:i/>
          <w:color w:val="000000" w:themeColor="text1"/>
        </w:rPr>
        <w:t xml:space="preserve"> 116,</w:t>
      </w:r>
      <w:r w:rsidR="007A62DA" w:rsidRPr="00DE0879">
        <w:rPr>
          <w:b w:val="0"/>
          <w:i/>
          <w:color w:val="000000" w:themeColor="text1"/>
        </w:rPr>
        <w:t xml:space="preserve"> 121</w:t>
      </w:r>
      <w:r w:rsidR="00EB7D24" w:rsidRPr="00DE0879">
        <w:rPr>
          <w:b w:val="0"/>
          <w:i/>
          <w:color w:val="000000" w:themeColor="text1"/>
        </w:rPr>
        <w:t>, 123</w:t>
      </w:r>
      <w:r w:rsidR="00231912" w:rsidRPr="00DE0879">
        <w:rPr>
          <w:b w:val="0"/>
          <w:i/>
          <w:color w:val="000000" w:themeColor="text1"/>
        </w:rPr>
        <w:t xml:space="preserve">, </w:t>
      </w:r>
      <w:r w:rsidR="001C41C0" w:rsidRPr="00DE0879">
        <w:rPr>
          <w:b w:val="0"/>
          <w:i/>
          <w:color w:val="000000" w:themeColor="text1"/>
        </w:rPr>
        <w:t xml:space="preserve">131, 132, </w:t>
      </w:r>
      <w:r w:rsidR="00231912" w:rsidRPr="00DE0879">
        <w:rPr>
          <w:b w:val="0"/>
          <w:i/>
          <w:color w:val="000000" w:themeColor="text1"/>
        </w:rPr>
        <w:t xml:space="preserve"> 138, 139, 140, 141</w:t>
      </w:r>
      <w:r w:rsidR="00D64A2F" w:rsidRPr="00DE0879">
        <w:rPr>
          <w:b w:val="0"/>
          <w:i/>
          <w:color w:val="000000" w:themeColor="text1"/>
        </w:rPr>
        <w:t>, 152</w:t>
      </w:r>
      <w:r w:rsidR="002F741C" w:rsidRPr="00DE0879">
        <w:rPr>
          <w:b w:val="0"/>
          <w:i/>
          <w:color w:val="000000" w:themeColor="text1"/>
        </w:rPr>
        <w:t xml:space="preserve"> </w:t>
      </w:r>
      <w:r w:rsidRPr="00DE0879">
        <w:rPr>
          <w:b w:val="0"/>
          <w:i/>
          <w:color w:val="000000" w:themeColor="text1"/>
        </w:rPr>
        <w:t xml:space="preserve">Rapp. </w:t>
      </w:r>
    </w:p>
    <w:p w:rsidR="00BC6780" w:rsidRPr="00DE0879" w:rsidRDefault="00BC6780" w:rsidP="00BC6780">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BC6780" w:rsidRPr="00DE0879" w:rsidRDefault="00BC6780" w:rsidP="00BC6780">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 89</w:t>
      </w:r>
      <w:r w:rsidR="00D734BE" w:rsidRPr="00DE0879">
        <w:rPr>
          <w:b w:val="0"/>
          <w:i/>
          <w:color w:val="000000" w:themeColor="text1"/>
        </w:rPr>
        <w:t>, 118</w:t>
      </w:r>
      <w:r w:rsidRPr="00DE0879">
        <w:rPr>
          <w:b w:val="0"/>
          <w:i/>
          <w:color w:val="000000" w:themeColor="text1"/>
        </w:rPr>
        <w:t xml:space="preserve"> PfE; </w:t>
      </w:r>
      <w:r w:rsidR="00A55A04" w:rsidRPr="00DE0879">
        <w:rPr>
          <w:b w:val="0"/>
          <w:i/>
          <w:color w:val="000000" w:themeColor="text1"/>
        </w:rPr>
        <w:t xml:space="preserve">104 ECR; 114 EPP; </w:t>
      </w:r>
      <w:r w:rsidR="00D734BE" w:rsidRPr="00DE0879">
        <w:rPr>
          <w:b w:val="0"/>
          <w:i/>
          <w:color w:val="000000" w:themeColor="text1"/>
        </w:rPr>
        <w:t xml:space="preserve">119 Renew, </w:t>
      </w:r>
      <w:r w:rsidR="00EB7D24" w:rsidRPr="00DE0879">
        <w:rPr>
          <w:b w:val="0"/>
          <w:i/>
          <w:color w:val="000000" w:themeColor="text1"/>
        </w:rPr>
        <w:t xml:space="preserve">129 </w:t>
      </w:r>
      <w:r w:rsidRPr="00DE0879">
        <w:rPr>
          <w:b w:val="0"/>
          <w:i/>
          <w:color w:val="000000" w:themeColor="text1"/>
        </w:rPr>
        <w:t xml:space="preserve">NA; 91 S&amp;D; </w:t>
      </w:r>
      <w:r w:rsidR="00EB7D24" w:rsidRPr="00DE0879">
        <w:rPr>
          <w:b w:val="0"/>
          <w:i/>
          <w:color w:val="000000" w:themeColor="text1"/>
        </w:rPr>
        <w:t xml:space="preserve">135 </w:t>
      </w:r>
      <w:r w:rsidRPr="00DE0879">
        <w:rPr>
          <w:b w:val="0"/>
          <w:i/>
          <w:color w:val="000000" w:themeColor="text1"/>
        </w:rPr>
        <w:t>Greens/EFA; 88</w:t>
      </w:r>
      <w:r w:rsidR="002F741C" w:rsidRPr="00DE0879">
        <w:rPr>
          <w:b w:val="0"/>
          <w:i/>
          <w:color w:val="000000" w:themeColor="text1"/>
        </w:rPr>
        <w:t>, 98</w:t>
      </w:r>
      <w:r w:rsidR="00E951BA" w:rsidRPr="00DE0879">
        <w:rPr>
          <w:b w:val="0"/>
          <w:i/>
          <w:color w:val="000000" w:themeColor="text1"/>
        </w:rPr>
        <w:t>, 147</w:t>
      </w:r>
      <w:r w:rsidRPr="00DE0879">
        <w:rPr>
          <w:b w:val="0"/>
          <w:i/>
          <w:color w:val="000000" w:themeColor="text1"/>
        </w:rPr>
        <w:t xml:space="preserve"> The Left</w:t>
      </w:r>
      <w:r w:rsidR="009D51D7" w:rsidRPr="00DE0879">
        <w:rPr>
          <w:b w:val="0"/>
          <w:i/>
          <w:color w:val="000000" w:themeColor="text1"/>
        </w:rPr>
        <w:t xml:space="preserve">, </w:t>
      </w:r>
      <w:r w:rsidR="001C41C0" w:rsidRPr="00DE0879">
        <w:rPr>
          <w:b w:val="0"/>
          <w:i/>
          <w:color w:val="000000" w:themeColor="text1"/>
        </w:rPr>
        <w:t xml:space="preserve">137, </w:t>
      </w:r>
      <w:r w:rsidR="009D51D7" w:rsidRPr="00DE0879">
        <w:rPr>
          <w:b w:val="0"/>
          <w:i/>
          <w:color w:val="000000" w:themeColor="text1"/>
        </w:rPr>
        <w:t>149</w:t>
      </w:r>
      <w:r w:rsidR="00D64A2F" w:rsidRPr="00DE0879">
        <w:rPr>
          <w:b w:val="0"/>
          <w:i/>
          <w:color w:val="000000" w:themeColor="text1"/>
        </w:rPr>
        <w:t>, 151</w:t>
      </w:r>
      <w:r w:rsidR="009D51D7" w:rsidRPr="00DE0879">
        <w:rPr>
          <w:b w:val="0"/>
          <w:i/>
          <w:color w:val="000000" w:themeColor="text1"/>
        </w:rPr>
        <w:t xml:space="preserve"> Rapp</w:t>
      </w:r>
      <w:r w:rsidRPr="00DE0879">
        <w:rPr>
          <w:b w:val="0"/>
          <w:i/>
          <w:color w:val="000000" w:themeColor="text1"/>
        </w:rPr>
        <w:t>.</w:t>
      </w:r>
    </w:p>
    <w:p w:rsidR="00BC6780" w:rsidRPr="00DE0879" w:rsidRDefault="00BC6780" w:rsidP="00BC6780">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AB14E7" w:rsidRPr="00DE0879" w:rsidRDefault="00D50A31">
      <w:pPr>
        <w:pStyle w:val="Normal12a24b"/>
        <w:rPr>
          <w:color w:val="000000" w:themeColor="text1"/>
        </w:rPr>
      </w:pPr>
      <w:r w:rsidRPr="00DE0879">
        <w:rPr>
          <w:rStyle w:val="BoldItalic"/>
          <w:color w:val="000000" w:themeColor="text1"/>
        </w:rPr>
        <w:t>Tax simplification and digitalisation</w:t>
      </w:r>
    </w:p>
    <w:p w:rsidR="00AB14E7" w:rsidRPr="00DE0879" w:rsidRDefault="00D50A31" w:rsidP="00F238FD">
      <w:pPr>
        <w:pStyle w:val="NormalHanging12a"/>
        <w:jc w:val="both"/>
        <w:rPr>
          <w:color w:val="000000" w:themeColor="text1"/>
        </w:rPr>
      </w:pPr>
      <w:r w:rsidRPr="00DE0879">
        <w:rPr>
          <w:color w:val="000000" w:themeColor="text1"/>
        </w:rPr>
        <w:t>6.</w:t>
      </w:r>
      <w:r w:rsidRPr="00DE0879">
        <w:rPr>
          <w:color w:val="000000" w:themeColor="text1"/>
        </w:rPr>
        <w:tab/>
        <w:t>Recalls the Commission’s priority to ensure business simplification across all policies, including taxation</w:t>
      </w:r>
      <w:r w:rsidR="00CE2D5A" w:rsidRPr="00DE0879">
        <w:rPr>
          <w:color w:val="000000" w:themeColor="text1"/>
        </w:rPr>
        <w:t xml:space="preserve"> </w:t>
      </w:r>
      <w:r w:rsidR="00CE2D5A" w:rsidRPr="00DE0879">
        <w:rPr>
          <w:b/>
          <w:i/>
          <w:color w:val="000000" w:themeColor="text1"/>
        </w:rPr>
        <w:t>within its competences</w:t>
      </w:r>
      <w:r w:rsidRPr="00DE0879">
        <w:rPr>
          <w:color w:val="000000" w:themeColor="text1"/>
        </w:rPr>
        <w:t xml:space="preserve">, with the goal of reducing reporting requirements by </w:t>
      </w:r>
      <w:r w:rsidR="00BC6780" w:rsidRPr="00DE0879">
        <w:rPr>
          <w:b/>
          <w:i/>
          <w:color w:val="000000" w:themeColor="text1"/>
        </w:rPr>
        <w:t>at least</w:t>
      </w:r>
      <w:r w:rsidR="00F238FD" w:rsidRPr="00DE0879">
        <w:rPr>
          <w:color w:val="000000" w:themeColor="text1"/>
        </w:rPr>
        <w:t xml:space="preserve"> </w:t>
      </w:r>
      <w:r w:rsidRPr="00DE0879">
        <w:rPr>
          <w:color w:val="000000" w:themeColor="text1"/>
        </w:rPr>
        <w:t>25 % (and for SMEs by at least 35 %); calls, in this respect, on the Commission</w:t>
      </w:r>
      <w:r w:rsidR="00BC6780" w:rsidRPr="00DE0879">
        <w:rPr>
          <w:b/>
          <w:i/>
          <w:color w:val="000000" w:themeColor="text1"/>
        </w:rPr>
        <w:t>, in close and continuous dialogue with the Member States,</w:t>
      </w:r>
      <w:r w:rsidRPr="00DE0879">
        <w:rPr>
          <w:color w:val="000000" w:themeColor="text1"/>
        </w:rPr>
        <w:t xml:space="preserve"> to systematically conduct ex ante impact assessments of all new tax-related legislative proposals, as well as a competitiveness check on current measures</w:t>
      </w:r>
      <w:r w:rsidR="00BC6780" w:rsidRPr="00DE0879">
        <w:rPr>
          <w:b/>
          <w:i/>
          <w:color w:val="000000" w:themeColor="text1"/>
        </w:rPr>
        <w:t>,</w:t>
      </w:r>
      <w:r w:rsidRPr="00DE0879">
        <w:rPr>
          <w:color w:val="000000" w:themeColor="text1"/>
        </w:rPr>
        <w:t xml:space="preserve"> to quantify the expected reduction in administrative burdens and ensure that new rules align with the EU’s economic growth </w:t>
      </w:r>
      <w:r w:rsidR="00BC6780" w:rsidRPr="00DE0879">
        <w:rPr>
          <w:b/>
          <w:i/>
          <w:color w:val="000000" w:themeColor="text1"/>
        </w:rPr>
        <w:t>and green</w:t>
      </w:r>
      <w:r w:rsidR="00811049" w:rsidRPr="00DE0879">
        <w:rPr>
          <w:b/>
          <w:i/>
          <w:color w:val="000000" w:themeColor="text1"/>
        </w:rPr>
        <w:t xml:space="preserve"> </w:t>
      </w:r>
      <w:r w:rsidR="00811049" w:rsidRPr="00DE0879">
        <w:rPr>
          <w:b/>
          <w:i/>
          <w:color w:val="000000" w:themeColor="text1"/>
          <w:u w:val="single"/>
        </w:rPr>
        <w:t>and digital</w:t>
      </w:r>
      <w:r w:rsidR="00BC6780" w:rsidRPr="00DE0879">
        <w:rPr>
          <w:b/>
          <w:i/>
          <w:color w:val="000000" w:themeColor="text1"/>
          <w:u w:val="single"/>
        </w:rPr>
        <w:t xml:space="preserve"> transition</w:t>
      </w:r>
      <w:r w:rsidR="00F238FD" w:rsidRPr="00DE0879">
        <w:rPr>
          <w:b/>
          <w:i/>
          <w:color w:val="000000" w:themeColor="text1"/>
          <w:u w:val="single"/>
        </w:rPr>
        <w:t xml:space="preserve"> </w:t>
      </w:r>
      <w:r w:rsidRPr="00DE0879">
        <w:rPr>
          <w:color w:val="000000" w:themeColor="text1"/>
        </w:rPr>
        <w:t>objectives</w:t>
      </w:r>
      <w:r w:rsidR="00F238FD" w:rsidRPr="00DE0879">
        <w:rPr>
          <w:color w:val="000000" w:themeColor="text1"/>
        </w:rPr>
        <w:t xml:space="preserve"> </w:t>
      </w:r>
      <w:r w:rsidR="00F238FD" w:rsidRPr="00DE0879">
        <w:rPr>
          <w:b/>
          <w:color w:val="000000" w:themeColor="text1"/>
        </w:rPr>
        <w:t>(AMs 90, 95 ECR, 93 Greens/EFA, 94 EPP)</w:t>
      </w:r>
      <w:r w:rsidRPr="00DE0879">
        <w:rPr>
          <w:color w:val="000000" w:themeColor="text1"/>
        </w:rPr>
        <w:t>;</w:t>
      </w:r>
    </w:p>
    <w:p w:rsidR="00CE2D5A" w:rsidRPr="00DE0879" w:rsidRDefault="00043A62" w:rsidP="00F238FD">
      <w:pPr>
        <w:pStyle w:val="NormalHanging12a"/>
        <w:jc w:val="both"/>
        <w:rPr>
          <w:b/>
          <w:i/>
          <w:color w:val="000000" w:themeColor="text1"/>
        </w:rPr>
      </w:pPr>
      <w:r w:rsidRPr="00DE0879">
        <w:rPr>
          <w:b/>
          <w:i/>
          <w:color w:val="000000" w:themeColor="text1"/>
        </w:rPr>
        <w:t>6</w:t>
      </w:r>
      <w:r w:rsidR="00CE2D5A" w:rsidRPr="00DE0879">
        <w:rPr>
          <w:b/>
          <w:i/>
          <w:color w:val="000000" w:themeColor="text1"/>
        </w:rPr>
        <w:t>a</w:t>
      </w:r>
      <w:r w:rsidRPr="00DE0879">
        <w:rPr>
          <w:b/>
          <w:i/>
          <w:color w:val="000000" w:themeColor="text1"/>
        </w:rPr>
        <w:t xml:space="preserve"> (new) </w:t>
      </w:r>
      <w:r w:rsidR="00CE2D5A" w:rsidRPr="00DE0879">
        <w:rPr>
          <w:b/>
          <w:i/>
          <w:color w:val="000000" w:themeColor="text1"/>
        </w:rPr>
        <w:t xml:space="preserve">Urges the European Commission to identify and eliminate all instances of duplicate reporting and establish a system for efficient data-sharing between tax administrations, thereby relieving taxpayers of double reporting obligations; </w:t>
      </w:r>
      <w:r w:rsidR="00CE2D5A" w:rsidRPr="00DE0879">
        <w:rPr>
          <w:b/>
          <w:i/>
          <w:color w:val="000000" w:themeColor="text1"/>
          <w:u w:val="single"/>
        </w:rPr>
        <w:t>notes that, in this context,</w:t>
      </w:r>
      <w:r w:rsidR="00CE2D5A" w:rsidRPr="00DE0879">
        <w:rPr>
          <w:b/>
          <w:i/>
          <w:color w:val="000000" w:themeColor="text1"/>
        </w:rPr>
        <w:t xml:space="preserve"> simple gains could be made such as amending the Directive EU 2021/2101 on public country-by-country reporting to grant equivalence of the EU rules with the Global Reporting Initiative’s 207 standard; calls on the Commission to assess</w:t>
      </w:r>
      <w:r w:rsidR="00C11ACF" w:rsidRPr="00DE0879">
        <w:rPr>
          <w:b/>
          <w:i/>
          <w:color w:val="000000" w:themeColor="text1"/>
        </w:rPr>
        <w:t xml:space="preserve"> </w:t>
      </w:r>
      <w:r w:rsidR="00C11ACF" w:rsidRPr="00DE0879">
        <w:rPr>
          <w:b/>
          <w:i/>
          <w:color w:val="000000" w:themeColor="text1"/>
          <w:u w:val="single"/>
        </w:rPr>
        <w:t>the merits of</w:t>
      </w:r>
      <w:r w:rsidR="00CE2D5A" w:rsidRPr="00DE0879">
        <w:rPr>
          <w:b/>
          <w:i/>
          <w:color w:val="000000" w:themeColor="text1"/>
        </w:rPr>
        <w:t xml:space="preserve"> such equivalence </w:t>
      </w:r>
      <w:r w:rsidR="00CE2D5A" w:rsidRPr="00DE0879">
        <w:rPr>
          <w:b/>
          <w:color w:val="000000" w:themeColor="text1"/>
        </w:rPr>
        <w:t>(AM</w:t>
      </w:r>
      <w:r w:rsidR="00F238FD" w:rsidRPr="00DE0879">
        <w:rPr>
          <w:b/>
          <w:color w:val="000000" w:themeColor="text1"/>
        </w:rPr>
        <w:t>s</w:t>
      </w:r>
      <w:r w:rsidR="00CE2D5A" w:rsidRPr="00DE0879">
        <w:rPr>
          <w:b/>
          <w:color w:val="000000" w:themeColor="text1"/>
        </w:rPr>
        <w:t xml:space="preserve"> 96 Rapp, 97 Greens/EFA)</w:t>
      </w:r>
      <w:r w:rsidR="00CE2D5A" w:rsidRPr="00DE0879">
        <w:rPr>
          <w:b/>
          <w:i/>
          <w:color w:val="000000" w:themeColor="text1"/>
        </w:rPr>
        <w:t>;</w:t>
      </w:r>
    </w:p>
    <w:p w:rsidR="002F741C" w:rsidRPr="00DE0879" w:rsidRDefault="00043A62" w:rsidP="005A0A86">
      <w:pPr>
        <w:pStyle w:val="NormalHanging12a"/>
        <w:jc w:val="both"/>
        <w:rPr>
          <w:b/>
          <w:i/>
          <w:color w:val="000000" w:themeColor="text1"/>
        </w:rPr>
      </w:pPr>
      <w:r w:rsidRPr="00DE0879">
        <w:rPr>
          <w:b/>
          <w:i/>
          <w:color w:val="000000" w:themeColor="text1"/>
        </w:rPr>
        <w:t>6</w:t>
      </w:r>
      <w:r w:rsidR="00872C2B" w:rsidRPr="00DE0879">
        <w:rPr>
          <w:b/>
          <w:i/>
          <w:color w:val="000000" w:themeColor="text1"/>
        </w:rPr>
        <w:t>b</w:t>
      </w:r>
      <w:r w:rsidRPr="00DE0879">
        <w:rPr>
          <w:b/>
          <w:i/>
          <w:color w:val="000000" w:themeColor="text1"/>
        </w:rPr>
        <w:t xml:space="preserve"> (new)</w:t>
      </w:r>
      <w:r w:rsidR="002F741C" w:rsidRPr="00DE0879">
        <w:rPr>
          <w:b/>
          <w:i/>
          <w:color w:val="000000" w:themeColor="text1"/>
        </w:rPr>
        <w:t xml:space="preserve"> Calls on the Commission and Member States to streamline tax obligations for the defence industry by expanding and simplifying VAT exemptions for procurement</w:t>
      </w:r>
      <w:r w:rsidR="0002359C" w:rsidRPr="00DE0879">
        <w:rPr>
          <w:b/>
          <w:i/>
          <w:color w:val="000000" w:themeColor="text1"/>
        </w:rPr>
        <w:t xml:space="preserve"> </w:t>
      </w:r>
      <w:r w:rsidR="002F741C" w:rsidRPr="00DE0879">
        <w:rPr>
          <w:b/>
          <w:i/>
          <w:color w:val="000000" w:themeColor="text1"/>
        </w:rPr>
        <w:t xml:space="preserve">in the context of joint EU defence initiatives, </w:t>
      </w:r>
      <w:r w:rsidR="002F741C" w:rsidRPr="00DE0879">
        <w:rPr>
          <w:b/>
          <w:color w:val="000000" w:themeColor="text1"/>
        </w:rPr>
        <w:t>(AM 99 ECR)</w:t>
      </w:r>
      <w:r w:rsidR="002F741C" w:rsidRPr="00DE0879">
        <w:rPr>
          <w:b/>
          <w:i/>
          <w:color w:val="000000" w:themeColor="text1"/>
        </w:rPr>
        <w:t>;</w:t>
      </w:r>
    </w:p>
    <w:p w:rsidR="002F741C" w:rsidRPr="00DE0879" w:rsidRDefault="00872C2B" w:rsidP="005A0A86">
      <w:pPr>
        <w:pStyle w:val="NormalHanging12a"/>
        <w:jc w:val="both"/>
        <w:rPr>
          <w:b/>
          <w:i/>
          <w:color w:val="000000" w:themeColor="text1"/>
        </w:rPr>
      </w:pPr>
      <w:r w:rsidRPr="00DE0879">
        <w:rPr>
          <w:b/>
          <w:i/>
          <w:color w:val="000000" w:themeColor="text1"/>
        </w:rPr>
        <w:t>6c</w:t>
      </w:r>
      <w:r w:rsidR="00043A62" w:rsidRPr="00DE0879">
        <w:rPr>
          <w:b/>
          <w:i/>
          <w:color w:val="000000" w:themeColor="text1"/>
        </w:rPr>
        <w:t xml:space="preserve"> (new) </w:t>
      </w:r>
      <w:r w:rsidR="002F741C" w:rsidRPr="00DE0879">
        <w:rPr>
          <w:b/>
          <w:i/>
          <w:color w:val="000000" w:themeColor="text1"/>
        </w:rPr>
        <w:t xml:space="preserve">Calls for the establishment of an EU Tax Data Hub to improve the automatic exchange of tax information and reduce administrative burdens; encourages the Commission and Member States to build on existing tools, such as the VAT Information Exchange System (VIES) and The Excise Movement and Control System (EMCS), and explore extending its application to areas like direct taxation; such a hub should enable joint analysis of information relevant for the control process of taxation with a cross border component, prevent duplication, and serve as a single access point for tax administrations across the EU </w:t>
      </w:r>
      <w:r w:rsidR="002F741C" w:rsidRPr="00DE0879">
        <w:rPr>
          <w:b/>
          <w:color w:val="000000" w:themeColor="text1"/>
        </w:rPr>
        <w:t>(AM 100 Rapp)</w:t>
      </w:r>
      <w:r w:rsidR="002F741C" w:rsidRPr="00DE0879">
        <w:rPr>
          <w:b/>
          <w:i/>
          <w:color w:val="000000" w:themeColor="text1"/>
        </w:rPr>
        <w:t>;</w:t>
      </w:r>
      <w:r w:rsidR="007C025E" w:rsidRPr="00DE0879">
        <w:rPr>
          <w:b/>
          <w:i/>
          <w:color w:val="000000" w:themeColor="text1"/>
        </w:rPr>
        <w:t xml:space="preserve"> </w:t>
      </w:r>
    </w:p>
    <w:p w:rsidR="00C7130F" w:rsidRPr="00DE0879" w:rsidRDefault="00B37F0B" w:rsidP="00C7130F">
      <w:pPr>
        <w:pStyle w:val="NormalHanging12a"/>
        <w:jc w:val="both"/>
        <w:rPr>
          <w:b/>
          <w:i/>
          <w:color w:val="000000" w:themeColor="text1"/>
        </w:rPr>
      </w:pPr>
      <w:r w:rsidRPr="00DE0879">
        <w:rPr>
          <w:b/>
          <w:i/>
          <w:color w:val="000000" w:themeColor="text1"/>
        </w:rPr>
        <w:t>6d</w:t>
      </w:r>
      <w:r w:rsidR="00C7130F" w:rsidRPr="00DE0879">
        <w:rPr>
          <w:b/>
          <w:i/>
          <w:color w:val="000000" w:themeColor="text1"/>
        </w:rPr>
        <w:t xml:space="preserve"> (new) Highlights the role of e-invoicing as a key tool to enhance transparency, reduce administrative burdens, and enable the practical and efficient use of reported data </w:t>
      </w:r>
      <w:r w:rsidR="00C7130F" w:rsidRPr="00DE0879">
        <w:rPr>
          <w:b/>
          <w:color w:val="000000" w:themeColor="text1"/>
        </w:rPr>
        <w:t>(AM 86 The Left)</w:t>
      </w:r>
      <w:r w:rsidR="00C7130F" w:rsidRPr="00DE0879">
        <w:rPr>
          <w:b/>
          <w:i/>
          <w:color w:val="000000" w:themeColor="text1"/>
        </w:rPr>
        <w:t>;</w:t>
      </w:r>
    </w:p>
    <w:p w:rsidR="00423219" w:rsidRPr="00DE0879" w:rsidRDefault="00043A62" w:rsidP="005A0A86">
      <w:pPr>
        <w:pStyle w:val="NormalHanging12a"/>
        <w:jc w:val="both"/>
        <w:rPr>
          <w:b/>
          <w:i/>
          <w:color w:val="000000" w:themeColor="text1"/>
        </w:rPr>
      </w:pPr>
      <w:r w:rsidRPr="00DE0879">
        <w:rPr>
          <w:b/>
          <w:i/>
          <w:color w:val="000000" w:themeColor="text1"/>
        </w:rPr>
        <w:t>6</w:t>
      </w:r>
      <w:r w:rsidR="00872C2B" w:rsidRPr="00DE0879">
        <w:rPr>
          <w:b/>
          <w:i/>
          <w:color w:val="000000" w:themeColor="text1"/>
        </w:rPr>
        <w:t>e</w:t>
      </w:r>
      <w:r w:rsidRPr="00DE0879">
        <w:rPr>
          <w:b/>
          <w:i/>
          <w:color w:val="000000" w:themeColor="text1"/>
        </w:rPr>
        <w:t xml:space="preserve"> (new) </w:t>
      </w:r>
      <w:r w:rsidR="00423219" w:rsidRPr="00DE0879">
        <w:rPr>
          <w:b/>
          <w:i/>
          <w:color w:val="000000" w:themeColor="text1"/>
        </w:rPr>
        <w:t xml:space="preserve">Recalls that in the absence of robust reporting, tax administrations would lack the basic information necessary to detect, investigate, and prevent abusive tax practices. Underlines that access to timely and comprehensive tax data is essential for safeguarding the fairness of tax systems and protect public revenues </w:t>
      </w:r>
      <w:r w:rsidR="00423219" w:rsidRPr="00DE0879">
        <w:rPr>
          <w:b/>
          <w:color w:val="000000" w:themeColor="text1"/>
        </w:rPr>
        <w:t>(AM 102 The Left)</w:t>
      </w:r>
      <w:r w:rsidR="00423219" w:rsidRPr="00DE0879">
        <w:rPr>
          <w:b/>
          <w:i/>
          <w:color w:val="000000" w:themeColor="text1"/>
        </w:rPr>
        <w:t>;</w:t>
      </w:r>
    </w:p>
    <w:p w:rsidR="00423219" w:rsidRPr="00DE0879" w:rsidRDefault="00043A62" w:rsidP="005A0A86">
      <w:pPr>
        <w:pStyle w:val="NormalHanging12a"/>
        <w:jc w:val="both"/>
        <w:rPr>
          <w:b/>
          <w:i/>
          <w:color w:val="000000" w:themeColor="text1"/>
        </w:rPr>
      </w:pPr>
      <w:r w:rsidRPr="00DE0879">
        <w:rPr>
          <w:b/>
          <w:i/>
          <w:color w:val="000000" w:themeColor="text1"/>
        </w:rPr>
        <w:t>6</w:t>
      </w:r>
      <w:r w:rsidR="00872C2B" w:rsidRPr="00DE0879">
        <w:rPr>
          <w:b/>
          <w:i/>
          <w:color w:val="000000" w:themeColor="text1"/>
        </w:rPr>
        <w:t>f</w:t>
      </w:r>
      <w:r w:rsidRPr="00DE0879">
        <w:rPr>
          <w:b/>
          <w:i/>
          <w:color w:val="000000" w:themeColor="text1"/>
        </w:rPr>
        <w:t xml:space="preserve"> (new) </w:t>
      </w:r>
      <w:r w:rsidR="00423219" w:rsidRPr="00DE0879">
        <w:rPr>
          <w:b/>
          <w:i/>
          <w:color w:val="000000" w:themeColor="text1"/>
        </w:rPr>
        <w:t xml:space="preserve">Recognises that to justify the costs of compliance with reporting requirements, there is a need for well-resourced and efficient tax administrations, equipped with adequately trained personnel and modern digital infrastructure. Stresses the need to invest in the capacity of tax authorities to ensure that existing reporting obligations are used to their full potential </w:t>
      </w:r>
      <w:r w:rsidR="00423219" w:rsidRPr="00DE0879">
        <w:rPr>
          <w:b/>
          <w:color w:val="000000" w:themeColor="text1"/>
        </w:rPr>
        <w:t>(AM 103 The Left)</w:t>
      </w:r>
      <w:r w:rsidR="00423219" w:rsidRPr="00DE0879">
        <w:rPr>
          <w:b/>
          <w:i/>
          <w:color w:val="000000" w:themeColor="text1"/>
        </w:rPr>
        <w:t>;</w:t>
      </w:r>
    </w:p>
    <w:p w:rsidR="00AB14E7" w:rsidRPr="00DE0879" w:rsidRDefault="00D50A31" w:rsidP="005A0A86">
      <w:pPr>
        <w:pStyle w:val="NormalHanging12a"/>
        <w:jc w:val="both"/>
        <w:rPr>
          <w:color w:val="000000" w:themeColor="text1"/>
        </w:rPr>
      </w:pPr>
      <w:r w:rsidRPr="00DE0879">
        <w:rPr>
          <w:color w:val="000000" w:themeColor="text1"/>
        </w:rPr>
        <w:t>7.</w:t>
      </w:r>
      <w:r w:rsidRPr="00DE0879">
        <w:rPr>
          <w:color w:val="000000" w:themeColor="text1"/>
        </w:rPr>
        <w:tab/>
        <w:t>Recalls that simple, stable and predictable tax rules are essential for a competitive economy</w:t>
      </w:r>
      <w:r w:rsidR="00423219" w:rsidRPr="00DE0879">
        <w:rPr>
          <w:color w:val="000000" w:themeColor="text1"/>
        </w:rPr>
        <w:t xml:space="preserve"> </w:t>
      </w:r>
      <w:r w:rsidR="00423219" w:rsidRPr="00DE0879">
        <w:rPr>
          <w:b/>
          <w:i/>
          <w:color w:val="000000" w:themeColor="text1"/>
        </w:rPr>
        <w:t>and will contribute to the creation of jobs and economic growth</w:t>
      </w:r>
      <w:r w:rsidRPr="00DE0879">
        <w:rPr>
          <w:color w:val="000000" w:themeColor="text1"/>
        </w:rPr>
        <w:t xml:space="preserve">; </w:t>
      </w:r>
      <w:r w:rsidRPr="00DE0879">
        <w:rPr>
          <w:strike/>
          <w:color w:val="000000" w:themeColor="text1"/>
        </w:rPr>
        <w:t>calls on the Commission to guide</w:t>
      </w:r>
      <w:r w:rsidRPr="00DE0879">
        <w:rPr>
          <w:color w:val="000000" w:themeColor="text1"/>
        </w:rPr>
        <w:t xml:space="preserve"> </w:t>
      </w:r>
      <w:r w:rsidR="00423219" w:rsidRPr="00DE0879">
        <w:rPr>
          <w:b/>
          <w:i/>
          <w:color w:val="000000" w:themeColor="text1"/>
          <w:u w:val="single"/>
        </w:rPr>
        <w:t>calls on the Commission to</w:t>
      </w:r>
      <w:r w:rsidR="00423219" w:rsidRPr="00DE0879">
        <w:rPr>
          <w:color w:val="000000" w:themeColor="text1"/>
        </w:rPr>
        <w:t xml:space="preserve"> </w:t>
      </w:r>
      <w:r w:rsidR="00423219" w:rsidRPr="00DE0879">
        <w:rPr>
          <w:b/>
          <w:i/>
          <w:color w:val="000000" w:themeColor="text1"/>
        </w:rPr>
        <w:t xml:space="preserve">issue recommendations </w:t>
      </w:r>
      <w:r w:rsidRPr="00DE0879">
        <w:rPr>
          <w:color w:val="000000" w:themeColor="text1"/>
        </w:rPr>
        <w:t>towards a simplified</w:t>
      </w:r>
      <w:r w:rsidR="00423219" w:rsidRPr="00DE0879">
        <w:rPr>
          <w:color w:val="000000" w:themeColor="text1"/>
        </w:rPr>
        <w:t xml:space="preserve">, </w:t>
      </w:r>
      <w:r w:rsidR="00423219" w:rsidRPr="00DE0879">
        <w:rPr>
          <w:b/>
          <w:i/>
          <w:color w:val="000000" w:themeColor="text1"/>
        </w:rPr>
        <w:t>competitive</w:t>
      </w:r>
      <w:r w:rsidR="00423219" w:rsidRPr="00DE0879">
        <w:rPr>
          <w:color w:val="000000" w:themeColor="text1"/>
        </w:rPr>
        <w:t xml:space="preserve"> </w:t>
      </w:r>
      <w:r w:rsidRPr="00DE0879">
        <w:rPr>
          <w:color w:val="000000" w:themeColor="text1"/>
        </w:rPr>
        <w:t>tax system to reduce the administrative burden for companies</w:t>
      </w:r>
      <w:r w:rsidR="00423219" w:rsidRPr="00DE0879">
        <w:rPr>
          <w:color w:val="000000" w:themeColor="text1"/>
        </w:rPr>
        <w:t xml:space="preserve"> </w:t>
      </w:r>
      <w:r w:rsidR="00423219" w:rsidRPr="00DE0879">
        <w:rPr>
          <w:b/>
          <w:i/>
          <w:color w:val="000000" w:themeColor="text1"/>
        </w:rPr>
        <w:t xml:space="preserve">and citizens, where deemed appropriate, for example in the format of </w:t>
      </w:r>
      <w:r w:rsidR="00811049" w:rsidRPr="00DE0879">
        <w:rPr>
          <w:b/>
          <w:i/>
          <w:color w:val="000000" w:themeColor="text1"/>
          <w:u w:val="single"/>
        </w:rPr>
        <w:t>streamlining</w:t>
      </w:r>
      <w:r w:rsidR="00811049" w:rsidRPr="00DE0879">
        <w:rPr>
          <w:b/>
          <w:i/>
          <w:color w:val="000000" w:themeColor="text1"/>
        </w:rPr>
        <w:t xml:space="preserve"> </w:t>
      </w:r>
      <w:r w:rsidR="00423219" w:rsidRPr="00DE0879">
        <w:rPr>
          <w:b/>
          <w:i/>
          <w:color w:val="000000" w:themeColor="text1"/>
        </w:rPr>
        <w:t>the use of the Tax Identification Number across Member States</w:t>
      </w:r>
      <w:r w:rsidR="003521C8" w:rsidRPr="00DE0879">
        <w:rPr>
          <w:b/>
          <w:i/>
          <w:color w:val="000000" w:themeColor="text1"/>
        </w:rPr>
        <w:t xml:space="preserve"> </w:t>
      </w:r>
      <w:r w:rsidR="00423219" w:rsidRPr="00DE0879">
        <w:rPr>
          <w:b/>
          <w:color w:val="000000" w:themeColor="text1"/>
          <w:u w:val="single"/>
        </w:rPr>
        <w:t>and</w:t>
      </w:r>
      <w:r w:rsidR="00423219" w:rsidRPr="00DE0879">
        <w:rPr>
          <w:color w:val="000000" w:themeColor="text1"/>
        </w:rPr>
        <w:t xml:space="preserve"> </w:t>
      </w:r>
      <w:r w:rsidR="00423219" w:rsidRPr="00DE0879">
        <w:rPr>
          <w:b/>
          <w:i/>
          <w:color w:val="000000" w:themeColor="text1"/>
        </w:rPr>
        <w:t>in the area of tax incentives</w:t>
      </w:r>
      <w:r w:rsidRPr="00DE0879">
        <w:rPr>
          <w:color w:val="000000" w:themeColor="text1"/>
        </w:rPr>
        <w:t>; acknowledges that tax certainty, simplifying refund procedures and deductions are key solutions to reduce the administrative burden, especially for SMEs</w:t>
      </w:r>
      <w:r w:rsidR="005A0A86" w:rsidRPr="00DE0879">
        <w:rPr>
          <w:color w:val="000000" w:themeColor="text1"/>
        </w:rPr>
        <w:t xml:space="preserve"> </w:t>
      </w:r>
      <w:r w:rsidR="005A0A86" w:rsidRPr="00DE0879">
        <w:rPr>
          <w:b/>
          <w:color w:val="000000" w:themeColor="text1"/>
        </w:rPr>
        <w:t>(AMs 105, 106, 109 EPP, 107 S&amp;D, 108 Greens/EFA)</w:t>
      </w:r>
      <w:r w:rsidRPr="00DE0879">
        <w:rPr>
          <w:color w:val="000000" w:themeColor="text1"/>
        </w:rPr>
        <w:t>;</w:t>
      </w:r>
    </w:p>
    <w:p w:rsidR="00423219" w:rsidRPr="00DE0879" w:rsidRDefault="00043A62" w:rsidP="005A0A86">
      <w:pPr>
        <w:pStyle w:val="NormalHanging12a"/>
        <w:jc w:val="both"/>
        <w:rPr>
          <w:b/>
          <w:i/>
          <w:color w:val="000000" w:themeColor="text1"/>
        </w:rPr>
      </w:pPr>
      <w:r w:rsidRPr="00DE0879">
        <w:rPr>
          <w:b/>
          <w:i/>
          <w:color w:val="000000" w:themeColor="text1"/>
        </w:rPr>
        <w:t>7</w:t>
      </w:r>
      <w:r w:rsidR="00423219" w:rsidRPr="00DE0879">
        <w:rPr>
          <w:b/>
          <w:i/>
          <w:color w:val="000000" w:themeColor="text1"/>
        </w:rPr>
        <w:t>a</w:t>
      </w:r>
      <w:r w:rsidRPr="00DE0879">
        <w:rPr>
          <w:b/>
          <w:i/>
          <w:color w:val="000000" w:themeColor="text1"/>
        </w:rPr>
        <w:t xml:space="preserve"> (new)</w:t>
      </w:r>
      <w:r w:rsidRPr="00DE0879">
        <w:rPr>
          <w:color w:val="000000" w:themeColor="text1"/>
        </w:rPr>
        <w:t xml:space="preserve"> </w:t>
      </w:r>
      <w:r w:rsidR="00D734BE" w:rsidRPr="00DE0879">
        <w:rPr>
          <w:b/>
          <w:i/>
          <w:color w:val="000000" w:themeColor="text1"/>
          <w:u w:val="single"/>
        </w:rPr>
        <w:t>Notes the importance of tax simplification across the board;</w:t>
      </w:r>
      <w:r w:rsidR="00D734BE" w:rsidRPr="00DE0879">
        <w:rPr>
          <w:color w:val="000000" w:themeColor="text1"/>
        </w:rPr>
        <w:t xml:space="preserve"> </w:t>
      </w:r>
      <w:r w:rsidR="00D734BE" w:rsidRPr="00DE0879">
        <w:rPr>
          <w:b/>
          <w:i/>
          <w:color w:val="000000" w:themeColor="text1"/>
        </w:rPr>
        <w:t>s</w:t>
      </w:r>
      <w:r w:rsidR="00423219" w:rsidRPr="00DE0879">
        <w:rPr>
          <w:b/>
          <w:i/>
          <w:color w:val="000000" w:themeColor="text1"/>
        </w:rPr>
        <w:t xml:space="preserve">tresses the need to increase retail participation in capital markets </w:t>
      </w:r>
      <w:r w:rsidR="00D734BE" w:rsidRPr="00DE0879">
        <w:rPr>
          <w:b/>
          <w:i/>
          <w:color w:val="000000" w:themeColor="text1"/>
        </w:rPr>
        <w:t>by</w:t>
      </w:r>
      <w:r w:rsidR="00423219" w:rsidRPr="00DE0879">
        <w:rPr>
          <w:b/>
          <w:i/>
          <w:color w:val="000000" w:themeColor="text1"/>
        </w:rPr>
        <w:t xml:space="preserve"> simplifying tax declaration procedures </w:t>
      </w:r>
      <w:r w:rsidR="00C47661" w:rsidRPr="00DE0879">
        <w:rPr>
          <w:b/>
          <w:i/>
          <w:color w:val="000000" w:themeColor="text1"/>
          <w:u w:val="single"/>
        </w:rPr>
        <w:t>for</w:t>
      </w:r>
      <w:r w:rsidR="00423219" w:rsidRPr="00DE0879">
        <w:rPr>
          <w:b/>
          <w:i/>
          <w:color w:val="000000" w:themeColor="text1"/>
        </w:rPr>
        <w:t xml:space="preserve"> savings and investment accounts, particularly when these accounts are accompanied by tax incentives</w:t>
      </w:r>
      <w:r w:rsidR="00423219" w:rsidRPr="00DE0879">
        <w:rPr>
          <w:color w:val="000000" w:themeColor="text1"/>
        </w:rPr>
        <w:t>;</w:t>
      </w:r>
      <w:r w:rsidR="00D734BE" w:rsidRPr="00DE0879">
        <w:rPr>
          <w:color w:val="000000" w:themeColor="text1"/>
        </w:rPr>
        <w:t xml:space="preserve"> </w:t>
      </w:r>
      <w:r w:rsidR="00D734BE" w:rsidRPr="00DE0879">
        <w:rPr>
          <w:b/>
          <w:i/>
          <w:color w:val="000000" w:themeColor="text1"/>
          <w:u w:val="single"/>
        </w:rPr>
        <w:t>further</w:t>
      </w:r>
      <w:r w:rsidR="00D734BE" w:rsidRPr="00DE0879">
        <w:rPr>
          <w:color w:val="000000" w:themeColor="text1"/>
        </w:rPr>
        <w:t xml:space="preserve"> </w:t>
      </w:r>
      <w:r w:rsidR="00D734BE" w:rsidRPr="00DE0879">
        <w:rPr>
          <w:b/>
          <w:i/>
          <w:color w:val="000000" w:themeColor="text1"/>
        </w:rPr>
        <w:t>n</w:t>
      </w:r>
      <w:r w:rsidR="00423219" w:rsidRPr="00DE0879">
        <w:rPr>
          <w:b/>
          <w:i/>
          <w:color w:val="000000" w:themeColor="text1"/>
        </w:rPr>
        <w:t>otes the Commission</w:t>
      </w:r>
      <w:r w:rsidR="00D734BE" w:rsidRPr="00DE0879">
        <w:rPr>
          <w:b/>
          <w:i/>
          <w:color w:val="000000" w:themeColor="text1"/>
        </w:rPr>
        <w:t>’s</w:t>
      </w:r>
      <w:r w:rsidR="00423219" w:rsidRPr="00DE0879">
        <w:rPr>
          <w:b/>
          <w:i/>
          <w:color w:val="000000" w:themeColor="text1"/>
        </w:rPr>
        <w:t xml:space="preserve"> pilot projects on cooperative compliance</w:t>
      </w:r>
      <w:r w:rsidR="00D734BE" w:rsidRPr="00DE0879">
        <w:rPr>
          <w:b/>
          <w:i/>
          <w:color w:val="000000" w:themeColor="text1"/>
        </w:rPr>
        <w:t xml:space="preserve"> </w:t>
      </w:r>
      <w:r w:rsidR="00D734BE" w:rsidRPr="00DE0879">
        <w:rPr>
          <w:b/>
          <w:i/>
          <w:color w:val="000000" w:themeColor="text1"/>
          <w:u w:val="single"/>
        </w:rPr>
        <w:t>for businesses</w:t>
      </w:r>
      <w:r w:rsidR="00423219" w:rsidRPr="00DE0879">
        <w:rPr>
          <w:b/>
          <w:i/>
          <w:color w:val="000000" w:themeColor="text1"/>
          <w:u w:val="single"/>
        </w:rPr>
        <w:t>,</w:t>
      </w:r>
      <w:r w:rsidR="00D734BE" w:rsidRPr="00DE0879">
        <w:rPr>
          <w:b/>
          <w:i/>
          <w:color w:val="000000" w:themeColor="text1"/>
          <w:u w:val="single"/>
        </w:rPr>
        <w:t xml:space="preserve"> which aim to</w:t>
      </w:r>
      <w:r w:rsidR="00423219" w:rsidRPr="00DE0879">
        <w:rPr>
          <w:b/>
          <w:i/>
          <w:color w:val="000000" w:themeColor="text1"/>
        </w:rPr>
        <w:t xml:space="preserve"> reduce audit</w:t>
      </w:r>
      <w:r w:rsidR="00D734BE" w:rsidRPr="00DE0879">
        <w:rPr>
          <w:b/>
          <w:i/>
          <w:color w:val="000000" w:themeColor="text1"/>
        </w:rPr>
        <w:t>s</w:t>
      </w:r>
      <w:r w:rsidR="00423219" w:rsidRPr="00DE0879">
        <w:rPr>
          <w:b/>
          <w:i/>
          <w:color w:val="000000" w:themeColor="text1"/>
        </w:rPr>
        <w:t xml:space="preserve"> and </w:t>
      </w:r>
      <w:r w:rsidR="00D734BE" w:rsidRPr="00DE0879">
        <w:rPr>
          <w:b/>
          <w:i/>
          <w:color w:val="000000" w:themeColor="text1"/>
          <w:u w:val="single"/>
        </w:rPr>
        <w:t>improve</w:t>
      </w:r>
      <w:r w:rsidR="00D734BE" w:rsidRPr="00DE0879">
        <w:rPr>
          <w:b/>
          <w:i/>
          <w:color w:val="000000" w:themeColor="text1"/>
        </w:rPr>
        <w:t xml:space="preserve"> </w:t>
      </w:r>
      <w:r w:rsidR="00423219" w:rsidRPr="00DE0879">
        <w:rPr>
          <w:b/>
          <w:i/>
          <w:color w:val="000000" w:themeColor="text1"/>
        </w:rPr>
        <w:t>dispute resolution f</w:t>
      </w:r>
      <w:r w:rsidR="00D734BE" w:rsidRPr="00DE0879">
        <w:rPr>
          <w:b/>
          <w:i/>
          <w:color w:val="000000" w:themeColor="text1"/>
        </w:rPr>
        <w:t>or companies meeting high compliance standards</w:t>
      </w:r>
      <w:r w:rsidR="00423219" w:rsidRPr="00DE0879">
        <w:rPr>
          <w:b/>
          <w:i/>
          <w:color w:val="000000" w:themeColor="text1"/>
        </w:rPr>
        <w:t xml:space="preserve"> </w:t>
      </w:r>
      <w:r w:rsidR="00423219" w:rsidRPr="00DE0879">
        <w:rPr>
          <w:b/>
          <w:color w:val="000000" w:themeColor="text1"/>
        </w:rPr>
        <w:t>(AM</w:t>
      </w:r>
      <w:r w:rsidR="003521C8" w:rsidRPr="00DE0879">
        <w:rPr>
          <w:b/>
          <w:color w:val="000000" w:themeColor="text1"/>
        </w:rPr>
        <w:t>s</w:t>
      </w:r>
      <w:r w:rsidR="00423219" w:rsidRPr="00DE0879">
        <w:rPr>
          <w:b/>
          <w:color w:val="000000" w:themeColor="text1"/>
        </w:rPr>
        <w:t xml:space="preserve"> </w:t>
      </w:r>
      <w:r w:rsidR="003521C8" w:rsidRPr="00DE0879">
        <w:rPr>
          <w:b/>
          <w:color w:val="000000" w:themeColor="text1"/>
        </w:rPr>
        <w:t>110</w:t>
      </w:r>
      <w:r w:rsidR="00F178FA" w:rsidRPr="00DE0879">
        <w:rPr>
          <w:b/>
          <w:color w:val="000000" w:themeColor="text1"/>
        </w:rPr>
        <w:t>, 112</w:t>
      </w:r>
      <w:r w:rsidR="003521C8" w:rsidRPr="00DE0879">
        <w:rPr>
          <w:b/>
          <w:color w:val="000000" w:themeColor="text1"/>
        </w:rPr>
        <w:t xml:space="preserve"> EPP, </w:t>
      </w:r>
      <w:r w:rsidR="00423219" w:rsidRPr="00DE0879">
        <w:rPr>
          <w:b/>
          <w:color w:val="000000" w:themeColor="text1"/>
        </w:rPr>
        <w:t>111 Greens/EFA)</w:t>
      </w:r>
      <w:r w:rsidR="00423219" w:rsidRPr="00DE0879">
        <w:rPr>
          <w:b/>
          <w:i/>
          <w:color w:val="000000" w:themeColor="text1"/>
        </w:rPr>
        <w:t>;</w:t>
      </w:r>
    </w:p>
    <w:p w:rsidR="00AB14E7" w:rsidRPr="00DE0879" w:rsidRDefault="00D50A31" w:rsidP="005A0A86">
      <w:pPr>
        <w:pStyle w:val="NormalHanging12a"/>
        <w:jc w:val="both"/>
        <w:rPr>
          <w:b/>
          <w:i/>
          <w:color w:val="000000" w:themeColor="text1"/>
        </w:rPr>
      </w:pPr>
      <w:r w:rsidRPr="00DE0879">
        <w:rPr>
          <w:color w:val="000000" w:themeColor="text1"/>
        </w:rPr>
        <w:t>8.</w:t>
      </w:r>
      <w:r w:rsidRPr="00DE0879">
        <w:rPr>
          <w:color w:val="000000" w:themeColor="text1"/>
        </w:rPr>
        <w:tab/>
        <w:t>Underlines the potential of digitalisation, especially artificial intelligence</w:t>
      </w:r>
      <w:r w:rsidR="007A62DA" w:rsidRPr="00DE0879">
        <w:rPr>
          <w:color w:val="000000" w:themeColor="text1"/>
        </w:rPr>
        <w:t xml:space="preserve"> </w:t>
      </w:r>
      <w:r w:rsidR="007A62DA" w:rsidRPr="00DE0879">
        <w:rPr>
          <w:b/>
          <w:i/>
          <w:color w:val="000000" w:themeColor="text1"/>
        </w:rPr>
        <w:t>(AI)</w:t>
      </w:r>
      <w:r w:rsidRPr="00DE0879">
        <w:rPr>
          <w:color w:val="000000" w:themeColor="text1"/>
        </w:rPr>
        <w:t>,</w:t>
      </w:r>
      <w:r w:rsidR="007A62DA" w:rsidRPr="00DE0879">
        <w:rPr>
          <w:color w:val="000000" w:themeColor="text1"/>
        </w:rPr>
        <w:t xml:space="preserve"> </w:t>
      </w:r>
      <w:r w:rsidR="007A62DA" w:rsidRPr="00DE0879">
        <w:rPr>
          <w:b/>
          <w:i/>
          <w:color w:val="000000" w:themeColor="text1"/>
        </w:rPr>
        <w:t xml:space="preserve">as </w:t>
      </w:r>
      <w:r w:rsidR="007A62DA" w:rsidRPr="00DE0879">
        <w:rPr>
          <w:b/>
          <w:i/>
          <w:color w:val="000000" w:themeColor="text1"/>
          <w:u w:val="single"/>
        </w:rPr>
        <w:t>a</w:t>
      </w:r>
      <w:r w:rsidR="007A62DA" w:rsidRPr="00DE0879">
        <w:rPr>
          <w:b/>
          <w:i/>
          <w:color w:val="000000" w:themeColor="text1"/>
        </w:rPr>
        <w:t xml:space="preserve"> tool</w:t>
      </w:r>
      <w:r w:rsidR="007A62DA" w:rsidRPr="00DE0879">
        <w:rPr>
          <w:color w:val="000000" w:themeColor="text1"/>
        </w:rPr>
        <w:t xml:space="preserve"> </w:t>
      </w:r>
      <w:r w:rsidRPr="00DE0879">
        <w:rPr>
          <w:color w:val="000000" w:themeColor="text1"/>
        </w:rPr>
        <w:t xml:space="preserve"> to reduce administrative burdens and compliance costs for companies,</w:t>
      </w:r>
      <w:r w:rsidR="007A62DA" w:rsidRPr="00DE0879">
        <w:rPr>
          <w:color w:val="000000" w:themeColor="text1"/>
        </w:rPr>
        <w:t xml:space="preserve"> </w:t>
      </w:r>
      <w:r w:rsidRPr="00DE0879">
        <w:rPr>
          <w:color w:val="000000" w:themeColor="text1"/>
        </w:rPr>
        <w:t>particularly SMEs</w:t>
      </w:r>
      <w:r w:rsidR="007A62DA" w:rsidRPr="00DE0879">
        <w:rPr>
          <w:color w:val="000000" w:themeColor="text1"/>
        </w:rPr>
        <w:t xml:space="preserve">, </w:t>
      </w:r>
      <w:r w:rsidR="007A62DA" w:rsidRPr="00DE0879">
        <w:rPr>
          <w:b/>
          <w:color w:val="000000" w:themeColor="text1"/>
          <w:u w:val="single"/>
        </w:rPr>
        <w:t>and to support</w:t>
      </w:r>
      <w:r w:rsidR="007A62DA" w:rsidRPr="00DE0879">
        <w:rPr>
          <w:color w:val="000000" w:themeColor="text1"/>
        </w:rPr>
        <w:t xml:space="preserve"> </w:t>
      </w:r>
      <w:r w:rsidR="007A62DA" w:rsidRPr="00DE0879">
        <w:rPr>
          <w:b/>
          <w:i/>
          <w:color w:val="000000" w:themeColor="text1"/>
        </w:rPr>
        <w:t xml:space="preserve">VAT fraud detection </w:t>
      </w:r>
      <w:r w:rsidR="005A39C1" w:rsidRPr="00DE0879">
        <w:rPr>
          <w:b/>
          <w:i/>
          <w:color w:val="000000" w:themeColor="text1"/>
          <w:u w:val="single"/>
        </w:rPr>
        <w:t xml:space="preserve">whilst still </w:t>
      </w:r>
      <w:r w:rsidR="00A55A04" w:rsidRPr="00DE0879">
        <w:rPr>
          <w:b/>
          <w:i/>
          <w:color w:val="000000" w:themeColor="text1"/>
          <w:u w:val="single"/>
        </w:rPr>
        <w:t>maintain</w:t>
      </w:r>
      <w:r w:rsidR="005A39C1" w:rsidRPr="00DE0879">
        <w:rPr>
          <w:b/>
          <w:i/>
          <w:color w:val="000000" w:themeColor="text1"/>
          <w:u w:val="single"/>
        </w:rPr>
        <w:t xml:space="preserve"> a human element for quality checks</w:t>
      </w:r>
      <w:r w:rsidR="002D677F" w:rsidRPr="00DE0879">
        <w:rPr>
          <w:b/>
          <w:i/>
          <w:color w:val="000000" w:themeColor="text1"/>
          <w:u w:val="single"/>
        </w:rPr>
        <w:t xml:space="preserve"> and to ensure safeguards against risks of discrimination</w:t>
      </w:r>
      <w:r w:rsidR="007A62DA" w:rsidRPr="00DE0879">
        <w:rPr>
          <w:b/>
          <w:i/>
          <w:color w:val="000000" w:themeColor="text1"/>
        </w:rPr>
        <w:t xml:space="preserve">; </w:t>
      </w:r>
      <w:r w:rsidR="00D734BE" w:rsidRPr="00DE0879">
        <w:rPr>
          <w:b/>
          <w:i/>
          <w:color w:val="000000" w:themeColor="text1"/>
        </w:rPr>
        <w:t xml:space="preserve">notes that digitalisation can also </w:t>
      </w:r>
      <w:r w:rsidR="007A62DA" w:rsidRPr="00DE0879">
        <w:rPr>
          <w:b/>
          <w:i/>
          <w:color w:val="000000" w:themeColor="text1"/>
          <w:u w:val="single"/>
        </w:rPr>
        <w:t>enhance</w:t>
      </w:r>
      <w:r w:rsidR="007A62DA" w:rsidRPr="00DE0879">
        <w:rPr>
          <w:b/>
          <w:i/>
          <w:color w:val="000000" w:themeColor="text1"/>
        </w:rPr>
        <w:t xml:space="preserve"> </w:t>
      </w:r>
      <w:r w:rsidR="00D734BE" w:rsidRPr="00DE0879">
        <w:rPr>
          <w:b/>
          <w:i/>
          <w:color w:val="000000" w:themeColor="text1"/>
        </w:rPr>
        <w:t xml:space="preserve">public tax administration, </w:t>
      </w:r>
      <w:r w:rsidR="007A62DA" w:rsidRPr="00DE0879">
        <w:rPr>
          <w:b/>
          <w:i/>
          <w:color w:val="000000" w:themeColor="text1"/>
          <w:u w:val="single"/>
        </w:rPr>
        <w:t>provided</w:t>
      </w:r>
      <w:r w:rsidR="007A62DA" w:rsidRPr="00DE0879">
        <w:rPr>
          <w:b/>
          <w:i/>
          <w:color w:val="000000" w:themeColor="text1"/>
        </w:rPr>
        <w:t xml:space="preserve"> </w:t>
      </w:r>
      <w:r w:rsidR="00D734BE" w:rsidRPr="00DE0879">
        <w:rPr>
          <w:b/>
          <w:i/>
          <w:color w:val="000000" w:themeColor="text1"/>
        </w:rPr>
        <w:t>transparency and sufficient oversight of automated tax-related decision making are guaranteed</w:t>
      </w:r>
      <w:r w:rsidR="00D734BE" w:rsidRPr="00DE0879">
        <w:rPr>
          <w:color w:val="000000" w:themeColor="text1"/>
        </w:rPr>
        <w:t xml:space="preserve">; </w:t>
      </w:r>
      <w:r w:rsidRPr="00DE0879">
        <w:rPr>
          <w:color w:val="000000" w:themeColor="text1"/>
        </w:rPr>
        <w:t xml:space="preserve">urges the Commission and the Member States to </w:t>
      </w:r>
      <w:r w:rsidRPr="00DE0879">
        <w:rPr>
          <w:strike/>
          <w:color w:val="000000" w:themeColor="text1"/>
        </w:rPr>
        <w:t>promote the</w:t>
      </w:r>
      <w:r w:rsidR="007A62DA" w:rsidRPr="00DE0879">
        <w:rPr>
          <w:color w:val="000000" w:themeColor="text1"/>
        </w:rPr>
        <w:t xml:space="preserve"> </w:t>
      </w:r>
      <w:r w:rsidR="007A62DA" w:rsidRPr="00DE0879">
        <w:rPr>
          <w:b/>
          <w:color w:val="000000" w:themeColor="text1"/>
          <w:u w:val="single"/>
        </w:rPr>
        <w:t>advance</w:t>
      </w:r>
      <w:r w:rsidRPr="00DE0879">
        <w:rPr>
          <w:color w:val="000000" w:themeColor="text1"/>
        </w:rPr>
        <w:t xml:space="preserve"> digitalisation and simplification of tax administration</w:t>
      </w:r>
      <w:r w:rsidR="007A62DA" w:rsidRPr="00DE0879">
        <w:rPr>
          <w:color w:val="000000" w:themeColor="text1"/>
        </w:rPr>
        <w:t xml:space="preserve">, </w:t>
      </w:r>
      <w:r w:rsidR="00D734BE" w:rsidRPr="00DE0879">
        <w:rPr>
          <w:b/>
          <w:i/>
          <w:color w:val="000000" w:themeColor="text1"/>
        </w:rPr>
        <w:t xml:space="preserve">while </w:t>
      </w:r>
      <w:r w:rsidR="007A62DA" w:rsidRPr="00DE0879">
        <w:rPr>
          <w:b/>
          <w:i/>
          <w:color w:val="000000" w:themeColor="text1"/>
          <w:u w:val="single"/>
        </w:rPr>
        <w:t>enhancing</w:t>
      </w:r>
      <w:r w:rsidR="007A62DA" w:rsidRPr="00DE0879">
        <w:rPr>
          <w:b/>
          <w:i/>
          <w:color w:val="000000" w:themeColor="text1"/>
        </w:rPr>
        <w:t xml:space="preserve"> </w:t>
      </w:r>
      <w:r w:rsidR="00D734BE" w:rsidRPr="00DE0879">
        <w:rPr>
          <w:b/>
          <w:i/>
          <w:color w:val="000000" w:themeColor="text1"/>
        </w:rPr>
        <w:t>cooperation</w:t>
      </w:r>
      <w:r w:rsidR="007A62DA" w:rsidRPr="00DE0879">
        <w:rPr>
          <w:b/>
          <w:i/>
          <w:color w:val="000000" w:themeColor="text1"/>
        </w:rPr>
        <w:t>, coordination</w:t>
      </w:r>
      <w:r w:rsidR="00D734BE" w:rsidRPr="00DE0879">
        <w:rPr>
          <w:b/>
          <w:i/>
          <w:color w:val="000000" w:themeColor="text1"/>
        </w:rPr>
        <w:t xml:space="preserve"> and </w:t>
      </w:r>
      <w:r w:rsidR="007A62DA" w:rsidRPr="00DE0879">
        <w:rPr>
          <w:b/>
          <w:i/>
          <w:color w:val="000000" w:themeColor="text1"/>
        </w:rPr>
        <w:t xml:space="preserve">the </w:t>
      </w:r>
      <w:r w:rsidR="00D734BE" w:rsidRPr="00DE0879">
        <w:rPr>
          <w:b/>
          <w:i/>
          <w:color w:val="000000" w:themeColor="text1"/>
        </w:rPr>
        <w:t xml:space="preserve">exchange of best practices and know-how among national authorities, with the Commission acting as a facilitator </w:t>
      </w:r>
      <w:r w:rsidR="00D734BE" w:rsidRPr="00DE0879">
        <w:rPr>
          <w:b/>
          <w:color w:val="000000" w:themeColor="text1"/>
        </w:rPr>
        <w:t>(AM 116</w:t>
      </w:r>
      <w:r w:rsidR="003521C8" w:rsidRPr="00DE0879">
        <w:rPr>
          <w:b/>
          <w:color w:val="000000" w:themeColor="text1"/>
        </w:rPr>
        <w:t>, 122</w:t>
      </w:r>
      <w:r w:rsidR="00D734BE" w:rsidRPr="00DE0879">
        <w:rPr>
          <w:b/>
          <w:color w:val="000000" w:themeColor="text1"/>
        </w:rPr>
        <w:t xml:space="preserve"> ECR</w:t>
      </w:r>
      <w:r w:rsidR="007A62DA" w:rsidRPr="00DE0879">
        <w:rPr>
          <w:b/>
          <w:color w:val="000000" w:themeColor="text1"/>
        </w:rPr>
        <w:t xml:space="preserve">, </w:t>
      </w:r>
      <w:r w:rsidR="003521C8" w:rsidRPr="00DE0879">
        <w:rPr>
          <w:b/>
          <w:color w:val="000000" w:themeColor="text1"/>
        </w:rPr>
        <w:t xml:space="preserve">117 EPP, </w:t>
      </w:r>
      <w:r w:rsidR="007A62DA" w:rsidRPr="00DE0879">
        <w:rPr>
          <w:b/>
          <w:color w:val="000000" w:themeColor="text1"/>
        </w:rPr>
        <w:t>120 S&amp;D</w:t>
      </w:r>
      <w:r w:rsidR="003521C8" w:rsidRPr="00DE0879">
        <w:rPr>
          <w:b/>
          <w:color w:val="000000" w:themeColor="text1"/>
        </w:rPr>
        <w:t>, 121 Rapp, 125 The Left</w:t>
      </w:r>
      <w:r w:rsidR="00D734BE" w:rsidRPr="00DE0879">
        <w:rPr>
          <w:b/>
          <w:color w:val="000000" w:themeColor="text1"/>
        </w:rPr>
        <w:t>)</w:t>
      </w:r>
      <w:r w:rsidR="00D734BE" w:rsidRPr="00DE0879">
        <w:rPr>
          <w:color w:val="000000" w:themeColor="text1"/>
        </w:rPr>
        <w:t>;</w:t>
      </w:r>
    </w:p>
    <w:p w:rsidR="007A62DA" w:rsidRPr="00DE0879" w:rsidRDefault="00F12C20" w:rsidP="005A0A86">
      <w:pPr>
        <w:pStyle w:val="NormalHanging12a"/>
        <w:jc w:val="both"/>
        <w:rPr>
          <w:color w:val="000000" w:themeColor="text1"/>
        </w:rPr>
      </w:pPr>
      <w:r w:rsidRPr="00DE0879">
        <w:rPr>
          <w:b/>
          <w:i/>
          <w:color w:val="000000" w:themeColor="text1"/>
        </w:rPr>
        <w:t>8</w:t>
      </w:r>
      <w:r w:rsidR="007A62DA" w:rsidRPr="00DE0879">
        <w:rPr>
          <w:b/>
          <w:i/>
          <w:color w:val="000000" w:themeColor="text1"/>
        </w:rPr>
        <w:t>a</w:t>
      </w:r>
      <w:r w:rsidRPr="00DE0879">
        <w:rPr>
          <w:b/>
          <w:i/>
          <w:color w:val="000000" w:themeColor="text1"/>
        </w:rPr>
        <w:t xml:space="preserve"> (new) </w:t>
      </w:r>
      <w:r w:rsidR="00A55A04" w:rsidRPr="00DE0879">
        <w:rPr>
          <w:b/>
          <w:i/>
          <w:color w:val="000000" w:themeColor="text1"/>
          <w:u w:val="single"/>
        </w:rPr>
        <w:t>Stresses</w:t>
      </w:r>
      <w:r w:rsidR="00A55A04" w:rsidRPr="00DE0879">
        <w:rPr>
          <w:b/>
          <w:i/>
          <w:color w:val="000000" w:themeColor="text1"/>
        </w:rPr>
        <w:t xml:space="preserve"> that Member States should </w:t>
      </w:r>
      <w:r w:rsidR="00A55A04" w:rsidRPr="00DE0879">
        <w:rPr>
          <w:b/>
          <w:i/>
          <w:color w:val="000000" w:themeColor="text1"/>
          <w:u w:val="single"/>
        </w:rPr>
        <w:t>allocate adequate</w:t>
      </w:r>
      <w:r w:rsidR="00A55A04" w:rsidRPr="00DE0879">
        <w:rPr>
          <w:b/>
          <w:i/>
          <w:color w:val="000000" w:themeColor="text1"/>
        </w:rPr>
        <w:t xml:space="preserve"> </w:t>
      </w:r>
      <w:r w:rsidR="007A62DA" w:rsidRPr="00DE0879">
        <w:rPr>
          <w:b/>
          <w:i/>
          <w:color w:val="000000" w:themeColor="text1"/>
        </w:rPr>
        <w:t>human and financial resources for the implementation of any new tax legislation and</w:t>
      </w:r>
      <w:r w:rsidR="00A55A04" w:rsidRPr="00DE0879">
        <w:rPr>
          <w:b/>
          <w:i/>
          <w:color w:val="000000" w:themeColor="text1"/>
          <w:u w:val="single"/>
        </w:rPr>
        <w:t xml:space="preserve"> the modernisation of tax administrations, particularly</w:t>
      </w:r>
      <w:r w:rsidR="00A55A04" w:rsidRPr="00DE0879">
        <w:rPr>
          <w:b/>
          <w:i/>
          <w:color w:val="000000" w:themeColor="text1"/>
        </w:rPr>
        <w:t xml:space="preserve"> through </w:t>
      </w:r>
      <w:r w:rsidR="007A62DA" w:rsidRPr="00DE0879">
        <w:rPr>
          <w:b/>
          <w:i/>
          <w:color w:val="000000" w:themeColor="text1"/>
        </w:rPr>
        <w:t xml:space="preserve">investing in </w:t>
      </w:r>
      <w:r w:rsidR="00A55A04" w:rsidRPr="00DE0879">
        <w:rPr>
          <w:b/>
          <w:i/>
          <w:color w:val="000000" w:themeColor="text1"/>
        </w:rPr>
        <w:t xml:space="preserve">staffing, training, and </w:t>
      </w:r>
      <w:r w:rsidR="00A429CC" w:rsidRPr="00DE0879">
        <w:rPr>
          <w:b/>
          <w:i/>
          <w:color w:val="000000" w:themeColor="text1"/>
        </w:rPr>
        <w:t>integrated, interoperable IT systems</w:t>
      </w:r>
      <w:r w:rsidR="004E5391" w:rsidRPr="00DE0879">
        <w:rPr>
          <w:b/>
          <w:i/>
          <w:color w:val="000000" w:themeColor="text1"/>
        </w:rPr>
        <w:t xml:space="preserve"> and consulting the private sector</w:t>
      </w:r>
      <w:r w:rsidR="00A429CC" w:rsidRPr="00DE0879">
        <w:rPr>
          <w:b/>
          <w:i/>
          <w:color w:val="000000" w:themeColor="text1"/>
        </w:rPr>
        <w:t>;</w:t>
      </w:r>
      <w:r w:rsidR="00A55A04" w:rsidRPr="00DE0879">
        <w:rPr>
          <w:b/>
          <w:i/>
          <w:color w:val="000000" w:themeColor="text1"/>
        </w:rPr>
        <w:t xml:space="preserve"> </w:t>
      </w:r>
      <w:r w:rsidR="007A62DA" w:rsidRPr="00DE0879">
        <w:rPr>
          <w:b/>
          <w:i/>
          <w:color w:val="000000" w:themeColor="text1"/>
        </w:rPr>
        <w:t xml:space="preserve">calls on the Commission to enhance its support through the FISCALIS programme </w:t>
      </w:r>
      <w:r w:rsidR="00A429CC" w:rsidRPr="00DE0879">
        <w:rPr>
          <w:b/>
          <w:i/>
          <w:color w:val="000000" w:themeColor="text1"/>
          <w:u w:val="single"/>
        </w:rPr>
        <w:t>and</w:t>
      </w:r>
      <w:r w:rsidR="00A429CC" w:rsidRPr="00DE0879">
        <w:rPr>
          <w:b/>
          <w:i/>
          <w:color w:val="000000" w:themeColor="text1"/>
        </w:rPr>
        <w:t xml:space="preserve"> </w:t>
      </w:r>
      <w:r w:rsidR="00A55A04" w:rsidRPr="00DE0879">
        <w:rPr>
          <w:b/>
          <w:i/>
          <w:color w:val="000000" w:themeColor="text1"/>
        </w:rPr>
        <w:t xml:space="preserve">to explore a dedicated EU funding programme to </w:t>
      </w:r>
      <w:r w:rsidR="00A429CC" w:rsidRPr="00DE0879">
        <w:rPr>
          <w:b/>
          <w:i/>
          <w:color w:val="000000" w:themeColor="text1"/>
        </w:rPr>
        <w:t xml:space="preserve">further </w:t>
      </w:r>
      <w:r w:rsidR="00A55A04" w:rsidRPr="00DE0879">
        <w:rPr>
          <w:b/>
          <w:i/>
          <w:color w:val="000000" w:themeColor="text1"/>
        </w:rPr>
        <w:t xml:space="preserve">support such investments </w:t>
      </w:r>
      <w:r w:rsidR="00A55A04" w:rsidRPr="00DE0879">
        <w:rPr>
          <w:b/>
          <w:color w:val="000000" w:themeColor="text1"/>
        </w:rPr>
        <w:t>(AM</w:t>
      </w:r>
      <w:r w:rsidR="003521C8" w:rsidRPr="00DE0879">
        <w:rPr>
          <w:b/>
          <w:color w:val="000000" w:themeColor="text1"/>
        </w:rPr>
        <w:t>s</w:t>
      </w:r>
      <w:r w:rsidR="00A55A04" w:rsidRPr="00DE0879">
        <w:rPr>
          <w:b/>
          <w:color w:val="000000" w:themeColor="text1"/>
        </w:rPr>
        <w:t xml:space="preserve"> 115 Greens/EFA, 124 Renew</w:t>
      </w:r>
      <w:r w:rsidR="003521C8" w:rsidRPr="00DE0879">
        <w:rPr>
          <w:b/>
          <w:color w:val="000000" w:themeColor="text1"/>
        </w:rPr>
        <w:t>, 123 Rapp</w:t>
      </w:r>
      <w:r w:rsidR="00A55A04" w:rsidRPr="00DE0879">
        <w:rPr>
          <w:b/>
          <w:color w:val="000000" w:themeColor="text1"/>
        </w:rPr>
        <w:t>)</w:t>
      </w:r>
      <w:r w:rsidR="00A55A04" w:rsidRPr="00DE0879">
        <w:rPr>
          <w:b/>
          <w:i/>
          <w:color w:val="000000" w:themeColor="text1"/>
        </w:rPr>
        <w:t>;</w:t>
      </w:r>
    </w:p>
    <w:p w:rsidR="00AB14E7" w:rsidRPr="00DE0879" w:rsidRDefault="00D50A31" w:rsidP="005A0A86">
      <w:pPr>
        <w:pStyle w:val="NormalHanging12a"/>
        <w:jc w:val="both"/>
        <w:rPr>
          <w:b/>
          <w:i/>
          <w:color w:val="000000" w:themeColor="text1"/>
        </w:rPr>
      </w:pPr>
      <w:r w:rsidRPr="00DE0879">
        <w:rPr>
          <w:color w:val="000000" w:themeColor="text1"/>
        </w:rPr>
        <w:t>9.</w:t>
      </w:r>
      <w:r w:rsidRPr="00DE0879">
        <w:rPr>
          <w:color w:val="000000" w:themeColor="text1"/>
        </w:rPr>
        <w:tab/>
        <w:t xml:space="preserve">Calls on the Commission </w:t>
      </w:r>
      <w:r w:rsidR="00EB7D24" w:rsidRPr="00DE0879">
        <w:rPr>
          <w:b/>
          <w:i/>
          <w:color w:val="000000" w:themeColor="text1"/>
        </w:rPr>
        <w:t>within the limits of its competence</w:t>
      </w:r>
      <w:r w:rsidR="00EB7D24" w:rsidRPr="00DE0879">
        <w:rPr>
          <w:color w:val="000000" w:themeColor="text1"/>
        </w:rPr>
        <w:t xml:space="preserve"> and </w:t>
      </w:r>
      <w:r w:rsidR="00EB7D24" w:rsidRPr="00DE0879">
        <w:rPr>
          <w:b/>
          <w:i/>
          <w:color w:val="000000" w:themeColor="text1"/>
        </w:rPr>
        <w:t xml:space="preserve">in close and continuous dialogue with the Member States </w:t>
      </w:r>
      <w:r w:rsidRPr="00DE0879">
        <w:rPr>
          <w:color w:val="000000" w:themeColor="text1"/>
        </w:rPr>
        <w:t xml:space="preserve">to assess and simplify the current VAT framework, to reduce administrative burdens, </w:t>
      </w:r>
      <w:r w:rsidR="00EB7D24" w:rsidRPr="00DE0879">
        <w:rPr>
          <w:b/>
          <w:i/>
          <w:color w:val="000000" w:themeColor="text1"/>
        </w:rPr>
        <w:t>including for businesses and community organisations</w:t>
      </w:r>
      <w:r w:rsidR="00EB7D24" w:rsidRPr="00DE0879">
        <w:rPr>
          <w:color w:val="000000" w:themeColor="text1"/>
        </w:rPr>
        <w:t xml:space="preserve">, </w:t>
      </w:r>
      <w:r w:rsidRPr="00DE0879">
        <w:rPr>
          <w:color w:val="000000" w:themeColor="text1"/>
        </w:rPr>
        <w:t>enhance competitiveness and reduce the gap between expected revenue and the amount actually collected (VAT gap);</w:t>
      </w:r>
      <w:r w:rsidR="00EB7D24" w:rsidRPr="00DE0879">
        <w:rPr>
          <w:b/>
          <w:i/>
          <w:color w:val="000000" w:themeColor="text1"/>
        </w:rPr>
        <w:t xml:space="preserve"> reiterates its call</w:t>
      </w:r>
      <w:r w:rsidR="00EB7D24" w:rsidRPr="00DE0879">
        <w:rPr>
          <w:color w:val="000000" w:themeColor="text1"/>
        </w:rPr>
        <w:t xml:space="preserve"> </w:t>
      </w:r>
      <w:r w:rsidR="00EB7D24" w:rsidRPr="00DE0879">
        <w:rPr>
          <w:b/>
          <w:i/>
          <w:color w:val="000000" w:themeColor="text1"/>
        </w:rPr>
        <w:t>for a simplified and modernised VAT system with limits on exemptions and nonstandard rates</w:t>
      </w:r>
      <w:r w:rsidR="00574EC7" w:rsidRPr="00DE0879">
        <w:rPr>
          <w:b/>
          <w:i/>
          <w:color w:val="000000" w:themeColor="text1"/>
        </w:rPr>
        <w:t xml:space="preserve">, </w:t>
      </w:r>
      <w:r w:rsidR="00574EC7" w:rsidRPr="00DE0879">
        <w:rPr>
          <w:b/>
          <w:i/>
          <w:color w:val="000000" w:themeColor="text1"/>
          <w:u w:val="single"/>
        </w:rPr>
        <w:t>aimed at</w:t>
      </w:r>
      <w:r w:rsidR="00EB7D24" w:rsidRPr="00DE0879">
        <w:rPr>
          <w:b/>
          <w:i/>
          <w:color w:val="000000" w:themeColor="text1"/>
        </w:rPr>
        <w:t xml:space="preserve"> promoting fair competiti</w:t>
      </w:r>
      <w:r w:rsidR="00574EC7" w:rsidRPr="00DE0879">
        <w:rPr>
          <w:b/>
          <w:i/>
          <w:color w:val="000000" w:themeColor="text1"/>
        </w:rPr>
        <w:t>on</w:t>
      </w:r>
      <w:r w:rsidR="00EB7D24" w:rsidRPr="00DE0879">
        <w:rPr>
          <w:b/>
          <w:i/>
          <w:color w:val="000000" w:themeColor="text1"/>
        </w:rPr>
        <w:t xml:space="preserve">, reducing compliance costs and improving voluntary compliance; takes note of the VAT in the Digital Age package and calls on the Commission to issue </w:t>
      </w:r>
      <w:r w:rsidR="004F305E" w:rsidRPr="00DE0879">
        <w:rPr>
          <w:b/>
          <w:i/>
          <w:color w:val="000000" w:themeColor="text1"/>
          <w:u w:val="single"/>
        </w:rPr>
        <w:t xml:space="preserve">clear </w:t>
      </w:r>
      <w:r w:rsidR="00574EC7" w:rsidRPr="00DE0879">
        <w:rPr>
          <w:b/>
          <w:i/>
          <w:color w:val="000000" w:themeColor="text1"/>
          <w:u w:val="single"/>
        </w:rPr>
        <w:t xml:space="preserve">and consistent </w:t>
      </w:r>
      <w:r w:rsidR="004F305E" w:rsidRPr="00DE0879">
        <w:rPr>
          <w:b/>
          <w:i/>
          <w:color w:val="000000" w:themeColor="text1"/>
        </w:rPr>
        <w:t>guid</w:t>
      </w:r>
      <w:r w:rsidR="00574EC7" w:rsidRPr="00DE0879">
        <w:rPr>
          <w:b/>
          <w:i/>
          <w:color w:val="000000" w:themeColor="text1"/>
        </w:rPr>
        <w:t>elines</w:t>
      </w:r>
      <w:r w:rsidR="00EB7D24" w:rsidRPr="00DE0879">
        <w:rPr>
          <w:b/>
          <w:i/>
          <w:color w:val="000000" w:themeColor="text1"/>
          <w:u w:val="single"/>
        </w:rPr>
        <w:t xml:space="preserve"> </w:t>
      </w:r>
      <w:r w:rsidR="00EB7D24" w:rsidRPr="00DE0879">
        <w:rPr>
          <w:b/>
          <w:i/>
          <w:color w:val="000000" w:themeColor="text1"/>
        </w:rPr>
        <w:t xml:space="preserve">to </w:t>
      </w:r>
      <w:r w:rsidR="00574EC7" w:rsidRPr="00DE0879">
        <w:rPr>
          <w:b/>
          <w:i/>
          <w:color w:val="000000" w:themeColor="text1"/>
        </w:rPr>
        <w:t>support</w:t>
      </w:r>
      <w:r w:rsidR="004F305E" w:rsidRPr="00DE0879">
        <w:rPr>
          <w:b/>
          <w:i/>
          <w:color w:val="000000" w:themeColor="text1"/>
        </w:rPr>
        <w:t xml:space="preserve"> </w:t>
      </w:r>
      <w:r w:rsidR="00574EC7" w:rsidRPr="00DE0879">
        <w:rPr>
          <w:b/>
          <w:i/>
          <w:color w:val="000000" w:themeColor="text1"/>
        </w:rPr>
        <w:t xml:space="preserve">the </w:t>
      </w:r>
      <w:r w:rsidR="00EB7D24" w:rsidRPr="00DE0879">
        <w:rPr>
          <w:b/>
          <w:i/>
          <w:color w:val="000000" w:themeColor="text1"/>
        </w:rPr>
        <w:t xml:space="preserve">smooth implementation of the Directive, specifically </w:t>
      </w:r>
      <w:r w:rsidR="00EB7D24" w:rsidRPr="00DE0879">
        <w:rPr>
          <w:b/>
          <w:i/>
          <w:color w:val="000000" w:themeColor="text1"/>
          <w:u w:val="single"/>
        </w:rPr>
        <w:t>re</w:t>
      </w:r>
      <w:r w:rsidR="00574EC7" w:rsidRPr="00DE0879">
        <w:rPr>
          <w:b/>
          <w:i/>
          <w:color w:val="000000" w:themeColor="text1"/>
          <w:u w:val="single"/>
        </w:rPr>
        <w:t>garding</w:t>
      </w:r>
      <w:r w:rsidR="00EB7D24" w:rsidRPr="00DE0879">
        <w:rPr>
          <w:b/>
          <w:i/>
          <w:color w:val="000000" w:themeColor="text1"/>
        </w:rPr>
        <w:t xml:space="preserve"> the EU Digital Reporting Requirement (DRR); highlights that the VAT compliance gap varies </w:t>
      </w:r>
      <w:r w:rsidR="00574EC7" w:rsidRPr="00DE0879">
        <w:rPr>
          <w:b/>
          <w:i/>
          <w:color w:val="000000" w:themeColor="text1"/>
          <w:u w:val="single"/>
        </w:rPr>
        <w:t>significantly</w:t>
      </w:r>
      <w:r w:rsidR="00574EC7" w:rsidRPr="00DE0879">
        <w:rPr>
          <w:b/>
          <w:i/>
          <w:color w:val="000000" w:themeColor="text1"/>
        </w:rPr>
        <w:t xml:space="preserve"> </w:t>
      </w:r>
      <w:r w:rsidR="00EB7D24" w:rsidRPr="00DE0879">
        <w:rPr>
          <w:b/>
          <w:i/>
          <w:color w:val="000000" w:themeColor="text1"/>
        </w:rPr>
        <w:t>amongst Member States</w:t>
      </w:r>
      <w:r w:rsidR="00574EC7" w:rsidRPr="00DE0879">
        <w:rPr>
          <w:b/>
          <w:i/>
          <w:color w:val="000000" w:themeColor="text1"/>
        </w:rPr>
        <w:t xml:space="preserve"> </w:t>
      </w:r>
      <w:r w:rsidR="00574EC7" w:rsidRPr="00DE0879">
        <w:rPr>
          <w:b/>
          <w:i/>
          <w:color w:val="000000" w:themeColor="text1"/>
          <w:u w:val="single"/>
        </w:rPr>
        <w:t>and welcomes</w:t>
      </w:r>
      <w:r w:rsidR="00EB7D24" w:rsidRPr="00DE0879">
        <w:rPr>
          <w:b/>
          <w:i/>
          <w:color w:val="000000" w:themeColor="text1"/>
        </w:rPr>
        <w:t xml:space="preserve"> VIDA Package </w:t>
      </w:r>
      <w:r w:rsidR="00574EC7" w:rsidRPr="00DE0879">
        <w:rPr>
          <w:b/>
          <w:i/>
          <w:color w:val="000000" w:themeColor="text1"/>
          <w:u w:val="single"/>
        </w:rPr>
        <w:t>as a tool to</w:t>
      </w:r>
      <w:r w:rsidR="00574EC7" w:rsidRPr="00DE0879">
        <w:rPr>
          <w:b/>
          <w:i/>
          <w:color w:val="000000" w:themeColor="text1"/>
        </w:rPr>
        <w:t xml:space="preserve"> </w:t>
      </w:r>
      <w:r w:rsidR="00EB7D24" w:rsidRPr="00DE0879">
        <w:rPr>
          <w:b/>
          <w:i/>
          <w:color w:val="000000" w:themeColor="text1"/>
        </w:rPr>
        <w:t>enhance transparency and reduce fraud; urges coordinate</w:t>
      </w:r>
      <w:r w:rsidR="00574EC7" w:rsidRPr="00DE0879">
        <w:rPr>
          <w:b/>
          <w:i/>
          <w:color w:val="000000" w:themeColor="text1"/>
        </w:rPr>
        <w:t>d</w:t>
      </w:r>
      <w:r w:rsidR="00EB7D24" w:rsidRPr="00DE0879">
        <w:rPr>
          <w:b/>
          <w:i/>
          <w:color w:val="000000" w:themeColor="text1"/>
        </w:rPr>
        <w:t xml:space="preserve"> </w:t>
      </w:r>
      <w:r w:rsidR="004F305E" w:rsidRPr="00DE0879">
        <w:rPr>
          <w:b/>
          <w:i/>
          <w:color w:val="000000" w:themeColor="text1"/>
        </w:rPr>
        <w:t xml:space="preserve">implementation </w:t>
      </w:r>
      <w:r w:rsidR="004F305E" w:rsidRPr="00DE0879">
        <w:rPr>
          <w:b/>
          <w:i/>
          <w:color w:val="000000" w:themeColor="text1"/>
          <w:u w:val="single"/>
        </w:rPr>
        <w:t xml:space="preserve">at </w:t>
      </w:r>
      <w:r w:rsidR="00EB7D24" w:rsidRPr="00DE0879">
        <w:rPr>
          <w:b/>
          <w:i/>
          <w:color w:val="000000" w:themeColor="text1"/>
          <w:u w:val="single"/>
        </w:rPr>
        <w:t xml:space="preserve">national </w:t>
      </w:r>
      <w:r w:rsidR="004F305E" w:rsidRPr="00DE0879">
        <w:rPr>
          <w:b/>
          <w:i/>
          <w:color w:val="000000" w:themeColor="text1"/>
          <w:u w:val="single"/>
        </w:rPr>
        <w:t xml:space="preserve">level </w:t>
      </w:r>
      <w:r w:rsidR="00EB7D24" w:rsidRPr="00DE0879">
        <w:rPr>
          <w:b/>
          <w:i/>
          <w:color w:val="000000" w:themeColor="text1"/>
        </w:rPr>
        <w:t xml:space="preserve">to ensure coherence and that the One-Stop-Shop is efficient and user-friendly, </w:t>
      </w:r>
      <w:r w:rsidR="00574EC7" w:rsidRPr="00DE0879">
        <w:rPr>
          <w:b/>
          <w:i/>
          <w:color w:val="000000" w:themeColor="text1"/>
          <w:u w:val="single"/>
        </w:rPr>
        <w:t>particularly</w:t>
      </w:r>
      <w:r w:rsidR="00574EC7" w:rsidRPr="00DE0879">
        <w:rPr>
          <w:b/>
          <w:i/>
          <w:color w:val="000000" w:themeColor="text1"/>
        </w:rPr>
        <w:t xml:space="preserve"> </w:t>
      </w:r>
      <w:r w:rsidR="00EB7D24" w:rsidRPr="00DE0879">
        <w:rPr>
          <w:b/>
          <w:i/>
          <w:color w:val="000000" w:themeColor="text1"/>
        </w:rPr>
        <w:t xml:space="preserve">for SMEs; calls for </w:t>
      </w:r>
      <w:r w:rsidR="00574EC7" w:rsidRPr="00DE0879">
        <w:rPr>
          <w:b/>
          <w:i/>
          <w:color w:val="000000" w:themeColor="text1"/>
          <w:u w:val="single"/>
        </w:rPr>
        <w:t>further</w:t>
      </w:r>
      <w:r w:rsidR="00574EC7" w:rsidRPr="00DE0879">
        <w:rPr>
          <w:b/>
          <w:i/>
          <w:color w:val="000000" w:themeColor="text1"/>
        </w:rPr>
        <w:t xml:space="preserve"> </w:t>
      </w:r>
      <w:r w:rsidR="00EB7D24" w:rsidRPr="00DE0879">
        <w:rPr>
          <w:b/>
          <w:i/>
          <w:color w:val="000000" w:themeColor="text1"/>
        </w:rPr>
        <w:t xml:space="preserve">reforms to </w:t>
      </w:r>
      <w:r w:rsidR="003C0E6C" w:rsidRPr="00DE0879">
        <w:rPr>
          <w:b/>
          <w:i/>
          <w:color w:val="000000" w:themeColor="text1"/>
          <w:u w:val="single"/>
        </w:rPr>
        <w:t>facilitate electronic VAT registration for small businesses and to</w:t>
      </w:r>
      <w:r w:rsidR="003C0E6C" w:rsidRPr="00DE0879">
        <w:rPr>
          <w:b/>
          <w:i/>
          <w:color w:val="000000" w:themeColor="text1"/>
        </w:rPr>
        <w:t xml:space="preserve"> </w:t>
      </w:r>
      <w:r w:rsidR="00EB7D24" w:rsidRPr="00DE0879">
        <w:rPr>
          <w:b/>
          <w:i/>
          <w:color w:val="000000" w:themeColor="text1"/>
        </w:rPr>
        <w:t>increase</w:t>
      </w:r>
      <w:r w:rsidR="003C0E6C" w:rsidRPr="00DE0879">
        <w:rPr>
          <w:b/>
          <w:i/>
          <w:color w:val="000000" w:themeColor="text1"/>
        </w:rPr>
        <w:t xml:space="preserve"> the</w:t>
      </w:r>
      <w:r w:rsidR="00EB7D24" w:rsidRPr="00DE0879">
        <w:rPr>
          <w:b/>
          <w:i/>
          <w:color w:val="000000" w:themeColor="text1"/>
        </w:rPr>
        <w:t xml:space="preserve"> digitalisation of VAT collection; calls on the Commission to build on and </w:t>
      </w:r>
      <w:r w:rsidR="003C0E6C" w:rsidRPr="00DE0879">
        <w:rPr>
          <w:b/>
          <w:i/>
          <w:color w:val="000000" w:themeColor="text1"/>
        </w:rPr>
        <w:t xml:space="preserve">expand </w:t>
      </w:r>
      <w:r w:rsidR="00EB7D24" w:rsidRPr="00DE0879">
        <w:rPr>
          <w:b/>
          <w:i/>
          <w:color w:val="000000" w:themeColor="text1"/>
        </w:rPr>
        <w:t xml:space="preserve">the VAT One Stop Shop </w:t>
      </w:r>
      <w:r w:rsidR="003C0E6C" w:rsidRPr="00DE0879">
        <w:rPr>
          <w:b/>
          <w:i/>
          <w:color w:val="000000" w:themeColor="text1"/>
        </w:rPr>
        <w:t xml:space="preserve">for </w:t>
      </w:r>
      <w:r w:rsidR="00EB7D24" w:rsidRPr="00DE0879">
        <w:rPr>
          <w:b/>
          <w:i/>
          <w:color w:val="000000" w:themeColor="text1"/>
        </w:rPr>
        <w:t>cross-border B2C e-commerce</w:t>
      </w:r>
      <w:r w:rsidR="003C0E6C" w:rsidRPr="00DE0879">
        <w:rPr>
          <w:b/>
          <w:i/>
          <w:color w:val="000000" w:themeColor="text1"/>
        </w:rPr>
        <w:t xml:space="preserve">, </w:t>
      </w:r>
      <w:r w:rsidR="003C0E6C" w:rsidRPr="00DE0879">
        <w:rPr>
          <w:b/>
          <w:i/>
          <w:color w:val="000000" w:themeColor="text1"/>
          <w:u w:val="single"/>
        </w:rPr>
        <w:t>with the ai</w:t>
      </w:r>
      <w:r w:rsidR="003C0E6C" w:rsidRPr="00DE0879">
        <w:rPr>
          <w:b/>
          <w:i/>
          <w:color w:val="000000" w:themeColor="text1"/>
        </w:rPr>
        <w:t xml:space="preserve">m of </w:t>
      </w:r>
      <w:r w:rsidR="00EB7D24" w:rsidRPr="00DE0879">
        <w:rPr>
          <w:b/>
          <w:i/>
          <w:color w:val="000000" w:themeColor="text1"/>
        </w:rPr>
        <w:t>reduc</w:t>
      </w:r>
      <w:r w:rsidR="003C0E6C" w:rsidRPr="00DE0879">
        <w:rPr>
          <w:b/>
          <w:i/>
          <w:color w:val="000000" w:themeColor="text1"/>
        </w:rPr>
        <w:t>ing</w:t>
      </w:r>
      <w:r w:rsidR="00EB7D24" w:rsidRPr="00DE0879">
        <w:rPr>
          <w:b/>
          <w:i/>
          <w:color w:val="000000" w:themeColor="text1"/>
        </w:rPr>
        <w:t xml:space="preserve"> administrative burden and compliance costs </w:t>
      </w:r>
      <w:r w:rsidR="003521C8" w:rsidRPr="00DE0879">
        <w:rPr>
          <w:b/>
          <w:color w:val="000000" w:themeColor="text1"/>
        </w:rPr>
        <w:t>(AM 127, 128 ECR, 133, 134 EPP, 130 S&amp;D, 131 Rapp, 132 Renew</w:t>
      </w:r>
      <w:r w:rsidR="00EB7D24" w:rsidRPr="00DE0879">
        <w:rPr>
          <w:b/>
          <w:color w:val="000000" w:themeColor="text1"/>
        </w:rPr>
        <w:t>)</w:t>
      </w:r>
      <w:r w:rsidR="00EB7D24" w:rsidRPr="00DE0879">
        <w:rPr>
          <w:b/>
          <w:i/>
          <w:color w:val="000000" w:themeColor="text1"/>
        </w:rPr>
        <w:t>;</w:t>
      </w:r>
    </w:p>
    <w:p w:rsidR="00231912" w:rsidRPr="00DE0879" w:rsidRDefault="00872C2B" w:rsidP="005A0A86">
      <w:pPr>
        <w:pStyle w:val="NormalHanging12a"/>
        <w:jc w:val="both"/>
        <w:rPr>
          <w:color w:val="000000" w:themeColor="text1"/>
        </w:rPr>
      </w:pPr>
      <w:r w:rsidRPr="00DE0879">
        <w:rPr>
          <w:b/>
          <w:i/>
          <w:color w:val="000000" w:themeColor="text1"/>
        </w:rPr>
        <w:t>9</w:t>
      </w:r>
      <w:r w:rsidR="00231912" w:rsidRPr="00DE0879">
        <w:rPr>
          <w:b/>
          <w:i/>
          <w:color w:val="000000" w:themeColor="text1"/>
        </w:rPr>
        <w:t>a</w:t>
      </w:r>
      <w:r w:rsidRPr="00DE0879">
        <w:rPr>
          <w:b/>
          <w:i/>
          <w:color w:val="000000" w:themeColor="text1"/>
        </w:rPr>
        <w:t xml:space="preserve"> (new)</w:t>
      </w:r>
      <w:r w:rsidRPr="00DE0879">
        <w:rPr>
          <w:color w:val="000000" w:themeColor="text1"/>
        </w:rPr>
        <w:t xml:space="preserve"> </w:t>
      </w:r>
      <w:r w:rsidR="00231912" w:rsidRPr="00DE0879">
        <w:rPr>
          <w:b/>
          <w:i/>
          <w:color w:val="000000" w:themeColor="text1"/>
        </w:rPr>
        <w:t xml:space="preserve">Notes </w:t>
      </w:r>
      <w:r w:rsidR="00231912" w:rsidRPr="00DE0879">
        <w:rPr>
          <w:b/>
          <w:i/>
          <w:color w:val="000000" w:themeColor="text1"/>
          <w:u w:val="single"/>
        </w:rPr>
        <w:t>the</w:t>
      </w:r>
      <w:r w:rsidR="00231912" w:rsidRPr="00DE0879">
        <w:rPr>
          <w:b/>
          <w:i/>
          <w:color w:val="000000" w:themeColor="text1"/>
        </w:rPr>
        <w:t xml:space="preserve"> marked </w:t>
      </w:r>
      <w:r w:rsidR="00231912" w:rsidRPr="00DE0879">
        <w:rPr>
          <w:b/>
          <w:i/>
          <w:color w:val="000000" w:themeColor="text1"/>
          <w:u w:val="single"/>
        </w:rPr>
        <w:t>shift</w:t>
      </w:r>
      <w:r w:rsidR="00231912" w:rsidRPr="00DE0879">
        <w:rPr>
          <w:b/>
          <w:i/>
          <w:color w:val="000000" w:themeColor="text1"/>
        </w:rPr>
        <w:t xml:space="preserve"> in purchasing behaviour in the past decade with a surge in e-commerce during the Covid-19 pandemic that </w:t>
      </w:r>
      <w:r w:rsidR="00231912" w:rsidRPr="00DE0879">
        <w:rPr>
          <w:b/>
          <w:i/>
          <w:color w:val="000000" w:themeColor="text1"/>
          <w:u w:val="single"/>
        </w:rPr>
        <w:t>persists today</w:t>
      </w:r>
      <w:r w:rsidR="00231912" w:rsidRPr="00DE0879">
        <w:rPr>
          <w:b/>
          <w:i/>
          <w:color w:val="000000" w:themeColor="text1"/>
        </w:rPr>
        <w:t xml:space="preserve">; </w:t>
      </w:r>
      <w:r w:rsidR="00231912" w:rsidRPr="00DE0879">
        <w:rPr>
          <w:b/>
          <w:i/>
          <w:color w:val="000000" w:themeColor="text1"/>
          <w:u w:val="single"/>
        </w:rPr>
        <w:t>acknowledges that</w:t>
      </w:r>
      <w:r w:rsidR="00231912" w:rsidRPr="00DE0879">
        <w:rPr>
          <w:b/>
          <w:i/>
          <w:color w:val="000000" w:themeColor="text1"/>
        </w:rPr>
        <w:t xml:space="preserve"> online purchases should contribute to greater VAT compliance due to the electronic audit trail, however, the Commission’s VAT Gap report notes that the correlation is not as clear due to the complexities arising from online sales; Urges the Commission to assess whether the VAT acquis is fit for purpose given the increasing popularity of e-commerce</w:t>
      </w:r>
      <w:r w:rsidR="00231912" w:rsidRPr="00DE0879">
        <w:rPr>
          <w:b/>
          <w:color w:val="000000" w:themeColor="text1"/>
        </w:rPr>
        <w:t xml:space="preserve"> (AM 136 Renew)</w:t>
      </w:r>
      <w:r w:rsidR="00231912" w:rsidRPr="00DE0879">
        <w:rPr>
          <w:color w:val="000000" w:themeColor="text1"/>
        </w:rPr>
        <w:t>;</w:t>
      </w:r>
    </w:p>
    <w:p w:rsidR="00231912" w:rsidRPr="00DE0879" w:rsidRDefault="00872C2B" w:rsidP="005A0A86">
      <w:pPr>
        <w:pStyle w:val="NormalHanging12a"/>
        <w:jc w:val="both"/>
        <w:rPr>
          <w:b/>
          <w:i/>
          <w:color w:val="000000" w:themeColor="text1"/>
        </w:rPr>
      </w:pPr>
      <w:r w:rsidRPr="00DE0879">
        <w:rPr>
          <w:b/>
          <w:i/>
          <w:color w:val="000000" w:themeColor="text1"/>
        </w:rPr>
        <w:t xml:space="preserve">9c (new) </w:t>
      </w:r>
      <w:r w:rsidR="00231912" w:rsidRPr="00DE0879">
        <w:rPr>
          <w:b/>
          <w:i/>
          <w:color w:val="000000" w:themeColor="text1"/>
        </w:rPr>
        <w:t xml:space="preserve">Calls for the improvement of Council Directive 2008/9/EC of 12 February 2008 laying down detailed rules for the refund of value added tax to taxable persons not established in the Member State of refund but established in another Member State; underlines the importance of exploring the integration of cross-border VAT refunds into the One Stop Shop (OSS) in order to further simplify VAT compliance for businesses engaged in cross-border trade, while ensuring alignment with existing VAT obligations across Member States </w:t>
      </w:r>
      <w:r w:rsidR="00231912" w:rsidRPr="00DE0879">
        <w:rPr>
          <w:b/>
          <w:color w:val="000000" w:themeColor="text1"/>
        </w:rPr>
        <w:t>(AM 138 Rapp)</w:t>
      </w:r>
      <w:r w:rsidR="00231912" w:rsidRPr="00DE0879">
        <w:rPr>
          <w:b/>
          <w:i/>
          <w:color w:val="000000" w:themeColor="text1"/>
        </w:rPr>
        <w:t>;</w:t>
      </w:r>
    </w:p>
    <w:p w:rsidR="00231912" w:rsidRPr="00DE0879" w:rsidRDefault="00872C2B" w:rsidP="005A0A86">
      <w:pPr>
        <w:pStyle w:val="NormalHanging12a"/>
        <w:jc w:val="both"/>
        <w:rPr>
          <w:b/>
          <w:i/>
          <w:color w:val="000000" w:themeColor="text1"/>
        </w:rPr>
      </w:pPr>
      <w:r w:rsidRPr="00DE0879">
        <w:rPr>
          <w:b/>
          <w:i/>
          <w:color w:val="000000" w:themeColor="text1"/>
        </w:rPr>
        <w:t xml:space="preserve">9d (new) </w:t>
      </w:r>
      <w:r w:rsidR="00231912" w:rsidRPr="00DE0879">
        <w:rPr>
          <w:b/>
          <w:i/>
          <w:color w:val="000000" w:themeColor="text1"/>
        </w:rPr>
        <w:t xml:space="preserve">Calls for a consistent application of key concepts and the streamlining of definitions for a more effective VAT system, for example, application of common interpretations for 'goods installed and assembled' as outlined in Article 36 of the VAT Directive and consistent application of definitions of Permanent Establishment (PE) and 'Fixed' or other establishments </w:t>
      </w:r>
      <w:r w:rsidR="00231912" w:rsidRPr="00DE0879">
        <w:rPr>
          <w:b/>
          <w:color w:val="000000" w:themeColor="text1"/>
        </w:rPr>
        <w:t>(AM 139 Rapp)</w:t>
      </w:r>
      <w:r w:rsidR="00231912" w:rsidRPr="00DE0879">
        <w:rPr>
          <w:b/>
          <w:i/>
          <w:color w:val="000000" w:themeColor="text1"/>
        </w:rPr>
        <w:t>;</w:t>
      </w:r>
    </w:p>
    <w:p w:rsidR="00231912" w:rsidRPr="00DE0879" w:rsidRDefault="00872C2B" w:rsidP="005A0A86">
      <w:pPr>
        <w:pStyle w:val="NormalHanging12a"/>
        <w:jc w:val="both"/>
        <w:rPr>
          <w:b/>
          <w:i/>
          <w:color w:val="000000" w:themeColor="text1"/>
        </w:rPr>
      </w:pPr>
      <w:r w:rsidRPr="00DE0879">
        <w:rPr>
          <w:b/>
          <w:i/>
          <w:color w:val="000000" w:themeColor="text1"/>
        </w:rPr>
        <w:t xml:space="preserve">9e (new) </w:t>
      </w:r>
      <w:r w:rsidR="00231912" w:rsidRPr="00DE0879">
        <w:rPr>
          <w:b/>
          <w:i/>
          <w:color w:val="000000" w:themeColor="text1"/>
        </w:rPr>
        <w:t xml:space="preserve">Highlights the need for a more sustainable and equitable VAT system with further consideration on how VAT rates can be utilised to achieve sustainability goals; suggests for the Commission to assess whether VAT charges can be eliminated on goods supplied free of charge for social and environmental benefit </w:t>
      </w:r>
      <w:r w:rsidR="00231912" w:rsidRPr="00DE0879">
        <w:rPr>
          <w:b/>
          <w:color w:val="000000" w:themeColor="text1"/>
        </w:rPr>
        <w:t>(AM 140 Rapp)</w:t>
      </w:r>
      <w:r w:rsidR="00231912" w:rsidRPr="00DE0879">
        <w:rPr>
          <w:b/>
          <w:i/>
          <w:color w:val="000000" w:themeColor="text1"/>
        </w:rPr>
        <w:t>;</w:t>
      </w:r>
    </w:p>
    <w:p w:rsidR="00231912" w:rsidRPr="00DE0879" w:rsidRDefault="00872C2B" w:rsidP="005A0A86">
      <w:pPr>
        <w:pStyle w:val="NormalHanging12a"/>
        <w:jc w:val="both"/>
        <w:rPr>
          <w:b/>
          <w:i/>
          <w:color w:val="000000" w:themeColor="text1"/>
        </w:rPr>
      </w:pPr>
      <w:r w:rsidRPr="00DE0879">
        <w:rPr>
          <w:b/>
          <w:i/>
          <w:color w:val="000000" w:themeColor="text1"/>
        </w:rPr>
        <w:t xml:space="preserve">9f (new) </w:t>
      </w:r>
      <w:r w:rsidR="00231912" w:rsidRPr="00DE0879">
        <w:rPr>
          <w:b/>
          <w:i/>
          <w:color w:val="000000" w:themeColor="text1"/>
        </w:rPr>
        <w:t xml:space="preserve">While reduced VAT rates have a legitimate purpose in supporting the </w:t>
      </w:r>
      <w:r w:rsidR="003218E9" w:rsidRPr="00DE0879">
        <w:rPr>
          <w:b/>
          <w:i/>
          <w:color w:val="000000" w:themeColor="text1"/>
        </w:rPr>
        <w:t xml:space="preserve">broad social and economic goal of member states, including the support for </w:t>
      </w:r>
      <w:r w:rsidR="00231912" w:rsidRPr="00DE0879">
        <w:rPr>
          <w:b/>
          <w:i/>
          <w:color w:val="000000" w:themeColor="text1"/>
        </w:rPr>
        <w:t xml:space="preserve">vulnerable and children, their broader application increases legal uncertainty and the complexity of the tax system; highlights that reduced VAT rates can lead to a decrease in the price to the consumer, </w:t>
      </w:r>
      <w:r w:rsidR="00900D0F" w:rsidRPr="00DE0879">
        <w:rPr>
          <w:b/>
          <w:i/>
          <w:color w:val="000000" w:themeColor="text1"/>
          <w:u w:val="single"/>
        </w:rPr>
        <w:t>but this is also dependent on other</w:t>
      </w:r>
      <w:r w:rsidR="00231912" w:rsidRPr="00DE0879">
        <w:rPr>
          <w:b/>
          <w:i/>
          <w:color w:val="000000" w:themeColor="text1"/>
        </w:rPr>
        <w:t xml:space="preserve"> factors; therefore, considers that a periodical review and assessment of which reduced VAT rates remain necessary and effective in achieving their intended policy goals will be useful in the simplification task </w:t>
      </w:r>
      <w:r w:rsidR="00231912" w:rsidRPr="00DE0879">
        <w:rPr>
          <w:b/>
          <w:color w:val="000000" w:themeColor="text1"/>
        </w:rPr>
        <w:t>(AM 141 Rapp)</w:t>
      </w:r>
      <w:r w:rsidR="00231912" w:rsidRPr="00DE0879">
        <w:rPr>
          <w:b/>
          <w:i/>
          <w:color w:val="000000" w:themeColor="text1"/>
        </w:rPr>
        <w:t>;</w:t>
      </w:r>
    </w:p>
    <w:p w:rsidR="00AB14E7" w:rsidRPr="00DE0879" w:rsidRDefault="00D50A31" w:rsidP="005A0A86">
      <w:pPr>
        <w:pStyle w:val="NormalHanging12a"/>
        <w:jc w:val="both"/>
        <w:rPr>
          <w:color w:val="000000" w:themeColor="text1"/>
        </w:rPr>
      </w:pPr>
      <w:r w:rsidRPr="00DE0879">
        <w:rPr>
          <w:color w:val="000000" w:themeColor="text1"/>
        </w:rPr>
        <w:t>10.</w:t>
      </w:r>
      <w:r w:rsidRPr="00DE0879">
        <w:rPr>
          <w:color w:val="000000" w:themeColor="text1"/>
        </w:rPr>
        <w:tab/>
        <w:t>Reiterates Parliament’s position on HOT</w:t>
      </w:r>
      <w:r w:rsidR="00900D0F" w:rsidRPr="00DE0879">
        <w:rPr>
          <w:color w:val="000000" w:themeColor="text1"/>
        </w:rPr>
        <w:t>, UNSHELL</w:t>
      </w:r>
      <w:r w:rsidR="004E5391" w:rsidRPr="00DE0879">
        <w:rPr>
          <w:color w:val="000000" w:themeColor="text1"/>
        </w:rPr>
        <w:t xml:space="preserve"> and</w:t>
      </w:r>
      <w:r w:rsidRPr="00DE0879">
        <w:rPr>
          <w:color w:val="000000" w:themeColor="text1"/>
        </w:rPr>
        <w:t xml:space="preserve"> DEBRA</w:t>
      </w:r>
      <w:r w:rsidR="001C41C0" w:rsidRPr="00DE0879">
        <w:rPr>
          <w:color w:val="000000" w:themeColor="text1"/>
        </w:rPr>
        <w:t xml:space="preserve"> (AM 144 EPP</w:t>
      </w:r>
      <w:r w:rsidR="00E951BA" w:rsidRPr="00DE0879">
        <w:rPr>
          <w:color w:val="000000" w:themeColor="text1"/>
        </w:rPr>
        <w:t>, 146 S&amp;D</w:t>
      </w:r>
      <w:r w:rsidR="001C41C0" w:rsidRPr="00DE0879">
        <w:rPr>
          <w:color w:val="000000" w:themeColor="text1"/>
        </w:rPr>
        <w:t>)</w:t>
      </w:r>
      <w:r w:rsidRPr="00DE0879">
        <w:rPr>
          <w:color w:val="000000" w:themeColor="text1"/>
        </w:rPr>
        <w:t>;</w:t>
      </w:r>
    </w:p>
    <w:p w:rsidR="005A0A86" w:rsidRPr="00DE0879" w:rsidRDefault="00BF7E4D" w:rsidP="005A0A86">
      <w:pPr>
        <w:pStyle w:val="NormalHanging12a"/>
        <w:jc w:val="both"/>
        <w:rPr>
          <w:b/>
          <w:i/>
          <w:color w:val="000000" w:themeColor="text1"/>
        </w:rPr>
      </w:pPr>
      <w:r w:rsidRPr="00DE0879">
        <w:rPr>
          <w:b/>
          <w:i/>
          <w:color w:val="000000" w:themeColor="text1"/>
        </w:rPr>
        <w:t>10a (new)Stresses that the complexity of, and discrepancies in, the interaction of the different tax systems can create an uneven playing field and can have an adverse effect on the functioning of the internal market</w:t>
      </w:r>
      <w:r w:rsidR="00900D0F" w:rsidRPr="00DE0879">
        <w:rPr>
          <w:b/>
          <w:i/>
          <w:color w:val="000000" w:themeColor="text1"/>
        </w:rPr>
        <w:t xml:space="preserve">; </w:t>
      </w:r>
      <w:r w:rsidR="00900D0F" w:rsidRPr="00DE0879">
        <w:rPr>
          <w:b/>
          <w:i/>
          <w:color w:val="000000" w:themeColor="text1"/>
          <w:u w:val="single"/>
        </w:rPr>
        <w:t>emphasises that this</w:t>
      </w:r>
      <w:r w:rsidRPr="00DE0879">
        <w:rPr>
          <w:b/>
          <w:i/>
          <w:color w:val="000000" w:themeColor="text1"/>
          <w:u w:val="single"/>
        </w:rPr>
        <w:t xml:space="preserve"> </w:t>
      </w:r>
      <w:r w:rsidR="006B14DF" w:rsidRPr="00DE0879">
        <w:rPr>
          <w:b/>
          <w:i/>
          <w:color w:val="000000" w:themeColor="text1"/>
          <w:u w:val="single"/>
        </w:rPr>
        <w:t>can discourage</w:t>
      </w:r>
      <w:r w:rsidRPr="00DE0879">
        <w:rPr>
          <w:b/>
          <w:i/>
          <w:color w:val="000000" w:themeColor="text1"/>
        </w:rPr>
        <w:t xml:space="preserve"> cross-border investments which can disadvantage especially SMEs and purely domestic businesses, </w:t>
      </w:r>
      <w:r w:rsidR="00900D0F" w:rsidRPr="00DE0879">
        <w:rPr>
          <w:b/>
          <w:i/>
          <w:color w:val="000000" w:themeColor="text1"/>
        </w:rPr>
        <w:t>who</w:t>
      </w:r>
      <w:r w:rsidRPr="00DE0879">
        <w:rPr>
          <w:b/>
          <w:i/>
          <w:color w:val="000000" w:themeColor="text1"/>
        </w:rPr>
        <w:t xml:space="preserve"> lack the resources to engage in complex tax planning schemes and therefore face an unfair competitive environment that is not prone to scaling-up (AM </w:t>
      </w:r>
      <w:r w:rsidR="00BF773A" w:rsidRPr="00DE0879">
        <w:rPr>
          <w:b/>
          <w:i/>
          <w:color w:val="000000" w:themeColor="text1"/>
        </w:rPr>
        <w:t xml:space="preserve">49, </w:t>
      </w:r>
      <w:r w:rsidRPr="00DE0879">
        <w:rPr>
          <w:b/>
          <w:i/>
          <w:color w:val="000000" w:themeColor="text1"/>
        </w:rPr>
        <w:t>51 S&amp;D);</w:t>
      </w:r>
    </w:p>
    <w:p w:rsidR="00BF773A" w:rsidRPr="00DE0879" w:rsidRDefault="00591C81" w:rsidP="005A0A86">
      <w:pPr>
        <w:pStyle w:val="NormalHanging12a"/>
        <w:jc w:val="both"/>
        <w:rPr>
          <w:b/>
          <w:i/>
          <w:iCs/>
          <w:color w:val="000000" w:themeColor="text1"/>
          <w:lang w:eastAsia="en-GB"/>
        </w:rPr>
      </w:pPr>
      <w:r w:rsidRPr="00DE0879">
        <w:rPr>
          <w:b/>
          <w:i/>
          <w:iCs/>
          <w:color w:val="000000" w:themeColor="text1"/>
          <w:lang w:eastAsia="en-GB"/>
        </w:rPr>
        <w:t>1</w:t>
      </w:r>
      <w:r w:rsidR="00BF7E4D" w:rsidRPr="00DE0879">
        <w:rPr>
          <w:b/>
          <w:i/>
          <w:iCs/>
          <w:color w:val="000000" w:themeColor="text1"/>
          <w:lang w:eastAsia="en-GB"/>
        </w:rPr>
        <w:t>0b</w:t>
      </w:r>
      <w:r w:rsidR="005A0A86" w:rsidRPr="00DE0879">
        <w:rPr>
          <w:b/>
          <w:i/>
          <w:iCs/>
          <w:color w:val="000000" w:themeColor="text1"/>
          <w:lang w:eastAsia="en-GB"/>
        </w:rPr>
        <w:t xml:space="preserve"> </w:t>
      </w:r>
      <w:r w:rsidRPr="00DE0879">
        <w:rPr>
          <w:b/>
          <w:i/>
          <w:iCs/>
          <w:color w:val="000000" w:themeColor="text1"/>
          <w:lang w:eastAsia="en-GB"/>
        </w:rPr>
        <w:t xml:space="preserve">(new) </w:t>
      </w:r>
      <w:r w:rsidR="00591DB1" w:rsidRPr="00DE0879">
        <w:rPr>
          <w:b/>
          <w:i/>
          <w:iCs/>
          <w:color w:val="000000" w:themeColor="text1"/>
          <w:lang w:eastAsia="en-GB"/>
        </w:rPr>
        <w:t xml:space="preserve">Takes note of the work on the BEFIT proposal; </w:t>
      </w:r>
      <w:r w:rsidR="00A17DE0" w:rsidRPr="00DE0879">
        <w:rPr>
          <w:b/>
          <w:i/>
          <w:iCs/>
          <w:color w:val="000000" w:themeColor="text1"/>
          <w:lang w:eastAsia="en-GB"/>
        </w:rPr>
        <w:t>Recalls the Commission’s objectives on</w:t>
      </w:r>
      <w:r w:rsidRPr="00DE0879">
        <w:rPr>
          <w:b/>
          <w:i/>
          <w:iCs/>
          <w:color w:val="000000" w:themeColor="text1"/>
          <w:lang w:eastAsia="en-GB"/>
        </w:rPr>
        <w:t xml:space="preserve"> Business in Europe: Framework for Income Taxation (BEFIT) </w:t>
      </w:r>
      <w:r w:rsidR="00A17DE0" w:rsidRPr="00DE0879">
        <w:rPr>
          <w:b/>
          <w:i/>
          <w:iCs/>
          <w:color w:val="000000" w:themeColor="text1"/>
          <w:lang w:eastAsia="en-GB"/>
        </w:rPr>
        <w:t>in reducing</w:t>
      </w:r>
      <w:r w:rsidRPr="00DE0879">
        <w:rPr>
          <w:b/>
          <w:i/>
          <w:iCs/>
          <w:color w:val="000000" w:themeColor="text1"/>
          <w:lang w:eastAsia="en-GB"/>
        </w:rPr>
        <w:t xml:space="preserve"> the complexity of tax rules and the compliance costs for EU businesses with cross-border operat</w:t>
      </w:r>
      <w:r w:rsidR="00A17DE0" w:rsidRPr="00DE0879">
        <w:rPr>
          <w:b/>
          <w:i/>
          <w:iCs/>
          <w:color w:val="000000" w:themeColor="text1"/>
          <w:lang w:eastAsia="en-GB"/>
        </w:rPr>
        <w:t>ions; takes note of its potential</w:t>
      </w:r>
      <w:r w:rsidRPr="00DE0879">
        <w:rPr>
          <w:b/>
          <w:i/>
          <w:iCs/>
          <w:color w:val="000000" w:themeColor="text1"/>
          <w:lang w:eastAsia="en-GB"/>
        </w:rPr>
        <w:t xml:space="preserve"> in reducing fragmentation</w:t>
      </w:r>
      <w:r w:rsidR="00A17DE0" w:rsidRPr="00DE0879">
        <w:rPr>
          <w:b/>
          <w:i/>
          <w:iCs/>
          <w:color w:val="000000" w:themeColor="text1"/>
          <w:lang w:eastAsia="en-GB"/>
        </w:rPr>
        <w:t xml:space="preserve"> and creating a level playing field for businesses within the internal market</w:t>
      </w:r>
      <w:r w:rsidRPr="00DE0879">
        <w:rPr>
          <w:b/>
          <w:i/>
          <w:iCs/>
          <w:color w:val="000000" w:themeColor="text1"/>
          <w:lang w:eastAsia="en-GB"/>
        </w:rPr>
        <w:t xml:space="preserve">; </w:t>
      </w:r>
      <w:r w:rsidR="00A17DE0" w:rsidRPr="00DE0879">
        <w:rPr>
          <w:b/>
          <w:i/>
          <w:iCs/>
          <w:color w:val="000000" w:themeColor="text1"/>
          <w:lang w:eastAsia="en-GB"/>
        </w:rPr>
        <w:t>emphasises</w:t>
      </w:r>
      <w:r w:rsidRPr="00DE0879">
        <w:rPr>
          <w:b/>
          <w:i/>
          <w:iCs/>
          <w:color w:val="000000" w:themeColor="text1"/>
          <w:lang w:eastAsia="en-GB"/>
        </w:rPr>
        <w:t xml:space="preserve"> </w:t>
      </w:r>
      <w:r w:rsidR="00A17DE0" w:rsidRPr="00DE0879">
        <w:rPr>
          <w:b/>
          <w:i/>
          <w:iCs/>
          <w:color w:val="000000" w:themeColor="text1"/>
          <w:lang w:eastAsia="en-GB"/>
        </w:rPr>
        <w:t>that any EU initiative must deliver an ad</w:t>
      </w:r>
      <w:r w:rsidRPr="00DE0879">
        <w:rPr>
          <w:b/>
          <w:i/>
          <w:iCs/>
          <w:color w:val="000000" w:themeColor="text1"/>
          <w:lang w:eastAsia="en-GB"/>
        </w:rPr>
        <w:t xml:space="preserve">ded value both in the legal and economic sense and calls for an effective and balanced approach benefitting all Member States, </w:t>
      </w:r>
      <w:r w:rsidR="00A17DE0" w:rsidRPr="00DE0879">
        <w:rPr>
          <w:b/>
          <w:i/>
          <w:iCs/>
          <w:color w:val="000000" w:themeColor="text1"/>
          <w:lang w:eastAsia="en-GB"/>
        </w:rPr>
        <w:t>respects the principle of subsidiarity, and aligns coherently with the implementation of Pillar II</w:t>
      </w:r>
      <w:r w:rsidRPr="00DE0879">
        <w:rPr>
          <w:b/>
          <w:i/>
          <w:iCs/>
          <w:color w:val="000000" w:themeColor="text1"/>
          <w:lang w:eastAsia="en-GB"/>
        </w:rPr>
        <w:t xml:space="preserve"> </w:t>
      </w:r>
      <w:r w:rsidRPr="00DE0879">
        <w:rPr>
          <w:b/>
          <w:iCs/>
          <w:color w:val="000000" w:themeColor="text1"/>
          <w:lang w:eastAsia="en-GB"/>
        </w:rPr>
        <w:t>(</w:t>
      </w:r>
      <w:r w:rsidR="00BF773A" w:rsidRPr="00DE0879">
        <w:rPr>
          <w:b/>
          <w:iCs/>
          <w:color w:val="000000" w:themeColor="text1"/>
          <w:lang w:eastAsia="en-GB"/>
        </w:rPr>
        <w:t>AMs 277 The Left, 142, 143 EPP, 60 S&amp;D,</w:t>
      </w:r>
      <w:r w:rsidRPr="00DE0879">
        <w:rPr>
          <w:b/>
          <w:iCs/>
          <w:color w:val="000000" w:themeColor="text1"/>
          <w:lang w:eastAsia="en-GB"/>
        </w:rPr>
        <w:t xml:space="preserve"> 152 Rapp)</w:t>
      </w:r>
      <w:r w:rsidR="00BF773A" w:rsidRPr="00DE0879">
        <w:rPr>
          <w:b/>
          <w:i/>
          <w:iCs/>
          <w:color w:val="000000" w:themeColor="text1"/>
          <w:lang w:eastAsia="en-GB"/>
        </w:rPr>
        <w:t>;</w:t>
      </w:r>
    </w:p>
    <w:p w:rsidR="00BF773A" w:rsidRPr="00DE0879" w:rsidRDefault="00BF773A">
      <w:pPr>
        <w:widowControl/>
        <w:rPr>
          <w:b/>
          <w:i/>
          <w:iCs/>
          <w:color w:val="000000" w:themeColor="text1"/>
          <w:lang w:eastAsia="en-GB"/>
        </w:rPr>
      </w:pPr>
      <w:r w:rsidRPr="00DE0879">
        <w:rPr>
          <w:b/>
          <w:i/>
          <w:iCs/>
          <w:color w:val="000000" w:themeColor="text1"/>
          <w:lang w:eastAsia="en-GB"/>
        </w:rPr>
        <w:br w:type="page"/>
      </w:r>
    </w:p>
    <w:p w:rsidR="00175357" w:rsidRPr="00DE0879" w:rsidRDefault="00175357" w:rsidP="00175357">
      <w:pPr>
        <w:pStyle w:val="Normal12a24b"/>
        <w:rPr>
          <w:i/>
          <w:iCs/>
          <w:color w:val="000000" w:themeColor="text1"/>
          <w:lang w:eastAsia="en-GB"/>
        </w:rPr>
      </w:pPr>
      <w:r w:rsidRPr="00DE0879">
        <w:rPr>
          <w:b/>
          <w:i/>
          <w:iCs/>
          <w:color w:val="000000" w:themeColor="text1"/>
          <w:lang w:eastAsia="en-GB"/>
        </w:rPr>
        <w:t>COMP D “</w:t>
      </w:r>
      <w:r w:rsidRPr="00DE0879">
        <w:rPr>
          <w:rStyle w:val="BoldItalic"/>
          <w:color w:val="000000" w:themeColor="text1"/>
        </w:rPr>
        <w:t>OECD Pillars 1 and 2 and international taxation</w:t>
      </w:r>
      <w:r w:rsidRPr="00DE0879">
        <w:rPr>
          <w:b/>
          <w:i/>
          <w:iCs/>
          <w:color w:val="000000" w:themeColor="text1"/>
          <w:lang w:eastAsia="en-GB"/>
        </w:rPr>
        <w:t xml:space="preserve">” </w:t>
      </w:r>
      <w:r w:rsidRPr="00DE0879">
        <w:rPr>
          <w:i/>
          <w:iCs/>
          <w:color w:val="000000" w:themeColor="text1"/>
          <w:lang w:eastAsia="en-GB"/>
        </w:rPr>
        <w:t xml:space="preserve">(paragraph </w:t>
      </w:r>
      <w:r w:rsidR="00A07705" w:rsidRPr="00DE0879">
        <w:rPr>
          <w:i/>
          <w:iCs/>
          <w:color w:val="000000" w:themeColor="text1"/>
          <w:lang w:eastAsia="en-GB"/>
        </w:rPr>
        <w:t>11</w:t>
      </w:r>
      <w:r w:rsidRPr="00DE0879">
        <w:rPr>
          <w:i/>
          <w:iCs/>
          <w:color w:val="000000" w:themeColor="text1"/>
          <w:lang w:eastAsia="en-GB"/>
        </w:rPr>
        <w:t xml:space="preserve">, </w:t>
      </w:r>
      <w:r w:rsidR="00A07705" w:rsidRPr="00DE0879">
        <w:rPr>
          <w:i/>
          <w:iCs/>
          <w:color w:val="000000" w:themeColor="text1"/>
          <w:lang w:eastAsia="en-GB"/>
        </w:rPr>
        <w:t>12</w:t>
      </w:r>
      <w:r w:rsidR="00EA5EC6" w:rsidRPr="00DE0879">
        <w:rPr>
          <w:i/>
          <w:iCs/>
          <w:color w:val="000000" w:themeColor="text1"/>
          <w:lang w:eastAsia="en-GB"/>
        </w:rPr>
        <w:t xml:space="preserve">, </w:t>
      </w:r>
      <w:r w:rsidR="00A07705" w:rsidRPr="00DE0879">
        <w:rPr>
          <w:i/>
          <w:iCs/>
          <w:color w:val="000000" w:themeColor="text1"/>
          <w:lang w:eastAsia="en-GB"/>
        </w:rPr>
        <w:t>13</w:t>
      </w:r>
      <w:r w:rsidR="00EA5EC6" w:rsidRPr="00DE0879">
        <w:rPr>
          <w:i/>
          <w:iCs/>
          <w:color w:val="000000" w:themeColor="text1"/>
          <w:lang w:eastAsia="en-GB"/>
        </w:rPr>
        <w:t xml:space="preserve"> and 14</w:t>
      </w:r>
      <w:r w:rsidRPr="00DE0879">
        <w:rPr>
          <w:i/>
          <w:iCs/>
          <w:color w:val="000000" w:themeColor="text1"/>
          <w:lang w:eastAsia="en-GB"/>
        </w:rPr>
        <w:t>)</w:t>
      </w:r>
    </w:p>
    <w:p w:rsidR="001D4291" w:rsidRPr="00DE0879" w:rsidRDefault="001D4291" w:rsidP="00175357">
      <w:pPr>
        <w:pStyle w:val="Normal12a24b"/>
        <w:rPr>
          <w:color w:val="000000" w:themeColor="text1"/>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xml:space="preserve">- </w:t>
      </w:r>
      <w:r w:rsidR="00DB2D81" w:rsidRPr="00DE0879">
        <w:rPr>
          <w:i/>
          <w:iCs/>
          <w:color w:val="000000" w:themeColor="text1"/>
          <w:lang w:eastAsia="en-GB"/>
        </w:rPr>
        <w:t>EPP, S&amp;D, PfE, ECR, Renew, Greens/EFA and The Left</w:t>
      </w:r>
    </w:p>
    <w:p w:rsidR="00175357" w:rsidRPr="00DE0879" w:rsidRDefault="00175357" w:rsidP="00175357">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 xml:space="preserve">by the COMP: </w:t>
      </w:r>
      <w:r w:rsidR="00F26FA4" w:rsidRPr="00DE0879">
        <w:rPr>
          <w:b w:val="0"/>
          <w:i/>
          <w:color w:val="000000" w:themeColor="text1"/>
        </w:rPr>
        <w:t>153, 155</w:t>
      </w:r>
      <w:r w:rsidR="00372B38" w:rsidRPr="00DE0879">
        <w:rPr>
          <w:b w:val="0"/>
          <w:i/>
          <w:color w:val="000000" w:themeColor="text1"/>
        </w:rPr>
        <w:t>, 164, 165</w:t>
      </w:r>
      <w:r w:rsidR="00D23749" w:rsidRPr="00DE0879">
        <w:rPr>
          <w:b w:val="0"/>
          <w:i/>
          <w:color w:val="000000" w:themeColor="text1"/>
        </w:rPr>
        <w:t>, 167, 169</w:t>
      </w:r>
      <w:r w:rsidR="00857715" w:rsidRPr="00DE0879">
        <w:rPr>
          <w:b w:val="0"/>
          <w:i/>
          <w:color w:val="000000" w:themeColor="text1"/>
        </w:rPr>
        <w:t xml:space="preserve"> </w:t>
      </w:r>
      <w:r w:rsidR="00F26FA4" w:rsidRPr="00DE0879">
        <w:rPr>
          <w:b w:val="0"/>
          <w:i/>
          <w:color w:val="000000" w:themeColor="text1"/>
        </w:rPr>
        <w:t xml:space="preserve">EPP; </w:t>
      </w:r>
      <w:r w:rsidRPr="00DE0879">
        <w:rPr>
          <w:b w:val="0"/>
          <w:i/>
          <w:color w:val="000000" w:themeColor="text1"/>
        </w:rPr>
        <w:t>1</w:t>
      </w:r>
      <w:r w:rsidR="00F26FA4" w:rsidRPr="00DE0879">
        <w:rPr>
          <w:b w:val="0"/>
          <w:i/>
          <w:color w:val="000000" w:themeColor="text1"/>
        </w:rPr>
        <w:t>54</w:t>
      </w:r>
      <w:r w:rsidR="00372B38" w:rsidRPr="00DE0879">
        <w:rPr>
          <w:b w:val="0"/>
          <w:i/>
          <w:color w:val="000000" w:themeColor="text1"/>
        </w:rPr>
        <w:t>, 162</w:t>
      </w:r>
      <w:r w:rsidR="003726BA" w:rsidRPr="00DE0879">
        <w:rPr>
          <w:b w:val="0"/>
          <w:i/>
          <w:color w:val="000000" w:themeColor="text1"/>
        </w:rPr>
        <w:t>, 241</w:t>
      </w:r>
      <w:r w:rsidR="00372B38" w:rsidRPr="00DE0879">
        <w:rPr>
          <w:b w:val="0"/>
          <w:i/>
          <w:color w:val="000000" w:themeColor="text1"/>
        </w:rPr>
        <w:t xml:space="preserve"> </w:t>
      </w:r>
      <w:r w:rsidRPr="00DE0879">
        <w:rPr>
          <w:b w:val="0"/>
          <w:i/>
          <w:color w:val="000000" w:themeColor="text1"/>
        </w:rPr>
        <w:t>S&amp;D</w:t>
      </w:r>
      <w:r w:rsidR="00F26FA4" w:rsidRPr="00DE0879">
        <w:rPr>
          <w:b w:val="0"/>
          <w:i/>
          <w:color w:val="000000" w:themeColor="text1"/>
        </w:rPr>
        <w:t xml:space="preserve">; </w:t>
      </w:r>
      <w:r w:rsidR="00372B38" w:rsidRPr="00DE0879">
        <w:rPr>
          <w:b w:val="0"/>
          <w:i/>
          <w:color w:val="000000" w:themeColor="text1"/>
        </w:rPr>
        <w:t xml:space="preserve">156, 158 Greens/EFA; 157, 163 </w:t>
      </w:r>
      <w:r w:rsidRPr="00DE0879">
        <w:rPr>
          <w:b w:val="0"/>
          <w:i/>
          <w:color w:val="000000" w:themeColor="text1"/>
        </w:rPr>
        <w:t>Rapp</w:t>
      </w:r>
      <w:r w:rsidR="00372B38" w:rsidRPr="00DE0879">
        <w:rPr>
          <w:b w:val="0"/>
          <w:i/>
          <w:color w:val="000000" w:themeColor="text1"/>
        </w:rPr>
        <w:t>, 166 Renew</w:t>
      </w:r>
      <w:r w:rsidR="00707D4A" w:rsidRPr="00DE0879">
        <w:rPr>
          <w:b w:val="0"/>
          <w:i/>
          <w:color w:val="000000" w:themeColor="text1"/>
        </w:rPr>
        <w:t>, 148 The Left</w:t>
      </w:r>
      <w:r w:rsidRPr="00DE0879">
        <w:rPr>
          <w:b w:val="0"/>
          <w:i/>
          <w:color w:val="000000" w:themeColor="text1"/>
        </w:rPr>
        <w:t>.</w:t>
      </w:r>
    </w:p>
    <w:p w:rsidR="00175357" w:rsidRPr="00DE0879" w:rsidRDefault="00175357" w:rsidP="00175357">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175357" w:rsidRPr="00DE0879" w:rsidRDefault="00175357" w:rsidP="00175357">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 </w:t>
      </w:r>
      <w:r w:rsidR="00A152CD" w:rsidRPr="00DE0879">
        <w:rPr>
          <w:b w:val="0"/>
          <w:i/>
          <w:color w:val="000000" w:themeColor="text1"/>
        </w:rPr>
        <w:t xml:space="preserve">169, 170 EPP, </w:t>
      </w:r>
      <w:r w:rsidR="00372B38" w:rsidRPr="00DE0879">
        <w:rPr>
          <w:b w:val="0"/>
          <w:i/>
          <w:color w:val="000000" w:themeColor="text1"/>
        </w:rPr>
        <w:t>159, 161 Greens/EFA</w:t>
      </w:r>
      <w:r w:rsidRPr="00DE0879">
        <w:rPr>
          <w:b w:val="0"/>
          <w:i/>
          <w:color w:val="000000" w:themeColor="text1"/>
        </w:rPr>
        <w:t xml:space="preserve">; </w:t>
      </w:r>
      <w:r w:rsidR="00372B38" w:rsidRPr="00DE0879">
        <w:rPr>
          <w:b w:val="0"/>
          <w:i/>
          <w:color w:val="000000" w:themeColor="text1"/>
        </w:rPr>
        <w:t>160</w:t>
      </w:r>
      <w:r w:rsidR="00857715" w:rsidRPr="00DE0879">
        <w:rPr>
          <w:b w:val="0"/>
          <w:i/>
          <w:color w:val="000000" w:themeColor="text1"/>
        </w:rPr>
        <w:t xml:space="preserve">, 168 </w:t>
      </w:r>
      <w:r w:rsidRPr="00DE0879">
        <w:rPr>
          <w:b w:val="0"/>
          <w:i/>
          <w:color w:val="000000" w:themeColor="text1"/>
        </w:rPr>
        <w:t>S&amp;D;</w:t>
      </w:r>
      <w:r w:rsidR="00A152CD" w:rsidRPr="00DE0879">
        <w:rPr>
          <w:b w:val="0"/>
          <w:i/>
          <w:color w:val="000000" w:themeColor="text1"/>
        </w:rPr>
        <w:t xml:space="preserve"> 171 Renew</w:t>
      </w:r>
      <w:r w:rsidRPr="00DE0879">
        <w:rPr>
          <w:b w:val="0"/>
          <w:i/>
          <w:color w:val="000000" w:themeColor="text1"/>
        </w:rPr>
        <w:t xml:space="preserve">; </w:t>
      </w:r>
      <w:r w:rsidR="00A152CD" w:rsidRPr="00DE0879">
        <w:rPr>
          <w:b w:val="0"/>
          <w:i/>
          <w:color w:val="000000" w:themeColor="text1"/>
        </w:rPr>
        <w:t xml:space="preserve">172, 173 </w:t>
      </w:r>
      <w:r w:rsidRPr="00DE0879">
        <w:rPr>
          <w:b w:val="0"/>
          <w:i/>
          <w:color w:val="000000" w:themeColor="text1"/>
        </w:rPr>
        <w:t>The Left.</w:t>
      </w:r>
    </w:p>
    <w:p w:rsidR="00175357" w:rsidRPr="00DE0879" w:rsidRDefault="00175357" w:rsidP="00175357">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AB14E7" w:rsidRPr="00DE0879" w:rsidRDefault="00D50A31">
      <w:pPr>
        <w:pStyle w:val="Normal12a24b"/>
        <w:rPr>
          <w:color w:val="000000" w:themeColor="text1"/>
        </w:rPr>
      </w:pPr>
      <w:r w:rsidRPr="00DE0879">
        <w:rPr>
          <w:rStyle w:val="BoldItalic"/>
          <w:color w:val="000000" w:themeColor="text1"/>
        </w:rPr>
        <w:t>OECD Pillars 1 and 2 and international taxation</w:t>
      </w:r>
    </w:p>
    <w:p w:rsidR="00AB14E7" w:rsidRPr="00DE0879" w:rsidRDefault="00D50A31" w:rsidP="00BF773A">
      <w:pPr>
        <w:pStyle w:val="NormalHanging12a"/>
        <w:jc w:val="both"/>
        <w:rPr>
          <w:color w:val="000000" w:themeColor="text1"/>
        </w:rPr>
      </w:pPr>
      <w:r w:rsidRPr="00DE0879">
        <w:rPr>
          <w:color w:val="000000" w:themeColor="text1"/>
        </w:rPr>
        <w:t>11.</w:t>
      </w:r>
      <w:r w:rsidRPr="00DE0879">
        <w:rPr>
          <w:color w:val="000000" w:themeColor="text1"/>
        </w:rPr>
        <w:tab/>
        <w:t xml:space="preserve">Reiterates the EU’s </w:t>
      </w:r>
      <w:r w:rsidR="00772B7F" w:rsidRPr="00DE0879">
        <w:rPr>
          <w:b/>
          <w:i/>
          <w:color w:val="000000" w:themeColor="text1"/>
        </w:rPr>
        <w:t>strong</w:t>
      </w:r>
      <w:r w:rsidR="00772B7F" w:rsidRPr="00DE0879">
        <w:rPr>
          <w:color w:val="000000" w:themeColor="text1"/>
        </w:rPr>
        <w:t xml:space="preserve"> </w:t>
      </w:r>
      <w:r w:rsidRPr="00DE0879">
        <w:rPr>
          <w:color w:val="000000" w:themeColor="text1"/>
        </w:rPr>
        <w:t>commitment to the implementation of the OECD</w:t>
      </w:r>
      <w:r w:rsidR="00A07705" w:rsidRPr="00DE0879">
        <w:rPr>
          <w:b/>
          <w:i/>
          <w:color w:val="000000" w:themeColor="text1"/>
        </w:rPr>
        <w:t>/G20 Inclusive Framework Two-Pillar Approach</w:t>
      </w:r>
      <w:r w:rsidRPr="00DE0879">
        <w:rPr>
          <w:color w:val="000000" w:themeColor="text1"/>
        </w:rPr>
        <w:t xml:space="preserve"> </w:t>
      </w:r>
      <w:r w:rsidRPr="00DE0879">
        <w:rPr>
          <w:strike/>
          <w:color w:val="000000" w:themeColor="text1"/>
        </w:rPr>
        <w:t>Pillar II agreement</w:t>
      </w:r>
      <w:r w:rsidRPr="00DE0879">
        <w:rPr>
          <w:color w:val="000000" w:themeColor="text1"/>
        </w:rPr>
        <w:t xml:space="preserve">, while taking into account the current situation regarding Pillar II rules, including the recent Executive Order issued by the US President on 20 January 2025 declaring that the OECD Global Tax Deal has no force and effect in the United States; urges the Commission </w:t>
      </w:r>
      <w:r w:rsidR="0071040A" w:rsidRPr="00DE0879">
        <w:rPr>
          <w:b/>
          <w:i/>
          <w:color w:val="000000" w:themeColor="text1"/>
        </w:rPr>
        <w:t xml:space="preserve">to </w:t>
      </w:r>
      <w:r w:rsidR="00F26FA4" w:rsidRPr="00DE0879">
        <w:rPr>
          <w:b/>
          <w:i/>
          <w:color w:val="000000" w:themeColor="text1"/>
        </w:rPr>
        <w:t xml:space="preserve">prioritise work to maintain and protect the agreement </w:t>
      </w:r>
      <w:r w:rsidR="00335F70" w:rsidRPr="00DE0879">
        <w:rPr>
          <w:b/>
          <w:i/>
          <w:color w:val="000000" w:themeColor="text1"/>
        </w:rPr>
        <w:t xml:space="preserve">to prevent a return to harmful tax competition at the cost of public revenue and EU </w:t>
      </w:r>
      <w:r w:rsidR="00335F70" w:rsidRPr="00DE0879">
        <w:rPr>
          <w:color w:val="000000" w:themeColor="text1"/>
        </w:rPr>
        <w:t>interests</w:t>
      </w:r>
      <w:r w:rsidR="00335F70" w:rsidRPr="00DE0879">
        <w:rPr>
          <w:b/>
          <w:i/>
          <w:color w:val="000000" w:themeColor="text1"/>
        </w:rPr>
        <w:t>; urges the Commission</w:t>
      </w:r>
      <w:r w:rsidR="00F26FA4" w:rsidRPr="00DE0879">
        <w:rPr>
          <w:b/>
          <w:i/>
          <w:color w:val="000000" w:themeColor="text1"/>
        </w:rPr>
        <w:t xml:space="preserve"> </w:t>
      </w:r>
      <w:r w:rsidRPr="00DE0879">
        <w:rPr>
          <w:color w:val="000000" w:themeColor="text1"/>
        </w:rPr>
        <w:t xml:space="preserve">to inform Parliament of contingency plans and take prompt, targeted action to </w:t>
      </w:r>
      <w:r w:rsidR="00A07705" w:rsidRPr="00DE0879">
        <w:rPr>
          <w:b/>
          <w:i/>
          <w:color w:val="000000" w:themeColor="text1"/>
        </w:rPr>
        <w:t>safeguard the integrity and effectiveness of the Pillar 2 Directive</w:t>
      </w:r>
      <w:r w:rsidR="00A07705" w:rsidRPr="00DE0879">
        <w:rPr>
          <w:color w:val="000000" w:themeColor="text1"/>
        </w:rPr>
        <w:t xml:space="preserve">, </w:t>
      </w:r>
      <w:r w:rsidRPr="00DE0879">
        <w:rPr>
          <w:color w:val="000000" w:themeColor="text1"/>
        </w:rPr>
        <w:t>protect EU interests and prevent retaliatory measures</w:t>
      </w:r>
      <w:r w:rsidR="00A07705" w:rsidRPr="00DE0879">
        <w:rPr>
          <w:color w:val="000000" w:themeColor="text1"/>
        </w:rPr>
        <w:t xml:space="preserve">; </w:t>
      </w:r>
      <w:r w:rsidR="00A50F27" w:rsidRPr="00DE0879">
        <w:rPr>
          <w:color w:val="000000" w:themeColor="text1"/>
        </w:rPr>
        <w:t xml:space="preserve">notes the possibility of </w:t>
      </w:r>
      <w:r w:rsidR="005E3979" w:rsidRPr="00DE0879">
        <w:rPr>
          <w:b/>
          <w:color w:val="000000" w:themeColor="text1"/>
        </w:rPr>
        <w:t xml:space="preserve">administrative </w:t>
      </w:r>
      <w:r w:rsidR="00F3768C" w:rsidRPr="00DE0879">
        <w:rPr>
          <w:b/>
          <w:color w:val="000000" w:themeColor="text1"/>
        </w:rPr>
        <w:t xml:space="preserve">simplification </w:t>
      </w:r>
      <w:r w:rsidR="005E3979" w:rsidRPr="00DE0879">
        <w:rPr>
          <w:b/>
          <w:color w:val="000000" w:themeColor="text1"/>
        </w:rPr>
        <w:t>in the implementation</w:t>
      </w:r>
      <w:r w:rsidR="005E3979" w:rsidRPr="00DE0879">
        <w:rPr>
          <w:color w:val="000000" w:themeColor="text1"/>
        </w:rPr>
        <w:t xml:space="preserve"> </w:t>
      </w:r>
      <w:r w:rsidR="00A50F27" w:rsidRPr="00DE0879">
        <w:rPr>
          <w:color w:val="000000" w:themeColor="text1"/>
        </w:rPr>
        <w:t xml:space="preserve">of Pillar 2; </w:t>
      </w:r>
      <w:r w:rsidR="00BF773A" w:rsidRPr="00DE0879">
        <w:rPr>
          <w:b/>
          <w:color w:val="000000" w:themeColor="text1"/>
        </w:rPr>
        <w:t>(AMs 154 S&amp;D, 153, 155 EPP, 156 Greens/EFA)</w:t>
      </w:r>
      <w:r w:rsidR="00A07705" w:rsidRPr="00DE0879">
        <w:rPr>
          <w:color w:val="000000" w:themeColor="text1"/>
        </w:rPr>
        <w:t>;</w:t>
      </w:r>
    </w:p>
    <w:p w:rsidR="00AB14E7" w:rsidRPr="00DE0879" w:rsidRDefault="00D50A31" w:rsidP="00BF773A">
      <w:pPr>
        <w:pStyle w:val="NormalHanging12a"/>
        <w:jc w:val="both"/>
        <w:rPr>
          <w:color w:val="000000" w:themeColor="text1"/>
        </w:rPr>
      </w:pPr>
      <w:r w:rsidRPr="00DE0879">
        <w:rPr>
          <w:color w:val="000000" w:themeColor="text1"/>
        </w:rPr>
        <w:t>12.</w:t>
      </w:r>
      <w:r w:rsidRPr="00DE0879">
        <w:rPr>
          <w:color w:val="000000" w:themeColor="text1"/>
        </w:rPr>
        <w:tab/>
        <w:t>Stresses that Pillar 2 should ensure a global minimum level of taxation for multinational and large-scale domestic groups in the Union; welcomes its implementation into national law; calls for legal clarity</w:t>
      </w:r>
      <w:r w:rsidR="00372B38" w:rsidRPr="00DE0879">
        <w:rPr>
          <w:b/>
          <w:color w:val="000000" w:themeColor="text1"/>
        </w:rPr>
        <w:t>,</w:t>
      </w:r>
      <w:r w:rsidRPr="00DE0879">
        <w:rPr>
          <w:color w:val="000000" w:themeColor="text1"/>
        </w:rPr>
        <w:t xml:space="preserve"> </w:t>
      </w:r>
      <w:r w:rsidR="00372B38" w:rsidRPr="00DE0879">
        <w:rPr>
          <w:b/>
          <w:i/>
          <w:color w:val="000000" w:themeColor="text1"/>
        </w:rPr>
        <w:t>taking into account differences between OECD Pillar II rules and Member States’</w:t>
      </w:r>
      <w:r w:rsidR="00372B38" w:rsidRPr="00DE0879">
        <w:rPr>
          <w:color w:val="000000" w:themeColor="text1"/>
        </w:rPr>
        <w:t xml:space="preserve"> </w:t>
      </w:r>
      <w:r w:rsidRPr="00DE0879">
        <w:rPr>
          <w:strike/>
          <w:color w:val="000000" w:themeColor="text1"/>
        </w:rPr>
        <w:t>in its</w:t>
      </w:r>
      <w:r w:rsidRPr="00DE0879">
        <w:rPr>
          <w:color w:val="000000" w:themeColor="text1"/>
        </w:rPr>
        <w:t xml:space="preserve"> implementation </w:t>
      </w:r>
      <w:r w:rsidR="00372B38" w:rsidRPr="00DE0879">
        <w:rPr>
          <w:b/>
          <w:i/>
          <w:color w:val="000000" w:themeColor="text1"/>
        </w:rPr>
        <w:t>specifically in shipping activities, to avoid creating conflicting taxation regimes which can lead to confusion;</w:t>
      </w:r>
      <w:r w:rsidR="00372B38" w:rsidRPr="00DE0879">
        <w:rPr>
          <w:color w:val="000000" w:themeColor="text1"/>
        </w:rPr>
        <w:t xml:space="preserve"> </w:t>
      </w:r>
      <w:r w:rsidRPr="00DE0879">
        <w:rPr>
          <w:color w:val="000000" w:themeColor="text1"/>
        </w:rPr>
        <w:t xml:space="preserve">and expects the process of negotiating and publishing the administrative guidance to come to an end soon and provide companies falling under the scope of Pillar 2 with the necessary certainty; </w:t>
      </w:r>
      <w:r w:rsidRPr="00DE0879">
        <w:rPr>
          <w:strike/>
          <w:color w:val="000000" w:themeColor="text1"/>
        </w:rPr>
        <w:t>expects further developments with regard to the OECD</w:t>
      </w:r>
      <w:r w:rsidRPr="00DE0879">
        <w:rPr>
          <w:color w:val="000000" w:themeColor="text1"/>
        </w:rPr>
        <w:t xml:space="preserve"> </w:t>
      </w:r>
      <w:r w:rsidR="00A50F27" w:rsidRPr="00DE0879">
        <w:rPr>
          <w:color w:val="000000" w:themeColor="text1"/>
        </w:rPr>
        <w:t xml:space="preserve">expects further developments with regard to existing safe harbours to ease compliance, such as a </w:t>
      </w:r>
      <w:r w:rsidRPr="00DE0879">
        <w:rPr>
          <w:color w:val="000000" w:themeColor="text1"/>
        </w:rPr>
        <w:t>permanent safe harbour</w:t>
      </w:r>
      <w:r w:rsidR="00372B38" w:rsidRPr="00DE0879">
        <w:rPr>
          <w:color w:val="000000" w:themeColor="text1"/>
        </w:rPr>
        <w:t xml:space="preserve"> </w:t>
      </w:r>
      <w:r w:rsidR="00BF773A" w:rsidRPr="00DE0879">
        <w:rPr>
          <w:b/>
          <w:color w:val="000000" w:themeColor="text1"/>
        </w:rPr>
        <w:t>(AMs 157 Rapp,</w:t>
      </w:r>
      <w:r w:rsidR="00372B38" w:rsidRPr="00DE0879">
        <w:rPr>
          <w:b/>
          <w:color w:val="000000" w:themeColor="text1"/>
        </w:rPr>
        <w:t xml:space="preserve"> 158 Greens/EFA)</w:t>
      </w:r>
      <w:r w:rsidRPr="00DE0879">
        <w:rPr>
          <w:color w:val="000000" w:themeColor="text1"/>
        </w:rPr>
        <w:t>;</w:t>
      </w:r>
    </w:p>
    <w:p w:rsidR="00D23749" w:rsidRPr="00DE0879" w:rsidRDefault="00D23749" w:rsidP="00BF773A">
      <w:pPr>
        <w:pStyle w:val="NormalHanging12a"/>
        <w:jc w:val="both"/>
        <w:rPr>
          <w:color w:val="000000" w:themeColor="text1"/>
        </w:rPr>
      </w:pPr>
      <w:r w:rsidRPr="00DE0879">
        <w:rPr>
          <w:color w:val="000000" w:themeColor="text1"/>
        </w:rPr>
        <w:t>13.</w:t>
      </w:r>
      <w:r w:rsidRPr="00DE0879">
        <w:rPr>
          <w:color w:val="000000" w:themeColor="text1"/>
        </w:rPr>
        <w:tab/>
        <w:t>(</w:t>
      </w:r>
      <w:r w:rsidRPr="00DE0879">
        <w:rPr>
          <w:i/>
          <w:color w:val="000000" w:themeColor="text1"/>
        </w:rPr>
        <w:t>moved to COMP F</w:t>
      </w:r>
      <w:r w:rsidRPr="00DE0879">
        <w:rPr>
          <w:color w:val="000000" w:themeColor="text1"/>
        </w:rPr>
        <w:t>)</w:t>
      </w:r>
    </w:p>
    <w:p w:rsidR="00AB14E7" w:rsidRPr="00DE0879" w:rsidRDefault="00EB20E3" w:rsidP="00BF773A">
      <w:pPr>
        <w:pStyle w:val="NormalHanging12a"/>
        <w:jc w:val="both"/>
        <w:rPr>
          <w:b/>
          <w:i/>
          <w:color w:val="000000" w:themeColor="text1"/>
        </w:rPr>
      </w:pPr>
      <w:r w:rsidRPr="00DE0879">
        <w:rPr>
          <w:b/>
          <w:i/>
          <w:color w:val="000000" w:themeColor="text1"/>
        </w:rPr>
        <w:t>13a</w:t>
      </w:r>
      <w:r w:rsidR="00B37F0B" w:rsidRPr="00DE0879">
        <w:rPr>
          <w:b/>
          <w:i/>
          <w:color w:val="000000" w:themeColor="text1"/>
        </w:rPr>
        <w:tab/>
      </w:r>
      <w:r w:rsidR="00D23749" w:rsidRPr="00DE0879">
        <w:rPr>
          <w:b/>
          <w:i/>
          <w:color w:val="000000" w:themeColor="text1"/>
        </w:rPr>
        <w:t>H</w:t>
      </w:r>
      <w:r w:rsidR="00372B38" w:rsidRPr="00DE0879">
        <w:rPr>
          <w:b/>
          <w:i/>
          <w:color w:val="000000" w:themeColor="text1"/>
        </w:rPr>
        <w:t xml:space="preserve">ighlights the impactful role that EPPO and OLAF have had in identifying and investigating tax fraud and evasion and stresses the need for effective collaboration between these bodies and with national tax authorities </w:t>
      </w:r>
      <w:r w:rsidR="00372B38" w:rsidRPr="00DE0879">
        <w:rPr>
          <w:b/>
          <w:color w:val="000000" w:themeColor="text1"/>
        </w:rPr>
        <w:t>(AM 166 Renew)</w:t>
      </w:r>
      <w:r w:rsidR="00372B38" w:rsidRPr="00DE0879">
        <w:rPr>
          <w:b/>
          <w:i/>
          <w:color w:val="000000" w:themeColor="text1"/>
        </w:rPr>
        <w:t>;</w:t>
      </w:r>
    </w:p>
    <w:p w:rsidR="00AB14E7" w:rsidRPr="00DE0879" w:rsidRDefault="00D50A31" w:rsidP="00BF773A">
      <w:pPr>
        <w:pStyle w:val="NormalHanging12a"/>
        <w:jc w:val="both"/>
        <w:rPr>
          <w:b/>
          <w:i/>
          <w:color w:val="000000" w:themeColor="text1"/>
        </w:rPr>
      </w:pPr>
      <w:r w:rsidRPr="00DE0879">
        <w:rPr>
          <w:color w:val="000000" w:themeColor="text1"/>
        </w:rPr>
        <w:t>14.</w:t>
      </w:r>
      <w:r w:rsidRPr="00DE0879">
        <w:rPr>
          <w:color w:val="000000" w:themeColor="text1"/>
        </w:rPr>
        <w:tab/>
        <w:t>Acknowledges the publication by the OECD of the Multilateral Convention in October 2023, laying down the technical rules to implement Amount A of Pillar 1 and the ongoing negotiations;</w:t>
      </w:r>
      <w:r w:rsidR="00372B38" w:rsidRPr="00DE0879">
        <w:rPr>
          <w:b/>
          <w:i/>
          <w:color w:val="000000" w:themeColor="text1"/>
        </w:rPr>
        <w:t xml:space="preserve"> </w:t>
      </w:r>
      <w:r w:rsidR="00FF5E9C" w:rsidRPr="00DE0879">
        <w:rPr>
          <w:b/>
          <w:i/>
          <w:color w:val="000000" w:themeColor="text1"/>
        </w:rPr>
        <w:t xml:space="preserve">calls on the </w:t>
      </w:r>
      <w:r w:rsidR="00B767E8" w:rsidRPr="00DE0879">
        <w:rPr>
          <w:b/>
          <w:i/>
          <w:color w:val="000000" w:themeColor="text1"/>
        </w:rPr>
        <w:t>Commission</w:t>
      </w:r>
      <w:r w:rsidR="00FF5E9C" w:rsidRPr="00DE0879">
        <w:rPr>
          <w:b/>
          <w:i/>
          <w:color w:val="000000" w:themeColor="text1"/>
        </w:rPr>
        <w:t xml:space="preserve"> to assess the potential effects of a Digital Services Tax</w:t>
      </w:r>
      <w:r w:rsidR="00E951BA" w:rsidRPr="00DE0879">
        <w:rPr>
          <w:b/>
          <w:i/>
          <w:color w:val="000000" w:themeColor="text1"/>
        </w:rPr>
        <w:t xml:space="preserve"> (AM </w:t>
      </w:r>
      <w:r w:rsidR="00D23749" w:rsidRPr="00DE0879">
        <w:rPr>
          <w:b/>
          <w:i/>
          <w:color w:val="000000" w:themeColor="text1"/>
        </w:rPr>
        <w:t xml:space="preserve">167, 169 EPP, </w:t>
      </w:r>
      <w:r w:rsidR="00D64A2F" w:rsidRPr="00DE0879">
        <w:rPr>
          <w:i/>
          <w:color w:val="000000" w:themeColor="text1"/>
        </w:rPr>
        <w:t>241 S&amp;D,</w:t>
      </w:r>
      <w:r w:rsidR="00D64A2F" w:rsidRPr="00DE0879">
        <w:rPr>
          <w:b/>
          <w:i/>
          <w:color w:val="000000" w:themeColor="text1"/>
        </w:rPr>
        <w:t xml:space="preserve"> </w:t>
      </w:r>
      <w:r w:rsidR="00E951BA" w:rsidRPr="00DE0879">
        <w:rPr>
          <w:b/>
          <w:i/>
          <w:color w:val="000000" w:themeColor="text1"/>
        </w:rPr>
        <w:t>148 The Left)</w:t>
      </w:r>
      <w:r w:rsidR="00FF5E9C" w:rsidRPr="00DE0879">
        <w:rPr>
          <w:b/>
          <w:i/>
          <w:color w:val="000000" w:themeColor="text1"/>
        </w:rPr>
        <w:t>;</w:t>
      </w:r>
    </w:p>
    <w:p w:rsidR="00EA5EC6" w:rsidRPr="00DE0879" w:rsidRDefault="00EA5EC6" w:rsidP="00BF773A">
      <w:pPr>
        <w:widowControl/>
        <w:jc w:val="both"/>
        <w:rPr>
          <w:rStyle w:val="BoldItalic"/>
          <w:color w:val="000000" w:themeColor="text1"/>
        </w:rPr>
      </w:pPr>
      <w:r w:rsidRPr="00DE0879">
        <w:rPr>
          <w:rStyle w:val="BoldItalic"/>
          <w:color w:val="000000" w:themeColor="text1"/>
        </w:rPr>
        <w:br w:type="page"/>
      </w:r>
    </w:p>
    <w:p w:rsidR="00EA5EC6" w:rsidRPr="00DE0879" w:rsidRDefault="00EA5EC6" w:rsidP="00EA5EC6">
      <w:pPr>
        <w:pStyle w:val="Normal12a24b"/>
        <w:rPr>
          <w:i/>
          <w:iCs/>
          <w:color w:val="000000" w:themeColor="text1"/>
          <w:lang w:eastAsia="en-GB"/>
        </w:rPr>
      </w:pPr>
      <w:r w:rsidRPr="00DE0879">
        <w:rPr>
          <w:b/>
          <w:i/>
          <w:iCs/>
          <w:color w:val="000000" w:themeColor="text1"/>
          <w:lang w:eastAsia="en-GB"/>
        </w:rPr>
        <w:t>COMP E “</w:t>
      </w:r>
      <w:r w:rsidRPr="00DE0879">
        <w:rPr>
          <w:rStyle w:val="BoldItalic"/>
          <w:color w:val="000000" w:themeColor="text1"/>
        </w:rPr>
        <w:t>Tax barriers in the single market</w:t>
      </w:r>
      <w:r w:rsidRPr="00DE0879">
        <w:rPr>
          <w:b/>
          <w:i/>
          <w:iCs/>
          <w:color w:val="000000" w:themeColor="text1"/>
          <w:lang w:eastAsia="en-GB"/>
        </w:rPr>
        <w:t xml:space="preserve">” </w:t>
      </w:r>
      <w:r w:rsidRPr="00DE0879">
        <w:rPr>
          <w:i/>
          <w:iCs/>
          <w:color w:val="000000" w:themeColor="text1"/>
          <w:lang w:eastAsia="en-GB"/>
        </w:rPr>
        <w:t>(paragraph 15)</w:t>
      </w:r>
    </w:p>
    <w:p w:rsidR="001D4291" w:rsidRPr="00DE0879" w:rsidRDefault="001D4291" w:rsidP="001D4291">
      <w:pPr>
        <w:pStyle w:val="Normal12a24b"/>
        <w:rPr>
          <w:color w:val="000000" w:themeColor="text1"/>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xml:space="preserve">- </w:t>
      </w:r>
      <w:r w:rsidR="00DB2D81" w:rsidRPr="00DE0879">
        <w:rPr>
          <w:i/>
          <w:iCs/>
          <w:color w:val="000000" w:themeColor="text1"/>
          <w:lang w:eastAsia="en-GB"/>
        </w:rPr>
        <w:t>EPP, S&amp;D, PfE, ECR, Renew, Greens/EFA and The Left</w:t>
      </w:r>
    </w:p>
    <w:p w:rsidR="00EA5EC6" w:rsidRPr="00DE0879" w:rsidRDefault="00EA5EC6" w:rsidP="00EA5EC6">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 xml:space="preserve">by the COMP: </w:t>
      </w:r>
      <w:r w:rsidR="001904B0" w:rsidRPr="00DE0879">
        <w:rPr>
          <w:b w:val="0"/>
          <w:i/>
          <w:color w:val="000000" w:themeColor="text1"/>
        </w:rPr>
        <w:t xml:space="preserve">177, 178, </w:t>
      </w:r>
      <w:r w:rsidR="0002405A" w:rsidRPr="00DE0879">
        <w:rPr>
          <w:b w:val="0"/>
          <w:i/>
          <w:color w:val="000000" w:themeColor="text1"/>
        </w:rPr>
        <w:t xml:space="preserve">186, </w:t>
      </w:r>
      <w:r w:rsidR="001904B0" w:rsidRPr="00DE0879">
        <w:rPr>
          <w:b w:val="0"/>
          <w:i/>
          <w:color w:val="000000" w:themeColor="text1"/>
        </w:rPr>
        <w:t xml:space="preserve">187, 190 </w:t>
      </w:r>
      <w:r w:rsidRPr="00DE0879">
        <w:rPr>
          <w:b w:val="0"/>
          <w:i/>
          <w:color w:val="000000" w:themeColor="text1"/>
        </w:rPr>
        <w:t xml:space="preserve">EPP; </w:t>
      </w:r>
      <w:r w:rsidR="001904B0" w:rsidRPr="00DE0879">
        <w:rPr>
          <w:b w:val="0"/>
          <w:i/>
          <w:color w:val="000000" w:themeColor="text1"/>
        </w:rPr>
        <w:t>185, 189</w:t>
      </w:r>
      <w:r w:rsidR="00294B08" w:rsidRPr="00DE0879">
        <w:rPr>
          <w:b w:val="0"/>
          <w:i/>
          <w:color w:val="000000" w:themeColor="text1"/>
        </w:rPr>
        <w:t>, 191</w:t>
      </w:r>
      <w:r w:rsidR="009A3674" w:rsidRPr="00DE0879">
        <w:rPr>
          <w:b w:val="0"/>
          <w:i/>
          <w:color w:val="000000" w:themeColor="text1"/>
        </w:rPr>
        <w:t>, 192</w:t>
      </w:r>
      <w:r w:rsidRPr="00DE0879">
        <w:rPr>
          <w:b w:val="0"/>
          <w:i/>
          <w:color w:val="000000" w:themeColor="text1"/>
        </w:rPr>
        <w:t xml:space="preserve"> S&amp;D; </w:t>
      </w:r>
      <w:r w:rsidR="008060BB" w:rsidRPr="00DE0879">
        <w:rPr>
          <w:b w:val="0"/>
          <w:i/>
          <w:color w:val="000000" w:themeColor="text1"/>
        </w:rPr>
        <w:t xml:space="preserve">145, 175 </w:t>
      </w:r>
      <w:r w:rsidRPr="00DE0879">
        <w:rPr>
          <w:b w:val="0"/>
          <w:i/>
          <w:color w:val="000000" w:themeColor="text1"/>
        </w:rPr>
        <w:t>Greens/EFA; 62, 174</w:t>
      </w:r>
      <w:r w:rsidR="001904B0" w:rsidRPr="00DE0879">
        <w:rPr>
          <w:b w:val="0"/>
          <w:i/>
          <w:color w:val="000000" w:themeColor="text1"/>
        </w:rPr>
        <w:t xml:space="preserve">, 183, </w:t>
      </w:r>
      <w:r w:rsidR="00837BE3" w:rsidRPr="00DE0879">
        <w:rPr>
          <w:b w:val="0"/>
          <w:i/>
          <w:color w:val="000000" w:themeColor="text1"/>
        </w:rPr>
        <w:t xml:space="preserve">150, </w:t>
      </w:r>
      <w:r w:rsidR="001904B0" w:rsidRPr="00DE0879">
        <w:rPr>
          <w:b w:val="0"/>
          <w:i/>
          <w:color w:val="000000" w:themeColor="text1"/>
        </w:rPr>
        <w:t>188</w:t>
      </w:r>
      <w:r w:rsidRPr="00DE0879">
        <w:rPr>
          <w:b w:val="0"/>
          <w:i/>
          <w:color w:val="000000" w:themeColor="text1"/>
        </w:rPr>
        <w:t xml:space="preserve"> Rapp, </w:t>
      </w:r>
      <w:r w:rsidR="001904B0" w:rsidRPr="00DE0879">
        <w:rPr>
          <w:b w:val="0"/>
          <w:i/>
          <w:color w:val="000000" w:themeColor="text1"/>
        </w:rPr>
        <w:t xml:space="preserve">176 ECR, </w:t>
      </w:r>
      <w:r w:rsidRPr="00DE0879">
        <w:rPr>
          <w:b w:val="0"/>
          <w:i/>
          <w:color w:val="000000" w:themeColor="text1"/>
        </w:rPr>
        <w:t xml:space="preserve">179 Renew. </w:t>
      </w:r>
    </w:p>
    <w:p w:rsidR="00EA5EC6" w:rsidRPr="00DE0879" w:rsidRDefault="00EA5EC6" w:rsidP="00EA5EC6">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EA5EC6" w:rsidRPr="00DE0879" w:rsidRDefault="00EA5EC6" w:rsidP="00EA5EC6">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 </w:t>
      </w:r>
      <w:r w:rsidR="001904B0" w:rsidRPr="00DE0879">
        <w:rPr>
          <w:b w:val="0"/>
          <w:i/>
          <w:color w:val="000000" w:themeColor="text1"/>
        </w:rPr>
        <w:t xml:space="preserve">180 PfE, 182 ECR, 184 </w:t>
      </w:r>
      <w:r w:rsidRPr="00DE0879">
        <w:rPr>
          <w:b w:val="0"/>
          <w:i/>
          <w:color w:val="000000" w:themeColor="text1"/>
        </w:rPr>
        <w:t xml:space="preserve">EPP, Greens/EFA; </w:t>
      </w:r>
      <w:r w:rsidR="001904B0" w:rsidRPr="00DE0879">
        <w:rPr>
          <w:b w:val="0"/>
          <w:i/>
          <w:color w:val="000000" w:themeColor="text1"/>
        </w:rPr>
        <w:t xml:space="preserve">181 </w:t>
      </w:r>
      <w:r w:rsidRPr="00DE0879">
        <w:rPr>
          <w:b w:val="0"/>
          <w:i/>
          <w:color w:val="000000" w:themeColor="text1"/>
        </w:rPr>
        <w:t>S&amp;D; Renew; The Left.</w:t>
      </w:r>
    </w:p>
    <w:p w:rsidR="00EA5EC6" w:rsidRPr="00DE0879" w:rsidRDefault="00EA5EC6" w:rsidP="00EA5EC6">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AB14E7" w:rsidRPr="00DE0879" w:rsidRDefault="00D50A31">
      <w:pPr>
        <w:pStyle w:val="Normal12a24b"/>
        <w:rPr>
          <w:color w:val="000000" w:themeColor="text1"/>
        </w:rPr>
      </w:pPr>
      <w:r w:rsidRPr="00DE0879">
        <w:rPr>
          <w:rStyle w:val="BoldItalic"/>
          <w:color w:val="000000" w:themeColor="text1"/>
        </w:rPr>
        <w:t>Tax barriers in the single market</w:t>
      </w:r>
    </w:p>
    <w:p w:rsidR="00AB14E7" w:rsidRPr="00DE0879" w:rsidRDefault="00D50A31" w:rsidP="00BF773A">
      <w:pPr>
        <w:pStyle w:val="NormalHanging12a"/>
        <w:jc w:val="both"/>
        <w:rPr>
          <w:color w:val="000000" w:themeColor="text1"/>
        </w:rPr>
      </w:pPr>
      <w:r w:rsidRPr="00DE0879">
        <w:rPr>
          <w:color w:val="000000" w:themeColor="text1"/>
        </w:rPr>
        <w:t>15.</w:t>
      </w:r>
      <w:r w:rsidRPr="00DE0879">
        <w:rPr>
          <w:color w:val="000000" w:themeColor="text1"/>
        </w:rPr>
        <w:tab/>
      </w:r>
      <w:r w:rsidR="00C424EA" w:rsidRPr="00DE0879">
        <w:rPr>
          <w:b/>
          <w:i/>
          <w:color w:val="000000" w:themeColor="text1"/>
        </w:rPr>
        <w:t>Takes note of</w:t>
      </w:r>
      <w:r w:rsidR="009B11BC" w:rsidRPr="00DE0879">
        <w:rPr>
          <w:b/>
          <w:i/>
          <w:color w:val="000000" w:themeColor="text1"/>
          <w:u w:val="single"/>
        </w:rPr>
        <w:t xml:space="preserve"> the Letta Report and </w:t>
      </w:r>
      <w:r w:rsidR="00C424EA" w:rsidRPr="00DE0879">
        <w:rPr>
          <w:b/>
          <w:i/>
          <w:color w:val="000000" w:themeColor="text1"/>
          <w:u w:val="single"/>
        </w:rPr>
        <w:t xml:space="preserve">the </w:t>
      </w:r>
      <w:r w:rsidR="009B11BC" w:rsidRPr="00DE0879">
        <w:rPr>
          <w:b/>
          <w:i/>
          <w:color w:val="000000" w:themeColor="text1"/>
          <w:u w:val="single"/>
        </w:rPr>
        <w:t xml:space="preserve">reference to a </w:t>
      </w:r>
      <w:r w:rsidR="009E5BD5" w:rsidRPr="00DE0879">
        <w:rPr>
          <w:b/>
          <w:i/>
          <w:color w:val="000000" w:themeColor="text1"/>
          <w:u w:val="single"/>
        </w:rPr>
        <w:t xml:space="preserve">voluntary </w:t>
      </w:r>
      <w:r w:rsidR="009B11BC" w:rsidRPr="00DE0879">
        <w:rPr>
          <w:b/>
          <w:i/>
          <w:color w:val="000000" w:themeColor="text1"/>
          <w:u w:val="single"/>
        </w:rPr>
        <w:t>28th regime</w:t>
      </w:r>
      <w:r w:rsidR="009B11BC" w:rsidRPr="00DE0879">
        <w:rPr>
          <w:b/>
          <w:color w:val="000000" w:themeColor="text1"/>
        </w:rPr>
        <w:t>,</w:t>
      </w:r>
      <w:r w:rsidR="009B11BC" w:rsidRPr="00DE0879">
        <w:rPr>
          <w:color w:val="000000" w:themeColor="text1"/>
        </w:rPr>
        <w:t xml:space="preserve"> </w:t>
      </w:r>
      <w:r w:rsidR="009B11BC" w:rsidRPr="00DE0879">
        <w:rPr>
          <w:b/>
          <w:i/>
          <w:color w:val="000000" w:themeColor="text1"/>
          <w:u w:val="single"/>
        </w:rPr>
        <w:t>which aims to attract and retain innovative start-ups in the European Union;</w:t>
      </w:r>
      <w:r w:rsidR="009B11BC" w:rsidRPr="00DE0879">
        <w:rPr>
          <w:color w:val="000000" w:themeColor="text1"/>
        </w:rPr>
        <w:t xml:space="preserve"> </w:t>
      </w:r>
      <w:r w:rsidR="009B11BC" w:rsidRPr="00DE0879">
        <w:rPr>
          <w:b/>
          <w:i/>
          <w:color w:val="000000" w:themeColor="text1"/>
        </w:rPr>
        <w:t>n</w:t>
      </w:r>
      <w:r w:rsidRPr="00DE0879">
        <w:rPr>
          <w:color w:val="000000" w:themeColor="text1"/>
        </w:rPr>
        <w:t>otes that the fragmented EU tax landscape creates complexity, uncertainty and high compliance costs for EU businesses, especially SMEs</w:t>
      </w:r>
      <w:r w:rsidR="009B11BC" w:rsidRPr="00DE0879">
        <w:rPr>
          <w:b/>
          <w:i/>
          <w:color w:val="000000" w:themeColor="text1"/>
        </w:rPr>
        <w:t xml:space="preserve"> and  </w:t>
      </w:r>
      <w:r w:rsidR="008447E6" w:rsidRPr="00DE0879">
        <w:rPr>
          <w:b/>
          <w:i/>
          <w:color w:val="000000" w:themeColor="text1"/>
        </w:rPr>
        <w:t xml:space="preserve">invites </w:t>
      </w:r>
      <w:r w:rsidR="009B11BC" w:rsidRPr="00DE0879">
        <w:rPr>
          <w:b/>
          <w:i/>
          <w:color w:val="000000" w:themeColor="text1"/>
        </w:rPr>
        <w:t xml:space="preserve">the Commission </w:t>
      </w:r>
      <w:r w:rsidR="008447E6" w:rsidRPr="00DE0879">
        <w:rPr>
          <w:rFonts w:ascii="Calibri" w:hAnsi="Calibri" w:cs="Calibri"/>
          <w:b/>
          <w:bCs/>
          <w:i/>
          <w:iCs/>
          <w:color w:val="000000" w:themeColor="text1"/>
          <w:sz w:val="22"/>
          <w:szCs w:val="22"/>
          <w:u w:val="single"/>
        </w:rPr>
        <w:t>to explore and assess the benefits and drawbacks of the option of a 28th regime;</w:t>
      </w:r>
      <w:r w:rsidR="008447E6" w:rsidRPr="00DE0879">
        <w:rPr>
          <w:rFonts w:ascii="Calibri" w:hAnsi="Calibri" w:cs="Calibri"/>
          <w:b/>
          <w:bCs/>
          <w:i/>
          <w:iCs/>
          <w:color w:val="000000" w:themeColor="text1"/>
          <w:sz w:val="22"/>
          <w:szCs w:val="22"/>
        </w:rPr>
        <w:t xml:space="preserve"> </w:t>
      </w:r>
      <w:r w:rsidRPr="00DE0879">
        <w:rPr>
          <w:color w:val="000000" w:themeColor="text1"/>
        </w:rPr>
        <w:t>underlines the need to address tax obstacles to cross-border investment</w:t>
      </w:r>
      <w:r w:rsidR="00907995" w:rsidRPr="00DE0879">
        <w:rPr>
          <w:color w:val="000000" w:themeColor="text1"/>
        </w:rPr>
        <w:t>,</w:t>
      </w:r>
      <w:r w:rsidR="00A1254D" w:rsidRPr="00DE0879">
        <w:rPr>
          <w:color w:val="000000" w:themeColor="text1"/>
        </w:rPr>
        <w:t xml:space="preserve"> </w:t>
      </w:r>
      <w:r w:rsidRPr="00DE0879">
        <w:rPr>
          <w:color w:val="000000" w:themeColor="text1"/>
        </w:rPr>
        <w:t xml:space="preserve">to </w:t>
      </w:r>
      <w:r w:rsidR="00EA5EC6" w:rsidRPr="00DE0879">
        <w:rPr>
          <w:b/>
          <w:bCs/>
          <w:i/>
          <w:iCs/>
          <w:color w:val="000000" w:themeColor="text1"/>
        </w:rPr>
        <w:t>decrease overreliance on debt</w:t>
      </w:r>
      <w:r w:rsidR="00EA5EC6" w:rsidRPr="00DE0879">
        <w:rPr>
          <w:color w:val="000000" w:themeColor="text1"/>
        </w:rPr>
        <w:t xml:space="preserve"> </w:t>
      </w:r>
      <w:r w:rsidR="00907995" w:rsidRPr="00DE0879">
        <w:rPr>
          <w:b/>
          <w:bCs/>
          <w:i/>
          <w:iCs/>
          <w:color w:val="000000" w:themeColor="text1"/>
          <w:u w:val="single"/>
        </w:rPr>
        <w:t>and to</w:t>
      </w:r>
      <w:r w:rsidR="00907995" w:rsidRPr="00DE0879">
        <w:rPr>
          <w:b/>
          <w:bCs/>
          <w:i/>
          <w:iCs/>
          <w:color w:val="000000" w:themeColor="text1"/>
        </w:rPr>
        <w:t xml:space="preserve"> </w:t>
      </w:r>
      <w:r w:rsidRPr="00DE0879">
        <w:rPr>
          <w:color w:val="000000" w:themeColor="text1"/>
        </w:rPr>
        <w:t>increase equity in business financing; recalls, in this regard, the Draghi report, highlighting the fact that EU citizens should be able to invest in other Member States without complex taxation procedures, effectively resulting in double taxation</w:t>
      </w:r>
      <w:r w:rsidR="009B11BC" w:rsidRPr="00DE0879">
        <w:rPr>
          <w:color w:val="000000" w:themeColor="text1"/>
        </w:rPr>
        <w:t xml:space="preserve">, </w:t>
      </w:r>
      <w:r w:rsidR="009B11BC" w:rsidRPr="00DE0879">
        <w:rPr>
          <w:rStyle w:val="fadeinm1hgl8"/>
          <w:b/>
          <w:bCs/>
          <w:i/>
          <w:color w:val="000000" w:themeColor="text1"/>
        </w:rPr>
        <w:t>emphasises that adherence to these principles is essential to making the EU a competitive and innovation-driven investment hub</w:t>
      </w:r>
      <w:r w:rsidRPr="00DE0879">
        <w:rPr>
          <w:color w:val="000000" w:themeColor="text1"/>
        </w:rPr>
        <w:t>;</w:t>
      </w:r>
      <w:r w:rsidR="00EA5EC6" w:rsidRPr="00DE0879">
        <w:rPr>
          <w:color w:val="000000" w:themeColor="text1"/>
        </w:rPr>
        <w:t xml:space="preserve"> </w:t>
      </w:r>
      <w:r w:rsidR="00EA5EC6" w:rsidRPr="00DE0879">
        <w:rPr>
          <w:b/>
          <w:i/>
          <w:color w:val="000000" w:themeColor="text1"/>
        </w:rPr>
        <w:t xml:space="preserve">underlines the importance </w:t>
      </w:r>
      <w:r w:rsidR="00503BB8" w:rsidRPr="00DE0879">
        <w:rPr>
          <w:b/>
          <w:i/>
          <w:color w:val="000000" w:themeColor="text1"/>
        </w:rPr>
        <w:t xml:space="preserve">to explore avenues for </w:t>
      </w:r>
      <w:r w:rsidR="00EA5EC6" w:rsidRPr="00DE0879">
        <w:rPr>
          <w:b/>
          <w:i/>
          <w:color w:val="000000" w:themeColor="text1"/>
        </w:rPr>
        <w:t xml:space="preserve">simplifying and standardising Transfer Pricing documentation rules across the EU, </w:t>
      </w:r>
      <w:r w:rsidR="00C177BE" w:rsidRPr="00DE0879">
        <w:rPr>
          <w:color w:val="000000" w:themeColor="text1"/>
        </w:rPr>
        <w:t xml:space="preserve">including a careful and balanced assessment of existing thresholds and materiality criteria </w:t>
      </w:r>
      <w:r w:rsidR="00EA5EC6" w:rsidRPr="00DE0879">
        <w:rPr>
          <w:b/>
          <w:i/>
          <w:color w:val="000000" w:themeColor="text1"/>
        </w:rPr>
        <w:t xml:space="preserve"> while accounting for Member State specificities, </w:t>
      </w:r>
      <w:r w:rsidR="00503BB8" w:rsidRPr="00DE0879">
        <w:rPr>
          <w:b/>
          <w:i/>
          <w:color w:val="000000" w:themeColor="text1"/>
        </w:rPr>
        <w:t xml:space="preserve">with the aim of </w:t>
      </w:r>
      <w:r w:rsidR="00EA5EC6" w:rsidRPr="00DE0879">
        <w:rPr>
          <w:b/>
          <w:i/>
          <w:color w:val="000000" w:themeColor="text1"/>
        </w:rPr>
        <w:t>reduc</w:t>
      </w:r>
      <w:r w:rsidR="00503BB8" w:rsidRPr="00DE0879">
        <w:rPr>
          <w:b/>
          <w:i/>
          <w:color w:val="000000" w:themeColor="text1"/>
        </w:rPr>
        <w:t xml:space="preserve">ing </w:t>
      </w:r>
      <w:r w:rsidR="00EA5EC6" w:rsidRPr="00DE0879">
        <w:rPr>
          <w:b/>
          <w:i/>
          <w:color w:val="000000" w:themeColor="text1"/>
        </w:rPr>
        <w:t>compliance costs for transactions</w:t>
      </w:r>
      <w:r w:rsidR="001E1084" w:rsidRPr="00DE0879">
        <w:rPr>
          <w:b/>
          <w:i/>
          <w:color w:val="000000" w:themeColor="text1"/>
        </w:rPr>
        <w:t xml:space="preserve">, without compromising </w:t>
      </w:r>
      <w:r w:rsidR="008415C5" w:rsidRPr="00DE0879">
        <w:rPr>
          <w:b/>
          <w:i/>
          <w:color w:val="000000" w:themeColor="text1"/>
        </w:rPr>
        <w:t xml:space="preserve">transparency standards </w:t>
      </w:r>
      <w:r w:rsidR="005C7E1B" w:rsidRPr="00DE0879">
        <w:rPr>
          <w:b/>
          <w:i/>
          <w:color w:val="000000" w:themeColor="text1"/>
        </w:rPr>
        <w:t xml:space="preserve">and without facilitating aggressive tax planning and tax evasion </w:t>
      </w:r>
      <w:r w:rsidR="00EA5EC6" w:rsidRPr="00DE0879">
        <w:rPr>
          <w:b/>
          <w:color w:val="000000" w:themeColor="text1"/>
        </w:rPr>
        <w:t>(</w:t>
      </w:r>
      <w:r w:rsidR="00BF773A" w:rsidRPr="00DE0879">
        <w:rPr>
          <w:b/>
          <w:color w:val="000000" w:themeColor="text1"/>
        </w:rPr>
        <w:t>AMs 62, 174 Rapp, 179 Renew,</w:t>
      </w:r>
      <w:r w:rsidR="00BF773A" w:rsidRPr="00DE0879">
        <w:rPr>
          <w:b/>
          <w:bCs/>
          <w:iCs/>
          <w:color w:val="000000" w:themeColor="text1"/>
        </w:rPr>
        <w:t xml:space="preserve"> </w:t>
      </w:r>
      <w:r w:rsidR="00E951BA" w:rsidRPr="00DE0879">
        <w:rPr>
          <w:b/>
          <w:bCs/>
          <w:iCs/>
          <w:color w:val="000000" w:themeColor="text1"/>
        </w:rPr>
        <w:t xml:space="preserve">145, </w:t>
      </w:r>
      <w:r w:rsidR="00BF773A" w:rsidRPr="00DE0879">
        <w:rPr>
          <w:b/>
          <w:bCs/>
          <w:iCs/>
          <w:color w:val="000000" w:themeColor="text1"/>
        </w:rPr>
        <w:t xml:space="preserve">175 Greens/EFA, </w:t>
      </w:r>
      <w:r w:rsidR="001904B0" w:rsidRPr="00DE0879">
        <w:rPr>
          <w:b/>
          <w:color w:val="000000" w:themeColor="text1"/>
        </w:rPr>
        <w:t>176 ECR</w:t>
      </w:r>
      <w:r w:rsidR="00EA5EC6" w:rsidRPr="00DE0879">
        <w:rPr>
          <w:b/>
          <w:color w:val="000000" w:themeColor="text1"/>
        </w:rPr>
        <w:t>)</w:t>
      </w:r>
      <w:r w:rsidR="00EA5EC6" w:rsidRPr="00DE0879">
        <w:rPr>
          <w:b/>
          <w:i/>
          <w:color w:val="000000" w:themeColor="text1"/>
        </w:rPr>
        <w:t>;</w:t>
      </w:r>
    </w:p>
    <w:p w:rsidR="001904B0" w:rsidRPr="00DE0879" w:rsidRDefault="00872C2B" w:rsidP="0009455F">
      <w:pPr>
        <w:pStyle w:val="NormalHanging12a"/>
        <w:jc w:val="both"/>
        <w:rPr>
          <w:color w:val="000000" w:themeColor="text1"/>
        </w:rPr>
      </w:pPr>
      <w:r w:rsidRPr="00DE0879">
        <w:rPr>
          <w:b/>
          <w:i/>
          <w:color w:val="000000" w:themeColor="text1"/>
        </w:rPr>
        <w:t xml:space="preserve">15c (new) </w:t>
      </w:r>
      <w:r w:rsidR="001904B0" w:rsidRPr="00DE0879">
        <w:rPr>
          <w:b/>
          <w:i/>
          <w:color w:val="000000" w:themeColor="text1"/>
        </w:rPr>
        <w:t>Regrets that the Commission’s Competitiveness Compass lacks concrete guidance on how to remove taxation barriers to cross-border investments; calls on the Commission to conduct targeted studies assessing the economic and competitive effects of this fragmentation, with a focus on identifying the most affected sectors and proposing concrete measures to simplify tax systems and strengthen mutual trust among Member States, particularly to support SMEs</w:t>
      </w:r>
      <w:r w:rsidR="001904B0" w:rsidRPr="00DE0879">
        <w:rPr>
          <w:color w:val="000000" w:themeColor="text1"/>
        </w:rPr>
        <w:t xml:space="preserve"> </w:t>
      </w:r>
      <w:r w:rsidR="001904B0" w:rsidRPr="00DE0879">
        <w:rPr>
          <w:b/>
          <w:color w:val="000000" w:themeColor="text1"/>
        </w:rPr>
        <w:t>(AM 183 Rapp</w:t>
      </w:r>
      <w:r w:rsidR="00885322" w:rsidRPr="00DE0879">
        <w:rPr>
          <w:b/>
          <w:color w:val="000000" w:themeColor="text1"/>
        </w:rPr>
        <w:t>, 177 EPP</w:t>
      </w:r>
      <w:r w:rsidR="001904B0" w:rsidRPr="00DE0879">
        <w:rPr>
          <w:b/>
          <w:color w:val="000000" w:themeColor="text1"/>
        </w:rPr>
        <w:t>)</w:t>
      </w:r>
      <w:r w:rsidR="001904B0" w:rsidRPr="00DE0879">
        <w:rPr>
          <w:color w:val="000000" w:themeColor="text1"/>
        </w:rPr>
        <w:t>;</w:t>
      </w:r>
    </w:p>
    <w:p w:rsidR="001904B0" w:rsidRPr="00DE0879" w:rsidRDefault="00872C2B" w:rsidP="0009455F">
      <w:pPr>
        <w:pStyle w:val="NormalHanging12a"/>
        <w:jc w:val="both"/>
        <w:rPr>
          <w:color w:val="000000" w:themeColor="text1"/>
        </w:rPr>
      </w:pPr>
      <w:r w:rsidRPr="00DE0879">
        <w:rPr>
          <w:b/>
          <w:i/>
          <w:color w:val="000000" w:themeColor="text1"/>
        </w:rPr>
        <w:t xml:space="preserve">15d (new) </w:t>
      </w:r>
      <w:r w:rsidR="001904B0" w:rsidRPr="00DE0879">
        <w:rPr>
          <w:b/>
          <w:i/>
          <w:color w:val="000000" w:themeColor="text1"/>
        </w:rPr>
        <w:t>Welcomes the recently agreed FASTER proposal on withholding tax as an important first step towards modernising and streamlining cross-border tax procedures within the EU</w:t>
      </w:r>
      <w:r w:rsidR="001904B0" w:rsidRPr="00DE0879">
        <w:rPr>
          <w:color w:val="000000" w:themeColor="text1"/>
        </w:rPr>
        <w:t>;</w:t>
      </w:r>
      <w:r w:rsidR="00857715" w:rsidRPr="00DE0879">
        <w:rPr>
          <w:color w:val="000000" w:themeColor="text1"/>
        </w:rPr>
        <w:t xml:space="preserve"> </w:t>
      </w:r>
      <w:r w:rsidR="00857715" w:rsidRPr="00DE0879">
        <w:rPr>
          <w:b/>
          <w:bCs/>
          <w:i/>
          <w:iCs/>
          <w:color w:val="000000" w:themeColor="text1"/>
        </w:rPr>
        <w:t>recalls the European Parliament’s recommendations in its adopted report on a withholding tax framework as well as those of the Draghi Report</w:t>
      </w:r>
      <w:r w:rsidR="00D5345B" w:rsidRPr="00DE0879">
        <w:rPr>
          <w:b/>
          <w:bCs/>
          <w:i/>
          <w:iCs/>
          <w:color w:val="000000" w:themeColor="text1"/>
        </w:rPr>
        <w:t>, whose establishment is essential to reduce complexity</w:t>
      </w:r>
      <w:r w:rsidR="008415C5" w:rsidRPr="00DE0879">
        <w:rPr>
          <w:b/>
          <w:bCs/>
          <w:i/>
          <w:iCs/>
          <w:color w:val="000000" w:themeColor="text1"/>
        </w:rPr>
        <w:t xml:space="preserve">, </w:t>
      </w:r>
      <w:r w:rsidR="00D5345B" w:rsidRPr="00DE0879">
        <w:rPr>
          <w:b/>
          <w:bCs/>
          <w:i/>
          <w:iCs/>
          <w:color w:val="000000" w:themeColor="text1"/>
        </w:rPr>
        <w:t>increase legal certainty for investors</w:t>
      </w:r>
      <w:r w:rsidR="008415C5" w:rsidRPr="00DE0879">
        <w:rPr>
          <w:b/>
          <w:bCs/>
          <w:i/>
          <w:iCs/>
          <w:color w:val="000000" w:themeColor="text1"/>
        </w:rPr>
        <w:t xml:space="preserve"> and stem the practice of treaty shopping,</w:t>
      </w:r>
      <w:r w:rsidR="00D5345B" w:rsidRPr="00DE0879">
        <w:rPr>
          <w:b/>
          <w:bCs/>
          <w:i/>
          <w:iCs/>
          <w:color w:val="000000" w:themeColor="text1"/>
        </w:rPr>
        <w:t>; points out</w:t>
      </w:r>
      <w:r w:rsidR="005460BC" w:rsidRPr="00DE0879">
        <w:rPr>
          <w:b/>
          <w:bCs/>
          <w:i/>
          <w:iCs/>
          <w:color w:val="000000" w:themeColor="text1"/>
        </w:rPr>
        <w:t>, also,</w:t>
      </w:r>
      <w:r w:rsidR="00D5345B" w:rsidRPr="00DE0879">
        <w:rPr>
          <w:b/>
          <w:bCs/>
          <w:i/>
          <w:iCs/>
          <w:color w:val="000000" w:themeColor="text1"/>
        </w:rPr>
        <w:t xml:space="preserve"> that tax policy reform could also facilitate the further integration of European capital markets in the context of the Savings and Investments Union </w:t>
      </w:r>
      <w:r w:rsidR="00D5345B" w:rsidRPr="00DE0879">
        <w:rPr>
          <w:b/>
          <w:bCs/>
          <w:iCs/>
          <w:color w:val="000000" w:themeColor="text1"/>
        </w:rPr>
        <w:t>(</w:t>
      </w:r>
      <w:r w:rsidR="0009455F" w:rsidRPr="00DE0879">
        <w:rPr>
          <w:b/>
          <w:color w:val="000000" w:themeColor="text1"/>
        </w:rPr>
        <w:t xml:space="preserve">AMs 185, 189 S&amp;D, </w:t>
      </w:r>
      <w:r w:rsidR="0009455F" w:rsidRPr="00DE0879">
        <w:rPr>
          <w:b/>
          <w:bCs/>
          <w:iCs/>
          <w:color w:val="000000" w:themeColor="text1"/>
        </w:rPr>
        <w:t>175 Greens/EFA, 178, 190 EPP</w:t>
      </w:r>
      <w:r w:rsidR="00837BE3" w:rsidRPr="00DE0879">
        <w:rPr>
          <w:b/>
          <w:bCs/>
          <w:iCs/>
          <w:color w:val="000000" w:themeColor="text1"/>
        </w:rPr>
        <w:t>, 150 Rapp</w:t>
      </w:r>
      <w:r w:rsidR="00D5345B" w:rsidRPr="00DE0879">
        <w:rPr>
          <w:b/>
          <w:bCs/>
          <w:iCs/>
          <w:color w:val="000000" w:themeColor="text1"/>
        </w:rPr>
        <w:t>)</w:t>
      </w:r>
      <w:r w:rsidR="00D5345B" w:rsidRPr="00DE0879">
        <w:rPr>
          <w:b/>
          <w:bCs/>
          <w:i/>
          <w:iCs/>
          <w:color w:val="000000" w:themeColor="text1"/>
        </w:rPr>
        <w:t>;</w:t>
      </w:r>
    </w:p>
    <w:p w:rsidR="001904B0" w:rsidRPr="00DE0879" w:rsidRDefault="001904B0" w:rsidP="00BC165B">
      <w:pPr>
        <w:pStyle w:val="NormalHanging12a"/>
        <w:jc w:val="both"/>
        <w:rPr>
          <w:color w:val="000000" w:themeColor="text1"/>
        </w:rPr>
      </w:pPr>
      <w:r w:rsidRPr="00DE0879">
        <w:rPr>
          <w:b/>
          <w:i/>
          <w:color w:val="000000" w:themeColor="text1"/>
        </w:rPr>
        <w:t>15</w:t>
      </w:r>
      <w:r w:rsidR="00872C2B" w:rsidRPr="00DE0879">
        <w:rPr>
          <w:b/>
          <w:i/>
          <w:color w:val="000000" w:themeColor="text1"/>
        </w:rPr>
        <w:t xml:space="preserve">e (new) </w:t>
      </w:r>
      <w:r w:rsidRPr="00DE0879">
        <w:rPr>
          <w:b/>
          <w:i/>
          <w:color w:val="000000" w:themeColor="text1"/>
        </w:rPr>
        <w:t xml:space="preserve">Calls on the European Commission to provide a mapping of the existing taxation-based obstacles to Single Market integration and come forward with an action plan to tackle them </w:t>
      </w:r>
      <w:r w:rsidRPr="00DE0879">
        <w:rPr>
          <w:b/>
          <w:color w:val="000000" w:themeColor="text1"/>
        </w:rPr>
        <w:t>(AM 187 EPP)</w:t>
      </w:r>
      <w:r w:rsidRPr="00DE0879">
        <w:rPr>
          <w:color w:val="000000" w:themeColor="text1"/>
        </w:rPr>
        <w:t>;</w:t>
      </w:r>
    </w:p>
    <w:p w:rsidR="001904B0" w:rsidRPr="00DE0879" w:rsidRDefault="001904B0" w:rsidP="00BC165B">
      <w:pPr>
        <w:pStyle w:val="NormalHanging12a"/>
        <w:jc w:val="both"/>
        <w:rPr>
          <w:b/>
          <w:i/>
          <w:color w:val="000000" w:themeColor="text1"/>
        </w:rPr>
      </w:pPr>
      <w:r w:rsidRPr="00DE0879">
        <w:rPr>
          <w:b/>
          <w:i/>
          <w:color w:val="000000" w:themeColor="text1"/>
        </w:rPr>
        <w:t>15</w:t>
      </w:r>
      <w:r w:rsidR="00872C2B" w:rsidRPr="00DE0879">
        <w:rPr>
          <w:b/>
          <w:i/>
          <w:color w:val="000000" w:themeColor="text1"/>
        </w:rPr>
        <w:t xml:space="preserve">f (new) </w:t>
      </w:r>
      <w:r w:rsidRPr="00DE0879">
        <w:rPr>
          <w:b/>
          <w:i/>
          <w:color w:val="000000" w:themeColor="text1"/>
        </w:rPr>
        <w:t>Calls for guiding principles on taxpayer's rights to pinpoint lingering tax barriers within the Single Market and recommend best practices drawn from across the EU to enhance taxpayers' experiences</w:t>
      </w:r>
      <w:r w:rsidR="00D84BAE" w:rsidRPr="00DE0879">
        <w:rPr>
          <w:b/>
          <w:i/>
          <w:color w:val="000000" w:themeColor="text1"/>
        </w:rPr>
        <w:t xml:space="preserve"> </w:t>
      </w:r>
      <w:r w:rsidR="00D84BAE" w:rsidRPr="00DE0879">
        <w:rPr>
          <w:b/>
          <w:i/>
          <w:color w:val="000000" w:themeColor="text1"/>
          <w:u w:val="single"/>
        </w:rPr>
        <w:t>whilst ensuring that such guiding principles do not limit the ability of Member States to have anti-abuse measures to ensure proper enforcement of their tax law</w:t>
      </w:r>
      <w:r w:rsidRPr="00DE0879">
        <w:rPr>
          <w:b/>
          <w:i/>
          <w:color w:val="000000" w:themeColor="text1"/>
          <w:u w:val="single"/>
        </w:rPr>
        <w:t>;</w:t>
      </w:r>
      <w:r w:rsidRPr="00DE0879">
        <w:rPr>
          <w:b/>
          <w:i/>
          <w:color w:val="000000" w:themeColor="text1"/>
        </w:rPr>
        <w:t xml:space="preserve"> acknowledges the Commission’s reluctance to present the planned communication on citizen’s rights as taxpayers that was announced in its action plan for 2021</w:t>
      </w:r>
      <w:r w:rsidRPr="00DE0879">
        <w:rPr>
          <w:b/>
          <w:color w:val="000000" w:themeColor="text1"/>
        </w:rPr>
        <w:t xml:space="preserve"> (AM 188 Rapp)</w:t>
      </w:r>
      <w:r w:rsidRPr="00DE0879">
        <w:rPr>
          <w:b/>
          <w:i/>
          <w:color w:val="000000" w:themeColor="text1"/>
        </w:rPr>
        <w:t>;</w:t>
      </w:r>
    </w:p>
    <w:p w:rsidR="000778A7" w:rsidRPr="00DE0879" w:rsidRDefault="00872C2B" w:rsidP="000778A7">
      <w:pPr>
        <w:pStyle w:val="NormalHanging12a"/>
        <w:jc w:val="both"/>
        <w:rPr>
          <w:b/>
          <w:i/>
          <w:color w:val="000000" w:themeColor="text1"/>
        </w:rPr>
      </w:pPr>
      <w:r w:rsidRPr="00DE0879">
        <w:rPr>
          <w:b/>
          <w:i/>
          <w:color w:val="000000" w:themeColor="text1"/>
        </w:rPr>
        <w:t xml:space="preserve">15i (new) </w:t>
      </w:r>
      <w:r w:rsidR="009855E0" w:rsidRPr="00DE0879">
        <w:rPr>
          <w:b/>
          <w:i/>
          <w:color w:val="000000" w:themeColor="text1"/>
        </w:rPr>
        <w:t xml:space="preserve">Welcomes the Commission’s Communication on the Savings and Investments Union, and in particular the willingness to remove differences in national taxation procedures creating administrative burden and barriers to cross-border investment and also to support Member States’ actions for this purpose </w:t>
      </w:r>
      <w:r w:rsidR="009855E0" w:rsidRPr="00DE0879">
        <w:rPr>
          <w:b/>
          <w:color w:val="000000" w:themeColor="text1"/>
        </w:rPr>
        <w:t>(AM 191 S&amp;D</w:t>
      </w:r>
      <w:r w:rsidR="0002405A" w:rsidRPr="00DE0879">
        <w:rPr>
          <w:b/>
          <w:color w:val="000000" w:themeColor="text1"/>
        </w:rPr>
        <w:t>, AM 186 EPP</w:t>
      </w:r>
      <w:r w:rsidR="009855E0" w:rsidRPr="00DE0879">
        <w:rPr>
          <w:b/>
          <w:color w:val="000000" w:themeColor="text1"/>
        </w:rPr>
        <w:t>)</w:t>
      </w:r>
      <w:r w:rsidR="009855E0" w:rsidRPr="00DE0879">
        <w:rPr>
          <w:b/>
          <w:i/>
          <w:color w:val="000000" w:themeColor="text1"/>
        </w:rPr>
        <w:t>;</w:t>
      </w:r>
    </w:p>
    <w:p w:rsidR="00CA40E2" w:rsidRPr="00DE0879" w:rsidRDefault="00CA40E2" w:rsidP="000778A7">
      <w:pPr>
        <w:pStyle w:val="NormalHanging12a"/>
        <w:jc w:val="both"/>
        <w:rPr>
          <w:b/>
          <w:i/>
          <w:color w:val="000000" w:themeColor="text1"/>
        </w:rPr>
      </w:pPr>
      <w:r w:rsidRPr="00DE0879">
        <w:rPr>
          <w:b/>
          <w:bCs/>
          <w:i/>
          <w:iCs/>
          <w:color w:val="000000" w:themeColor="text1"/>
        </w:rPr>
        <w:t>15j</w:t>
      </w:r>
      <w:r w:rsidR="000778A7" w:rsidRPr="00DE0879">
        <w:rPr>
          <w:b/>
          <w:bCs/>
          <w:i/>
          <w:iCs/>
          <w:color w:val="000000" w:themeColor="text1"/>
        </w:rPr>
        <w:t xml:space="preserve"> (new) </w:t>
      </w:r>
      <w:r w:rsidR="00C02F45" w:rsidRPr="00DE0879">
        <w:rPr>
          <w:b/>
          <w:bCs/>
          <w:i/>
          <w:iCs/>
          <w:color w:val="000000" w:themeColor="text1"/>
        </w:rPr>
        <w:t>N</w:t>
      </w:r>
      <w:r w:rsidR="00B767E8" w:rsidRPr="00DE0879">
        <w:rPr>
          <w:b/>
          <w:bCs/>
          <w:i/>
          <w:iCs/>
          <w:color w:val="000000" w:themeColor="text1"/>
        </w:rPr>
        <w:t>otes</w:t>
      </w:r>
      <w:r w:rsidRPr="00DE0879">
        <w:rPr>
          <w:b/>
          <w:bCs/>
          <w:i/>
          <w:iCs/>
          <w:color w:val="000000" w:themeColor="text1"/>
        </w:rPr>
        <w:t xml:space="preserve"> that </w:t>
      </w:r>
      <w:r w:rsidR="00C02F45" w:rsidRPr="00DE0879">
        <w:rPr>
          <w:b/>
          <w:bCs/>
          <w:i/>
          <w:iCs/>
          <w:color w:val="000000" w:themeColor="text1"/>
        </w:rPr>
        <w:t xml:space="preserve">disparities in the tax treatment of </w:t>
      </w:r>
      <w:r w:rsidRPr="00DE0879">
        <w:rPr>
          <w:b/>
          <w:bCs/>
          <w:i/>
          <w:iCs/>
          <w:color w:val="000000" w:themeColor="text1"/>
        </w:rPr>
        <w:t xml:space="preserve">capital income </w:t>
      </w:r>
      <w:r w:rsidR="00C02F45" w:rsidRPr="00DE0879">
        <w:rPr>
          <w:b/>
          <w:bCs/>
          <w:i/>
          <w:iCs/>
          <w:color w:val="000000" w:themeColor="text1"/>
        </w:rPr>
        <w:t>can create complexity and legal uncertainty for cross-border investors; highlights that Draghi’s comprehensive report acknowledges the need to “eliminate any taxation obstacles to cross-border investing in the EU to reduce capital market fragmentation”</w:t>
      </w:r>
      <w:r w:rsidR="00F941BE" w:rsidRPr="00DE0879">
        <w:rPr>
          <w:b/>
          <w:bCs/>
          <w:i/>
          <w:iCs/>
          <w:color w:val="000000" w:themeColor="text1"/>
        </w:rPr>
        <w:t xml:space="preserve">; </w:t>
      </w:r>
      <w:r w:rsidR="00B01152" w:rsidRPr="00DE0879">
        <w:rPr>
          <w:b/>
          <w:bCs/>
          <w:i/>
          <w:iCs/>
          <w:color w:val="000000" w:themeColor="text1"/>
        </w:rPr>
        <w:t>underlines the importance of</w:t>
      </w:r>
      <w:r w:rsidRPr="00DE0879">
        <w:rPr>
          <w:b/>
          <w:bCs/>
          <w:i/>
          <w:iCs/>
          <w:color w:val="000000" w:themeColor="text1"/>
        </w:rPr>
        <w:t xml:space="preserve"> a </w:t>
      </w:r>
      <w:r w:rsidR="00C02F45" w:rsidRPr="00DE0879">
        <w:rPr>
          <w:b/>
          <w:bCs/>
          <w:i/>
          <w:iCs/>
          <w:color w:val="000000" w:themeColor="text1"/>
        </w:rPr>
        <w:t xml:space="preserve">more </w:t>
      </w:r>
      <w:r w:rsidRPr="00DE0879">
        <w:rPr>
          <w:b/>
          <w:bCs/>
          <w:i/>
          <w:iCs/>
          <w:color w:val="000000" w:themeColor="text1"/>
        </w:rPr>
        <w:t xml:space="preserve">balanced tax mix </w:t>
      </w:r>
      <w:r w:rsidR="00B01152" w:rsidRPr="00DE0879">
        <w:rPr>
          <w:b/>
          <w:bCs/>
          <w:i/>
          <w:iCs/>
          <w:color w:val="000000" w:themeColor="text1"/>
        </w:rPr>
        <w:t>for</w:t>
      </w:r>
      <w:r w:rsidRPr="00DE0879">
        <w:rPr>
          <w:b/>
          <w:bCs/>
          <w:i/>
          <w:iCs/>
          <w:color w:val="000000" w:themeColor="text1"/>
        </w:rPr>
        <w:t xml:space="preserve"> economic resilience</w:t>
      </w:r>
      <w:r w:rsidR="00F941BE" w:rsidRPr="00DE0879">
        <w:rPr>
          <w:b/>
          <w:bCs/>
          <w:i/>
          <w:iCs/>
          <w:color w:val="000000" w:themeColor="text1"/>
        </w:rPr>
        <w:t xml:space="preserve"> </w:t>
      </w:r>
      <w:r w:rsidR="00C02F45" w:rsidRPr="00DE0879">
        <w:rPr>
          <w:b/>
          <w:bCs/>
          <w:i/>
          <w:iCs/>
          <w:color w:val="000000" w:themeColor="text1"/>
        </w:rPr>
        <w:t xml:space="preserve">and invites the </w:t>
      </w:r>
      <w:r w:rsidRPr="00DE0879">
        <w:rPr>
          <w:b/>
          <w:bCs/>
          <w:i/>
          <w:iCs/>
          <w:color w:val="000000" w:themeColor="text1"/>
        </w:rPr>
        <w:t xml:space="preserve">Commission </w:t>
      </w:r>
      <w:r w:rsidR="00C02F45" w:rsidRPr="00DE0879">
        <w:rPr>
          <w:b/>
          <w:bCs/>
          <w:i/>
          <w:iCs/>
          <w:color w:val="000000" w:themeColor="text1"/>
        </w:rPr>
        <w:t xml:space="preserve">and Member States </w:t>
      </w:r>
      <w:r w:rsidRPr="00DE0879">
        <w:rPr>
          <w:b/>
          <w:bCs/>
          <w:i/>
          <w:iCs/>
          <w:color w:val="000000" w:themeColor="text1"/>
        </w:rPr>
        <w:t>to assess the merits of further coordination and simplification in this field to foster cross-border investment</w:t>
      </w:r>
      <w:r w:rsidR="00C02F45" w:rsidRPr="00DE0879">
        <w:rPr>
          <w:b/>
          <w:bCs/>
          <w:i/>
          <w:iCs/>
          <w:color w:val="000000" w:themeColor="text1"/>
        </w:rPr>
        <w:t xml:space="preserve"> </w:t>
      </w:r>
      <w:r w:rsidRPr="00DE0879">
        <w:rPr>
          <w:b/>
          <w:bCs/>
          <w:i/>
          <w:iCs/>
          <w:color w:val="000000" w:themeColor="text1"/>
        </w:rPr>
        <w:t>(AM 192 S&amp;D, 215 Greens);</w:t>
      </w:r>
    </w:p>
    <w:p w:rsidR="00B767E8" w:rsidRPr="00DE0879" w:rsidRDefault="00B767E8" w:rsidP="00BC165B">
      <w:pPr>
        <w:widowControl/>
        <w:jc w:val="both"/>
        <w:rPr>
          <w:rStyle w:val="BoldItalic"/>
          <w:color w:val="000000" w:themeColor="text1"/>
        </w:rPr>
      </w:pPr>
    </w:p>
    <w:p w:rsidR="0032170E" w:rsidRPr="00DE0879" w:rsidRDefault="0032170E" w:rsidP="0032170E">
      <w:pPr>
        <w:pStyle w:val="Normal12a24b"/>
        <w:rPr>
          <w:i/>
          <w:iCs/>
          <w:color w:val="000000" w:themeColor="text1"/>
          <w:lang w:eastAsia="en-GB"/>
        </w:rPr>
      </w:pPr>
      <w:r w:rsidRPr="00DE0879">
        <w:rPr>
          <w:b/>
          <w:i/>
          <w:iCs/>
          <w:color w:val="000000" w:themeColor="text1"/>
          <w:lang w:eastAsia="en-GB"/>
        </w:rPr>
        <w:t>COMP F “</w:t>
      </w:r>
      <w:r w:rsidRPr="00DE0879">
        <w:rPr>
          <w:rStyle w:val="BoldItalic"/>
          <w:color w:val="000000" w:themeColor="text1"/>
        </w:rPr>
        <w:t>Combating tax evasion and aggressive tax planning</w:t>
      </w:r>
      <w:r w:rsidRPr="00DE0879">
        <w:rPr>
          <w:b/>
          <w:i/>
          <w:iCs/>
          <w:color w:val="000000" w:themeColor="text1"/>
          <w:lang w:eastAsia="en-GB"/>
        </w:rPr>
        <w:t xml:space="preserve">” </w:t>
      </w:r>
      <w:r w:rsidRPr="00DE0879">
        <w:rPr>
          <w:i/>
          <w:iCs/>
          <w:color w:val="000000" w:themeColor="text1"/>
          <w:lang w:eastAsia="en-GB"/>
        </w:rPr>
        <w:t>(paragraph</w:t>
      </w:r>
      <w:r w:rsidR="00591E69" w:rsidRPr="00DE0879">
        <w:rPr>
          <w:i/>
          <w:iCs/>
          <w:color w:val="000000" w:themeColor="text1"/>
          <w:lang w:eastAsia="en-GB"/>
        </w:rPr>
        <w:t>s</w:t>
      </w:r>
      <w:r w:rsidRPr="00DE0879">
        <w:rPr>
          <w:i/>
          <w:iCs/>
          <w:color w:val="000000" w:themeColor="text1"/>
          <w:lang w:eastAsia="en-GB"/>
        </w:rPr>
        <w:t xml:space="preserve"> 16, 17</w:t>
      </w:r>
      <w:r w:rsidR="00591E69" w:rsidRPr="00DE0879">
        <w:rPr>
          <w:i/>
          <w:iCs/>
          <w:color w:val="000000" w:themeColor="text1"/>
          <w:lang w:eastAsia="en-GB"/>
        </w:rPr>
        <w:t xml:space="preserve"> and</w:t>
      </w:r>
      <w:r w:rsidRPr="00DE0879">
        <w:rPr>
          <w:i/>
          <w:iCs/>
          <w:color w:val="000000" w:themeColor="text1"/>
          <w:lang w:eastAsia="en-GB"/>
        </w:rPr>
        <w:t xml:space="preserve"> 18)</w:t>
      </w:r>
    </w:p>
    <w:p w:rsidR="00A7473B" w:rsidRPr="00DE0879" w:rsidRDefault="00A7473B" w:rsidP="00A7473B">
      <w:pPr>
        <w:pStyle w:val="Normal12a24b"/>
        <w:rPr>
          <w:i/>
          <w:iCs/>
          <w:color w:val="000000" w:themeColor="text1"/>
          <w:lang w:eastAsia="en-GB"/>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xml:space="preserve">- </w:t>
      </w:r>
      <w:r w:rsidR="00CA40E2" w:rsidRPr="00DE0879">
        <w:rPr>
          <w:i/>
          <w:iCs/>
          <w:color w:val="000000" w:themeColor="text1"/>
          <w:lang w:eastAsia="en-GB"/>
        </w:rPr>
        <w:t>EPP, S&amp;D, PfE, ECR, Renew, Greens/EFA and The Left</w:t>
      </w:r>
    </w:p>
    <w:p w:rsidR="0032170E" w:rsidRPr="00DE0879" w:rsidRDefault="0032170E" w:rsidP="0032170E">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 xml:space="preserve">by the COMP: </w:t>
      </w:r>
      <w:r w:rsidR="004A6F5F" w:rsidRPr="00DE0879">
        <w:rPr>
          <w:b w:val="0"/>
          <w:i/>
          <w:color w:val="000000" w:themeColor="text1"/>
        </w:rPr>
        <w:t xml:space="preserve">92, </w:t>
      </w:r>
      <w:r w:rsidR="00A1526E" w:rsidRPr="00DE0879">
        <w:rPr>
          <w:b w:val="0"/>
          <w:i/>
          <w:color w:val="000000" w:themeColor="text1"/>
        </w:rPr>
        <w:t>196, 197, 198</w:t>
      </w:r>
      <w:r w:rsidR="001A3498" w:rsidRPr="00DE0879">
        <w:rPr>
          <w:b w:val="0"/>
          <w:i/>
          <w:color w:val="000000" w:themeColor="text1"/>
        </w:rPr>
        <w:t>, 204, 205</w:t>
      </w:r>
      <w:r w:rsidR="00B201C5" w:rsidRPr="00DE0879">
        <w:rPr>
          <w:b w:val="0"/>
          <w:i/>
          <w:color w:val="000000" w:themeColor="text1"/>
        </w:rPr>
        <w:t>, 218</w:t>
      </w:r>
      <w:r w:rsidR="00A1526E" w:rsidRPr="00DE0879">
        <w:rPr>
          <w:b w:val="0"/>
          <w:i/>
          <w:color w:val="000000" w:themeColor="text1"/>
        </w:rPr>
        <w:t xml:space="preserve"> </w:t>
      </w:r>
      <w:r w:rsidRPr="00DE0879">
        <w:rPr>
          <w:b w:val="0"/>
          <w:i/>
          <w:color w:val="000000" w:themeColor="text1"/>
        </w:rPr>
        <w:t xml:space="preserve">EPP; </w:t>
      </w:r>
      <w:r w:rsidR="00A1526E" w:rsidRPr="00DE0879">
        <w:rPr>
          <w:b w:val="0"/>
          <w:i/>
          <w:color w:val="000000" w:themeColor="text1"/>
        </w:rPr>
        <w:t>194</w:t>
      </w:r>
      <w:r w:rsidR="001A3498" w:rsidRPr="00DE0879">
        <w:rPr>
          <w:b w:val="0"/>
          <w:i/>
          <w:color w:val="000000" w:themeColor="text1"/>
        </w:rPr>
        <w:t>, 199, 208, 209, 210</w:t>
      </w:r>
      <w:r w:rsidR="002416AB" w:rsidRPr="00DE0879">
        <w:rPr>
          <w:b w:val="0"/>
          <w:i/>
          <w:color w:val="000000" w:themeColor="text1"/>
        </w:rPr>
        <w:t>, 211, 212, 216</w:t>
      </w:r>
      <w:r w:rsidR="00A1526E" w:rsidRPr="00DE0879">
        <w:rPr>
          <w:b w:val="0"/>
          <w:i/>
          <w:color w:val="000000" w:themeColor="text1"/>
        </w:rPr>
        <w:t xml:space="preserve"> </w:t>
      </w:r>
      <w:r w:rsidRPr="00DE0879">
        <w:rPr>
          <w:b w:val="0"/>
          <w:i/>
          <w:color w:val="000000" w:themeColor="text1"/>
        </w:rPr>
        <w:t xml:space="preserve">S&amp;D; </w:t>
      </w:r>
      <w:r w:rsidR="00A1526E" w:rsidRPr="00DE0879">
        <w:rPr>
          <w:b w:val="0"/>
          <w:i/>
          <w:color w:val="000000" w:themeColor="text1"/>
        </w:rPr>
        <w:t>193, 195</w:t>
      </w:r>
      <w:r w:rsidR="001A3498" w:rsidRPr="00DE0879">
        <w:rPr>
          <w:b w:val="0"/>
          <w:i/>
          <w:color w:val="000000" w:themeColor="text1"/>
        </w:rPr>
        <w:t>, 206</w:t>
      </w:r>
      <w:r w:rsidR="00B201C5" w:rsidRPr="00DE0879">
        <w:rPr>
          <w:b w:val="0"/>
          <w:i/>
          <w:color w:val="000000" w:themeColor="text1"/>
        </w:rPr>
        <w:t>, 214</w:t>
      </w:r>
      <w:r w:rsidR="00A1526E" w:rsidRPr="00DE0879">
        <w:rPr>
          <w:b w:val="0"/>
          <w:i/>
          <w:color w:val="000000" w:themeColor="text1"/>
        </w:rPr>
        <w:t xml:space="preserve"> </w:t>
      </w:r>
      <w:r w:rsidRPr="00DE0879">
        <w:rPr>
          <w:b w:val="0"/>
          <w:i/>
          <w:color w:val="000000" w:themeColor="text1"/>
        </w:rPr>
        <w:t xml:space="preserve">Greens/EFA; </w:t>
      </w:r>
      <w:r w:rsidR="005C11D0" w:rsidRPr="00DE0879">
        <w:rPr>
          <w:b w:val="0"/>
          <w:i/>
          <w:color w:val="000000" w:themeColor="text1"/>
        </w:rPr>
        <w:t xml:space="preserve">203, </w:t>
      </w:r>
      <w:r w:rsidR="00B201C5" w:rsidRPr="00DE0879">
        <w:rPr>
          <w:b w:val="0"/>
          <w:i/>
          <w:color w:val="000000" w:themeColor="text1"/>
        </w:rPr>
        <w:t xml:space="preserve">213 </w:t>
      </w:r>
      <w:r w:rsidRPr="00DE0879">
        <w:rPr>
          <w:b w:val="0"/>
          <w:i/>
          <w:color w:val="000000" w:themeColor="text1"/>
        </w:rPr>
        <w:t xml:space="preserve">Rapp. </w:t>
      </w:r>
    </w:p>
    <w:p w:rsidR="0032170E" w:rsidRPr="00DE0879" w:rsidRDefault="0032170E" w:rsidP="0032170E">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32170E" w:rsidRPr="00DE0879" w:rsidRDefault="0032170E" w:rsidP="0032170E">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 </w:t>
      </w:r>
      <w:r w:rsidR="001A3498" w:rsidRPr="00DE0879">
        <w:rPr>
          <w:b w:val="0"/>
          <w:i/>
          <w:color w:val="000000" w:themeColor="text1"/>
        </w:rPr>
        <w:t xml:space="preserve">200 </w:t>
      </w:r>
      <w:r w:rsidRPr="00DE0879">
        <w:rPr>
          <w:b w:val="0"/>
          <w:i/>
          <w:color w:val="000000" w:themeColor="text1"/>
        </w:rPr>
        <w:t xml:space="preserve">PfE, </w:t>
      </w:r>
      <w:r w:rsidR="001A3498" w:rsidRPr="00DE0879">
        <w:rPr>
          <w:b w:val="0"/>
          <w:i/>
          <w:color w:val="000000" w:themeColor="text1"/>
        </w:rPr>
        <w:t xml:space="preserve">201 </w:t>
      </w:r>
      <w:r w:rsidRPr="00DE0879">
        <w:rPr>
          <w:b w:val="0"/>
          <w:i/>
          <w:color w:val="000000" w:themeColor="text1"/>
        </w:rPr>
        <w:t xml:space="preserve">EPP, </w:t>
      </w:r>
      <w:r w:rsidR="00B201C5" w:rsidRPr="00DE0879">
        <w:rPr>
          <w:b w:val="0"/>
          <w:i/>
          <w:color w:val="000000" w:themeColor="text1"/>
        </w:rPr>
        <w:t>215</w:t>
      </w:r>
      <w:r w:rsidR="00A1526E" w:rsidRPr="00DE0879">
        <w:rPr>
          <w:b w:val="0"/>
          <w:i/>
          <w:color w:val="000000" w:themeColor="text1"/>
        </w:rPr>
        <w:t xml:space="preserve"> </w:t>
      </w:r>
      <w:r w:rsidRPr="00DE0879">
        <w:rPr>
          <w:b w:val="0"/>
          <w:i/>
          <w:color w:val="000000" w:themeColor="text1"/>
        </w:rPr>
        <w:t xml:space="preserve">Greens/EFA; </w:t>
      </w:r>
      <w:r w:rsidR="001A3498" w:rsidRPr="00DE0879">
        <w:rPr>
          <w:b w:val="0"/>
          <w:i/>
          <w:color w:val="000000" w:themeColor="text1"/>
        </w:rPr>
        <w:t xml:space="preserve">207 </w:t>
      </w:r>
      <w:r w:rsidRPr="00DE0879">
        <w:rPr>
          <w:b w:val="0"/>
          <w:i/>
          <w:color w:val="000000" w:themeColor="text1"/>
        </w:rPr>
        <w:t xml:space="preserve">S&amp;D; </w:t>
      </w:r>
      <w:r w:rsidR="001A3498" w:rsidRPr="00DE0879">
        <w:rPr>
          <w:b w:val="0"/>
          <w:i/>
          <w:color w:val="000000" w:themeColor="text1"/>
        </w:rPr>
        <w:t xml:space="preserve">202 </w:t>
      </w:r>
      <w:r w:rsidRPr="00DE0879">
        <w:rPr>
          <w:b w:val="0"/>
          <w:i/>
          <w:color w:val="000000" w:themeColor="text1"/>
        </w:rPr>
        <w:t>The Left</w:t>
      </w:r>
      <w:r w:rsidR="00B201C5" w:rsidRPr="00DE0879">
        <w:rPr>
          <w:b w:val="0"/>
          <w:i/>
          <w:color w:val="000000" w:themeColor="text1"/>
        </w:rPr>
        <w:t>, 217, 219 NA</w:t>
      </w:r>
    </w:p>
    <w:p w:rsidR="0032170E" w:rsidRPr="00DE0879" w:rsidRDefault="0032170E" w:rsidP="0032170E">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AB14E7" w:rsidRPr="00DE0879" w:rsidRDefault="00D50A31">
      <w:pPr>
        <w:pStyle w:val="Normal12a24b"/>
        <w:rPr>
          <w:color w:val="000000" w:themeColor="text1"/>
        </w:rPr>
      </w:pPr>
      <w:r w:rsidRPr="00DE0879">
        <w:rPr>
          <w:rStyle w:val="BoldItalic"/>
          <w:color w:val="000000" w:themeColor="text1"/>
        </w:rPr>
        <w:t>Combating tax evasion</w:t>
      </w:r>
      <w:r w:rsidR="00A1526E" w:rsidRPr="00DE0879">
        <w:rPr>
          <w:rStyle w:val="BoldItalic"/>
          <w:color w:val="000000" w:themeColor="text1"/>
        </w:rPr>
        <w:t xml:space="preserve">, </w:t>
      </w:r>
      <w:r w:rsidR="00A1526E" w:rsidRPr="00DE0879">
        <w:rPr>
          <w:rStyle w:val="BoldItalic"/>
          <w:color w:val="000000" w:themeColor="text1"/>
          <w:u w:val="single"/>
        </w:rPr>
        <w:t>avoidance</w:t>
      </w:r>
      <w:r w:rsidR="00A1526E" w:rsidRPr="00DE0879">
        <w:rPr>
          <w:rStyle w:val="BoldItalic"/>
          <w:color w:val="000000" w:themeColor="text1"/>
        </w:rPr>
        <w:t xml:space="preserve"> </w:t>
      </w:r>
      <w:r w:rsidRPr="00DE0879">
        <w:rPr>
          <w:rStyle w:val="BoldItalic"/>
          <w:color w:val="000000" w:themeColor="text1"/>
        </w:rPr>
        <w:t>and aggressive tax planning</w:t>
      </w:r>
      <w:r w:rsidR="00BC165B" w:rsidRPr="00DE0879">
        <w:rPr>
          <w:rStyle w:val="BoldItalic"/>
          <w:color w:val="000000" w:themeColor="text1"/>
        </w:rPr>
        <w:t xml:space="preserve"> </w:t>
      </w:r>
      <w:r w:rsidR="00BC165B" w:rsidRPr="00DE0879">
        <w:rPr>
          <w:rStyle w:val="BoldItalic"/>
          <w:i w:val="0"/>
          <w:color w:val="000000" w:themeColor="text1"/>
        </w:rPr>
        <w:t>(AM 193 Greens/EFA)</w:t>
      </w:r>
    </w:p>
    <w:p w:rsidR="00A1526E" w:rsidRPr="00DE0879" w:rsidRDefault="00A1526E">
      <w:pPr>
        <w:pStyle w:val="NormalHanging12a"/>
        <w:rPr>
          <w:color w:val="000000" w:themeColor="text1"/>
        </w:rPr>
      </w:pPr>
      <w:r w:rsidRPr="00DE0879">
        <w:rPr>
          <w:color w:val="000000" w:themeColor="text1"/>
        </w:rPr>
        <w:t>-16.</w:t>
      </w:r>
      <w:r w:rsidRPr="00DE0879">
        <w:rPr>
          <w:color w:val="000000" w:themeColor="text1"/>
        </w:rPr>
        <w:tab/>
      </w:r>
      <w:r w:rsidRPr="00DE0879">
        <w:rPr>
          <w:b/>
          <w:i/>
          <w:color w:val="000000" w:themeColor="text1"/>
        </w:rPr>
        <w:t xml:space="preserve">Recalls that, as Pillar 2 is implemented, it is important to monitor new forms of harmful tax competition that may develop </w:t>
      </w:r>
      <w:r w:rsidRPr="00DE0879">
        <w:rPr>
          <w:rStyle w:val="BoldItalic"/>
          <w:i w:val="0"/>
          <w:color w:val="000000" w:themeColor="text1"/>
        </w:rPr>
        <w:t>(AM 194 Greens/EFA)</w:t>
      </w:r>
      <w:r w:rsidRPr="00DE0879">
        <w:rPr>
          <w:color w:val="000000" w:themeColor="text1"/>
        </w:rPr>
        <w:t>;</w:t>
      </w:r>
    </w:p>
    <w:p w:rsidR="00AB14E7" w:rsidRPr="00DE0879" w:rsidRDefault="00D50A31" w:rsidP="00BC165B">
      <w:pPr>
        <w:pStyle w:val="NormalHanging12a"/>
        <w:jc w:val="both"/>
        <w:rPr>
          <w:b/>
          <w:color w:val="000000" w:themeColor="text1"/>
        </w:rPr>
      </w:pPr>
      <w:r w:rsidRPr="00DE0879">
        <w:rPr>
          <w:color w:val="000000" w:themeColor="text1"/>
        </w:rPr>
        <w:t>16.</w:t>
      </w:r>
      <w:r w:rsidRPr="00DE0879">
        <w:rPr>
          <w:color w:val="000000" w:themeColor="text1"/>
        </w:rPr>
        <w:tab/>
        <w:t xml:space="preserve">Commits to fighting aggressive tax planning </w:t>
      </w:r>
      <w:r w:rsidR="00A1526E" w:rsidRPr="00DE0879">
        <w:rPr>
          <w:b/>
          <w:i/>
          <w:color w:val="000000" w:themeColor="text1"/>
        </w:rPr>
        <w:t>by both companies and individuals</w:t>
      </w:r>
      <w:r w:rsidR="00A1526E" w:rsidRPr="00DE0879">
        <w:rPr>
          <w:color w:val="000000" w:themeColor="text1"/>
        </w:rPr>
        <w:t xml:space="preserve"> </w:t>
      </w:r>
      <w:r w:rsidRPr="00DE0879">
        <w:rPr>
          <w:color w:val="000000" w:themeColor="text1"/>
        </w:rPr>
        <w:t>for a fair Europe</w:t>
      </w:r>
      <w:r w:rsidR="001A3498" w:rsidRPr="00DE0879">
        <w:rPr>
          <w:b/>
          <w:i/>
          <w:color w:val="000000" w:themeColor="text1"/>
        </w:rPr>
        <w:t>an Economy</w:t>
      </w:r>
      <w:r w:rsidRPr="00DE0879">
        <w:rPr>
          <w:color w:val="000000" w:themeColor="text1"/>
        </w:rPr>
        <w:t>, taking into account the specific situation and interests of SMEs, and of lower and middle class households; recognises the substantial revenue implications of aggressive tax planning, which tilts the playing field for actors in the economy and threatens to undermine tax morale</w:t>
      </w:r>
      <w:r w:rsidR="001A3498" w:rsidRPr="00DE0879">
        <w:rPr>
          <w:color w:val="000000" w:themeColor="text1"/>
        </w:rPr>
        <w:t xml:space="preserve"> </w:t>
      </w:r>
      <w:r w:rsidR="001A3498" w:rsidRPr="00DE0879">
        <w:rPr>
          <w:b/>
          <w:i/>
          <w:color w:val="000000" w:themeColor="text1"/>
        </w:rPr>
        <w:t>and erodes the tax base of Member States</w:t>
      </w:r>
      <w:r w:rsidRPr="00DE0879">
        <w:rPr>
          <w:color w:val="000000" w:themeColor="text1"/>
        </w:rPr>
        <w:t xml:space="preserve">; urges the Commission </w:t>
      </w:r>
      <w:r w:rsidR="001A3498" w:rsidRPr="00DE0879">
        <w:rPr>
          <w:b/>
          <w:i/>
          <w:color w:val="000000" w:themeColor="text1"/>
        </w:rPr>
        <w:t>and Member States</w:t>
      </w:r>
      <w:r w:rsidR="001A3498" w:rsidRPr="00DE0879">
        <w:rPr>
          <w:color w:val="000000" w:themeColor="text1"/>
        </w:rPr>
        <w:t xml:space="preserve"> </w:t>
      </w:r>
      <w:r w:rsidRPr="00DE0879">
        <w:rPr>
          <w:color w:val="000000" w:themeColor="text1"/>
        </w:rPr>
        <w:t>to improve cooperation between Member States in addressing aggressive tax planning, particularly through enhanced information exchange, coordinated audits and improved enforcement;</w:t>
      </w:r>
      <w:r w:rsidR="00A1526E" w:rsidRPr="00DE0879">
        <w:rPr>
          <w:color w:val="000000" w:themeColor="text1"/>
        </w:rPr>
        <w:t xml:space="preserve"> </w:t>
      </w:r>
      <w:r w:rsidR="00A1526E" w:rsidRPr="00DE0879">
        <w:rPr>
          <w:b/>
          <w:i/>
          <w:color w:val="000000" w:themeColor="text1"/>
        </w:rPr>
        <w:t>recalls the adopted recommendations by the European Parliament in its implementation report on the EU requirements for exchange of tax information</w:t>
      </w:r>
      <w:r w:rsidR="00577929" w:rsidRPr="00DE0879">
        <w:rPr>
          <w:b/>
          <w:i/>
          <w:color w:val="000000" w:themeColor="text1"/>
        </w:rPr>
        <w:t xml:space="preserve"> and Parliament’s resolutions on reforming the EU list of tax havens and on reforming the EU policy on harmful tax practices</w:t>
      </w:r>
      <w:r w:rsidR="00A1526E" w:rsidRPr="00DE0879">
        <w:rPr>
          <w:b/>
          <w:i/>
          <w:color w:val="000000" w:themeColor="text1"/>
        </w:rPr>
        <w:t xml:space="preserve">; Highlights that increasing the complexity of tax regimes can create perverse incentives for aggressive tax planning and evasion, which may be opaque; calls for Member States and the Commission to apply a risk-based and </w:t>
      </w:r>
      <w:r w:rsidR="00D84BAE" w:rsidRPr="00DE0879">
        <w:rPr>
          <w:b/>
          <w:i/>
          <w:color w:val="000000" w:themeColor="text1"/>
        </w:rPr>
        <w:t xml:space="preserve">appropriate </w:t>
      </w:r>
      <w:r w:rsidR="00A1526E" w:rsidRPr="00DE0879">
        <w:rPr>
          <w:b/>
          <w:i/>
          <w:color w:val="000000" w:themeColor="text1"/>
        </w:rPr>
        <w:t xml:space="preserve">approach to fighting </w:t>
      </w:r>
      <w:r w:rsidR="009A0F02" w:rsidRPr="00DE0879">
        <w:rPr>
          <w:b/>
          <w:i/>
          <w:color w:val="000000" w:themeColor="text1"/>
        </w:rPr>
        <w:t xml:space="preserve">tax fraud and </w:t>
      </w:r>
      <w:r w:rsidR="00A1526E" w:rsidRPr="00DE0879">
        <w:rPr>
          <w:b/>
          <w:i/>
          <w:color w:val="000000" w:themeColor="text1"/>
        </w:rPr>
        <w:t xml:space="preserve">aggressive tax planning; </w:t>
      </w:r>
      <w:r w:rsidR="00A1526E" w:rsidRPr="00DE0879">
        <w:rPr>
          <w:b/>
          <w:color w:val="000000" w:themeColor="text1"/>
        </w:rPr>
        <w:t>(</w:t>
      </w:r>
      <w:r w:rsidR="00BC165B" w:rsidRPr="00DE0879">
        <w:rPr>
          <w:b/>
          <w:color w:val="000000" w:themeColor="text1"/>
        </w:rPr>
        <w:t>AMs 199 S&amp;D,</w:t>
      </w:r>
      <w:r w:rsidR="00BC165B" w:rsidRPr="00DE0879">
        <w:rPr>
          <w:rStyle w:val="BoldItalic"/>
          <w:color w:val="000000" w:themeColor="text1"/>
        </w:rPr>
        <w:t xml:space="preserve"> 195 Greens/EFA, </w:t>
      </w:r>
      <w:r w:rsidR="00BC165B" w:rsidRPr="00DE0879">
        <w:rPr>
          <w:b/>
          <w:color w:val="000000" w:themeColor="text1"/>
        </w:rPr>
        <w:t>196, 197,</w:t>
      </w:r>
      <w:r w:rsidR="00A1526E" w:rsidRPr="00DE0879">
        <w:rPr>
          <w:b/>
          <w:color w:val="000000" w:themeColor="text1"/>
        </w:rPr>
        <w:t xml:space="preserve"> 198 EPP</w:t>
      </w:r>
      <w:r w:rsidR="009A0F02" w:rsidRPr="00DE0879">
        <w:rPr>
          <w:b/>
          <w:color w:val="000000" w:themeColor="text1"/>
        </w:rPr>
        <w:t>, AM 126 Left</w:t>
      </w:r>
      <w:r w:rsidR="00A1526E" w:rsidRPr="00DE0879">
        <w:rPr>
          <w:b/>
          <w:color w:val="000000" w:themeColor="text1"/>
        </w:rPr>
        <w:t>);</w:t>
      </w:r>
    </w:p>
    <w:p w:rsidR="00BF7E4D" w:rsidRPr="00DE0879" w:rsidRDefault="00BF7E4D" w:rsidP="0021266D">
      <w:pPr>
        <w:pStyle w:val="NormalHanging12a"/>
        <w:jc w:val="both"/>
        <w:rPr>
          <w:b/>
          <w:i/>
          <w:color w:val="000000" w:themeColor="text1"/>
          <w:u w:val="single"/>
        </w:rPr>
      </w:pPr>
      <w:r w:rsidRPr="00DE0879">
        <w:rPr>
          <w:b/>
          <w:color w:val="000000" w:themeColor="text1"/>
        </w:rPr>
        <w:t xml:space="preserve">16a (new) </w:t>
      </w:r>
      <w:r w:rsidRPr="00DE0879">
        <w:rPr>
          <w:b/>
          <w:i/>
          <w:color w:val="000000" w:themeColor="text1"/>
        </w:rPr>
        <w:t xml:space="preserve">Stresses the importance of existing mechanisms </w:t>
      </w:r>
      <w:r w:rsidRPr="00DE0879">
        <w:rPr>
          <w:b/>
          <w:i/>
          <w:color w:val="000000" w:themeColor="text1"/>
          <w:u w:val="single"/>
        </w:rPr>
        <w:t>under</w:t>
      </w:r>
      <w:r w:rsidRPr="00DE0879">
        <w:rPr>
          <w:b/>
          <w:i/>
          <w:color w:val="000000" w:themeColor="text1"/>
        </w:rPr>
        <w:t xml:space="preserve"> </w:t>
      </w:r>
      <w:r w:rsidR="00795DE2" w:rsidRPr="00DE0879">
        <w:rPr>
          <w:b/>
          <w:i/>
          <w:color w:val="000000" w:themeColor="text1"/>
        </w:rPr>
        <w:t xml:space="preserve">the </w:t>
      </w:r>
      <w:r w:rsidR="00795DE2" w:rsidRPr="00DE0879">
        <w:rPr>
          <w:color w:val="000000" w:themeColor="text1"/>
        </w:rPr>
        <w:t>Directive on Administrative Cooperation (DAC)</w:t>
      </w:r>
      <w:r w:rsidRPr="00DE0879">
        <w:rPr>
          <w:b/>
          <w:i/>
          <w:color w:val="000000" w:themeColor="text1"/>
        </w:rPr>
        <w:t xml:space="preserve">, </w:t>
      </w:r>
      <w:r w:rsidR="00795DE2" w:rsidRPr="00DE0879">
        <w:rPr>
          <w:b/>
          <w:i/>
          <w:color w:val="000000" w:themeColor="text1"/>
        </w:rPr>
        <w:t>the Anti-Tax Avoidance Directive (ATAD)</w:t>
      </w:r>
      <w:r w:rsidRPr="00DE0879">
        <w:rPr>
          <w:b/>
          <w:i/>
          <w:color w:val="000000" w:themeColor="text1"/>
        </w:rPr>
        <w:t xml:space="preserve">, and the </w:t>
      </w:r>
      <w:r w:rsidR="00795DE2" w:rsidRPr="00DE0879">
        <w:rPr>
          <w:color w:val="000000" w:themeColor="text1"/>
        </w:rPr>
        <w:t xml:space="preserve"> Multilateral Competent Authority Agreement (</w:t>
      </w:r>
      <w:r w:rsidRPr="00DE0879">
        <w:rPr>
          <w:b/>
          <w:i/>
          <w:color w:val="000000" w:themeColor="text1"/>
        </w:rPr>
        <w:t>MCAA</w:t>
      </w:r>
      <w:r w:rsidR="00795DE2" w:rsidRPr="00DE0879">
        <w:rPr>
          <w:b/>
          <w:i/>
          <w:color w:val="000000" w:themeColor="text1"/>
        </w:rPr>
        <w:t>)</w:t>
      </w:r>
      <w:r w:rsidRPr="00DE0879">
        <w:rPr>
          <w:b/>
          <w:i/>
          <w:color w:val="000000" w:themeColor="text1"/>
        </w:rPr>
        <w:t xml:space="preserve">, </w:t>
      </w:r>
      <w:r w:rsidRPr="00DE0879">
        <w:rPr>
          <w:b/>
          <w:i/>
          <w:color w:val="000000" w:themeColor="text1"/>
          <w:u w:val="single"/>
        </w:rPr>
        <w:t>which</w:t>
      </w:r>
      <w:r w:rsidRPr="00DE0879">
        <w:rPr>
          <w:b/>
          <w:i/>
          <w:color w:val="000000" w:themeColor="text1"/>
        </w:rPr>
        <w:t xml:space="preserve"> have significantly improved transparency and cross-border cooperation between tax authorities, enabling a more effective response to aggressive tax planning; </w:t>
      </w:r>
      <w:r w:rsidRPr="00DE0879">
        <w:rPr>
          <w:b/>
          <w:i/>
          <w:color w:val="000000" w:themeColor="text1"/>
          <w:u w:val="single"/>
        </w:rPr>
        <w:t>underlines the increasing administrative burden</w:t>
      </w:r>
      <w:r w:rsidR="0021266D" w:rsidRPr="00DE0879">
        <w:rPr>
          <w:b/>
          <w:i/>
          <w:color w:val="000000" w:themeColor="text1"/>
          <w:u w:val="single"/>
        </w:rPr>
        <w:t xml:space="preserve"> and compliance costs</w:t>
      </w:r>
      <w:r w:rsidR="002C092D" w:rsidRPr="00DE0879">
        <w:rPr>
          <w:b/>
          <w:i/>
          <w:color w:val="000000" w:themeColor="text1"/>
          <w:u w:val="single"/>
        </w:rPr>
        <w:t xml:space="preserve"> </w:t>
      </w:r>
      <w:r w:rsidRPr="00DE0879">
        <w:rPr>
          <w:b/>
          <w:i/>
          <w:color w:val="000000" w:themeColor="text1"/>
          <w:u w:val="single"/>
        </w:rPr>
        <w:t>on tax administrations and taxpayers</w:t>
      </w:r>
      <w:r w:rsidR="002C092D" w:rsidRPr="00DE0879">
        <w:rPr>
          <w:b/>
          <w:i/>
          <w:color w:val="000000" w:themeColor="text1"/>
          <w:u w:val="single"/>
        </w:rPr>
        <w:t xml:space="preserve"> on DAC and ATAD and welcomes their review and simplification whilst still maintain current standards (AM 209 S&amp;D)</w:t>
      </w:r>
      <w:r w:rsidRPr="00DE0879">
        <w:rPr>
          <w:b/>
          <w:i/>
          <w:color w:val="000000" w:themeColor="text1"/>
          <w:u w:val="single"/>
        </w:rPr>
        <w:t xml:space="preserve"> </w:t>
      </w:r>
      <w:r w:rsidRPr="00DE0879">
        <w:rPr>
          <w:b/>
          <w:color w:val="000000" w:themeColor="text1"/>
        </w:rPr>
        <w:t>(AM 101 The Left, 211 S&amp;D</w:t>
      </w:r>
      <w:r w:rsidR="0007202D" w:rsidRPr="00DE0879">
        <w:rPr>
          <w:b/>
          <w:color w:val="000000" w:themeColor="text1"/>
        </w:rPr>
        <w:t>, Am 162 EPP</w:t>
      </w:r>
      <w:r w:rsidRPr="00DE0879">
        <w:rPr>
          <w:b/>
          <w:color w:val="000000" w:themeColor="text1"/>
        </w:rPr>
        <w:t>)</w:t>
      </w:r>
      <w:r w:rsidRPr="00DE0879">
        <w:rPr>
          <w:b/>
          <w:i/>
          <w:color w:val="000000" w:themeColor="text1"/>
        </w:rPr>
        <w:t>.</w:t>
      </w:r>
    </w:p>
    <w:p w:rsidR="0021266D" w:rsidRPr="00DE0879" w:rsidRDefault="0021266D" w:rsidP="00BC165B">
      <w:pPr>
        <w:pStyle w:val="NormalHanging12a"/>
        <w:jc w:val="both"/>
        <w:rPr>
          <w:color w:val="000000" w:themeColor="text1"/>
        </w:rPr>
      </w:pPr>
      <w:r w:rsidRPr="00DE0879">
        <w:rPr>
          <w:b/>
          <w:i/>
          <w:color w:val="000000" w:themeColor="text1"/>
        </w:rPr>
        <w:t xml:space="preserve">16 b (new) </w:t>
      </w:r>
      <w:r w:rsidRPr="00DE0879">
        <w:rPr>
          <w:b/>
          <w:i/>
          <w:color w:val="000000" w:themeColor="text1"/>
          <w:u w:val="single"/>
        </w:rPr>
        <w:t>Highlights the need to address inconsistencies between ATAD and the OECD’s Pillar Two to ensure coherence and legal certainty across the EU</w:t>
      </w:r>
      <w:r w:rsidR="00FA1DA0" w:rsidRPr="00DE0879">
        <w:rPr>
          <w:b/>
          <w:i/>
          <w:color w:val="000000" w:themeColor="text1"/>
          <w:u w:val="single"/>
        </w:rPr>
        <w:t xml:space="preserve">, </w:t>
      </w:r>
      <w:r w:rsidR="009E5BD5" w:rsidRPr="00DE0879">
        <w:rPr>
          <w:b/>
          <w:i/>
          <w:color w:val="000000" w:themeColor="text1"/>
        </w:rPr>
        <w:t xml:space="preserve">including considering streamlining option(s) and exception(s) granted to </w:t>
      </w:r>
      <w:r w:rsidR="005376A0" w:rsidRPr="00DE0879">
        <w:rPr>
          <w:b/>
          <w:i/>
          <w:color w:val="000000" w:themeColor="text1"/>
        </w:rPr>
        <w:t>M</w:t>
      </w:r>
      <w:r w:rsidR="009E5BD5" w:rsidRPr="00DE0879">
        <w:rPr>
          <w:b/>
          <w:i/>
          <w:color w:val="000000" w:themeColor="text1"/>
        </w:rPr>
        <w:t xml:space="preserve">ember </w:t>
      </w:r>
      <w:r w:rsidR="005376A0" w:rsidRPr="00DE0879">
        <w:rPr>
          <w:b/>
          <w:i/>
          <w:color w:val="000000" w:themeColor="text1"/>
        </w:rPr>
        <w:t>S</w:t>
      </w:r>
      <w:r w:rsidR="009E5BD5" w:rsidRPr="00DE0879">
        <w:rPr>
          <w:b/>
          <w:i/>
          <w:color w:val="000000" w:themeColor="text1"/>
        </w:rPr>
        <w:t>tates</w:t>
      </w:r>
      <w:r w:rsidR="00577929" w:rsidRPr="00DE0879" w:rsidDel="00577929">
        <w:rPr>
          <w:b/>
          <w:i/>
          <w:color w:val="000000" w:themeColor="text1"/>
        </w:rPr>
        <w:t xml:space="preserve"> </w:t>
      </w:r>
      <w:r w:rsidR="00FA1DA0" w:rsidRPr="00DE0879">
        <w:rPr>
          <w:b/>
          <w:i/>
          <w:color w:val="000000" w:themeColor="text1"/>
        </w:rPr>
        <w:t>(AM 211 S&amp;D)</w:t>
      </w:r>
      <w:r w:rsidRPr="00DE0879">
        <w:rPr>
          <w:b/>
          <w:i/>
          <w:color w:val="000000" w:themeColor="text1"/>
        </w:rPr>
        <w:t xml:space="preserve">; takes note of the Commission’s announcement that it will evaluate the ATAD in light of Pillar II and present a comprehensive report on the measures in Q3 2025 following the Pillar 2 agreement; </w:t>
      </w:r>
      <w:r w:rsidR="0098399E" w:rsidRPr="00DE0879">
        <w:rPr>
          <w:b/>
          <w:i/>
          <w:color w:val="000000" w:themeColor="text1"/>
        </w:rPr>
        <w:t>c</w:t>
      </w:r>
      <w:r w:rsidR="006350F1" w:rsidRPr="00DE0879">
        <w:rPr>
          <w:b/>
          <w:i/>
          <w:color w:val="000000" w:themeColor="text1"/>
        </w:rPr>
        <w:t>alls on the Commission to provide guidance to Member States on the interpretation of the General Anti-Abuse Rule in ATAD</w:t>
      </w:r>
      <w:r w:rsidR="006350F1" w:rsidRPr="00DE0879">
        <w:rPr>
          <w:color w:val="000000" w:themeColor="text1"/>
        </w:rPr>
        <w:t xml:space="preserve"> </w:t>
      </w:r>
      <w:r w:rsidR="006350F1" w:rsidRPr="00DE0879">
        <w:rPr>
          <w:b/>
          <w:color w:val="000000" w:themeColor="text1"/>
        </w:rPr>
        <w:t>(AM 212 S&amp;D)</w:t>
      </w:r>
      <w:r w:rsidR="006350F1" w:rsidRPr="00DE0879">
        <w:rPr>
          <w:color w:val="000000" w:themeColor="text1"/>
        </w:rPr>
        <w:t xml:space="preserve"> </w:t>
      </w:r>
      <w:r w:rsidR="006350F1" w:rsidRPr="00DE0879">
        <w:rPr>
          <w:b/>
          <w:i/>
          <w:color w:val="000000" w:themeColor="text1"/>
        </w:rPr>
        <w:t>and</w:t>
      </w:r>
      <w:r w:rsidR="00FA1DA0" w:rsidRPr="00DE0879">
        <w:rPr>
          <w:b/>
          <w:i/>
          <w:color w:val="000000" w:themeColor="text1"/>
        </w:rPr>
        <w:t xml:space="preserve"> calls</w:t>
      </w:r>
      <w:r w:rsidR="006350F1" w:rsidRPr="00DE0879">
        <w:rPr>
          <w:color w:val="000000" w:themeColor="text1"/>
        </w:rPr>
        <w:t xml:space="preserve"> </w:t>
      </w:r>
      <w:r w:rsidR="0098399E" w:rsidRPr="00DE0879">
        <w:rPr>
          <w:b/>
          <w:i/>
          <w:color w:val="000000" w:themeColor="text1"/>
        </w:rPr>
        <w:t>for</w:t>
      </w:r>
      <w:r w:rsidRPr="00DE0879">
        <w:rPr>
          <w:b/>
          <w:i/>
          <w:color w:val="000000" w:themeColor="text1"/>
        </w:rPr>
        <w:t xml:space="preserve"> a revision to make </w:t>
      </w:r>
      <w:r w:rsidR="006350F1" w:rsidRPr="00DE0879">
        <w:rPr>
          <w:b/>
          <w:i/>
          <w:color w:val="000000" w:themeColor="text1"/>
        </w:rPr>
        <w:t>ATAD</w:t>
      </w:r>
      <w:r w:rsidRPr="00DE0879">
        <w:rPr>
          <w:b/>
          <w:i/>
          <w:color w:val="000000" w:themeColor="text1"/>
        </w:rPr>
        <w:t xml:space="preserve"> simpler to implement and increase effectiveness(AM 164, 165 EPP, 163 Rapp</w:t>
      </w:r>
      <w:r w:rsidR="0007202D" w:rsidRPr="00DE0879">
        <w:rPr>
          <w:b/>
          <w:i/>
          <w:color w:val="000000" w:themeColor="text1"/>
        </w:rPr>
        <w:t>)</w:t>
      </w:r>
    </w:p>
    <w:p w:rsidR="00AB14E7" w:rsidRPr="00DE0879" w:rsidRDefault="00D50A31" w:rsidP="00BC165B">
      <w:pPr>
        <w:pStyle w:val="NormalHanging12a"/>
        <w:jc w:val="both"/>
        <w:rPr>
          <w:b/>
          <w:i/>
          <w:color w:val="000000" w:themeColor="text1"/>
        </w:rPr>
      </w:pPr>
      <w:r w:rsidRPr="00DE0879">
        <w:rPr>
          <w:color w:val="000000" w:themeColor="text1"/>
        </w:rPr>
        <w:t>17.</w:t>
      </w:r>
      <w:r w:rsidRPr="00DE0879">
        <w:rPr>
          <w:color w:val="000000" w:themeColor="text1"/>
        </w:rPr>
        <w:tab/>
        <w:t>Notes the role of the DAC in reducing tax evasion</w:t>
      </w:r>
      <w:r w:rsidR="001A3498" w:rsidRPr="00DE0879">
        <w:rPr>
          <w:color w:val="000000" w:themeColor="text1"/>
        </w:rPr>
        <w:t xml:space="preserve">, </w:t>
      </w:r>
      <w:r w:rsidR="001A3498" w:rsidRPr="00DE0879">
        <w:rPr>
          <w:b/>
          <w:i/>
          <w:color w:val="000000" w:themeColor="text1"/>
        </w:rPr>
        <w:t>avoidance</w:t>
      </w:r>
      <w:r w:rsidR="00577929" w:rsidRPr="00DE0879">
        <w:rPr>
          <w:b/>
          <w:i/>
          <w:color w:val="000000" w:themeColor="text1"/>
        </w:rPr>
        <w:t xml:space="preserve">, </w:t>
      </w:r>
      <w:r w:rsidR="00C02F45" w:rsidRPr="00DE0879">
        <w:rPr>
          <w:b/>
          <w:i/>
          <w:color w:val="000000" w:themeColor="text1"/>
        </w:rPr>
        <w:t>aggressive</w:t>
      </w:r>
      <w:r w:rsidR="00577929" w:rsidRPr="00DE0879">
        <w:rPr>
          <w:b/>
          <w:i/>
          <w:color w:val="000000" w:themeColor="text1"/>
        </w:rPr>
        <w:t xml:space="preserve"> tax planning</w:t>
      </w:r>
      <w:r w:rsidR="001A3498" w:rsidRPr="00DE0879">
        <w:rPr>
          <w:color w:val="000000" w:themeColor="text1"/>
        </w:rPr>
        <w:t xml:space="preserve"> </w:t>
      </w:r>
      <w:r w:rsidRPr="00DE0879">
        <w:rPr>
          <w:color w:val="000000" w:themeColor="text1"/>
        </w:rPr>
        <w:t>and increasing transparency, while also highlighting the complexity and administrative burden, especially under DAC 6;</w:t>
      </w:r>
      <w:r w:rsidR="001A3498" w:rsidRPr="00DE0879">
        <w:rPr>
          <w:color w:val="000000" w:themeColor="text1"/>
        </w:rPr>
        <w:t xml:space="preserve"> </w:t>
      </w:r>
      <w:r w:rsidR="002C092D" w:rsidRPr="00DE0879">
        <w:rPr>
          <w:color w:val="000000" w:themeColor="text1"/>
        </w:rPr>
        <w:t xml:space="preserve">stresses the need for </w:t>
      </w:r>
      <w:r w:rsidR="00C02F45" w:rsidRPr="00DE0879">
        <w:rPr>
          <w:b/>
          <w:color w:val="000000" w:themeColor="text1"/>
        </w:rPr>
        <w:t>the revision</w:t>
      </w:r>
      <w:r w:rsidR="00C02F45" w:rsidRPr="00DE0879">
        <w:rPr>
          <w:color w:val="000000" w:themeColor="text1"/>
        </w:rPr>
        <w:t xml:space="preserve"> </w:t>
      </w:r>
      <w:r w:rsidR="002C092D" w:rsidRPr="00DE0879">
        <w:rPr>
          <w:color w:val="000000" w:themeColor="text1"/>
        </w:rPr>
        <w:t xml:space="preserve">of DAC6 and </w:t>
      </w:r>
      <w:r w:rsidR="001A3498" w:rsidRPr="00DE0879">
        <w:rPr>
          <w:b/>
          <w:i/>
          <w:color w:val="000000" w:themeColor="text1"/>
        </w:rPr>
        <w:t>calls on the Commission to conduct a</w:t>
      </w:r>
      <w:r w:rsidR="00C02F45" w:rsidRPr="00DE0879">
        <w:rPr>
          <w:b/>
          <w:i/>
          <w:color w:val="000000" w:themeColor="text1"/>
        </w:rPr>
        <w:t>n</w:t>
      </w:r>
      <w:r w:rsidR="001A3498" w:rsidRPr="00DE0879">
        <w:rPr>
          <w:b/>
          <w:i/>
          <w:color w:val="000000" w:themeColor="text1"/>
        </w:rPr>
        <w:t xml:space="preserve">  </w:t>
      </w:r>
      <w:r w:rsidR="00C02F45" w:rsidRPr="00DE0879">
        <w:rPr>
          <w:b/>
          <w:i/>
          <w:color w:val="000000" w:themeColor="text1"/>
        </w:rPr>
        <w:t xml:space="preserve">assessment </w:t>
      </w:r>
      <w:r w:rsidR="001A3498" w:rsidRPr="00DE0879">
        <w:rPr>
          <w:b/>
          <w:i/>
          <w:color w:val="000000" w:themeColor="text1"/>
        </w:rPr>
        <w:t xml:space="preserve">of compliance costs under this Directive </w:t>
      </w:r>
      <w:r w:rsidR="002C092D" w:rsidRPr="00DE0879">
        <w:rPr>
          <w:b/>
          <w:i/>
          <w:color w:val="000000" w:themeColor="text1"/>
          <w:u w:val="single"/>
        </w:rPr>
        <w:t>as well as</w:t>
      </w:r>
      <w:r w:rsidR="002C092D" w:rsidRPr="00DE0879">
        <w:rPr>
          <w:b/>
          <w:i/>
          <w:color w:val="000000" w:themeColor="text1"/>
        </w:rPr>
        <w:t xml:space="preserve"> </w:t>
      </w:r>
      <w:r w:rsidR="001A3498" w:rsidRPr="00DE0879">
        <w:rPr>
          <w:b/>
          <w:i/>
          <w:color w:val="000000" w:themeColor="text1"/>
        </w:rPr>
        <w:t>strengthen guidance, enhance risk analysis, and leverage technology for better data collection</w:t>
      </w:r>
      <w:r w:rsidR="003C3E95" w:rsidRPr="00DE0879">
        <w:rPr>
          <w:b/>
          <w:i/>
          <w:color w:val="000000" w:themeColor="text1"/>
        </w:rPr>
        <w:t xml:space="preserve"> </w:t>
      </w:r>
      <w:r w:rsidR="002C092D" w:rsidRPr="00DE0879">
        <w:rPr>
          <w:b/>
          <w:i/>
          <w:color w:val="000000" w:themeColor="text1"/>
        </w:rPr>
        <w:t xml:space="preserve">so as to </w:t>
      </w:r>
      <w:r w:rsidR="001A3498" w:rsidRPr="00DE0879">
        <w:rPr>
          <w:b/>
          <w:i/>
          <w:color w:val="000000" w:themeColor="text1"/>
        </w:rPr>
        <w:t xml:space="preserve">ensure effectiveness in promoting tax transparency, </w:t>
      </w:r>
      <w:r w:rsidR="002C092D" w:rsidRPr="00DE0879">
        <w:rPr>
          <w:b/>
          <w:i/>
          <w:color w:val="000000" w:themeColor="text1"/>
        </w:rPr>
        <w:t xml:space="preserve">and </w:t>
      </w:r>
      <w:r w:rsidR="001A3498" w:rsidRPr="00DE0879">
        <w:rPr>
          <w:b/>
          <w:i/>
          <w:color w:val="000000" w:themeColor="text1"/>
        </w:rPr>
        <w:t xml:space="preserve">avoiding disproportionate costs and administrative burdens; states that the reassessment should consider </w:t>
      </w:r>
      <w:r w:rsidR="00C02F45" w:rsidRPr="00DE0879">
        <w:rPr>
          <w:b/>
          <w:i/>
          <w:color w:val="000000" w:themeColor="text1"/>
        </w:rPr>
        <w:t xml:space="preserve">shielding </w:t>
      </w:r>
      <w:r w:rsidR="001A3498" w:rsidRPr="00DE0879">
        <w:rPr>
          <w:b/>
          <w:i/>
          <w:color w:val="000000" w:themeColor="text1"/>
        </w:rPr>
        <w:t xml:space="preserve">SMEs from unnecessary reporting obligations and </w:t>
      </w:r>
      <w:r w:rsidR="002C092D" w:rsidRPr="00DE0879">
        <w:rPr>
          <w:b/>
          <w:i/>
          <w:color w:val="000000" w:themeColor="text1"/>
        </w:rPr>
        <w:t>providing more clarity</w:t>
      </w:r>
      <w:r w:rsidR="007C025E" w:rsidRPr="00DE0879">
        <w:rPr>
          <w:b/>
          <w:i/>
          <w:color w:val="000000" w:themeColor="text1"/>
        </w:rPr>
        <w:t xml:space="preserve"> regarding the hallmarks for reportable cross border arrangements</w:t>
      </w:r>
      <w:r w:rsidR="002C092D" w:rsidRPr="00DE0879">
        <w:rPr>
          <w:b/>
          <w:i/>
          <w:color w:val="000000" w:themeColor="text1"/>
        </w:rPr>
        <w:t xml:space="preserve"> </w:t>
      </w:r>
      <w:r w:rsidR="001A3498" w:rsidRPr="00DE0879">
        <w:rPr>
          <w:b/>
          <w:i/>
          <w:color w:val="000000" w:themeColor="text1"/>
        </w:rPr>
        <w:t>; suggests a</w:t>
      </w:r>
      <w:r w:rsidR="006350F1" w:rsidRPr="00DE0879">
        <w:rPr>
          <w:b/>
          <w:i/>
          <w:color w:val="000000" w:themeColor="text1"/>
        </w:rPr>
        <w:t>n assessment for a possible</w:t>
      </w:r>
      <w:r w:rsidR="001A3498" w:rsidRPr="00DE0879">
        <w:rPr>
          <w:b/>
          <w:i/>
          <w:color w:val="000000" w:themeColor="text1"/>
        </w:rPr>
        <w:t xml:space="preserve"> review of DAC 7 to consider whether the exchange of information can be reduced with the introduction of real time reporting under </w:t>
      </w:r>
      <w:r w:rsidR="00857715" w:rsidRPr="00DE0879">
        <w:rPr>
          <w:b/>
          <w:i/>
          <w:color w:val="000000" w:themeColor="text1"/>
        </w:rPr>
        <w:t xml:space="preserve">VAT </w:t>
      </w:r>
      <w:r w:rsidR="001A3498" w:rsidRPr="00DE0879">
        <w:rPr>
          <w:b/>
          <w:i/>
          <w:color w:val="000000" w:themeColor="text1"/>
        </w:rPr>
        <w:t xml:space="preserve">in the Digital Age </w:t>
      </w:r>
      <w:r w:rsidR="001A3498" w:rsidRPr="00DE0879">
        <w:rPr>
          <w:b/>
          <w:color w:val="000000" w:themeColor="text1"/>
        </w:rPr>
        <w:t>(</w:t>
      </w:r>
      <w:r w:rsidR="00BC165B" w:rsidRPr="00DE0879">
        <w:rPr>
          <w:b/>
          <w:color w:val="000000" w:themeColor="text1"/>
        </w:rPr>
        <w:t xml:space="preserve">AMs 206 Greens/EFA, </w:t>
      </w:r>
      <w:r w:rsidR="004A6F5F" w:rsidRPr="00DE0879">
        <w:rPr>
          <w:b/>
          <w:color w:val="000000" w:themeColor="text1"/>
        </w:rPr>
        <w:t xml:space="preserve">92, </w:t>
      </w:r>
      <w:r w:rsidR="00BC165B" w:rsidRPr="00DE0879">
        <w:rPr>
          <w:b/>
          <w:color w:val="000000" w:themeColor="text1"/>
        </w:rPr>
        <w:t>204, 205 EPP, 208 S</w:t>
      </w:r>
      <w:r w:rsidR="000D35B8" w:rsidRPr="00DE0879">
        <w:rPr>
          <w:b/>
          <w:color w:val="000000" w:themeColor="text1"/>
        </w:rPr>
        <w:t>&amp;</w:t>
      </w:r>
      <w:r w:rsidR="00BC165B" w:rsidRPr="00DE0879">
        <w:rPr>
          <w:b/>
          <w:color w:val="000000" w:themeColor="text1"/>
        </w:rPr>
        <w:t xml:space="preserve">D, </w:t>
      </w:r>
      <w:r w:rsidR="001A3498" w:rsidRPr="00DE0879">
        <w:rPr>
          <w:b/>
          <w:color w:val="000000" w:themeColor="text1"/>
        </w:rPr>
        <w:t>203 Rapp)</w:t>
      </w:r>
      <w:r w:rsidR="001A3498" w:rsidRPr="00DE0879">
        <w:rPr>
          <w:b/>
          <w:i/>
          <w:color w:val="000000" w:themeColor="text1"/>
        </w:rPr>
        <w:t>;</w:t>
      </w:r>
    </w:p>
    <w:p w:rsidR="001A3498" w:rsidRPr="00DE0879" w:rsidRDefault="001A3498" w:rsidP="00BC165B">
      <w:pPr>
        <w:pStyle w:val="NormalHanging12a"/>
        <w:jc w:val="both"/>
        <w:rPr>
          <w:b/>
          <w:i/>
          <w:color w:val="000000" w:themeColor="text1"/>
        </w:rPr>
      </w:pPr>
      <w:r w:rsidRPr="00DE0879">
        <w:rPr>
          <w:b/>
          <w:i/>
          <w:color w:val="000000" w:themeColor="text1"/>
        </w:rPr>
        <w:t>1</w:t>
      </w:r>
      <w:r w:rsidR="00872C2B" w:rsidRPr="00DE0879">
        <w:rPr>
          <w:b/>
          <w:i/>
          <w:color w:val="000000" w:themeColor="text1"/>
        </w:rPr>
        <w:t>7</w:t>
      </w:r>
      <w:r w:rsidRPr="00DE0879">
        <w:rPr>
          <w:b/>
          <w:i/>
          <w:color w:val="000000" w:themeColor="text1"/>
        </w:rPr>
        <w:t>c</w:t>
      </w:r>
      <w:r w:rsidR="00872C2B" w:rsidRPr="00DE0879">
        <w:rPr>
          <w:b/>
          <w:i/>
          <w:color w:val="000000" w:themeColor="text1"/>
        </w:rPr>
        <w:t xml:space="preserve"> (new) </w:t>
      </w:r>
      <w:r w:rsidRPr="00DE0879">
        <w:rPr>
          <w:b/>
          <w:i/>
          <w:color w:val="000000" w:themeColor="text1"/>
        </w:rPr>
        <w:t xml:space="preserve">Notes, in particular, the need to take advantage of the review process to address current overlapping rules, and to streamline and simplify the application of common rules and concepts; points out in particular that standardisation of terms and concepts is crucial to simplify compliance, since various domestic interpretations may give rise to fragmentation and complexity </w:t>
      </w:r>
      <w:r w:rsidRPr="00DE0879">
        <w:rPr>
          <w:b/>
          <w:color w:val="000000" w:themeColor="text1"/>
        </w:rPr>
        <w:t>(AM 210 S&amp;D)</w:t>
      </w:r>
      <w:r w:rsidRPr="00DE0879">
        <w:rPr>
          <w:b/>
          <w:i/>
          <w:color w:val="000000" w:themeColor="text1"/>
        </w:rPr>
        <w:t>;</w:t>
      </w:r>
    </w:p>
    <w:p w:rsidR="00AB14E7" w:rsidRPr="00DE0879" w:rsidRDefault="00D50A31" w:rsidP="00BC165B">
      <w:pPr>
        <w:pStyle w:val="NormalHanging12a"/>
        <w:jc w:val="both"/>
        <w:rPr>
          <w:color w:val="000000" w:themeColor="text1"/>
        </w:rPr>
      </w:pPr>
      <w:r w:rsidRPr="00DE0879">
        <w:rPr>
          <w:color w:val="000000" w:themeColor="text1"/>
        </w:rPr>
        <w:t>18.</w:t>
      </w:r>
      <w:r w:rsidRPr="00DE0879">
        <w:rPr>
          <w:color w:val="000000" w:themeColor="text1"/>
        </w:rPr>
        <w:tab/>
        <w:t>Calls for enhanced collaboration between the European Public Prosecutor’s Office and Eurofisc to strengthen intelligence-sharing, coordinated enforcement efforts and cross-border investigations in the fight against VAT fraud and other forms of tax evasion</w:t>
      </w:r>
      <w:r w:rsidR="00B201C5" w:rsidRPr="00DE0879">
        <w:rPr>
          <w:color w:val="000000" w:themeColor="text1"/>
        </w:rPr>
        <w:t xml:space="preserve"> </w:t>
      </w:r>
      <w:r w:rsidR="00B201C5" w:rsidRPr="00DE0879">
        <w:rPr>
          <w:b/>
          <w:i/>
          <w:color w:val="000000" w:themeColor="text1"/>
        </w:rPr>
        <w:t>and avoidance</w:t>
      </w:r>
      <w:r w:rsidRPr="00DE0879">
        <w:rPr>
          <w:color w:val="000000" w:themeColor="text1"/>
        </w:rPr>
        <w:t>;</w:t>
      </w:r>
      <w:r w:rsidR="00B201C5" w:rsidRPr="00DE0879">
        <w:rPr>
          <w:color w:val="000000" w:themeColor="text1"/>
        </w:rPr>
        <w:t xml:space="preserve"> </w:t>
      </w:r>
      <w:r w:rsidR="00B201C5" w:rsidRPr="00DE0879">
        <w:rPr>
          <w:b/>
          <w:i/>
          <w:color w:val="000000" w:themeColor="text1"/>
        </w:rPr>
        <w:t>stresses the need for streamlined cooperation between these bodies to ensure a more effective and unified EU response to cross-border tax fraud, leveraging their respective mandates and expertise; urges the Commission and Member States to facilitate this cooperation by improving data exchange mechanisms, ensuring adequate resourcing, and fostering joint investigative efforts</w:t>
      </w:r>
      <w:r w:rsidR="00B201C5" w:rsidRPr="00DE0879">
        <w:rPr>
          <w:b/>
          <w:color w:val="000000" w:themeColor="text1"/>
        </w:rPr>
        <w:t>;</w:t>
      </w:r>
      <w:r w:rsidR="00F912D4" w:rsidRPr="00DE0879">
        <w:rPr>
          <w:b/>
          <w:color w:val="000000" w:themeColor="text1"/>
        </w:rPr>
        <w:t xml:space="preserve"> </w:t>
      </w:r>
      <w:r w:rsidR="00F912D4" w:rsidRPr="00DE0879">
        <w:rPr>
          <w:b/>
          <w:color w:val="000000" w:themeColor="text1"/>
          <w:u w:val="single"/>
        </w:rPr>
        <w:t>stresses that further tax coordination between Member States in tackling tax evasion and avoidance is important to facilitate cross-border economic activity</w:t>
      </w:r>
      <w:r w:rsidR="00F912D4" w:rsidRPr="00DE0879">
        <w:rPr>
          <w:b/>
          <w:color w:val="000000" w:themeColor="text1"/>
        </w:rPr>
        <w:t xml:space="preserve"> (AM 216 S&amp;D);</w:t>
      </w:r>
      <w:r w:rsidR="00B201C5" w:rsidRPr="00DE0879">
        <w:rPr>
          <w:b/>
          <w:color w:val="000000" w:themeColor="text1"/>
        </w:rPr>
        <w:t xml:space="preserve"> </w:t>
      </w:r>
      <w:r w:rsidR="00335F70" w:rsidRPr="00DE0879">
        <w:rPr>
          <w:b/>
          <w:i/>
          <w:color w:val="000000" w:themeColor="text1"/>
          <w:u w:val="single"/>
        </w:rPr>
        <w:t>takes note that</w:t>
      </w:r>
      <w:r w:rsidR="00335F70" w:rsidRPr="00DE0879">
        <w:rPr>
          <w:b/>
          <w:i/>
          <w:color w:val="000000" w:themeColor="text1"/>
        </w:rPr>
        <w:t xml:space="preserve"> </w:t>
      </w:r>
      <w:r w:rsidR="00B201C5" w:rsidRPr="00DE0879">
        <w:rPr>
          <w:b/>
          <w:i/>
          <w:color w:val="000000" w:themeColor="text1"/>
        </w:rPr>
        <w:t xml:space="preserve">the EU </w:t>
      </w:r>
      <w:r w:rsidR="00335F70" w:rsidRPr="00DE0879">
        <w:rPr>
          <w:b/>
          <w:i/>
          <w:color w:val="000000" w:themeColor="text1"/>
          <w:u w:val="single"/>
        </w:rPr>
        <w:t>can</w:t>
      </w:r>
      <w:r w:rsidR="00335F70" w:rsidRPr="00DE0879">
        <w:rPr>
          <w:b/>
          <w:i/>
          <w:color w:val="000000" w:themeColor="text1"/>
        </w:rPr>
        <w:t xml:space="preserve"> </w:t>
      </w:r>
      <w:r w:rsidR="00B201C5" w:rsidRPr="00DE0879">
        <w:rPr>
          <w:b/>
          <w:i/>
          <w:color w:val="000000" w:themeColor="text1"/>
        </w:rPr>
        <w:t>ensure that all imported products are properly subject to adequate customs duties</w:t>
      </w:r>
      <w:r w:rsidR="00BC165B" w:rsidRPr="00DE0879">
        <w:rPr>
          <w:b/>
          <w:i/>
          <w:color w:val="000000" w:themeColor="text1"/>
        </w:rPr>
        <w:t xml:space="preserve"> </w:t>
      </w:r>
      <w:r w:rsidR="00B201C5" w:rsidRPr="00DE0879">
        <w:rPr>
          <w:b/>
          <w:color w:val="000000" w:themeColor="text1"/>
        </w:rPr>
        <w:t>(</w:t>
      </w:r>
      <w:r w:rsidR="00BC165B" w:rsidRPr="00DE0879">
        <w:rPr>
          <w:b/>
          <w:color w:val="000000" w:themeColor="text1"/>
        </w:rPr>
        <w:t xml:space="preserve">AMs 214 Greens/EFA, 213 Rapp, </w:t>
      </w:r>
      <w:r w:rsidR="00B201C5" w:rsidRPr="00DE0879">
        <w:rPr>
          <w:b/>
          <w:color w:val="000000" w:themeColor="text1"/>
        </w:rPr>
        <w:t>218 EPP)</w:t>
      </w:r>
      <w:r w:rsidR="00B201C5" w:rsidRPr="00DE0879">
        <w:rPr>
          <w:b/>
          <w:i/>
          <w:color w:val="000000" w:themeColor="text1"/>
        </w:rPr>
        <w:t>;</w:t>
      </w:r>
    </w:p>
    <w:p w:rsidR="00591E69" w:rsidRPr="00DE0879" w:rsidRDefault="00591E69">
      <w:pPr>
        <w:widowControl/>
        <w:rPr>
          <w:rStyle w:val="BoldItalic"/>
          <w:color w:val="000000" w:themeColor="text1"/>
        </w:rPr>
      </w:pPr>
      <w:r w:rsidRPr="00DE0879">
        <w:rPr>
          <w:rStyle w:val="BoldItalic"/>
          <w:color w:val="000000" w:themeColor="text1"/>
        </w:rPr>
        <w:br w:type="page"/>
      </w:r>
    </w:p>
    <w:p w:rsidR="00591E69" w:rsidRPr="00DE0879" w:rsidRDefault="00591E69" w:rsidP="00591E69">
      <w:pPr>
        <w:pStyle w:val="Normal12a24b"/>
        <w:rPr>
          <w:i/>
          <w:iCs/>
          <w:color w:val="000000" w:themeColor="text1"/>
          <w:lang w:eastAsia="en-GB"/>
        </w:rPr>
      </w:pPr>
      <w:r w:rsidRPr="00DE0879">
        <w:rPr>
          <w:b/>
          <w:i/>
          <w:iCs/>
          <w:color w:val="000000" w:themeColor="text1"/>
          <w:lang w:eastAsia="en-GB"/>
        </w:rPr>
        <w:t>COMP G “</w:t>
      </w:r>
      <w:r w:rsidRPr="00DE0879">
        <w:rPr>
          <w:rStyle w:val="BoldItalic"/>
          <w:color w:val="000000" w:themeColor="text1"/>
        </w:rPr>
        <w:t>Cross-border taxation and labour mobility</w:t>
      </w:r>
      <w:r w:rsidRPr="00DE0879">
        <w:rPr>
          <w:b/>
          <w:i/>
          <w:iCs/>
          <w:color w:val="000000" w:themeColor="text1"/>
          <w:lang w:eastAsia="en-GB"/>
        </w:rPr>
        <w:t xml:space="preserve">” </w:t>
      </w:r>
      <w:r w:rsidRPr="00DE0879">
        <w:rPr>
          <w:i/>
          <w:iCs/>
          <w:color w:val="000000" w:themeColor="text1"/>
          <w:lang w:eastAsia="en-GB"/>
        </w:rPr>
        <w:t>(paragraph 19)</w:t>
      </w:r>
    </w:p>
    <w:p w:rsidR="00A7473B" w:rsidRPr="00DE0879" w:rsidRDefault="00A7473B" w:rsidP="00A7473B">
      <w:pPr>
        <w:pStyle w:val="Normal12a24b"/>
        <w:rPr>
          <w:i/>
          <w:iCs/>
          <w:color w:val="000000" w:themeColor="text1"/>
          <w:lang w:eastAsia="en-GB"/>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xml:space="preserve">- </w:t>
      </w:r>
      <w:r w:rsidR="00F3768C" w:rsidRPr="00DE0879">
        <w:rPr>
          <w:i/>
          <w:iCs/>
          <w:color w:val="000000" w:themeColor="text1"/>
          <w:lang w:eastAsia="en-GB"/>
        </w:rPr>
        <w:t>EPP, S&amp;D, PfE, ECR (?), Renew, Greens/EFA and The Left</w:t>
      </w:r>
    </w:p>
    <w:p w:rsidR="00591E69" w:rsidRPr="00DE0879" w:rsidRDefault="00591E69" w:rsidP="00591E69">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by the COMP: 221</w:t>
      </w:r>
      <w:r w:rsidR="00F65C12" w:rsidRPr="00DE0879">
        <w:rPr>
          <w:b w:val="0"/>
          <w:i/>
          <w:color w:val="000000" w:themeColor="text1"/>
        </w:rPr>
        <w:t>, 226</w:t>
      </w:r>
      <w:r w:rsidRPr="00DE0879">
        <w:rPr>
          <w:b w:val="0"/>
          <w:i/>
          <w:color w:val="000000" w:themeColor="text1"/>
        </w:rPr>
        <w:t xml:space="preserve"> Greens/EFA;</w:t>
      </w:r>
      <w:r w:rsidR="002416AB" w:rsidRPr="00DE0879">
        <w:rPr>
          <w:b w:val="0"/>
          <w:i/>
          <w:color w:val="000000" w:themeColor="text1"/>
        </w:rPr>
        <w:t xml:space="preserve"> 225, 231 S&amp;D,</w:t>
      </w:r>
      <w:r w:rsidR="00A1254D" w:rsidRPr="00DE0879">
        <w:rPr>
          <w:b w:val="0"/>
          <w:i/>
          <w:color w:val="000000" w:themeColor="text1"/>
        </w:rPr>
        <w:t xml:space="preserve"> </w:t>
      </w:r>
      <w:r w:rsidR="00C17B78" w:rsidRPr="00DE0879">
        <w:rPr>
          <w:b w:val="0"/>
          <w:i/>
          <w:color w:val="000000" w:themeColor="text1"/>
        </w:rPr>
        <w:t>224</w:t>
      </w:r>
      <w:r w:rsidR="00353711" w:rsidRPr="00DE0879">
        <w:rPr>
          <w:b w:val="0"/>
          <w:i/>
          <w:color w:val="000000" w:themeColor="text1"/>
        </w:rPr>
        <w:t>, 229</w:t>
      </w:r>
      <w:r w:rsidR="00C17B78" w:rsidRPr="00DE0879">
        <w:rPr>
          <w:b w:val="0"/>
          <w:i/>
          <w:color w:val="000000" w:themeColor="text1"/>
        </w:rPr>
        <w:t xml:space="preserve"> </w:t>
      </w:r>
      <w:r w:rsidRPr="00DE0879">
        <w:rPr>
          <w:b w:val="0"/>
          <w:i/>
          <w:color w:val="000000" w:themeColor="text1"/>
        </w:rPr>
        <w:t xml:space="preserve">Rapp. </w:t>
      </w:r>
    </w:p>
    <w:p w:rsidR="00591E69" w:rsidRPr="00DE0879" w:rsidRDefault="00591E69" w:rsidP="00591E69">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591E69" w:rsidRPr="00DE0879" w:rsidRDefault="00591E69" w:rsidP="00591E69">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 220</w:t>
      </w:r>
      <w:r w:rsidR="002416AB" w:rsidRPr="00DE0879">
        <w:rPr>
          <w:b w:val="0"/>
          <w:i/>
          <w:color w:val="000000" w:themeColor="text1"/>
        </w:rPr>
        <w:t xml:space="preserve"> NA</w:t>
      </w:r>
      <w:r w:rsidR="00353711" w:rsidRPr="00DE0879">
        <w:rPr>
          <w:b w:val="0"/>
          <w:i/>
          <w:color w:val="000000" w:themeColor="text1"/>
        </w:rPr>
        <w:t xml:space="preserve">, </w:t>
      </w:r>
      <w:r w:rsidR="00C17B78" w:rsidRPr="00DE0879">
        <w:rPr>
          <w:b w:val="0"/>
          <w:i/>
          <w:color w:val="000000" w:themeColor="text1"/>
        </w:rPr>
        <w:t xml:space="preserve">222 </w:t>
      </w:r>
      <w:r w:rsidRPr="00DE0879">
        <w:rPr>
          <w:b w:val="0"/>
          <w:i/>
          <w:color w:val="000000" w:themeColor="text1"/>
        </w:rPr>
        <w:t>PfE</w:t>
      </w:r>
      <w:r w:rsidR="00353711" w:rsidRPr="00DE0879">
        <w:rPr>
          <w:b w:val="0"/>
          <w:i/>
          <w:color w:val="000000" w:themeColor="text1"/>
        </w:rPr>
        <w:t xml:space="preserve">; </w:t>
      </w:r>
      <w:r w:rsidR="00A1254D" w:rsidRPr="00DE0879">
        <w:rPr>
          <w:b w:val="0"/>
          <w:i/>
          <w:color w:val="000000" w:themeColor="text1"/>
        </w:rPr>
        <w:t xml:space="preserve">228 EPP; </w:t>
      </w:r>
      <w:r w:rsidR="00353711" w:rsidRPr="00DE0879">
        <w:rPr>
          <w:b w:val="0"/>
          <w:i/>
          <w:color w:val="000000" w:themeColor="text1"/>
        </w:rPr>
        <w:t xml:space="preserve">230 </w:t>
      </w:r>
      <w:r w:rsidRPr="00DE0879">
        <w:rPr>
          <w:b w:val="0"/>
          <w:i/>
          <w:color w:val="000000" w:themeColor="text1"/>
        </w:rPr>
        <w:t xml:space="preserve">Greens/EFA; </w:t>
      </w:r>
      <w:r w:rsidR="00C17B78" w:rsidRPr="00DE0879">
        <w:rPr>
          <w:b w:val="0"/>
          <w:i/>
          <w:color w:val="000000" w:themeColor="text1"/>
        </w:rPr>
        <w:t>223</w:t>
      </w:r>
      <w:r w:rsidR="00353711" w:rsidRPr="00DE0879">
        <w:rPr>
          <w:b w:val="0"/>
          <w:i/>
          <w:color w:val="000000" w:themeColor="text1"/>
        </w:rPr>
        <w:t>,  232</w:t>
      </w:r>
      <w:r w:rsidR="00C17B78" w:rsidRPr="00DE0879">
        <w:rPr>
          <w:b w:val="0"/>
          <w:i/>
          <w:color w:val="000000" w:themeColor="text1"/>
        </w:rPr>
        <w:t xml:space="preserve"> </w:t>
      </w:r>
      <w:r w:rsidRPr="00DE0879">
        <w:rPr>
          <w:b w:val="0"/>
          <w:i/>
          <w:color w:val="000000" w:themeColor="text1"/>
        </w:rPr>
        <w:t xml:space="preserve">S&amp;D; </w:t>
      </w:r>
      <w:r w:rsidR="00F65C12" w:rsidRPr="00DE0879">
        <w:rPr>
          <w:b w:val="0"/>
          <w:i/>
          <w:color w:val="000000" w:themeColor="text1"/>
        </w:rPr>
        <w:t xml:space="preserve">227 </w:t>
      </w:r>
      <w:r w:rsidRPr="00DE0879">
        <w:rPr>
          <w:b w:val="0"/>
          <w:i/>
          <w:color w:val="000000" w:themeColor="text1"/>
        </w:rPr>
        <w:t>The Left</w:t>
      </w:r>
    </w:p>
    <w:p w:rsidR="00591E69" w:rsidRPr="00DE0879" w:rsidRDefault="00591E69" w:rsidP="00591E69">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AB14E7" w:rsidRPr="00DE0879" w:rsidRDefault="00D50A31" w:rsidP="00BC165B">
      <w:pPr>
        <w:pStyle w:val="Normal12a24b"/>
        <w:jc w:val="both"/>
        <w:rPr>
          <w:color w:val="000000" w:themeColor="text1"/>
        </w:rPr>
      </w:pPr>
      <w:r w:rsidRPr="00DE0879">
        <w:rPr>
          <w:rStyle w:val="BoldItalic"/>
          <w:color w:val="000000" w:themeColor="text1"/>
        </w:rPr>
        <w:t>Cross-border taxation and labour mobility</w:t>
      </w:r>
    </w:p>
    <w:p w:rsidR="00AB14E7" w:rsidRPr="00DE0879" w:rsidRDefault="00D50A31" w:rsidP="00BC165B">
      <w:pPr>
        <w:pStyle w:val="NormalHanging12a"/>
        <w:jc w:val="both"/>
        <w:rPr>
          <w:color w:val="000000" w:themeColor="text1"/>
        </w:rPr>
      </w:pPr>
      <w:r w:rsidRPr="00DE0879">
        <w:rPr>
          <w:color w:val="000000" w:themeColor="text1"/>
        </w:rPr>
        <w:t>19.</w:t>
      </w:r>
      <w:r w:rsidRPr="00DE0879">
        <w:rPr>
          <w:color w:val="000000" w:themeColor="text1"/>
        </w:rPr>
        <w:tab/>
        <w:t xml:space="preserve">Calls on the Commission to present a study </w:t>
      </w:r>
      <w:r w:rsidR="00F045D3" w:rsidRPr="00DE0879">
        <w:rPr>
          <w:b/>
          <w:i/>
          <w:color w:val="000000" w:themeColor="text1"/>
          <w:u w:val="single"/>
        </w:rPr>
        <w:t>and</w:t>
      </w:r>
      <w:r w:rsidR="00F912D4" w:rsidRPr="00DE0879">
        <w:rPr>
          <w:b/>
          <w:i/>
          <w:color w:val="000000" w:themeColor="text1"/>
          <w:u w:val="single"/>
        </w:rPr>
        <w:t>, if necessary,</w:t>
      </w:r>
      <w:r w:rsidR="00F045D3" w:rsidRPr="00DE0879">
        <w:rPr>
          <w:color w:val="000000" w:themeColor="text1"/>
        </w:rPr>
        <w:t xml:space="preserve"> </w:t>
      </w:r>
      <w:r w:rsidR="00F045D3" w:rsidRPr="00DE0879">
        <w:rPr>
          <w:b/>
          <w:i/>
          <w:color w:val="000000" w:themeColor="text1"/>
        </w:rPr>
        <w:t xml:space="preserve">a package of measures </w:t>
      </w:r>
      <w:r w:rsidRPr="00DE0879">
        <w:rPr>
          <w:color w:val="000000" w:themeColor="text1"/>
        </w:rPr>
        <w:t>on how to simplify tax rules and address tax fragmentation for cross-border workers and the self-employed to boost competitiveness</w:t>
      </w:r>
      <w:r w:rsidR="00F045D3" w:rsidRPr="00DE0879">
        <w:rPr>
          <w:color w:val="000000" w:themeColor="text1"/>
        </w:rPr>
        <w:t xml:space="preserve"> </w:t>
      </w:r>
      <w:r w:rsidR="00F045D3" w:rsidRPr="00DE0879">
        <w:rPr>
          <w:b/>
          <w:i/>
          <w:color w:val="000000" w:themeColor="text1"/>
        </w:rPr>
        <w:t>by deepening the internal market and to protect tax revenues by creating a level playing field</w:t>
      </w:r>
      <w:r w:rsidRPr="00DE0879">
        <w:rPr>
          <w:color w:val="000000" w:themeColor="text1"/>
        </w:rPr>
        <w:t>; notes that divergent national tax systems create</w:t>
      </w:r>
      <w:r w:rsidR="00F045D3" w:rsidRPr="00DE0879">
        <w:rPr>
          <w:color w:val="000000" w:themeColor="text1"/>
        </w:rPr>
        <w:t xml:space="preserve"> </w:t>
      </w:r>
      <w:r w:rsidR="00F045D3" w:rsidRPr="00DE0879">
        <w:rPr>
          <w:b/>
          <w:i/>
          <w:color w:val="000000" w:themeColor="text1"/>
        </w:rPr>
        <w:t>significant hurdles,</w:t>
      </w:r>
      <w:r w:rsidRPr="00DE0879">
        <w:rPr>
          <w:color w:val="000000" w:themeColor="text1"/>
        </w:rPr>
        <w:t xml:space="preserve"> administrative burdens, legal uncertainty and double taxation, hindering labour mobility and cross-border entrepreneurship</w:t>
      </w:r>
      <w:r w:rsidR="00BC165B" w:rsidRPr="00DE0879">
        <w:rPr>
          <w:color w:val="000000" w:themeColor="text1"/>
        </w:rPr>
        <w:t xml:space="preserve"> </w:t>
      </w:r>
      <w:r w:rsidR="00BC165B" w:rsidRPr="00DE0879">
        <w:rPr>
          <w:b/>
          <w:color w:val="000000" w:themeColor="text1"/>
        </w:rPr>
        <w:t>(AM 221 Greens/EFA)</w:t>
      </w:r>
      <w:r w:rsidRPr="00DE0879">
        <w:rPr>
          <w:color w:val="000000" w:themeColor="text1"/>
        </w:rPr>
        <w:t>;</w:t>
      </w:r>
    </w:p>
    <w:p w:rsidR="00F3768C" w:rsidRPr="00DE0879" w:rsidRDefault="00872C2B" w:rsidP="00F3768C">
      <w:pPr>
        <w:pStyle w:val="NormalHanging12a"/>
        <w:jc w:val="both"/>
        <w:rPr>
          <w:b/>
          <w:i/>
          <w:color w:val="000000" w:themeColor="text1"/>
        </w:rPr>
      </w:pPr>
      <w:r w:rsidRPr="00DE0879">
        <w:rPr>
          <w:b/>
          <w:i/>
          <w:color w:val="000000" w:themeColor="text1"/>
        </w:rPr>
        <w:t xml:space="preserve">19a (new) </w:t>
      </w:r>
      <w:r w:rsidR="00C17B78" w:rsidRPr="00DE0879">
        <w:rPr>
          <w:b/>
          <w:i/>
          <w:color w:val="000000" w:themeColor="text1"/>
        </w:rPr>
        <w:t>Notes that the mobility of individuals across borders is increasing at an unprecedented rate and such high-level of global mobility has a substantial impact on tax systems; stresses that such mobility and its impact on tax systems must be carefully considered in policy-making whilst not discouraging mobility and employment opportunities in the EU; in this respect,</w:t>
      </w:r>
      <w:r w:rsidR="00E317F5" w:rsidRPr="00DE0879">
        <w:rPr>
          <w:b/>
          <w:i/>
          <w:color w:val="000000" w:themeColor="text1"/>
        </w:rPr>
        <w:t xml:space="preserve"> </w:t>
      </w:r>
      <w:r w:rsidR="0079704E" w:rsidRPr="00DE0879">
        <w:rPr>
          <w:b/>
          <w:i/>
          <w:color w:val="000000" w:themeColor="text1"/>
        </w:rPr>
        <w:t>notes that Member States use tax incentives to foster labour mobility and cross border entrepreneurship</w:t>
      </w:r>
      <w:r w:rsidR="00E1549C" w:rsidRPr="00DE0879">
        <w:rPr>
          <w:b/>
          <w:i/>
          <w:color w:val="000000" w:themeColor="text1"/>
        </w:rPr>
        <w:t>,</w:t>
      </w:r>
      <w:r w:rsidR="00AA3AEB" w:rsidRPr="00DE0879">
        <w:rPr>
          <w:b/>
          <w:i/>
          <w:color w:val="000000" w:themeColor="text1"/>
        </w:rPr>
        <w:t xml:space="preserve"> however, stresses that Member States must also prevent</w:t>
      </w:r>
      <w:r w:rsidR="00C17B78" w:rsidRPr="00DE0879">
        <w:rPr>
          <w:b/>
          <w:i/>
          <w:color w:val="000000" w:themeColor="text1"/>
        </w:rPr>
        <w:t xml:space="preserve"> </w:t>
      </w:r>
      <w:r w:rsidR="00F65C12" w:rsidRPr="00DE0879">
        <w:rPr>
          <w:b/>
          <w:i/>
          <w:color w:val="000000" w:themeColor="text1"/>
        </w:rPr>
        <w:t>harmful tax practices attracting individual taxpayers</w:t>
      </w:r>
      <w:r w:rsidR="000C3605" w:rsidRPr="00DE0879">
        <w:rPr>
          <w:b/>
          <w:i/>
          <w:color w:val="000000" w:themeColor="text1"/>
        </w:rPr>
        <w:t xml:space="preserve"> </w:t>
      </w:r>
      <w:r w:rsidR="000C3605" w:rsidRPr="00DE0879">
        <w:rPr>
          <w:b/>
          <w:i/>
          <w:color w:val="000000" w:themeColor="text1"/>
          <w:u w:val="single"/>
        </w:rPr>
        <w:t>and</w:t>
      </w:r>
      <w:r w:rsidR="000C3605" w:rsidRPr="00DE0879">
        <w:rPr>
          <w:color w:val="000000" w:themeColor="text1"/>
          <w:u w:val="single"/>
        </w:rPr>
        <w:t xml:space="preserve"> </w:t>
      </w:r>
      <w:r w:rsidR="006F78ED" w:rsidRPr="00DE0879">
        <w:rPr>
          <w:b/>
          <w:i/>
          <w:color w:val="000000" w:themeColor="text1"/>
          <w:u w:val="single"/>
        </w:rPr>
        <w:t xml:space="preserve">the distortion of </w:t>
      </w:r>
      <w:r w:rsidR="000C3605" w:rsidRPr="00DE0879">
        <w:rPr>
          <w:b/>
          <w:i/>
          <w:color w:val="000000" w:themeColor="text1"/>
          <w:u w:val="single"/>
        </w:rPr>
        <w:t xml:space="preserve"> competition</w:t>
      </w:r>
      <w:r w:rsidR="00F912D4" w:rsidRPr="00DE0879">
        <w:rPr>
          <w:b/>
          <w:i/>
          <w:color w:val="000000" w:themeColor="text1"/>
          <w:u w:val="single"/>
        </w:rPr>
        <w:t xml:space="preserve"> by having clear caveats and safeguards</w:t>
      </w:r>
      <w:r w:rsidR="00F65C12" w:rsidRPr="00DE0879">
        <w:rPr>
          <w:b/>
          <w:i/>
          <w:color w:val="000000" w:themeColor="text1"/>
        </w:rPr>
        <w:t xml:space="preserve"> </w:t>
      </w:r>
      <w:r w:rsidR="00F65C12" w:rsidRPr="00DE0879">
        <w:rPr>
          <w:b/>
          <w:color w:val="000000" w:themeColor="text1"/>
        </w:rPr>
        <w:t>(AM</w:t>
      </w:r>
      <w:r w:rsidR="00BC165B" w:rsidRPr="00DE0879">
        <w:rPr>
          <w:b/>
          <w:color w:val="000000" w:themeColor="text1"/>
        </w:rPr>
        <w:t xml:space="preserve">s 224 Rapp, </w:t>
      </w:r>
      <w:r w:rsidR="00F65C12" w:rsidRPr="00DE0879">
        <w:rPr>
          <w:b/>
          <w:color w:val="000000" w:themeColor="text1"/>
        </w:rPr>
        <w:t>226 Greens/EFA</w:t>
      </w:r>
      <w:r w:rsidR="000C3605" w:rsidRPr="00DE0879">
        <w:rPr>
          <w:b/>
          <w:color w:val="000000" w:themeColor="text1"/>
        </w:rPr>
        <w:t>, AM 225 S&amp;D</w:t>
      </w:r>
      <w:r w:rsidR="00F65C12" w:rsidRPr="00DE0879">
        <w:rPr>
          <w:b/>
          <w:color w:val="000000" w:themeColor="text1"/>
        </w:rPr>
        <w:t>)</w:t>
      </w:r>
      <w:r w:rsidR="00F65C12" w:rsidRPr="00DE0879">
        <w:rPr>
          <w:b/>
          <w:i/>
          <w:color w:val="000000" w:themeColor="text1"/>
        </w:rPr>
        <w:t>;</w:t>
      </w:r>
    </w:p>
    <w:p w:rsidR="004D01BB" w:rsidRPr="00DE0879" w:rsidRDefault="004D01BB" w:rsidP="00F3768C">
      <w:pPr>
        <w:pStyle w:val="NormalHanging12a"/>
        <w:jc w:val="both"/>
        <w:rPr>
          <w:b/>
          <w:i/>
          <w:color w:val="000000" w:themeColor="text1"/>
        </w:rPr>
      </w:pPr>
      <w:r w:rsidRPr="00DE0879">
        <w:rPr>
          <w:b/>
          <w:i/>
          <w:color w:val="000000" w:themeColor="text1"/>
        </w:rPr>
        <w:t xml:space="preserve">19aa (new) </w:t>
      </w:r>
      <w:r w:rsidR="00F941BE" w:rsidRPr="00DE0879">
        <w:rPr>
          <w:b/>
          <w:i/>
          <w:color w:val="000000" w:themeColor="text1"/>
        </w:rPr>
        <w:t>Acknowledges</w:t>
      </w:r>
      <w:r w:rsidRPr="00DE0879">
        <w:rPr>
          <w:b/>
          <w:i/>
          <w:color w:val="000000" w:themeColor="text1"/>
        </w:rPr>
        <w:t xml:space="preserve"> the increasing cross-border mobility of highly skilled workers and </w:t>
      </w:r>
      <w:r w:rsidR="00536671" w:rsidRPr="00DE0879">
        <w:rPr>
          <w:b/>
          <w:i/>
          <w:color w:val="000000" w:themeColor="text1"/>
        </w:rPr>
        <w:t>other</w:t>
      </w:r>
      <w:r w:rsidRPr="00DE0879">
        <w:rPr>
          <w:b/>
          <w:i/>
          <w:color w:val="000000" w:themeColor="text1"/>
        </w:rPr>
        <w:t xml:space="preserve"> individuals</w:t>
      </w:r>
      <w:r w:rsidR="00536671" w:rsidRPr="00DE0879">
        <w:rPr>
          <w:b/>
          <w:i/>
          <w:color w:val="000000" w:themeColor="text1"/>
        </w:rPr>
        <w:t xml:space="preserve"> </w:t>
      </w:r>
      <w:r w:rsidRPr="00DE0879">
        <w:rPr>
          <w:b/>
          <w:i/>
          <w:color w:val="000000" w:themeColor="text1"/>
        </w:rPr>
        <w:t xml:space="preserve">driven by </w:t>
      </w:r>
      <w:r w:rsidR="00536671" w:rsidRPr="00DE0879">
        <w:rPr>
          <w:b/>
          <w:i/>
          <w:color w:val="000000" w:themeColor="text1"/>
        </w:rPr>
        <w:t xml:space="preserve">freedom of movement and </w:t>
      </w:r>
      <w:r w:rsidRPr="00DE0879">
        <w:rPr>
          <w:b/>
          <w:i/>
          <w:color w:val="000000" w:themeColor="text1"/>
        </w:rPr>
        <w:t>preferential</w:t>
      </w:r>
      <w:r w:rsidR="00536671" w:rsidRPr="00DE0879">
        <w:rPr>
          <w:b/>
          <w:i/>
          <w:color w:val="000000" w:themeColor="text1"/>
        </w:rPr>
        <w:t xml:space="preserve">  </w:t>
      </w:r>
      <w:r w:rsidRPr="00DE0879">
        <w:rPr>
          <w:b/>
          <w:i/>
          <w:color w:val="000000" w:themeColor="text1"/>
        </w:rPr>
        <w:t xml:space="preserve">tax regimes in some Member States; </w:t>
      </w:r>
      <w:r w:rsidR="00536671" w:rsidRPr="00DE0879">
        <w:rPr>
          <w:b/>
          <w:i/>
          <w:color w:val="000000" w:themeColor="text1"/>
        </w:rPr>
        <w:t xml:space="preserve">underlines the importance </w:t>
      </w:r>
      <w:r w:rsidR="00F941BE" w:rsidRPr="00DE0879">
        <w:rPr>
          <w:b/>
          <w:i/>
          <w:color w:val="000000" w:themeColor="text1"/>
        </w:rPr>
        <w:t xml:space="preserve">of ensuring that tax </w:t>
      </w:r>
      <w:r w:rsidR="00536671" w:rsidRPr="00DE0879">
        <w:rPr>
          <w:b/>
          <w:i/>
          <w:color w:val="000000" w:themeColor="text1"/>
        </w:rPr>
        <w:t xml:space="preserve">policy in the internal market </w:t>
      </w:r>
      <w:r w:rsidR="00F941BE" w:rsidRPr="00DE0879">
        <w:rPr>
          <w:b/>
          <w:i/>
          <w:color w:val="000000" w:themeColor="text1"/>
        </w:rPr>
        <w:t>remains fair, transparent, and compatible with the sustainability of public finances across the Union</w:t>
      </w:r>
      <w:r w:rsidR="00F3768C" w:rsidRPr="00DE0879">
        <w:rPr>
          <w:b/>
          <w:i/>
          <w:color w:val="000000" w:themeColor="text1"/>
        </w:rPr>
        <w:t xml:space="preserve"> </w:t>
      </w:r>
      <w:r w:rsidR="002416AB" w:rsidRPr="00DE0879">
        <w:rPr>
          <w:b/>
          <w:bCs/>
          <w:i/>
          <w:iCs/>
          <w:color w:val="000000" w:themeColor="text1"/>
        </w:rPr>
        <w:t xml:space="preserve">(AMs 225, </w:t>
      </w:r>
      <w:r w:rsidR="00F3768C" w:rsidRPr="00DE0879">
        <w:rPr>
          <w:b/>
          <w:bCs/>
          <w:i/>
          <w:iCs/>
          <w:color w:val="000000" w:themeColor="text1"/>
        </w:rPr>
        <w:t>231 S&amp;D)</w:t>
      </w:r>
      <w:r w:rsidR="00F941BE" w:rsidRPr="00DE0879">
        <w:rPr>
          <w:b/>
          <w:i/>
          <w:color w:val="000000" w:themeColor="text1"/>
        </w:rPr>
        <w:t>;</w:t>
      </w:r>
      <w:r w:rsidR="00536671" w:rsidRPr="00DE0879">
        <w:rPr>
          <w:b/>
          <w:i/>
          <w:color w:val="000000" w:themeColor="text1"/>
        </w:rPr>
        <w:t xml:space="preserve"> </w:t>
      </w:r>
      <w:r w:rsidR="00536671" w:rsidRPr="00DE0879">
        <w:rPr>
          <w:b/>
          <w:bCs/>
          <w:i/>
          <w:iCs/>
          <w:color w:val="000000" w:themeColor="text1"/>
        </w:rPr>
        <w:t>reiterates its call on the Council to revise the mandate of the Code of Conduct Group on Business Taxation;</w:t>
      </w:r>
      <w:r w:rsidR="00536671" w:rsidRPr="00DE0879">
        <w:rPr>
          <w:b/>
          <w:i/>
          <w:color w:val="000000" w:themeColor="text1"/>
        </w:rPr>
        <w:t>.</w:t>
      </w:r>
    </w:p>
    <w:p w:rsidR="00353711" w:rsidRPr="00DE0879" w:rsidRDefault="00872C2B" w:rsidP="00BC165B">
      <w:pPr>
        <w:pStyle w:val="NormalHanging12a"/>
        <w:jc w:val="both"/>
        <w:rPr>
          <w:b/>
          <w:i/>
          <w:color w:val="000000" w:themeColor="text1"/>
        </w:rPr>
      </w:pPr>
      <w:r w:rsidRPr="00DE0879">
        <w:rPr>
          <w:b/>
          <w:i/>
          <w:color w:val="000000" w:themeColor="text1"/>
        </w:rPr>
        <w:t>19</w:t>
      </w:r>
      <w:r w:rsidR="00353711" w:rsidRPr="00DE0879">
        <w:rPr>
          <w:b/>
          <w:i/>
          <w:color w:val="000000" w:themeColor="text1"/>
        </w:rPr>
        <w:t>b</w:t>
      </w:r>
      <w:r w:rsidRPr="00DE0879">
        <w:rPr>
          <w:b/>
          <w:i/>
          <w:color w:val="000000" w:themeColor="text1"/>
        </w:rPr>
        <w:t xml:space="preserve"> (new) </w:t>
      </w:r>
      <w:r w:rsidR="00353711" w:rsidRPr="00DE0879">
        <w:rPr>
          <w:b/>
          <w:i/>
          <w:color w:val="000000" w:themeColor="text1"/>
        </w:rPr>
        <w:t xml:space="preserve">Recalls that tax implications arise from the risk of a taxable presence, or permanent establishment, when cross-border workers engage in activities like business trips or teleworking; notes that a safe harbour rule for teleworking </w:t>
      </w:r>
      <w:r w:rsidR="003C3E95" w:rsidRPr="00DE0879">
        <w:rPr>
          <w:b/>
          <w:i/>
          <w:color w:val="000000" w:themeColor="text1"/>
        </w:rPr>
        <w:t xml:space="preserve">coordinated between the Member States </w:t>
      </w:r>
      <w:r w:rsidR="00353711" w:rsidRPr="00DE0879">
        <w:rPr>
          <w:b/>
          <w:i/>
          <w:color w:val="000000" w:themeColor="text1"/>
        </w:rPr>
        <w:t xml:space="preserve">could provide tax certainty for employers and reduce administrative burdens, simplifying individual taxation </w:t>
      </w:r>
      <w:r w:rsidR="00353711" w:rsidRPr="00DE0879">
        <w:rPr>
          <w:b/>
          <w:color w:val="000000" w:themeColor="text1"/>
        </w:rPr>
        <w:t>(AM 229 Rapp)</w:t>
      </w:r>
      <w:r w:rsidR="00353711" w:rsidRPr="00DE0879">
        <w:rPr>
          <w:b/>
          <w:i/>
          <w:color w:val="000000" w:themeColor="text1"/>
        </w:rPr>
        <w:t>;</w:t>
      </w:r>
    </w:p>
    <w:p w:rsidR="00353711" w:rsidRPr="00DE0879" w:rsidRDefault="00353711" w:rsidP="00BC165B">
      <w:pPr>
        <w:widowControl/>
        <w:jc w:val="both"/>
        <w:rPr>
          <w:rStyle w:val="BoldItalic"/>
          <w:color w:val="000000" w:themeColor="text1"/>
        </w:rPr>
      </w:pPr>
      <w:r w:rsidRPr="00DE0879">
        <w:rPr>
          <w:rStyle w:val="BoldItalic"/>
          <w:color w:val="000000" w:themeColor="text1"/>
        </w:rPr>
        <w:br w:type="page"/>
      </w:r>
    </w:p>
    <w:p w:rsidR="00353711" w:rsidRPr="00DE0879" w:rsidRDefault="00353711" w:rsidP="00353711">
      <w:pPr>
        <w:pStyle w:val="Normal12a24b"/>
        <w:rPr>
          <w:i/>
          <w:iCs/>
          <w:color w:val="000000" w:themeColor="text1"/>
          <w:lang w:eastAsia="en-GB"/>
        </w:rPr>
      </w:pPr>
      <w:r w:rsidRPr="00DE0879">
        <w:rPr>
          <w:b/>
          <w:i/>
          <w:iCs/>
          <w:color w:val="000000" w:themeColor="text1"/>
          <w:lang w:eastAsia="en-GB"/>
        </w:rPr>
        <w:t>COMP H “</w:t>
      </w:r>
      <w:r w:rsidRPr="00DE0879">
        <w:rPr>
          <w:rStyle w:val="BoldItalic"/>
          <w:color w:val="000000" w:themeColor="text1"/>
        </w:rPr>
        <w:t>Taxation and innovation</w:t>
      </w:r>
      <w:r w:rsidRPr="00DE0879">
        <w:rPr>
          <w:b/>
          <w:i/>
          <w:iCs/>
          <w:color w:val="000000" w:themeColor="text1"/>
          <w:lang w:eastAsia="en-GB"/>
        </w:rPr>
        <w:t xml:space="preserve">” </w:t>
      </w:r>
      <w:r w:rsidRPr="00DE0879">
        <w:rPr>
          <w:i/>
          <w:iCs/>
          <w:color w:val="000000" w:themeColor="text1"/>
          <w:lang w:eastAsia="en-GB"/>
        </w:rPr>
        <w:t>(paragraphs 20 and 21)</w:t>
      </w:r>
    </w:p>
    <w:p w:rsidR="00A7473B" w:rsidRPr="00DE0879" w:rsidRDefault="00A7473B" w:rsidP="00A7473B">
      <w:pPr>
        <w:pStyle w:val="Normal12a24b"/>
        <w:rPr>
          <w:i/>
          <w:iCs/>
          <w:color w:val="000000" w:themeColor="text1"/>
          <w:lang w:eastAsia="en-GB"/>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EPP, S&amp;D, PfE, ECR (?), Renew, Greens/EFA and The Left</w:t>
      </w:r>
    </w:p>
    <w:p w:rsidR="00353711" w:rsidRPr="00DE0879" w:rsidRDefault="00353711" w:rsidP="00353711">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 xml:space="preserve">by the COMP: </w:t>
      </w:r>
      <w:r w:rsidR="00D84101" w:rsidRPr="00DE0879">
        <w:rPr>
          <w:b w:val="0"/>
          <w:i/>
          <w:color w:val="000000" w:themeColor="text1"/>
        </w:rPr>
        <w:t>233, 234</w:t>
      </w:r>
      <w:r w:rsidR="009C52A9" w:rsidRPr="00DE0879">
        <w:rPr>
          <w:b w:val="0"/>
          <w:i/>
          <w:color w:val="000000" w:themeColor="text1"/>
        </w:rPr>
        <w:t>, 237</w:t>
      </w:r>
      <w:r w:rsidR="00D84101" w:rsidRPr="00DE0879">
        <w:rPr>
          <w:b w:val="0"/>
          <w:i/>
          <w:color w:val="000000" w:themeColor="text1"/>
        </w:rPr>
        <w:t xml:space="preserve"> </w:t>
      </w:r>
      <w:r w:rsidRPr="00DE0879">
        <w:rPr>
          <w:b w:val="0"/>
          <w:i/>
          <w:color w:val="000000" w:themeColor="text1"/>
        </w:rPr>
        <w:t xml:space="preserve">S&amp;D; </w:t>
      </w:r>
      <w:r w:rsidR="009C52A9" w:rsidRPr="00DE0879">
        <w:rPr>
          <w:b w:val="0"/>
          <w:i/>
          <w:color w:val="000000" w:themeColor="text1"/>
        </w:rPr>
        <w:t xml:space="preserve">238 EPP; 239 Renew; </w:t>
      </w:r>
      <w:r w:rsidR="00D84101" w:rsidRPr="00DE0879">
        <w:rPr>
          <w:b w:val="0"/>
          <w:i/>
          <w:color w:val="000000" w:themeColor="text1"/>
        </w:rPr>
        <w:t>240</w:t>
      </w:r>
      <w:r w:rsidR="001B468B" w:rsidRPr="00DE0879">
        <w:rPr>
          <w:b w:val="0"/>
          <w:i/>
          <w:color w:val="000000" w:themeColor="text1"/>
        </w:rPr>
        <w:t>, 243</w:t>
      </w:r>
      <w:r w:rsidR="00D84101" w:rsidRPr="00DE0879">
        <w:rPr>
          <w:b w:val="0"/>
          <w:i/>
          <w:color w:val="000000" w:themeColor="text1"/>
        </w:rPr>
        <w:t xml:space="preserve"> </w:t>
      </w:r>
      <w:r w:rsidRPr="00DE0879">
        <w:rPr>
          <w:b w:val="0"/>
          <w:i/>
          <w:color w:val="000000" w:themeColor="text1"/>
        </w:rPr>
        <w:t xml:space="preserve">Rapp. </w:t>
      </w:r>
    </w:p>
    <w:p w:rsidR="00353711" w:rsidRPr="00DE0879" w:rsidRDefault="00353711" w:rsidP="00353711">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353711" w:rsidRPr="00DE0879" w:rsidRDefault="00353711" w:rsidP="00353711">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w:t>
      </w:r>
      <w:r w:rsidR="00C52887" w:rsidRPr="00DE0879">
        <w:rPr>
          <w:b w:val="0"/>
          <w:i/>
          <w:color w:val="000000" w:themeColor="text1"/>
        </w:rPr>
        <w:t>:</w:t>
      </w:r>
      <w:r w:rsidRPr="00DE0879">
        <w:rPr>
          <w:b w:val="0"/>
          <w:i/>
          <w:color w:val="000000" w:themeColor="text1"/>
        </w:rPr>
        <w:t xml:space="preserve"> </w:t>
      </w:r>
      <w:r w:rsidR="00D84101" w:rsidRPr="00DE0879">
        <w:rPr>
          <w:b w:val="0"/>
          <w:i/>
          <w:color w:val="000000" w:themeColor="text1"/>
        </w:rPr>
        <w:t xml:space="preserve">235 </w:t>
      </w:r>
      <w:r w:rsidR="002416AB" w:rsidRPr="00DE0879">
        <w:rPr>
          <w:b w:val="0"/>
          <w:i/>
          <w:color w:val="000000" w:themeColor="text1"/>
        </w:rPr>
        <w:t>NA,</w:t>
      </w:r>
      <w:r w:rsidRPr="00DE0879">
        <w:rPr>
          <w:b w:val="0"/>
          <w:i/>
          <w:color w:val="000000" w:themeColor="text1"/>
        </w:rPr>
        <w:t xml:space="preserve"> PfE; </w:t>
      </w:r>
      <w:r w:rsidR="001B468B" w:rsidRPr="00DE0879">
        <w:rPr>
          <w:b w:val="0"/>
          <w:i/>
          <w:color w:val="000000" w:themeColor="text1"/>
        </w:rPr>
        <w:t xml:space="preserve">244 </w:t>
      </w:r>
      <w:r w:rsidRPr="00DE0879">
        <w:rPr>
          <w:b w:val="0"/>
          <w:i/>
          <w:color w:val="000000" w:themeColor="text1"/>
        </w:rPr>
        <w:t>Greens/EFA;</w:t>
      </w:r>
    </w:p>
    <w:p w:rsidR="00AB14E7" w:rsidRPr="00DE0879" w:rsidRDefault="00D50A31">
      <w:pPr>
        <w:pStyle w:val="Normal12a24b"/>
        <w:rPr>
          <w:color w:val="000000" w:themeColor="text1"/>
        </w:rPr>
      </w:pPr>
      <w:r w:rsidRPr="00DE0879">
        <w:rPr>
          <w:rStyle w:val="BoldItalic"/>
          <w:color w:val="000000" w:themeColor="text1"/>
        </w:rPr>
        <w:t>Taxation and innovation</w:t>
      </w:r>
    </w:p>
    <w:p w:rsidR="00D84101" w:rsidRPr="00DE0879" w:rsidRDefault="00D84101" w:rsidP="00BC165B">
      <w:pPr>
        <w:pStyle w:val="NormalHanging12a"/>
        <w:jc w:val="both"/>
        <w:rPr>
          <w:color w:val="000000" w:themeColor="text1"/>
        </w:rPr>
      </w:pPr>
      <w:r w:rsidRPr="00DE0879">
        <w:rPr>
          <w:b/>
          <w:i/>
          <w:color w:val="000000" w:themeColor="text1"/>
        </w:rPr>
        <w:t xml:space="preserve">-20.  </w:t>
      </w:r>
      <w:r w:rsidRPr="00DE0879">
        <w:rPr>
          <w:b/>
          <w:i/>
          <w:color w:val="000000" w:themeColor="text1"/>
        </w:rPr>
        <w:tab/>
        <w:t xml:space="preserve">Highlights that innovation is a key driver of economic growth, global </w:t>
      </w:r>
      <w:r w:rsidR="00BC165B" w:rsidRPr="00DE0879">
        <w:rPr>
          <w:b/>
          <w:i/>
          <w:color w:val="000000" w:themeColor="text1"/>
        </w:rPr>
        <w:t>competitiveness, welfare,</w:t>
      </w:r>
      <w:r w:rsidRPr="00DE0879">
        <w:rPr>
          <w:b/>
          <w:i/>
          <w:color w:val="000000" w:themeColor="text1"/>
        </w:rPr>
        <w:t xml:space="preserve"> </w:t>
      </w:r>
      <w:r w:rsidRPr="00DE0879">
        <w:rPr>
          <w:b/>
          <w:i/>
          <w:color w:val="000000" w:themeColor="text1"/>
          <w:u w:val="single"/>
        </w:rPr>
        <w:t>and</w:t>
      </w:r>
      <w:r w:rsidRPr="00DE0879">
        <w:rPr>
          <w:b/>
          <w:i/>
          <w:color w:val="000000" w:themeColor="text1"/>
        </w:rPr>
        <w:t xml:space="preserve"> that according to the OECD, tax incentives are a widely used and economically significant innovation support policy instrument. Takes the view that governments should ensure that R&amp;D tax incentive schemes provide value for money, through regular evaluation,</w:t>
      </w:r>
      <w:r w:rsidR="0098399E" w:rsidRPr="00DE0879">
        <w:rPr>
          <w:b/>
          <w:i/>
          <w:color w:val="000000" w:themeColor="text1"/>
        </w:rPr>
        <w:t xml:space="preserve"> </w:t>
      </w:r>
      <w:r w:rsidR="0098399E" w:rsidRPr="00DE0879">
        <w:rPr>
          <w:b/>
          <w:i/>
          <w:strike/>
          <w:color w:val="000000" w:themeColor="text1"/>
        </w:rPr>
        <w:t>maintaining flexibility for Member States;</w:t>
      </w:r>
      <w:r w:rsidRPr="00DE0879">
        <w:rPr>
          <w:b/>
          <w:i/>
          <w:color w:val="000000" w:themeColor="text1"/>
        </w:rPr>
        <w:t xml:space="preserve">; </w:t>
      </w:r>
      <w:r w:rsidR="000C3605" w:rsidRPr="00DE0879">
        <w:rPr>
          <w:b/>
          <w:i/>
          <w:color w:val="000000" w:themeColor="text1"/>
        </w:rPr>
        <w:t xml:space="preserve">and adopting </w:t>
      </w:r>
      <w:r w:rsidRPr="00DE0879">
        <w:rPr>
          <w:b/>
          <w:i/>
          <w:color w:val="000000" w:themeColor="text1"/>
        </w:rPr>
        <w:t>targeted incentives that drive investment, growth and enhance European competitiveness on the global stage in line with the proposals of the Draghi report</w:t>
      </w:r>
      <w:r w:rsidR="00BC165B" w:rsidRPr="00DE0879">
        <w:rPr>
          <w:b/>
          <w:i/>
          <w:color w:val="000000" w:themeColor="text1"/>
        </w:rPr>
        <w:t xml:space="preserve"> (</w:t>
      </w:r>
      <w:r w:rsidR="00BC165B" w:rsidRPr="00DE0879">
        <w:rPr>
          <w:b/>
          <w:color w:val="000000" w:themeColor="text1"/>
        </w:rPr>
        <w:t>AM 233, 234 S&amp;D, 240 Rapp)</w:t>
      </w:r>
      <w:r w:rsidRPr="00DE0879">
        <w:rPr>
          <w:b/>
          <w:i/>
          <w:color w:val="000000" w:themeColor="text1"/>
        </w:rPr>
        <w:t>;</w:t>
      </w:r>
    </w:p>
    <w:p w:rsidR="00AB14E7" w:rsidRPr="00DE0879" w:rsidRDefault="00D50A31" w:rsidP="00BC165B">
      <w:pPr>
        <w:pStyle w:val="NormalHanging12a"/>
        <w:jc w:val="both"/>
        <w:rPr>
          <w:color w:val="000000" w:themeColor="text1"/>
        </w:rPr>
      </w:pPr>
      <w:r w:rsidRPr="00DE0879">
        <w:rPr>
          <w:color w:val="000000" w:themeColor="text1"/>
        </w:rPr>
        <w:t>20.</w:t>
      </w:r>
      <w:r w:rsidRPr="00DE0879">
        <w:rPr>
          <w:color w:val="000000" w:themeColor="text1"/>
        </w:rPr>
        <w:tab/>
        <w:t xml:space="preserve">Calls on the Commission to conduct further studies on </w:t>
      </w:r>
      <w:r w:rsidR="00407912" w:rsidRPr="00DE0879">
        <w:rPr>
          <w:color w:val="000000" w:themeColor="text1"/>
        </w:rPr>
        <w:t>the</w:t>
      </w:r>
      <w:r w:rsidR="009C52A9" w:rsidRPr="00DE0879">
        <w:rPr>
          <w:b/>
          <w:i/>
          <w:color w:val="000000" w:themeColor="text1"/>
        </w:rPr>
        <w:t xml:space="preserve"> cost-effectiveness of the different kinds </w:t>
      </w:r>
      <w:r w:rsidRPr="00DE0879">
        <w:rPr>
          <w:color w:val="000000" w:themeColor="text1"/>
        </w:rPr>
        <w:t>of tax incentives for research and development (R&amp;D) and innovation in enhancing European competitiveness on the global stage in line with the proposals of the Draghi report</w:t>
      </w:r>
      <w:r w:rsidR="00D84101" w:rsidRPr="00DE0879">
        <w:rPr>
          <w:color w:val="000000" w:themeColor="text1"/>
        </w:rPr>
        <w:t xml:space="preserve"> </w:t>
      </w:r>
      <w:r w:rsidR="00D84101" w:rsidRPr="00DE0879">
        <w:rPr>
          <w:b/>
          <w:i/>
          <w:color w:val="000000" w:themeColor="text1"/>
          <w:u w:val="single"/>
        </w:rPr>
        <w:t>ensuring that</w:t>
      </w:r>
      <w:r w:rsidR="00D84101" w:rsidRPr="00DE0879">
        <w:rPr>
          <w:color w:val="000000" w:themeColor="text1"/>
        </w:rPr>
        <w:t xml:space="preserve"> </w:t>
      </w:r>
      <w:r w:rsidR="00D84101" w:rsidRPr="00DE0879">
        <w:rPr>
          <w:b/>
          <w:i/>
          <w:color w:val="000000" w:themeColor="text1"/>
        </w:rPr>
        <w:t xml:space="preserve">incentives are well-designed to achieve set policy objectives without eroding tax revenues </w:t>
      </w:r>
      <w:r w:rsidR="00407912" w:rsidRPr="00DE0879">
        <w:rPr>
          <w:b/>
          <w:color w:val="000000" w:themeColor="text1"/>
          <w:u w:val="single"/>
        </w:rPr>
        <w:t>and without risking tax avoidance</w:t>
      </w:r>
      <w:r w:rsidR="009C52A9" w:rsidRPr="00DE0879">
        <w:rPr>
          <w:b/>
          <w:color w:val="000000" w:themeColor="text1"/>
        </w:rPr>
        <w:t xml:space="preserve">; </w:t>
      </w:r>
      <w:r w:rsidR="009C52A9" w:rsidRPr="00DE0879">
        <w:rPr>
          <w:b/>
          <w:i/>
          <w:color w:val="000000" w:themeColor="text1"/>
        </w:rPr>
        <w:t xml:space="preserve">invites </w:t>
      </w:r>
      <w:r w:rsidR="009C52A9" w:rsidRPr="00DE0879">
        <w:rPr>
          <w:b/>
          <w:i/>
          <w:color w:val="000000" w:themeColor="text1"/>
          <w:u w:val="single"/>
        </w:rPr>
        <w:t>the Commission</w:t>
      </w:r>
      <w:r w:rsidR="009C52A9" w:rsidRPr="00DE0879">
        <w:rPr>
          <w:b/>
          <w:i/>
          <w:color w:val="000000" w:themeColor="text1"/>
        </w:rPr>
        <w:t xml:space="preserve"> to explore </w:t>
      </w:r>
      <w:r w:rsidR="00536671" w:rsidRPr="00DE0879">
        <w:rPr>
          <w:b/>
          <w:i/>
          <w:color w:val="000000" w:themeColor="text1"/>
        </w:rPr>
        <w:t xml:space="preserve">different solutions and </w:t>
      </w:r>
      <w:r w:rsidR="009C52A9" w:rsidRPr="00DE0879">
        <w:rPr>
          <w:b/>
          <w:i/>
          <w:color w:val="000000" w:themeColor="text1"/>
        </w:rPr>
        <w:t>mechanisms</w:t>
      </w:r>
      <w:r w:rsidR="00536671" w:rsidRPr="00DE0879">
        <w:rPr>
          <w:b/>
          <w:i/>
          <w:color w:val="000000" w:themeColor="text1"/>
        </w:rPr>
        <w:t xml:space="preserve"> in supporting R&amp;D for start-ups among others transferable tax credits</w:t>
      </w:r>
      <w:r w:rsidR="000B71F6" w:rsidRPr="00DE0879">
        <w:rPr>
          <w:b/>
          <w:i/>
          <w:color w:val="000000" w:themeColor="text1"/>
        </w:rPr>
        <w:t>, in</w:t>
      </w:r>
      <w:r w:rsidR="000B71F6" w:rsidRPr="00DE0879">
        <w:rPr>
          <w:b/>
          <w:i/>
          <w:color w:val="000000" w:themeColor="text1"/>
          <w:u w:val="single"/>
        </w:rPr>
        <w:t xml:space="preserve"> a coordinated approach </w:t>
      </w:r>
      <w:r w:rsidR="007C025E" w:rsidRPr="00DE0879">
        <w:rPr>
          <w:b/>
          <w:i/>
          <w:color w:val="000000" w:themeColor="text1"/>
          <w:u w:val="single"/>
        </w:rPr>
        <w:t>with</w:t>
      </w:r>
      <w:r w:rsidR="000B71F6" w:rsidRPr="00DE0879">
        <w:rPr>
          <w:b/>
          <w:i/>
          <w:color w:val="000000" w:themeColor="text1"/>
          <w:u w:val="single"/>
        </w:rPr>
        <w:t xml:space="preserve"> Member States</w:t>
      </w:r>
      <w:r w:rsidR="00536671" w:rsidRPr="00DE0879">
        <w:rPr>
          <w:b/>
          <w:i/>
          <w:color w:val="000000" w:themeColor="text1"/>
          <w:u w:val="single"/>
        </w:rPr>
        <w:t xml:space="preserve"> and based on common criteria</w:t>
      </w:r>
      <w:r w:rsidR="000B71F6" w:rsidRPr="00DE0879">
        <w:rPr>
          <w:b/>
          <w:i/>
          <w:color w:val="000000" w:themeColor="text1"/>
          <w:u w:val="single"/>
        </w:rPr>
        <w:t>,</w:t>
      </w:r>
      <w:r w:rsidR="009C52A9" w:rsidRPr="00DE0879">
        <w:rPr>
          <w:b/>
          <w:i/>
          <w:color w:val="000000" w:themeColor="text1"/>
        </w:rPr>
        <w:t xml:space="preserve"> to improve the accessibility and effectiveness of such </w:t>
      </w:r>
      <w:r w:rsidR="00536671" w:rsidRPr="00DE0879">
        <w:rPr>
          <w:b/>
          <w:i/>
          <w:color w:val="000000" w:themeColor="text1"/>
        </w:rPr>
        <w:t>measures</w:t>
      </w:r>
      <w:r w:rsidRPr="00DE0879">
        <w:rPr>
          <w:color w:val="000000" w:themeColor="text1"/>
        </w:rPr>
        <w:t xml:space="preserve">; calls </w:t>
      </w:r>
      <w:r w:rsidR="009C52A9" w:rsidRPr="00DE0879">
        <w:rPr>
          <w:b/>
          <w:i/>
          <w:color w:val="000000" w:themeColor="text1"/>
        </w:rPr>
        <w:t>on the Commission to further assess</w:t>
      </w:r>
      <w:r w:rsidR="00A1254D" w:rsidRPr="00DE0879">
        <w:rPr>
          <w:b/>
          <w:i/>
          <w:color w:val="000000" w:themeColor="text1"/>
        </w:rPr>
        <w:t xml:space="preserve"> </w:t>
      </w:r>
      <w:r w:rsidR="00A1254D" w:rsidRPr="00DE0879">
        <w:rPr>
          <w:b/>
          <w:i/>
          <w:color w:val="000000" w:themeColor="text1"/>
          <w:u w:val="single"/>
        </w:rPr>
        <w:t xml:space="preserve">cross-border effects </w:t>
      </w:r>
      <w:r w:rsidR="009C52A9" w:rsidRPr="00DE0879">
        <w:rPr>
          <w:b/>
          <w:i/>
          <w:color w:val="000000" w:themeColor="text1"/>
        </w:rPr>
        <w:t xml:space="preserve">of such incentives in other Member States, </w:t>
      </w:r>
      <w:r w:rsidR="009C52A9" w:rsidRPr="00DE0879">
        <w:rPr>
          <w:b/>
          <w:i/>
          <w:color w:val="000000" w:themeColor="text1"/>
          <w:u w:val="single"/>
        </w:rPr>
        <w:t>including</w:t>
      </w:r>
      <w:r w:rsidR="009C52A9" w:rsidRPr="00DE0879">
        <w:rPr>
          <w:b/>
          <w:i/>
          <w:color w:val="000000" w:themeColor="text1"/>
        </w:rPr>
        <w:t xml:space="preserve"> risks for tax avoidance;</w:t>
      </w:r>
      <w:r w:rsidR="00407912" w:rsidRPr="00DE0879">
        <w:rPr>
          <w:b/>
          <w:i/>
          <w:color w:val="000000" w:themeColor="text1"/>
        </w:rPr>
        <w:t xml:space="preserve"> stresses for wider availability of tax incentives, </w:t>
      </w:r>
      <w:r w:rsidR="00407912" w:rsidRPr="00DE0879">
        <w:rPr>
          <w:b/>
          <w:i/>
          <w:color w:val="000000" w:themeColor="text1"/>
          <w:u w:val="single"/>
        </w:rPr>
        <w:t>including</w:t>
      </w:r>
      <w:r w:rsidR="00407912" w:rsidRPr="00DE0879">
        <w:rPr>
          <w:b/>
          <w:i/>
          <w:color w:val="000000" w:themeColor="text1"/>
        </w:rPr>
        <w:t xml:space="preserve"> tax breaks, credits, accelerated depreciation and super deductions; in this respect, calls for the Commission to issue recommendations and properly integrate tax incentives, </w:t>
      </w:r>
      <w:r w:rsidR="00407912" w:rsidRPr="00DE0879">
        <w:rPr>
          <w:b/>
          <w:i/>
          <w:strike/>
          <w:color w:val="000000" w:themeColor="text1"/>
        </w:rPr>
        <w:t xml:space="preserve">including related </w:t>
      </w:r>
      <w:r w:rsidR="00407912" w:rsidRPr="00DE0879">
        <w:rPr>
          <w:b/>
          <w:i/>
          <w:color w:val="000000" w:themeColor="text1"/>
        </w:rPr>
        <w:t xml:space="preserve">specifically </w:t>
      </w:r>
      <w:r w:rsidR="000B71F6" w:rsidRPr="00DE0879">
        <w:rPr>
          <w:b/>
          <w:i/>
          <w:color w:val="000000" w:themeColor="text1"/>
        </w:rPr>
        <w:t>related to</w:t>
      </w:r>
      <w:r w:rsidR="00407912" w:rsidRPr="00DE0879">
        <w:rPr>
          <w:b/>
          <w:i/>
          <w:color w:val="000000" w:themeColor="text1"/>
        </w:rPr>
        <w:t xml:space="preserve"> R&amp;D </w:t>
      </w:r>
      <w:r w:rsidR="00407912" w:rsidRPr="00DE0879">
        <w:rPr>
          <w:b/>
          <w:i/>
          <w:color w:val="000000" w:themeColor="text1"/>
          <w:u w:val="single"/>
        </w:rPr>
        <w:t>where appropriate</w:t>
      </w:r>
      <w:r w:rsidR="000B71F6" w:rsidRPr="00DE0879">
        <w:rPr>
          <w:b/>
          <w:i/>
          <w:color w:val="000000" w:themeColor="text1"/>
          <w:u w:val="single"/>
        </w:rPr>
        <w:t>, without exacerbating economic asymmetries in the EU</w:t>
      </w:r>
      <w:r w:rsidR="00407912" w:rsidRPr="00DE0879">
        <w:rPr>
          <w:color w:val="000000" w:themeColor="text1"/>
        </w:rPr>
        <w:t>;</w:t>
      </w:r>
      <w:r w:rsidR="009C52A9" w:rsidRPr="00DE0879">
        <w:rPr>
          <w:b/>
          <w:i/>
          <w:color w:val="000000" w:themeColor="text1"/>
        </w:rPr>
        <w:t xml:space="preserve"> stresses that it would be prudent to align incentives for innovation and R&amp;D with </w:t>
      </w:r>
      <w:r w:rsidR="009C52A9" w:rsidRPr="00DE0879">
        <w:rPr>
          <w:b/>
          <w:i/>
          <w:color w:val="000000" w:themeColor="text1"/>
          <w:u w:val="single"/>
        </w:rPr>
        <w:t>tailored</w:t>
      </w:r>
      <w:r w:rsidR="009C52A9" w:rsidRPr="00DE0879">
        <w:rPr>
          <w:b/>
          <w:i/>
          <w:color w:val="000000" w:themeColor="text1"/>
        </w:rPr>
        <w:t xml:space="preserve"> incentives for investment; calls</w:t>
      </w:r>
      <w:r w:rsidR="009C52A9" w:rsidRPr="00DE0879">
        <w:rPr>
          <w:color w:val="000000" w:themeColor="text1"/>
        </w:rPr>
        <w:t xml:space="preserve"> </w:t>
      </w:r>
      <w:r w:rsidRPr="00DE0879">
        <w:rPr>
          <w:color w:val="000000" w:themeColor="text1"/>
        </w:rPr>
        <w:t>for strengthened cooperation and trust between Member States, promoting a level playing field for e‑commerce, digital services and other rapidly growing sectors</w:t>
      </w:r>
      <w:r w:rsidR="00BC165B" w:rsidRPr="00DE0879">
        <w:rPr>
          <w:color w:val="000000" w:themeColor="text1"/>
        </w:rPr>
        <w:t xml:space="preserve"> </w:t>
      </w:r>
      <w:r w:rsidR="00BC165B" w:rsidRPr="00DE0879">
        <w:rPr>
          <w:b/>
          <w:color w:val="000000" w:themeColor="text1"/>
        </w:rPr>
        <w:t>(AMs 237 S&amp;D, 238 EPP, 240 Rapp, 239 Renew)</w:t>
      </w:r>
      <w:r w:rsidRPr="00DE0879">
        <w:rPr>
          <w:color w:val="000000" w:themeColor="text1"/>
        </w:rPr>
        <w:t>;</w:t>
      </w:r>
      <w:r w:rsidR="009C52A9" w:rsidRPr="00DE0879">
        <w:rPr>
          <w:color w:val="000000" w:themeColor="text1"/>
        </w:rPr>
        <w:t xml:space="preserve"> </w:t>
      </w:r>
    </w:p>
    <w:p w:rsidR="009C52A9" w:rsidRPr="00DE0879" w:rsidRDefault="00872C2B" w:rsidP="00474E8C">
      <w:pPr>
        <w:pStyle w:val="NormalHanging12a"/>
        <w:jc w:val="both"/>
        <w:rPr>
          <w:b/>
          <w:i/>
          <w:color w:val="000000" w:themeColor="text1"/>
        </w:rPr>
      </w:pPr>
      <w:r w:rsidRPr="00DE0879">
        <w:rPr>
          <w:b/>
          <w:i/>
          <w:color w:val="000000" w:themeColor="text1"/>
        </w:rPr>
        <w:t xml:space="preserve">20a (new) </w:t>
      </w:r>
      <w:r w:rsidR="009C52A9" w:rsidRPr="00DE0879">
        <w:rPr>
          <w:b/>
          <w:i/>
          <w:color w:val="000000" w:themeColor="text1"/>
        </w:rPr>
        <w:t xml:space="preserve">Stresses the importance of ensuring that tax incentives remain fully consistent with the current EU State aid framework; highlights the value of the EU State Aid Framework in preserving fair competition within the internal market and ensuring legal certainty and a level playing field for all Member States; </w:t>
      </w:r>
      <w:r w:rsidR="009C52A9" w:rsidRPr="00DE0879">
        <w:rPr>
          <w:b/>
          <w:color w:val="000000" w:themeColor="text1"/>
        </w:rPr>
        <w:t>(AM 243 Rapp)</w:t>
      </w:r>
      <w:r w:rsidR="009C52A9" w:rsidRPr="00DE0879">
        <w:rPr>
          <w:b/>
          <w:i/>
          <w:color w:val="000000" w:themeColor="text1"/>
        </w:rPr>
        <w:t>;</w:t>
      </w:r>
    </w:p>
    <w:p w:rsidR="008F7D93" w:rsidRPr="00DE0879" w:rsidRDefault="00D50A31" w:rsidP="00675483">
      <w:pPr>
        <w:pStyle w:val="NormalHanging12a"/>
        <w:rPr>
          <w:color w:val="000000" w:themeColor="text1"/>
        </w:rPr>
      </w:pPr>
      <w:r w:rsidRPr="00DE0879">
        <w:rPr>
          <w:color w:val="000000" w:themeColor="text1"/>
        </w:rPr>
        <w:t>21.</w:t>
      </w:r>
      <w:r w:rsidRPr="00DE0879">
        <w:rPr>
          <w:color w:val="000000" w:themeColor="text1"/>
        </w:rPr>
        <w:tab/>
        <w:t>Instructs its President to forward this resolution to the Council and the Commission.</w:t>
      </w:r>
      <w:r w:rsidR="008F7D93" w:rsidRPr="00DE0879">
        <w:rPr>
          <w:color w:val="000000" w:themeColor="text1"/>
        </w:rPr>
        <w:br w:type="page"/>
      </w:r>
    </w:p>
    <w:p w:rsidR="008F7D93" w:rsidRPr="00DE0879" w:rsidRDefault="008F7D93" w:rsidP="008F7D93">
      <w:pPr>
        <w:spacing w:before="360"/>
        <w:rPr>
          <w:i/>
          <w:iCs/>
          <w:color w:val="000000" w:themeColor="text1"/>
          <w:lang w:eastAsia="en-GB"/>
        </w:rPr>
      </w:pPr>
      <w:r w:rsidRPr="00DE0879">
        <w:rPr>
          <w:b/>
          <w:i/>
          <w:iCs/>
          <w:color w:val="000000" w:themeColor="text1"/>
          <w:lang w:eastAsia="en-GB"/>
        </w:rPr>
        <w:t xml:space="preserve">COMP I </w:t>
      </w:r>
      <w:r w:rsidRPr="00DE0879">
        <w:rPr>
          <w:i/>
          <w:iCs/>
          <w:color w:val="000000" w:themeColor="text1"/>
          <w:lang w:eastAsia="en-GB"/>
        </w:rPr>
        <w:t>(All citations)</w:t>
      </w:r>
    </w:p>
    <w:p w:rsidR="00A7473B" w:rsidRPr="00DE0879" w:rsidRDefault="00A7473B" w:rsidP="00A7473B">
      <w:pPr>
        <w:pStyle w:val="Normal12a24b"/>
        <w:rPr>
          <w:i/>
          <w:iCs/>
          <w:color w:val="000000" w:themeColor="text1"/>
          <w:lang w:eastAsia="en-GB"/>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EPP, S&amp;D, PfE, ECR (?), Renew, Greens/EFA and The Left</w:t>
      </w: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by the COMP:</w:t>
      </w:r>
      <w:r w:rsidR="004B4943" w:rsidRPr="00DE0879">
        <w:rPr>
          <w:b w:val="0"/>
          <w:i/>
          <w:color w:val="000000" w:themeColor="text1"/>
        </w:rPr>
        <w:t xml:space="preserve"> 1 The Left, 2 Renew; 4 NA; 8 Rapp</w:t>
      </w: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 3, 5, 6, 7, 9 NA</w:t>
      </w: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8F7D93" w:rsidRPr="00DE0879" w:rsidRDefault="008F7D93" w:rsidP="008F7D93">
      <w:pPr>
        <w:pStyle w:val="NormalHanging12a"/>
        <w:rPr>
          <w:color w:val="000000" w:themeColor="text1"/>
        </w:rPr>
      </w:pP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Article 4 and Articles 63 to 66 of the Treaty on the Functioning of the European Union and the principles of the internal market, free movement of goods, services, capital and people,</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Treaty on the Functioning of the European Union, and in particular Articles 113, 114 and 115 thereof,</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Council Directive 2003/49/EC of 3 June 2003 on a common system of taxation applicable to interest and royalty payments made between associated companies of different Member States</w:t>
      </w:r>
      <w:r w:rsidRPr="00DE0879">
        <w:rPr>
          <w:rStyle w:val="FootnoteReference"/>
          <w:color w:val="000000" w:themeColor="text1"/>
        </w:rPr>
        <w:footnoteReference w:id="1"/>
      </w:r>
      <w:r w:rsidRPr="00DE0879">
        <w:rPr>
          <w:color w:val="000000" w:themeColor="text1"/>
        </w:rPr>
        <w:t xml:space="preserve"> (the Interest and Royalties Directive),</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Council Directive 2011/96/EU of 30 November 2011 on the common system of taxation applicable in the case of parent companies and subsidiaries of different Member States</w:t>
      </w:r>
      <w:r w:rsidRPr="00DE0879">
        <w:rPr>
          <w:rStyle w:val="FootnoteReference"/>
          <w:color w:val="000000" w:themeColor="text1"/>
        </w:rPr>
        <w:footnoteReference w:id="2"/>
      </w:r>
      <w:r w:rsidRPr="00DE0879">
        <w:rPr>
          <w:color w:val="000000" w:themeColor="text1"/>
        </w:rPr>
        <w:t xml:space="preserve"> (the Parent Subsidiary Directive),</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Council Directive 2022/2523/EC of 14 December 2022 on ensuring a global minimum level of taxation (15%) for multinational enterprise groups and large-scale domestic groups in the Union</w:t>
      </w:r>
      <w:r w:rsidRPr="00DE0879">
        <w:rPr>
          <w:rStyle w:val="FootnoteReference"/>
          <w:color w:val="000000" w:themeColor="text1"/>
        </w:rPr>
        <w:footnoteReference w:id="3"/>
      </w:r>
      <w:r w:rsidRPr="00DE0879">
        <w:rPr>
          <w:color w:val="000000" w:themeColor="text1"/>
        </w:rPr>
        <w:t>, which is the European Union’s response to international tax coordination,</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ongoing developments concerning the two-pillar solution to address the tax challenges arising from the digitalisation of the economy,</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OECD/G20 Base Erosion and Profit Shifting Project (BEPS) final reports of October 2015,</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reports on the Pillar One and Pillar Two Blueprints adopted by the OECD/G20 Inclusive Framework on 14 October 2020, and to the results of the OECD economic analysis and impact assessment of 12 October 2020 entitled ‘Tax Challenges Arising from Digitalisation – Economic Impact Assessment’,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OECD/G20 Inclusive Framework on BEPS statement of 8 October 2021 entitled ‘Two-Pillar Solution to Address the Tax Challenges Arising from the Digitalisation of the Economy’,</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Pillar Two model rules of the OECD/G20 Inclusive Framework on BEPS of 20 December 2021 for domestic implementation of 15 % global minimum tax,</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United States Public Law 117-169 of 16 August 2022, known as the Inflation Reduction Act,</w:t>
      </w:r>
    </w:p>
    <w:p w:rsidR="008F7D93" w:rsidRPr="00DE0879" w:rsidRDefault="008F7D93" w:rsidP="00474E8C">
      <w:pPr>
        <w:pStyle w:val="NormalHanging12a"/>
        <w:jc w:val="both"/>
        <w:rPr>
          <w:b/>
          <w:i/>
          <w:color w:val="000000" w:themeColor="text1"/>
        </w:rPr>
      </w:pPr>
      <w:r w:rsidRPr="00DE0879">
        <w:rPr>
          <w:b/>
          <w:i/>
          <w:color w:val="000000" w:themeColor="text1"/>
        </w:rPr>
        <w:t>–</w:t>
      </w:r>
      <w:r w:rsidRPr="00DE0879">
        <w:rPr>
          <w:b/>
          <w:i/>
          <w:color w:val="000000" w:themeColor="text1"/>
        </w:rPr>
        <w:tab/>
        <w:t>having regard to the G20 Rio de Janeiro Leaders’ Declaration of 19 November 2024 and the Rio de Janeiro G20 Ministerial Declaration on International Tax Cooperation</w:t>
      </w:r>
      <w:r w:rsidRPr="00DE0879">
        <w:rPr>
          <w:b/>
          <w:color w:val="000000" w:themeColor="text1"/>
        </w:rPr>
        <w:t xml:space="preserve"> (AM 2 Renew</w:t>
      </w:r>
      <w:r w:rsidR="00CA2AF0" w:rsidRPr="00DE0879">
        <w:rPr>
          <w:b/>
          <w:color w:val="000000" w:themeColor="text1"/>
        </w:rPr>
        <w:t>, 4 NA</w:t>
      </w:r>
      <w:r w:rsidRPr="00DE0879">
        <w:rPr>
          <w:b/>
          <w:color w:val="000000" w:themeColor="text1"/>
        </w:rPr>
        <w:t>)</w:t>
      </w:r>
      <w:r w:rsidRPr="00DE0879">
        <w:rPr>
          <w:b/>
          <w:i/>
          <w:color w:val="000000" w:themeColor="text1"/>
        </w:rPr>
        <w:t>,</w:t>
      </w:r>
    </w:p>
    <w:p w:rsidR="005D0BC5" w:rsidRPr="00DE0879" w:rsidRDefault="005D0BC5" w:rsidP="00474E8C">
      <w:pPr>
        <w:pStyle w:val="NormalHanging12a"/>
        <w:jc w:val="both"/>
        <w:rPr>
          <w:b/>
          <w:i/>
          <w:color w:val="000000" w:themeColor="text1"/>
        </w:rPr>
      </w:pPr>
      <w:r w:rsidRPr="00DE0879">
        <w:rPr>
          <w:b/>
          <w:i/>
          <w:color w:val="000000" w:themeColor="text1"/>
        </w:rPr>
        <w:t>-</w:t>
      </w:r>
      <w:r w:rsidR="00107940" w:rsidRPr="00DE0879">
        <w:rPr>
          <w:b/>
          <w:i/>
          <w:color w:val="000000" w:themeColor="text1"/>
        </w:rPr>
        <w:tab/>
      </w:r>
      <w:r w:rsidR="005376A0" w:rsidRPr="00DE0879">
        <w:rPr>
          <w:b/>
          <w:i/>
          <w:color w:val="000000" w:themeColor="text1"/>
        </w:rPr>
        <w:t>having regard to the Resolution 79/235 adopted by the General Assembly of the United Nations on 24 December 2024, on the ' Promotion of inclusive and effective international tax cooperation at the United Nations', (AM 1 The Left)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communication of 15 July 2020 entitled ‘An action plan for fair and simple taxation supporting the recovery strategy’ (</w:t>
      </w:r>
      <w:hyperlink r:id="rId8" w:history="1">
        <w:r w:rsidRPr="00DE0879">
          <w:rPr>
            <w:rStyle w:val="Hyperlink"/>
            <w:color w:val="000000" w:themeColor="text1"/>
          </w:rPr>
          <w:t>COM(2020)0312</w:t>
        </w:r>
      </w:hyperlink>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communication of 18 May 2021 entitled ‘Business Taxation for the 21st century’ (</w:t>
      </w:r>
      <w:hyperlink r:id="rId9" w:history="1">
        <w:r w:rsidRPr="00DE0879">
          <w:rPr>
            <w:rStyle w:val="Hyperlink"/>
            <w:color w:val="000000" w:themeColor="text1"/>
          </w:rPr>
          <w:t>COM(2021)0251</w:t>
        </w:r>
      </w:hyperlink>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proposal of 22 December 2021 for a Council directive on ensuring a global minimum level of taxation for multinational groups in the Union (</w:t>
      </w:r>
      <w:hyperlink r:id="rId10" w:history="1">
        <w:r w:rsidRPr="00DE0879">
          <w:rPr>
            <w:rStyle w:val="Hyperlink"/>
            <w:color w:val="000000" w:themeColor="text1"/>
          </w:rPr>
          <w:t>COM(2021)0823</w:t>
        </w:r>
      </w:hyperlink>
      <w:r w:rsidRPr="00DE0879">
        <w:rPr>
          <w:color w:val="000000" w:themeColor="text1"/>
        </w:rPr>
        <w:t>), as well as to Parliament’s position on this proposal</w:t>
      </w:r>
      <w:r w:rsidRPr="00DE0879">
        <w:rPr>
          <w:rStyle w:val="FootnoteReference"/>
          <w:color w:val="000000" w:themeColor="text1"/>
        </w:rPr>
        <w:footnoteReference w:id="4"/>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study of January 2022 entitled ‘Tax compliance costs for SMEs – An update and a complement: final report’,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proposal of 11 May 2022 for a Council directive on laying down rules on a debt-equity bias reduction allowance and on limiting the deductibility of interest for corporate income tax purposes (</w:t>
      </w:r>
      <w:hyperlink r:id="rId11" w:history="1">
        <w:r w:rsidRPr="00DE0879">
          <w:rPr>
            <w:rStyle w:val="Hyperlink"/>
            <w:color w:val="000000" w:themeColor="text1"/>
          </w:rPr>
          <w:t>COM(2022)0216</w:t>
        </w:r>
      </w:hyperlink>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proposal of 8 December  2022 amending Directive 2006/112/EC as regards VAT rules in the Digital Age (</w:t>
      </w:r>
      <w:hyperlink r:id="rId12" w:history="1">
        <w:r w:rsidRPr="00DE0879">
          <w:rPr>
            <w:rStyle w:val="Hyperlink"/>
            <w:color w:val="000000" w:themeColor="text1"/>
          </w:rPr>
          <w:t>COM(2022)0701</w:t>
        </w:r>
      </w:hyperlink>
      <w:r w:rsidRPr="00DE0879">
        <w:rPr>
          <w:color w:val="000000" w:themeColor="text1"/>
        </w:rPr>
        <w:t>), Commission proposal for a Council Regulation amending Regulation (EU) No 904/2010 as regards the VAT administrative cooperation arrangements needed for the digital age (</w:t>
      </w:r>
      <w:hyperlink r:id="rId13" w:history="1">
        <w:r w:rsidRPr="00DE0879">
          <w:rPr>
            <w:rStyle w:val="Hyperlink"/>
            <w:color w:val="000000" w:themeColor="text1"/>
            <w:u w:val="none"/>
          </w:rPr>
          <w:t>COM(2022)0703</w:t>
        </w:r>
      </w:hyperlink>
      <w:r w:rsidRPr="00DE0879">
        <w:rPr>
          <w:color w:val="000000" w:themeColor="text1"/>
        </w:rPr>
        <w:t>), Commission proposal for a Council directive amending Directive 2006/112/EC as regards the electronic value added tax exemption certificate (</w:t>
      </w:r>
      <w:hyperlink r:id="rId14" w:history="1">
        <w:r w:rsidRPr="00DE0879">
          <w:rPr>
            <w:rStyle w:val="Hyperlink"/>
            <w:color w:val="000000" w:themeColor="text1"/>
            <w:u w:val="none"/>
          </w:rPr>
          <w:t>COM(2024)0278</w:t>
        </w:r>
      </w:hyperlink>
      <w:r w:rsidRPr="00DE0879">
        <w:rPr>
          <w:color w:val="000000" w:themeColor="text1"/>
        </w:rPr>
        <w:t>) and the Council agreement on VAT in the digital age package of 5 November 2024,</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Council Directive 2025/50 of 10 December 2024 on faster and safer relief of excess withholding taxes</w:t>
      </w:r>
      <w:r w:rsidRPr="00DE0879">
        <w:rPr>
          <w:rStyle w:val="FootnoteReference"/>
          <w:color w:val="000000" w:themeColor="text1"/>
        </w:rPr>
        <w:footnoteReference w:id="5"/>
      </w:r>
      <w:r w:rsidRPr="00DE0879">
        <w:rPr>
          <w:color w:val="000000" w:themeColor="text1"/>
        </w:rPr>
        <w:t xml:space="preserve"> (FASTER),</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proposal of 12 September 2023 for a Council directive on Business in Europe: Framework for Income Taxation (BEFIT) (</w:t>
      </w:r>
      <w:hyperlink r:id="rId15" w:history="1">
        <w:r w:rsidRPr="00DE0879">
          <w:rPr>
            <w:rStyle w:val="Hyperlink"/>
            <w:color w:val="000000" w:themeColor="text1"/>
          </w:rPr>
          <w:t>COM(2023)0532</w:t>
        </w:r>
      </w:hyperlink>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proposal of 12 September 2023 for a Council directive establishing a Head Office Tax system for micro, small and medium sized enterprises, and amending Directive 2011/16/EU (</w:t>
      </w:r>
      <w:hyperlink r:id="rId16" w:history="1">
        <w:r w:rsidRPr="00DE0879">
          <w:rPr>
            <w:rStyle w:val="Hyperlink"/>
            <w:color w:val="000000" w:themeColor="text1"/>
          </w:rPr>
          <w:t>COM(2023)0528</w:t>
        </w:r>
      </w:hyperlink>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Commission proposal of 12 September 2023 for a Council directive on transfer pricing (</w:t>
      </w:r>
      <w:hyperlink r:id="rId17" w:history="1">
        <w:r w:rsidRPr="00DE0879">
          <w:rPr>
            <w:rStyle w:val="Hyperlink"/>
            <w:color w:val="000000" w:themeColor="text1"/>
          </w:rPr>
          <w:t>COM(2023)0529</w:t>
        </w:r>
      </w:hyperlink>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Council conclusions of 17 and 18 April 2024 on a new European competitiveness deal,</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Council conclusions of 24 May 2024 on a Single Market for the benefit of all,</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European Council’s Budapest Declaration of 8 November 2024 on the New European Competitiveness Deal,</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Council conclusions of 11 March 2025 on a tax decluttering and simplification agenda which contributes to the EU’s competitiveness,</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European Council conclusions of 20 March 2025 on competitiveness, with a focus on simplification and the reduction of regulatory and administrative burdens,</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16 February 2022 on the implementation of the Sixth VAT Directive: what is the missing part to reduce the EU VAT gap?</w:t>
      </w:r>
      <w:r w:rsidRPr="00DE0879">
        <w:rPr>
          <w:rStyle w:val="FootnoteReference"/>
          <w:color w:val="000000" w:themeColor="text1"/>
        </w:rPr>
        <w:footnoteReference w:id="6"/>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7 October 2021 on reforming the EU policy on harmful tax practices (including the reform of the Code of Conduct Group)</w:t>
      </w:r>
      <w:r w:rsidRPr="00DE0879">
        <w:rPr>
          <w:rStyle w:val="FootnoteReference"/>
          <w:color w:val="000000" w:themeColor="text1"/>
        </w:rPr>
        <w:footnoteReference w:id="7"/>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15 February 2022 on the impact of national tax reforms on the EU economy</w:t>
      </w:r>
      <w:r w:rsidRPr="00DE0879">
        <w:rPr>
          <w:rStyle w:val="FootnoteReference"/>
          <w:color w:val="000000" w:themeColor="text1"/>
        </w:rPr>
        <w:footnoteReference w:id="8"/>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10 March 2022 on a European Withholding Tax framework</w:t>
      </w:r>
      <w:r w:rsidRPr="00DE0879">
        <w:rPr>
          <w:rStyle w:val="FootnoteReference"/>
          <w:color w:val="000000" w:themeColor="text1"/>
        </w:rPr>
        <w:footnoteReference w:id="9"/>
      </w:r>
      <w:r w:rsidRPr="00DE0879">
        <w:rPr>
          <w:color w:val="000000" w:themeColor="text1"/>
        </w:rPr>
        <w:t>, calling for a standardised withholding tax framework,</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4 October 2022 on the impact of new technologies on taxation: crypto and blockchain</w:t>
      </w:r>
      <w:r w:rsidRPr="00DE0879">
        <w:rPr>
          <w:rStyle w:val="FootnoteReference"/>
          <w:color w:val="000000" w:themeColor="text1"/>
        </w:rPr>
        <w:footnoteReference w:id="10"/>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10 March 2022 with recommendations to the Commission on fair and simple taxation supporting the recovery strategy (EP follow-up to the July Commission’s Action Plan and its 25 initiatives in the area of VAT, business and individual taxation)</w:t>
      </w:r>
      <w:r w:rsidRPr="00DE0879">
        <w:rPr>
          <w:rStyle w:val="FootnoteReference"/>
          <w:color w:val="000000" w:themeColor="text1"/>
        </w:rPr>
        <w:footnoteReference w:id="11"/>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4 May 2022 on the follow-up to the Conference on the Future of Europe</w:t>
      </w:r>
      <w:r w:rsidRPr="00DE0879">
        <w:rPr>
          <w:rStyle w:val="FootnoteReference"/>
          <w:color w:val="000000" w:themeColor="text1"/>
        </w:rPr>
        <w:footnoteReference w:id="12"/>
      </w:r>
      <w:r w:rsidRPr="00DE0879">
        <w:rPr>
          <w:color w:val="000000" w:themeColor="text1"/>
        </w:rPr>
        <w:t>,</w:t>
      </w:r>
    </w:p>
    <w:p w:rsidR="008F7D93" w:rsidRPr="00DE0879" w:rsidRDefault="008F7D93" w:rsidP="00474E8C">
      <w:pPr>
        <w:pStyle w:val="NormalHanging12a"/>
        <w:jc w:val="both"/>
        <w:rPr>
          <w:b/>
          <w:i/>
          <w:color w:val="000000" w:themeColor="text1"/>
        </w:rPr>
      </w:pPr>
      <w:r w:rsidRPr="00DE0879">
        <w:rPr>
          <w:b/>
          <w:i/>
          <w:color w:val="000000" w:themeColor="text1"/>
        </w:rPr>
        <w:t>–</w:t>
      </w:r>
      <w:r w:rsidRPr="00DE0879">
        <w:rPr>
          <w:b/>
          <w:i/>
          <w:color w:val="000000" w:themeColor="text1"/>
        </w:rPr>
        <w:tab/>
        <w:t xml:space="preserve">having regard to the study on Local taxes on economic activity in municipalities in EU Member States of the European Commission's Joint Research Centre (JRC) of 2022 </w:t>
      </w:r>
      <w:r w:rsidRPr="00DE0879">
        <w:rPr>
          <w:b/>
          <w:color w:val="000000" w:themeColor="text1"/>
        </w:rPr>
        <w:t>(AM 8 Rapp)</w:t>
      </w:r>
      <w:r w:rsidRPr="00DE0879">
        <w:rPr>
          <w:b/>
          <w:i/>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15 June 2023 on lessons learnt from the Pandora Papers and other revelations</w:t>
      </w:r>
      <w:r w:rsidRPr="00DE0879">
        <w:rPr>
          <w:rStyle w:val="FootnoteReference"/>
          <w:color w:val="000000" w:themeColor="text1"/>
        </w:rPr>
        <w:footnoteReference w:id="13"/>
      </w:r>
      <w:r w:rsidRPr="00DE0879">
        <w:rPr>
          <w:color w:val="000000" w:themeColor="text1"/>
        </w:rPr>
        <w:t>, also calling for improving reporting and information sharing,</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its resolution of 12 December 2023 on further reform of corporate taxation rules</w:t>
      </w:r>
      <w:r w:rsidRPr="00DE0879">
        <w:rPr>
          <w:rStyle w:val="FootnoteReference"/>
          <w:color w:val="000000" w:themeColor="text1"/>
        </w:rPr>
        <w:footnoteReference w:id="14"/>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report of 9 May 2022 on the final outcome of the Conference on the Future of Europe,</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Enrico Letta report of April 2024 entitled ‘Much more than a Market’,</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Mario Draghi report of 9 September 2024 entitled ‘The future of European competitiveness’,</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Rule 55 of its Rules of Procedure,</w:t>
      </w:r>
    </w:p>
    <w:p w:rsidR="008F7D93" w:rsidRPr="00DE0879" w:rsidRDefault="008F7D93" w:rsidP="00474E8C">
      <w:pPr>
        <w:pStyle w:val="NormalHanging12a"/>
        <w:jc w:val="both"/>
        <w:rPr>
          <w:color w:val="000000" w:themeColor="text1"/>
        </w:rPr>
      </w:pPr>
      <w:r w:rsidRPr="00DE0879">
        <w:rPr>
          <w:color w:val="000000" w:themeColor="text1"/>
        </w:rPr>
        <w:t>–</w:t>
      </w:r>
      <w:r w:rsidRPr="00DE0879">
        <w:rPr>
          <w:color w:val="000000" w:themeColor="text1"/>
        </w:rPr>
        <w:tab/>
        <w:t>having regard to the report of the Committee on Economic and Monetary Affairs (A10-0000/2025),</w:t>
      </w:r>
    </w:p>
    <w:p w:rsidR="008F7D93" w:rsidRPr="00DE0879" w:rsidRDefault="008F7D93" w:rsidP="008F7D93">
      <w:pPr>
        <w:widowControl/>
        <w:rPr>
          <w:color w:val="000000" w:themeColor="text1"/>
        </w:rPr>
      </w:pPr>
      <w:r w:rsidRPr="00DE0879">
        <w:rPr>
          <w:color w:val="000000" w:themeColor="text1"/>
        </w:rPr>
        <w:br w:type="page"/>
      </w:r>
    </w:p>
    <w:p w:rsidR="008F7D93" w:rsidRPr="00DE0879" w:rsidRDefault="008F7D93" w:rsidP="008F7D93">
      <w:pPr>
        <w:spacing w:before="360"/>
        <w:rPr>
          <w:i/>
          <w:iCs/>
          <w:color w:val="000000" w:themeColor="text1"/>
          <w:lang w:eastAsia="en-GB"/>
        </w:rPr>
      </w:pPr>
      <w:r w:rsidRPr="00DE0879">
        <w:rPr>
          <w:b/>
          <w:i/>
          <w:iCs/>
          <w:color w:val="000000" w:themeColor="text1"/>
          <w:lang w:eastAsia="en-GB"/>
        </w:rPr>
        <w:t xml:space="preserve">COMP J </w:t>
      </w:r>
      <w:r w:rsidRPr="00DE0879">
        <w:rPr>
          <w:i/>
          <w:iCs/>
          <w:color w:val="000000" w:themeColor="text1"/>
          <w:lang w:eastAsia="en-GB"/>
        </w:rPr>
        <w:t>(All recitals)</w:t>
      </w:r>
    </w:p>
    <w:p w:rsidR="00A7473B" w:rsidRPr="00DE0879" w:rsidRDefault="00A7473B" w:rsidP="00A7473B">
      <w:pPr>
        <w:pStyle w:val="Normal12a24b"/>
        <w:rPr>
          <w:i/>
          <w:iCs/>
          <w:color w:val="000000" w:themeColor="text1"/>
          <w:lang w:eastAsia="en-GB"/>
        </w:rPr>
      </w:pPr>
      <w:r w:rsidRPr="00DE0879">
        <w:rPr>
          <w:b/>
          <w:i/>
          <w:iCs/>
          <w:color w:val="000000" w:themeColor="text1"/>
          <w:lang w:eastAsia="en-GB"/>
        </w:rPr>
        <w:t>Political Support</w:t>
      </w:r>
      <w:r w:rsidRPr="00DE0879">
        <w:rPr>
          <w:color w:val="000000" w:themeColor="text1"/>
        </w:rPr>
        <w:t xml:space="preserve"> </w:t>
      </w:r>
      <w:r w:rsidRPr="00DE0879">
        <w:rPr>
          <w:i/>
          <w:iCs/>
          <w:color w:val="000000" w:themeColor="text1"/>
          <w:lang w:eastAsia="en-GB"/>
        </w:rPr>
        <w:t>- EPP, S&amp;D, PfE, ECR, Renew, Greens/EFA and The Left</w:t>
      </w: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color w:val="000000" w:themeColor="text1"/>
        </w:rPr>
      </w:pPr>
      <w:r w:rsidRPr="00DE0879">
        <w:rPr>
          <w:i/>
          <w:iCs/>
          <w:color w:val="000000" w:themeColor="text1"/>
        </w:rPr>
        <w:t>AMs covered</w:t>
      </w:r>
      <w:r w:rsidRPr="00DE0879">
        <w:rPr>
          <w:iCs/>
          <w:color w:val="000000" w:themeColor="text1"/>
        </w:rPr>
        <w:t xml:space="preserve"> </w:t>
      </w:r>
      <w:r w:rsidRPr="00DE0879">
        <w:rPr>
          <w:b w:val="0"/>
          <w:i/>
          <w:color w:val="000000" w:themeColor="text1"/>
        </w:rPr>
        <w:t>by the COMP: 10, 11, 16, 18, 19, 23, 32 S&amp;D; 12, 13, 21, 22, 29 EPP; 20 Greens/EFA; 26 ECR; 17, 24 Rapp</w:t>
      </w: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i/>
          <w:color w:val="000000" w:themeColor="text1"/>
        </w:rPr>
      </w:pP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r w:rsidRPr="00DE0879">
        <w:rPr>
          <w:i/>
          <w:color w:val="000000" w:themeColor="text1"/>
        </w:rPr>
        <w:t>AMs falling</w:t>
      </w:r>
      <w:r w:rsidRPr="00DE0879">
        <w:rPr>
          <w:b w:val="0"/>
          <w:i/>
          <w:color w:val="000000" w:themeColor="text1"/>
        </w:rPr>
        <w:t xml:space="preserve"> if COMP is adopted: 14, 15, 28, 31 S&amp;D; 25, 30 NA; 27 Greens/EFA</w:t>
      </w:r>
    </w:p>
    <w:p w:rsidR="008F7D93" w:rsidRPr="00DE0879" w:rsidRDefault="008F7D93" w:rsidP="008F7D93">
      <w:pPr>
        <w:pStyle w:val="NormalBold"/>
        <w:pBdr>
          <w:top w:val="single" w:sz="4" w:space="1" w:color="auto"/>
          <w:left w:val="single" w:sz="4" w:space="4" w:color="auto"/>
          <w:bottom w:val="single" w:sz="4" w:space="1" w:color="auto"/>
          <w:right w:val="single" w:sz="4" w:space="4" w:color="auto"/>
        </w:pBdr>
        <w:jc w:val="both"/>
        <w:rPr>
          <w:b w:val="0"/>
          <w:i/>
          <w:color w:val="000000" w:themeColor="text1"/>
        </w:rPr>
      </w:pPr>
    </w:p>
    <w:p w:rsidR="008F7D93" w:rsidRPr="00DE0879" w:rsidRDefault="008F7D93" w:rsidP="008F7D93">
      <w:pPr>
        <w:pStyle w:val="NormalHanging12a"/>
        <w:rPr>
          <w:color w:val="000000" w:themeColor="text1"/>
        </w:rPr>
      </w:pPr>
    </w:p>
    <w:p w:rsidR="008F7D93" w:rsidRPr="00DE0879" w:rsidRDefault="008F7D93" w:rsidP="00474E8C">
      <w:pPr>
        <w:pStyle w:val="NormalHanging12a"/>
        <w:jc w:val="both"/>
        <w:rPr>
          <w:color w:val="000000" w:themeColor="text1"/>
        </w:rPr>
      </w:pPr>
      <w:r w:rsidRPr="00DE0879">
        <w:rPr>
          <w:b/>
          <w:i/>
          <w:color w:val="000000" w:themeColor="text1"/>
        </w:rPr>
        <w:t>-A.</w:t>
      </w:r>
      <w:r w:rsidRPr="00DE0879">
        <w:rPr>
          <w:b/>
          <w:i/>
          <w:color w:val="000000" w:themeColor="text1"/>
        </w:rPr>
        <w:tab/>
        <w:t>whereas effective, fair and efficient tax policies play a key role in promoting long term sustainable growth and inclusive societies</w:t>
      </w:r>
      <w:r w:rsidRPr="00DE0879">
        <w:rPr>
          <w:color w:val="000000" w:themeColor="text1"/>
        </w:rPr>
        <w:t xml:space="preserve"> </w:t>
      </w:r>
      <w:r w:rsidRPr="00DE0879">
        <w:rPr>
          <w:b/>
          <w:color w:val="000000" w:themeColor="text1"/>
        </w:rPr>
        <w:t>(AM 10 S&amp;D)</w:t>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A.</w:t>
      </w:r>
      <w:r w:rsidRPr="00DE0879">
        <w:rPr>
          <w:color w:val="000000" w:themeColor="text1"/>
        </w:rPr>
        <w:tab/>
        <w:t>whereas EU Member States collected EUR 6,712 billion in taxes in 2023 (including compulsory actual social contributions), which represents 4.7 % more than in 2022</w:t>
      </w:r>
      <w:r w:rsidRPr="00DE0879">
        <w:rPr>
          <w:rStyle w:val="FootnoteReference"/>
          <w:color w:val="000000" w:themeColor="text1"/>
        </w:rPr>
        <w:footnoteReference w:id="15"/>
      </w:r>
      <w:r w:rsidRPr="00DE0879">
        <w:rPr>
          <w:color w:val="000000" w:themeColor="text1"/>
        </w:rPr>
        <w:t>;</w:t>
      </w:r>
    </w:p>
    <w:p w:rsidR="008F7D93" w:rsidRPr="00DE0879" w:rsidRDefault="008F7D93" w:rsidP="00474E8C">
      <w:pPr>
        <w:pStyle w:val="NormalHanging12a"/>
        <w:jc w:val="both"/>
        <w:rPr>
          <w:color w:val="000000" w:themeColor="text1"/>
        </w:rPr>
      </w:pPr>
      <w:r w:rsidRPr="00DE0879">
        <w:rPr>
          <w:b/>
          <w:i/>
          <w:color w:val="000000" w:themeColor="text1"/>
        </w:rPr>
        <w:t xml:space="preserve">Aa (new) whereas the EU faces a significant investment gap; whereas closing this gap is crucial to ensuring sustainable economic growth, enhancing competitiveness, and achieving the EU’s green and digital transition objectives </w:t>
      </w:r>
      <w:r w:rsidRPr="00DE0879">
        <w:rPr>
          <w:b/>
          <w:color w:val="000000" w:themeColor="text1"/>
        </w:rPr>
        <w:t>(AM 11 S&amp;D)</w:t>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B.</w:t>
      </w:r>
      <w:r w:rsidRPr="00DE0879">
        <w:rPr>
          <w:color w:val="000000" w:themeColor="text1"/>
        </w:rPr>
        <w:tab/>
        <w:t>whereas in 2023, the tax burden (i.e. overall tax revenues as a share of GDP) in the EU stood at 39.0 % of GDP, a slight decrease as compared with 2022</w:t>
      </w:r>
      <w:r w:rsidRPr="00DE0879">
        <w:rPr>
          <w:rStyle w:val="FootnoteReference"/>
          <w:color w:val="000000" w:themeColor="text1"/>
        </w:rPr>
        <w:footnoteReference w:id="16"/>
      </w:r>
      <w:r w:rsidRPr="00DE0879">
        <w:rPr>
          <w:b/>
          <w:i/>
          <w:color w:val="000000" w:themeColor="text1"/>
        </w:rPr>
        <w:t xml:space="preserve">, but still a significantly high ratio </w:t>
      </w:r>
      <w:r w:rsidRPr="00DE0879">
        <w:rPr>
          <w:b/>
          <w:color w:val="000000" w:themeColor="text1"/>
        </w:rPr>
        <w:t>(AM 12 EPP)</w:t>
      </w:r>
      <w:r w:rsidRPr="00DE0879">
        <w:rPr>
          <w:color w:val="000000" w:themeColor="text1"/>
        </w:rPr>
        <w:t>;</w:t>
      </w:r>
    </w:p>
    <w:p w:rsidR="008F7D93" w:rsidRPr="00DE0879" w:rsidRDefault="008F7D93" w:rsidP="00474E8C">
      <w:pPr>
        <w:pStyle w:val="NormalHanging12a"/>
        <w:jc w:val="both"/>
        <w:rPr>
          <w:color w:val="000000" w:themeColor="text1"/>
        </w:rPr>
      </w:pPr>
      <w:r w:rsidRPr="00DE0879">
        <w:rPr>
          <w:b/>
          <w:i/>
          <w:color w:val="000000" w:themeColor="text1"/>
        </w:rPr>
        <w:t>Ba (new) whereas estimate</w:t>
      </w:r>
      <w:r w:rsidR="005D48AD" w:rsidRPr="00DE0879">
        <w:rPr>
          <w:b/>
          <w:i/>
          <w:color w:val="000000" w:themeColor="text1"/>
        </w:rPr>
        <w:t>s</w:t>
      </w:r>
      <w:r w:rsidRPr="00DE0879">
        <w:rPr>
          <w:b/>
          <w:i/>
          <w:color w:val="000000" w:themeColor="text1"/>
        </w:rPr>
        <w:t xml:space="preserve"> </w:t>
      </w:r>
      <w:r w:rsidR="005D48AD" w:rsidRPr="00DE0879">
        <w:rPr>
          <w:b/>
          <w:i/>
          <w:color w:val="000000" w:themeColor="text1"/>
        </w:rPr>
        <w:t>suggest that</w:t>
      </w:r>
      <w:r w:rsidR="001E1084" w:rsidRPr="00DE0879">
        <w:rPr>
          <w:b/>
          <w:i/>
          <w:color w:val="000000" w:themeColor="text1"/>
        </w:rPr>
        <w:t xml:space="preserve"> </w:t>
      </w:r>
      <w:r w:rsidRPr="00DE0879">
        <w:rPr>
          <w:b/>
          <w:i/>
          <w:color w:val="000000" w:themeColor="text1"/>
        </w:rPr>
        <w:t xml:space="preserve">global </w:t>
      </w:r>
      <w:r w:rsidR="005D48AD" w:rsidRPr="00DE0879">
        <w:rPr>
          <w:b/>
          <w:i/>
          <w:color w:val="000000" w:themeColor="text1"/>
        </w:rPr>
        <w:t>uncollected</w:t>
      </w:r>
      <w:r w:rsidR="001E1084" w:rsidRPr="00DE0879">
        <w:rPr>
          <w:b/>
          <w:i/>
          <w:color w:val="000000" w:themeColor="text1"/>
        </w:rPr>
        <w:t xml:space="preserve"> </w:t>
      </w:r>
      <w:r w:rsidRPr="00DE0879">
        <w:rPr>
          <w:b/>
          <w:i/>
          <w:color w:val="000000" w:themeColor="text1"/>
        </w:rPr>
        <w:t xml:space="preserve">tax </w:t>
      </w:r>
      <w:r w:rsidR="005D48AD" w:rsidRPr="00DE0879">
        <w:rPr>
          <w:b/>
          <w:i/>
          <w:color w:val="000000" w:themeColor="text1"/>
        </w:rPr>
        <w:t>revenue amounts to approximately</w:t>
      </w:r>
      <w:r w:rsidR="001E1084" w:rsidRPr="00DE0879">
        <w:rPr>
          <w:b/>
          <w:i/>
          <w:color w:val="000000" w:themeColor="text1"/>
        </w:rPr>
        <w:t xml:space="preserve"> </w:t>
      </w:r>
      <w:r w:rsidRPr="00DE0879">
        <w:rPr>
          <w:b/>
          <w:i/>
          <w:color w:val="000000" w:themeColor="text1"/>
        </w:rPr>
        <w:t xml:space="preserve">500 billion euros, with </w:t>
      </w:r>
      <w:r w:rsidR="005D48AD" w:rsidRPr="00DE0879">
        <w:rPr>
          <w:b/>
          <w:i/>
          <w:color w:val="000000" w:themeColor="text1"/>
        </w:rPr>
        <w:t>an estimated</w:t>
      </w:r>
      <w:r w:rsidR="001E1084" w:rsidRPr="00DE0879">
        <w:rPr>
          <w:b/>
          <w:i/>
          <w:color w:val="000000" w:themeColor="text1"/>
        </w:rPr>
        <w:t xml:space="preserve"> </w:t>
      </w:r>
      <w:r w:rsidRPr="00DE0879">
        <w:rPr>
          <w:b/>
          <w:i/>
          <w:color w:val="000000" w:themeColor="text1"/>
        </w:rPr>
        <w:t xml:space="preserve">100 billion </w:t>
      </w:r>
      <w:r w:rsidR="005D48AD" w:rsidRPr="00DE0879">
        <w:rPr>
          <w:b/>
          <w:i/>
          <w:color w:val="000000" w:themeColor="text1"/>
        </w:rPr>
        <w:t>with</w:t>
      </w:r>
      <w:r w:rsidRPr="00DE0879">
        <w:rPr>
          <w:b/>
          <w:i/>
          <w:color w:val="000000" w:themeColor="text1"/>
        </w:rPr>
        <w:t>in the EU area</w:t>
      </w:r>
      <w:r w:rsidRPr="00DE0879">
        <w:rPr>
          <w:color w:val="000000" w:themeColor="text1"/>
        </w:rPr>
        <w:t xml:space="preserve"> </w:t>
      </w:r>
      <w:r w:rsidRPr="00DE0879">
        <w:rPr>
          <w:b/>
          <w:color w:val="000000" w:themeColor="text1"/>
        </w:rPr>
        <w:t>(AM 13 EPP</w:t>
      </w:r>
      <w:r w:rsidR="00D957BF" w:rsidRPr="00DE0879">
        <w:rPr>
          <w:b/>
          <w:color w:val="000000" w:themeColor="text1"/>
        </w:rPr>
        <w:t>); whereas,</w:t>
      </w:r>
      <w:r w:rsidR="0086603B" w:rsidRPr="00DE0879">
        <w:rPr>
          <w:b/>
          <w:color w:val="000000" w:themeColor="text1"/>
        </w:rPr>
        <w:t xml:space="preserve"> </w:t>
      </w:r>
      <w:r w:rsidR="005D48AD" w:rsidRPr="00DE0879">
        <w:rPr>
          <w:b/>
          <w:color w:val="000000" w:themeColor="text1"/>
        </w:rPr>
        <w:t xml:space="preserve">additional revenue is impacted by instances of tax non-compliance </w:t>
      </w:r>
      <w:r w:rsidR="00D957BF" w:rsidRPr="00DE0879">
        <w:rPr>
          <w:b/>
          <w:color w:val="000000" w:themeColor="text1"/>
        </w:rPr>
        <w:t xml:space="preserve">and </w:t>
      </w:r>
      <w:r w:rsidR="009B0D73" w:rsidRPr="00DE0879">
        <w:rPr>
          <w:b/>
          <w:color w:val="000000" w:themeColor="text1"/>
        </w:rPr>
        <w:t xml:space="preserve">aggressive </w:t>
      </w:r>
      <w:r w:rsidR="005D48AD" w:rsidRPr="00DE0879">
        <w:rPr>
          <w:b/>
          <w:color w:val="000000" w:themeColor="text1"/>
        </w:rPr>
        <w:t>tax</w:t>
      </w:r>
      <w:r w:rsidR="001E1084" w:rsidRPr="00DE0879">
        <w:rPr>
          <w:b/>
          <w:color w:val="000000" w:themeColor="text1"/>
        </w:rPr>
        <w:t xml:space="preserve"> </w:t>
      </w:r>
      <w:r w:rsidR="00D957BF" w:rsidRPr="00DE0879">
        <w:rPr>
          <w:b/>
          <w:color w:val="000000" w:themeColor="text1"/>
        </w:rPr>
        <w:t xml:space="preserve">planning </w:t>
      </w:r>
      <w:r w:rsidR="005D48AD" w:rsidRPr="00DE0879">
        <w:rPr>
          <w:b/>
          <w:color w:val="000000" w:themeColor="text1"/>
        </w:rPr>
        <w:t>strategies</w:t>
      </w:r>
      <w:r w:rsidR="001E1084" w:rsidRPr="00DE0879">
        <w:rPr>
          <w:b/>
          <w:color w:val="000000" w:themeColor="text1"/>
        </w:rPr>
        <w:t xml:space="preserve"> </w:t>
      </w:r>
      <w:r w:rsidR="00D957BF" w:rsidRPr="00DE0879">
        <w:rPr>
          <w:b/>
          <w:color w:val="000000" w:themeColor="text1"/>
        </w:rPr>
        <w:t>(AM 14 S&amp;D</w:t>
      </w:r>
      <w:r w:rsidRPr="00DE0879">
        <w:rPr>
          <w:b/>
          <w:color w:val="000000" w:themeColor="text1"/>
        </w:rPr>
        <w:t>)</w:t>
      </w:r>
      <w:r w:rsidR="00565B30" w:rsidRPr="00DE0879">
        <w:rPr>
          <w:b/>
          <w:color w:val="000000" w:themeColor="text1"/>
        </w:rPr>
        <w:t xml:space="preserve"> whereas these </w:t>
      </w:r>
      <w:r w:rsidR="009B0D73" w:rsidRPr="00DE0879">
        <w:rPr>
          <w:b/>
          <w:color w:val="000000" w:themeColor="text1"/>
        </w:rPr>
        <w:t xml:space="preserve">losses </w:t>
      </w:r>
      <w:r w:rsidR="00565B30" w:rsidRPr="00DE0879">
        <w:rPr>
          <w:b/>
          <w:color w:val="000000" w:themeColor="text1"/>
        </w:rPr>
        <w:t>deprive Member States from essential public funding</w:t>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C.</w:t>
      </w:r>
      <w:r w:rsidRPr="00DE0879">
        <w:rPr>
          <w:color w:val="000000" w:themeColor="text1"/>
        </w:rPr>
        <w:tab/>
        <w:t>whereas in 2023 the VAT revenue-to-GDP ratio amounted to 7.1 % of EU GDP and 18.3 % of total government revenue</w:t>
      </w:r>
      <w:r w:rsidRPr="00DE0879">
        <w:rPr>
          <w:rStyle w:val="FootnoteReference"/>
          <w:color w:val="000000" w:themeColor="text1"/>
        </w:rPr>
        <w:footnoteReference w:id="17"/>
      </w:r>
      <w:r w:rsidRPr="00DE0879">
        <w:rPr>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D.</w:t>
      </w:r>
      <w:r w:rsidRPr="00DE0879">
        <w:rPr>
          <w:color w:val="000000" w:themeColor="text1"/>
        </w:rPr>
        <w:tab/>
        <w:t>whereas the VAT compliance</w:t>
      </w:r>
      <w:r w:rsidRPr="00DE0879">
        <w:rPr>
          <w:b/>
          <w:i/>
          <w:color w:val="000000" w:themeColor="text1"/>
        </w:rPr>
        <w:t xml:space="preserve"> </w:t>
      </w:r>
      <w:r w:rsidRPr="00DE0879">
        <w:rPr>
          <w:color w:val="000000" w:themeColor="text1"/>
        </w:rPr>
        <w:t xml:space="preserve">gap </w:t>
      </w:r>
      <w:r w:rsidR="005F248A" w:rsidRPr="00DE0879">
        <w:rPr>
          <w:b/>
          <w:i/>
          <w:color w:val="000000" w:themeColor="text1"/>
        </w:rPr>
        <w:t>alone</w:t>
      </w:r>
      <w:r w:rsidR="005F248A" w:rsidRPr="00DE0879">
        <w:rPr>
          <w:color w:val="000000" w:themeColor="text1"/>
        </w:rPr>
        <w:t xml:space="preserve"> </w:t>
      </w:r>
      <w:r w:rsidRPr="00DE0879">
        <w:rPr>
          <w:color w:val="000000" w:themeColor="text1"/>
        </w:rPr>
        <w:t>amount</w:t>
      </w:r>
      <w:r w:rsidR="005F248A" w:rsidRPr="00DE0879">
        <w:rPr>
          <w:color w:val="000000" w:themeColor="text1"/>
        </w:rPr>
        <w:t>s</w:t>
      </w:r>
      <w:r w:rsidRPr="00DE0879">
        <w:rPr>
          <w:color w:val="000000" w:themeColor="text1"/>
        </w:rPr>
        <w:t xml:space="preserve"> to EUR 89.3 billion</w:t>
      </w:r>
      <w:r w:rsidRPr="00DE0879">
        <w:rPr>
          <w:b/>
          <w:i/>
          <w:color w:val="000000" w:themeColor="text1"/>
        </w:rPr>
        <w:t>, or around 7 % of the total expected VAT revenue,</w:t>
      </w:r>
      <w:r w:rsidRPr="00DE0879">
        <w:rPr>
          <w:color w:val="000000" w:themeColor="text1"/>
        </w:rPr>
        <w:t xml:space="preserve">  in 2022 according to the Commission</w:t>
      </w:r>
      <w:r w:rsidRPr="00DE0879">
        <w:rPr>
          <w:rStyle w:val="FootnoteReference"/>
          <w:color w:val="000000" w:themeColor="text1"/>
        </w:rPr>
        <w:footnoteReference w:id="18"/>
      </w:r>
      <w:r w:rsidRPr="00DE0879">
        <w:rPr>
          <w:color w:val="000000" w:themeColor="text1"/>
        </w:rPr>
        <w:t>;</w:t>
      </w:r>
      <w:r w:rsidRPr="00DE0879">
        <w:rPr>
          <w:b/>
          <w:i/>
          <w:color w:val="000000" w:themeColor="text1"/>
        </w:rPr>
        <w:t xml:space="preserve"> whereas according to estimates one quarter of the VAT gap is directly linked to criminal VAT fraud</w:t>
      </w:r>
      <w:r w:rsidRPr="00DE0879">
        <w:rPr>
          <w:b/>
          <w:i/>
          <w:color w:val="000000" w:themeColor="text1"/>
          <w:vertAlign w:val="superscript"/>
        </w:rPr>
        <w:t xml:space="preserve"> </w:t>
      </w:r>
      <w:r w:rsidRPr="00DE0879">
        <w:rPr>
          <w:b/>
          <w:color w:val="000000" w:themeColor="text1"/>
        </w:rPr>
        <w:t>(AM 16 S&amp;D)</w:t>
      </w:r>
      <w:r w:rsidRPr="00DE0879">
        <w:rPr>
          <w:b/>
          <w:i/>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E.</w:t>
      </w:r>
      <w:r w:rsidRPr="00DE0879">
        <w:rPr>
          <w:color w:val="000000" w:themeColor="text1"/>
        </w:rPr>
        <w:tab/>
        <w:t>whereas Member States differ in their reliance on taxation, in the taxes they levy to collect these revenues and how they have changed their tax mix over the past decade</w:t>
      </w:r>
      <w:r w:rsidRPr="00DE0879">
        <w:rPr>
          <w:rStyle w:val="FootnoteReference"/>
          <w:color w:val="000000" w:themeColor="text1"/>
        </w:rPr>
        <w:footnoteReference w:id="19"/>
      </w:r>
      <w:r w:rsidRPr="00DE0879">
        <w:rPr>
          <w:color w:val="000000" w:themeColor="text1"/>
        </w:rPr>
        <w:t>;</w:t>
      </w:r>
    </w:p>
    <w:p w:rsidR="008F7D93" w:rsidRPr="00DE0879" w:rsidRDefault="008F7D93" w:rsidP="00474E8C">
      <w:pPr>
        <w:pStyle w:val="NormalHanging12a"/>
        <w:jc w:val="both"/>
        <w:rPr>
          <w:b/>
          <w:i/>
          <w:color w:val="000000" w:themeColor="text1"/>
        </w:rPr>
      </w:pPr>
      <w:r w:rsidRPr="00DE0879">
        <w:rPr>
          <w:b/>
          <w:i/>
          <w:color w:val="000000" w:themeColor="text1"/>
        </w:rPr>
        <w:t xml:space="preserve">Ea (new) whereas tax compliance costs impose an additional financial burden on companies that accumulates on top of the tax liability itself, diverting time and resources from other investment opportunities </w:t>
      </w:r>
      <w:r w:rsidRPr="00DE0879">
        <w:rPr>
          <w:b/>
          <w:color w:val="000000" w:themeColor="text1"/>
        </w:rPr>
        <w:t>(AM 17 Rapp)</w:t>
      </w:r>
      <w:r w:rsidRPr="00DE0879">
        <w:rPr>
          <w:b/>
          <w:i/>
          <w:color w:val="000000" w:themeColor="text1"/>
        </w:rPr>
        <w:t>;</w:t>
      </w:r>
    </w:p>
    <w:p w:rsidR="008F7D93" w:rsidRPr="00DE0879" w:rsidRDefault="008F7D93" w:rsidP="00474E8C">
      <w:pPr>
        <w:pStyle w:val="NormalHanging12a"/>
        <w:jc w:val="both"/>
        <w:rPr>
          <w:b/>
          <w:i/>
          <w:color w:val="000000" w:themeColor="text1"/>
        </w:rPr>
      </w:pPr>
      <w:r w:rsidRPr="00DE0879">
        <w:rPr>
          <w:b/>
          <w:i/>
          <w:color w:val="000000" w:themeColor="text1"/>
        </w:rPr>
        <w:t>Eb (new) whereas according to estimates the total tax compliance costs in the 27 EU Member States plus the UK are estimated at EUR 204 billion, equating to 1.3% of their combined GDP; highlights that micro-enterprises bear the overwhelming majority of these costs (87%), followed by small businesses (10%), placing a disproportionate administrative burden on smaller companies</w:t>
      </w:r>
      <w:r w:rsidRPr="00DE0879">
        <w:rPr>
          <w:b/>
          <w:i/>
          <w:color w:val="000000" w:themeColor="text1"/>
          <w:vertAlign w:val="superscript"/>
        </w:rPr>
        <w:t xml:space="preserve">1e </w:t>
      </w:r>
      <w:r w:rsidRPr="00DE0879">
        <w:rPr>
          <w:b/>
          <w:color w:val="000000" w:themeColor="text1"/>
        </w:rPr>
        <w:t>(AM 18, 19 S&amp;D)</w:t>
      </w:r>
      <w:r w:rsidRPr="00DE0879">
        <w:rPr>
          <w:b/>
          <w:i/>
          <w:color w:val="000000" w:themeColor="text1"/>
        </w:rPr>
        <w:t>;</w:t>
      </w:r>
    </w:p>
    <w:p w:rsidR="008F7D93" w:rsidRPr="00DE0879" w:rsidRDefault="008F7D93" w:rsidP="00474E8C">
      <w:pPr>
        <w:pStyle w:val="NormalHanging12a"/>
        <w:jc w:val="both"/>
        <w:rPr>
          <w:b/>
          <w:i/>
          <w:color w:val="000000" w:themeColor="text1"/>
        </w:rPr>
      </w:pPr>
      <w:r w:rsidRPr="00DE0879">
        <w:rPr>
          <w:b/>
          <w:i/>
          <w:color w:val="000000" w:themeColor="text1"/>
        </w:rPr>
        <w:t xml:space="preserve">Ec (new) whereas Member States face important challenges that could impact their tax revenues and tax mix such as significant demographic changes, the climate </w:t>
      </w:r>
      <w:r w:rsidRPr="00DE0879">
        <w:rPr>
          <w:b/>
          <w:i/>
          <w:color w:val="000000" w:themeColor="text1"/>
          <w:u w:val="single"/>
        </w:rPr>
        <w:t>change</w:t>
      </w:r>
      <w:r w:rsidRPr="00DE0879">
        <w:rPr>
          <w:b/>
          <w:i/>
          <w:color w:val="000000" w:themeColor="text1"/>
        </w:rPr>
        <w:t xml:space="preserve">, digitalisation and automatisation </w:t>
      </w:r>
      <w:r w:rsidRPr="00DE0879">
        <w:rPr>
          <w:b/>
          <w:color w:val="000000" w:themeColor="text1"/>
        </w:rPr>
        <w:t>(AM 20 Greens/EFA)</w:t>
      </w:r>
      <w:r w:rsidRPr="00DE0879">
        <w:rPr>
          <w:b/>
          <w:i/>
          <w:color w:val="000000" w:themeColor="text1"/>
        </w:rPr>
        <w:t>;</w:t>
      </w:r>
    </w:p>
    <w:p w:rsidR="008F7D93" w:rsidRPr="00DE0879" w:rsidRDefault="008F7D93" w:rsidP="00474E8C">
      <w:pPr>
        <w:pStyle w:val="NormalHanging12a"/>
        <w:jc w:val="both"/>
        <w:rPr>
          <w:b/>
          <w:i/>
          <w:color w:val="000000" w:themeColor="text1"/>
        </w:rPr>
      </w:pPr>
      <w:r w:rsidRPr="00DE0879">
        <w:rPr>
          <w:b/>
          <w:i/>
          <w:color w:val="000000" w:themeColor="text1"/>
        </w:rPr>
        <w:t xml:space="preserve">Ed (new) whereas taxation is primarily a national competence of Member States, according to the treaties </w:t>
      </w:r>
      <w:r w:rsidRPr="00DE0879">
        <w:rPr>
          <w:b/>
          <w:color w:val="000000" w:themeColor="text1"/>
        </w:rPr>
        <w:t>(AM 21, 22 EPP)</w:t>
      </w:r>
      <w:r w:rsidRPr="00DE0879">
        <w:rPr>
          <w:b/>
          <w:i/>
          <w:color w:val="000000" w:themeColor="text1"/>
        </w:rPr>
        <w:t>;</w:t>
      </w:r>
    </w:p>
    <w:p w:rsidR="008F7D93" w:rsidRPr="00DE0879" w:rsidRDefault="008F7D93" w:rsidP="00474E8C">
      <w:pPr>
        <w:pStyle w:val="NormalHanging12a"/>
        <w:jc w:val="both"/>
        <w:rPr>
          <w:b/>
          <w:i/>
          <w:color w:val="000000" w:themeColor="text1"/>
        </w:rPr>
      </w:pPr>
      <w:r w:rsidRPr="00DE0879">
        <w:rPr>
          <w:b/>
          <w:i/>
          <w:color w:val="000000" w:themeColor="text1"/>
        </w:rPr>
        <w:t>Ee (new) whereas growing capital mobility, along with the broader trends of globalisation and digitalisation over recent decades, have</w:t>
      </w:r>
      <w:r w:rsidR="006A114E" w:rsidRPr="00DE0879">
        <w:rPr>
          <w:b/>
          <w:i/>
          <w:color w:val="000000" w:themeColor="text1"/>
        </w:rPr>
        <w:t xml:space="preserve"> unintentionally</w:t>
      </w:r>
      <w:r w:rsidRPr="00DE0879">
        <w:rPr>
          <w:b/>
          <w:i/>
          <w:color w:val="000000" w:themeColor="text1"/>
        </w:rPr>
        <w:t xml:space="preserve"> progressively diminished the capacity of individual countries to ensure the effectiveness of their tax policy </w:t>
      </w:r>
      <w:r w:rsidRPr="00DE0879">
        <w:rPr>
          <w:b/>
          <w:color w:val="000000" w:themeColor="text1"/>
        </w:rPr>
        <w:t>(AM 23 S&amp;D)</w:t>
      </w:r>
      <w:r w:rsidRPr="00DE0879">
        <w:rPr>
          <w:b/>
          <w:i/>
          <w:color w:val="000000" w:themeColor="text1"/>
        </w:rPr>
        <w:t>;</w:t>
      </w:r>
    </w:p>
    <w:p w:rsidR="008F7D93" w:rsidRPr="00DE0879" w:rsidRDefault="008F7D93" w:rsidP="00474E8C">
      <w:pPr>
        <w:pStyle w:val="NormalHanging12a"/>
        <w:jc w:val="both"/>
        <w:rPr>
          <w:color w:val="000000" w:themeColor="text1"/>
        </w:rPr>
      </w:pPr>
      <w:r w:rsidRPr="00DE0879">
        <w:rPr>
          <w:b/>
          <w:i/>
          <w:color w:val="000000" w:themeColor="text1"/>
        </w:rPr>
        <w:t>Ef (new) whereas a European Commission study</w:t>
      </w:r>
      <w:r w:rsidRPr="00DE0879">
        <w:rPr>
          <w:b/>
          <w:i/>
          <w:color w:val="000000" w:themeColor="text1"/>
          <w:vertAlign w:val="superscript"/>
        </w:rPr>
        <w:t>1a</w:t>
      </w:r>
      <w:r w:rsidRPr="00DE0879">
        <w:rPr>
          <w:b/>
          <w:i/>
          <w:color w:val="000000" w:themeColor="text1"/>
        </w:rPr>
        <w:t xml:space="preserve"> estimated that businesses within the EU-28 incurred on average an annual tax compliance cost equivalent to 1.9% of their turnover in 2019; whereas among the various taxes, businesses regarded VAT and corporate tax as those with the highest compliance burden </w:t>
      </w:r>
      <w:r w:rsidRPr="00DE0879">
        <w:rPr>
          <w:b/>
          <w:color w:val="000000" w:themeColor="text1"/>
        </w:rPr>
        <w:t>(AM 24 Rapp)</w:t>
      </w:r>
      <w:r w:rsidRPr="00DE0879">
        <w:rPr>
          <w:b/>
          <w:i/>
          <w:color w:val="000000" w:themeColor="text1"/>
        </w:rPr>
        <w:t>;</w:t>
      </w:r>
    </w:p>
    <w:p w:rsidR="008F7D93" w:rsidRPr="00DE0879" w:rsidRDefault="008F7D93" w:rsidP="00474E8C">
      <w:pPr>
        <w:pStyle w:val="NormalHanging12a"/>
        <w:jc w:val="both"/>
        <w:rPr>
          <w:color w:val="000000" w:themeColor="text1"/>
        </w:rPr>
      </w:pPr>
      <w:r w:rsidRPr="00DE0879">
        <w:rPr>
          <w:color w:val="000000" w:themeColor="text1"/>
        </w:rPr>
        <w:t>F.</w:t>
      </w:r>
      <w:r w:rsidRPr="00DE0879">
        <w:rPr>
          <w:color w:val="000000" w:themeColor="text1"/>
        </w:rPr>
        <w:tab/>
        <w:t>whereas Draghi’s comprehensive report on the European Union’s economic situation warns about the EU’s declining productivity and competitiveness, and that, without decisive action, the EU faces a ‘slow and agonising decline’, also underscoring the necessity for coordinated policies</w:t>
      </w:r>
      <w:r w:rsidRPr="00DE0879">
        <w:rPr>
          <w:b/>
          <w:i/>
          <w:color w:val="000000" w:themeColor="text1"/>
        </w:rPr>
        <w:t xml:space="preserve"> </w:t>
      </w:r>
      <w:r w:rsidR="00565B30" w:rsidRPr="00DE0879">
        <w:rPr>
          <w:b/>
          <w:i/>
          <w:color w:val="000000" w:themeColor="text1"/>
        </w:rPr>
        <w:t xml:space="preserve">for example </w:t>
      </w:r>
      <w:r w:rsidRPr="00DE0879">
        <w:rPr>
          <w:strike/>
          <w:color w:val="000000" w:themeColor="text1"/>
        </w:rPr>
        <w:t>, reducing bureaucratic hurdles to enhance competitiveness and identifying and</w:t>
      </w:r>
      <w:r w:rsidRPr="00DE0879">
        <w:rPr>
          <w:color w:val="000000" w:themeColor="text1"/>
        </w:rPr>
        <w:t xml:space="preserve"> eliminating unnecessary </w:t>
      </w:r>
      <w:r w:rsidRPr="00DE0879">
        <w:rPr>
          <w:b/>
          <w:i/>
          <w:color w:val="000000" w:themeColor="text1"/>
        </w:rPr>
        <w:t xml:space="preserve">barriers and reducing bureaucratic </w:t>
      </w:r>
      <w:r w:rsidRPr="00DE0879">
        <w:rPr>
          <w:strike/>
          <w:color w:val="000000" w:themeColor="text1"/>
        </w:rPr>
        <w:t>rules, also in the area of</w:t>
      </w:r>
      <w:r w:rsidRPr="00DE0879">
        <w:rPr>
          <w:color w:val="000000" w:themeColor="text1"/>
        </w:rPr>
        <w:t xml:space="preserve"> taxation </w:t>
      </w:r>
      <w:r w:rsidRPr="00DE0879">
        <w:rPr>
          <w:b/>
          <w:i/>
          <w:color w:val="000000" w:themeColor="text1"/>
        </w:rPr>
        <w:t xml:space="preserve">related hurdles </w:t>
      </w:r>
      <w:r w:rsidRPr="00DE0879">
        <w:rPr>
          <w:b/>
          <w:color w:val="000000" w:themeColor="text1"/>
        </w:rPr>
        <w:t>(AM 26 ECR)</w:t>
      </w:r>
      <w:r w:rsidRPr="00DE0879">
        <w:rPr>
          <w:color w:val="000000" w:themeColor="text1"/>
        </w:rPr>
        <w:t>;</w:t>
      </w:r>
    </w:p>
    <w:p w:rsidR="008F7D93" w:rsidRPr="00DE0879" w:rsidRDefault="008F7D93" w:rsidP="00474E8C">
      <w:pPr>
        <w:pStyle w:val="NormalHanging12a"/>
        <w:jc w:val="both"/>
        <w:rPr>
          <w:b/>
          <w:i/>
          <w:color w:val="000000" w:themeColor="text1"/>
        </w:rPr>
      </w:pPr>
      <w:r w:rsidRPr="00DE0879">
        <w:rPr>
          <w:b/>
          <w:i/>
          <w:color w:val="000000" w:themeColor="text1"/>
        </w:rPr>
        <w:t xml:space="preserve">Fa (new) whereas tax policy fragmentation and overly complicated tax policy design create various obstacles for companies and citizens in the Single Market: legal uncertainty, red-tape, risk of double taxation, difficulties claiming tax refunds; </w:t>
      </w:r>
      <w:r w:rsidRPr="00DE0879">
        <w:rPr>
          <w:b/>
          <w:i/>
          <w:color w:val="000000" w:themeColor="text1"/>
          <w:u w:val="single"/>
        </w:rPr>
        <w:t>whereas such barriers</w:t>
      </w:r>
      <w:r w:rsidRPr="00DE0879">
        <w:rPr>
          <w:b/>
          <w:i/>
          <w:color w:val="000000" w:themeColor="text1"/>
        </w:rPr>
        <w:t xml:space="preserve"> discourage cross-border economic activity in the Single Market </w:t>
      </w:r>
      <w:r w:rsidRPr="00DE0879">
        <w:rPr>
          <w:b/>
          <w:i/>
          <w:color w:val="000000" w:themeColor="text1"/>
          <w:u w:val="single"/>
        </w:rPr>
        <w:t>and create</w:t>
      </w:r>
      <w:r w:rsidRPr="00DE0879">
        <w:rPr>
          <w:b/>
          <w:i/>
          <w:color w:val="000000" w:themeColor="text1"/>
        </w:rPr>
        <w:t xml:space="preserve"> risks for tax authorities such as double non-taxation and </w:t>
      </w:r>
      <w:r w:rsidRPr="00DE0879">
        <w:rPr>
          <w:b/>
          <w:i/>
          <w:color w:val="000000" w:themeColor="text1"/>
          <w:u w:val="single"/>
        </w:rPr>
        <w:t>opportunities for tax</w:t>
      </w:r>
      <w:r w:rsidRPr="00DE0879">
        <w:rPr>
          <w:b/>
          <w:i/>
          <w:color w:val="000000" w:themeColor="text1"/>
        </w:rPr>
        <w:t xml:space="preserve"> arbitrage </w:t>
      </w:r>
      <w:r w:rsidRPr="00DE0879">
        <w:rPr>
          <w:b/>
          <w:color w:val="000000" w:themeColor="text1"/>
        </w:rPr>
        <w:t>(AM 29 EPP)</w:t>
      </w:r>
      <w:r w:rsidRPr="00DE0879">
        <w:rPr>
          <w:b/>
          <w:i/>
          <w:color w:val="000000" w:themeColor="text1"/>
        </w:rPr>
        <w:t xml:space="preserve">; whereas Draghi’s comprehensive report also </w:t>
      </w:r>
      <w:r w:rsidRPr="00DE0879">
        <w:rPr>
          <w:b/>
          <w:i/>
          <w:color w:val="000000" w:themeColor="text1"/>
          <w:u w:val="single"/>
        </w:rPr>
        <w:t xml:space="preserve">highlights </w:t>
      </w:r>
      <w:r w:rsidRPr="00DE0879">
        <w:rPr>
          <w:b/>
          <w:i/>
          <w:color w:val="000000" w:themeColor="text1"/>
        </w:rPr>
        <w:t xml:space="preserve">the need to “eliminate any taxation obstacles to cross-border investing in the EU to reduce capital market fragmentation” </w:t>
      </w:r>
      <w:r w:rsidRPr="00DE0879">
        <w:rPr>
          <w:b/>
          <w:i/>
          <w:color w:val="000000" w:themeColor="text1"/>
          <w:u w:val="single"/>
        </w:rPr>
        <w:t>and</w:t>
      </w:r>
      <w:r w:rsidRPr="00DE0879">
        <w:rPr>
          <w:b/>
          <w:i/>
          <w:color w:val="000000" w:themeColor="text1"/>
        </w:rPr>
        <w:t xml:space="preserve"> stresses that “EU citizens should be able to invest in other Member States without complex taxation procedures, effectively resulting in double taxation” </w:t>
      </w:r>
      <w:r w:rsidRPr="00DE0879">
        <w:rPr>
          <w:b/>
          <w:color w:val="000000" w:themeColor="text1"/>
        </w:rPr>
        <w:t>(AM 28 S&amp;D)</w:t>
      </w:r>
      <w:r w:rsidRPr="00DE0879">
        <w:rPr>
          <w:b/>
          <w:i/>
          <w:color w:val="000000" w:themeColor="text1"/>
        </w:rPr>
        <w:t>;</w:t>
      </w:r>
    </w:p>
    <w:p w:rsidR="00B64ACA" w:rsidRPr="00DE0879" w:rsidRDefault="008F7D93" w:rsidP="00474E8C">
      <w:pPr>
        <w:pStyle w:val="NormalHanging12a"/>
        <w:jc w:val="both"/>
        <w:rPr>
          <w:b/>
          <w:i/>
          <w:color w:val="000000" w:themeColor="text1"/>
        </w:rPr>
      </w:pPr>
      <w:r w:rsidRPr="00DE0879">
        <w:rPr>
          <w:b/>
          <w:i/>
          <w:color w:val="000000" w:themeColor="text1"/>
        </w:rPr>
        <w:t xml:space="preserve">Fb (new) whereas the Letta report highlights that tax fragmentation remains a major barrier for EU businesses and SMEs in particular, and that a better alignment through </w:t>
      </w:r>
      <w:r w:rsidRPr="00DE0879">
        <w:rPr>
          <w:b/>
          <w:i/>
          <w:color w:val="000000" w:themeColor="text1"/>
          <w:u w:val="single"/>
        </w:rPr>
        <w:t>cooperation on</w:t>
      </w:r>
      <w:r w:rsidRPr="00DE0879">
        <w:rPr>
          <w:b/>
          <w:i/>
          <w:color w:val="000000" w:themeColor="text1"/>
        </w:rPr>
        <w:t xml:space="preserve"> EU tax framework is key to facilitating the free movement of workers, goods and services and in supporting growth and private investment</w:t>
      </w:r>
      <w:r w:rsidRPr="00DE0879">
        <w:rPr>
          <w:b/>
          <w:i/>
          <w:color w:val="000000" w:themeColor="text1"/>
          <w:vertAlign w:val="superscript"/>
        </w:rPr>
        <w:t>3f</w:t>
      </w:r>
      <w:r w:rsidRPr="00DE0879">
        <w:rPr>
          <w:b/>
          <w:i/>
          <w:color w:val="000000" w:themeColor="text1"/>
        </w:rPr>
        <w:t xml:space="preserve">;whereas robust and fair taxation is a key instrument in generating the revenues necessary to invest in and maintain SGIs across all regions of the Union </w:t>
      </w:r>
      <w:r w:rsidRPr="00DE0879">
        <w:rPr>
          <w:b/>
          <w:color w:val="000000" w:themeColor="text1"/>
        </w:rPr>
        <w:t>(AM 32 S&amp;D)</w:t>
      </w:r>
      <w:r w:rsidRPr="00DE0879">
        <w:rPr>
          <w:b/>
          <w:i/>
          <w:color w:val="000000" w:themeColor="text1"/>
        </w:rPr>
        <w:t>;</w:t>
      </w:r>
    </w:p>
    <w:p w:rsidR="00D50A31" w:rsidRPr="00DE0879" w:rsidRDefault="008415C5" w:rsidP="00474E8C">
      <w:pPr>
        <w:pStyle w:val="NormalHanging12a"/>
        <w:jc w:val="both"/>
        <w:rPr>
          <w:b/>
          <w:i/>
          <w:color w:val="000000" w:themeColor="text1"/>
        </w:rPr>
      </w:pPr>
      <w:r w:rsidRPr="00DE0879">
        <w:rPr>
          <w:b/>
          <w:i/>
          <w:color w:val="000000" w:themeColor="text1"/>
        </w:rPr>
        <w:t>Fc (new)</w:t>
      </w:r>
      <w:r w:rsidRPr="00DE0879">
        <w:rPr>
          <w:b/>
          <w:i/>
          <w:strike/>
          <w:color w:val="000000" w:themeColor="text1"/>
        </w:rPr>
        <w:t xml:space="preserve"> </w:t>
      </w:r>
      <w:r w:rsidRPr="00DE0879">
        <w:rPr>
          <w:rStyle w:val="Strong"/>
          <w:strike/>
          <w:color w:val="000000" w:themeColor="text1"/>
        </w:rPr>
        <w:t>whereas, in some cases, capital income</w:t>
      </w:r>
      <w:r w:rsidR="00B64ACA" w:rsidRPr="00DE0879">
        <w:rPr>
          <w:rStyle w:val="Strong"/>
          <w:strike/>
          <w:color w:val="000000" w:themeColor="text1"/>
        </w:rPr>
        <w:t xml:space="preserve"> </w:t>
      </w:r>
      <w:r w:rsidR="005D48AD" w:rsidRPr="00DE0879">
        <w:rPr>
          <w:rStyle w:val="Strong"/>
          <w:strike/>
          <w:color w:val="000000" w:themeColor="text1"/>
        </w:rPr>
        <w:t xml:space="preserve">may </w:t>
      </w:r>
      <w:r w:rsidRPr="00DE0879">
        <w:rPr>
          <w:rStyle w:val="Strong"/>
          <w:strike/>
          <w:color w:val="000000" w:themeColor="text1"/>
        </w:rPr>
        <w:t>receive more favourable tax treatment compared to labour income</w:t>
      </w:r>
      <w:r w:rsidR="005D48AD" w:rsidRPr="00DE0879">
        <w:rPr>
          <w:rStyle w:val="Strong"/>
          <w:strike/>
          <w:color w:val="000000" w:themeColor="text1"/>
        </w:rPr>
        <w:t>; whereas, this can potentially lead</w:t>
      </w:r>
      <w:r w:rsidRPr="00DE0879">
        <w:rPr>
          <w:rStyle w:val="Strong"/>
          <w:strike/>
          <w:color w:val="000000" w:themeColor="text1"/>
        </w:rPr>
        <w:t xml:space="preserve"> a disproportionate benefit to higher income earners; </w:t>
      </w:r>
      <w:r w:rsidR="005D48AD" w:rsidRPr="00DE0879">
        <w:rPr>
          <w:rStyle w:val="Strong"/>
          <w:strike/>
          <w:color w:val="000000" w:themeColor="text1"/>
        </w:rPr>
        <w:t xml:space="preserve">whereas, </w:t>
      </w:r>
      <w:r w:rsidRPr="00DE0879">
        <w:rPr>
          <w:rStyle w:val="Strong"/>
          <w:strike/>
          <w:color w:val="000000" w:themeColor="text1"/>
        </w:rPr>
        <w:t>acknowledges that such disparities may create complexity and legal uncertainty for cross-border investors;</w:t>
      </w:r>
      <w:r w:rsidR="00D957BF" w:rsidRPr="00DE0879">
        <w:rPr>
          <w:rStyle w:val="Strong"/>
          <w:strike/>
          <w:color w:val="000000" w:themeColor="text1"/>
        </w:rPr>
        <w:t xml:space="preserve"> </w:t>
      </w:r>
      <w:r w:rsidR="000A030B" w:rsidRPr="00DE0879">
        <w:rPr>
          <w:rStyle w:val="Strong"/>
          <w:strike/>
          <w:color w:val="000000" w:themeColor="text1"/>
        </w:rPr>
        <w:t>whereas, in many Member States there is a higher burden on labour income, mostly impacting low- to middle-income workers, especially women; whereas, a more balanced tax mix is</w:t>
      </w:r>
      <w:r w:rsidR="005D48AD" w:rsidRPr="00DE0879">
        <w:rPr>
          <w:rStyle w:val="Strong"/>
          <w:strike/>
          <w:color w:val="000000" w:themeColor="text1"/>
        </w:rPr>
        <w:t xml:space="preserve"> generally seen as important in preventing</w:t>
      </w:r>
      <w:r w:rsidR="000A030B" w:rsidRPr="00DE0879">
        <w:rPr>
          <w:rStyle w:val="Strong"/>
          <w:strike/>
          <w:color w:val="000000" w:themeColor="text1"/>
        </w:rPr>
        <w:t xml:space="preserve"> economic distortions; </w:t>
      </w:r>
      <w:r w:rsidR="00D957BF" w:rsidRPr="00DE0879">
        <w:rPr>
          <w:rStyle w:val="Strong"/>
          <w:strike/>
          <w:color w:val="000000" w:themeColor="text1"/>
        </w:rPr>
        <w:t>(AM 192, AM 215)</w:t>
      </w:r>
    </w:p>
    <w:sectPr w:rsidR="00D50A31" w:rsidRPr="00DE0879" w:rsidSect="001E1084">
      <w:footerReference w:type="even" r:id="rId18"/>
      <w:footerReference w:type="default" r:id="rId19"/>
      <w:footnotePr>
        <w:numRestart w:val="eachSect"/>
      </w:footnotePr>
      <w:pgSz w:w="11906" w:h="16838"/>
      <w:pgMar w:top="1134" w:right="1417" w:bottom="1417" w:left="1417" w:header="1134"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8D015A" w16cex:dateUtc="2025-05-14T12:23:00Z"/>
  <w16cex:commentExtensible w16cex:durableId="014E7F93" w16cex:dateUtc="2025-05-14T12:24:00Z"/>
  <w16cex:commentExtensible w16cex:durableId="19DFE8B0" w16cex:dateUtc="2025-05-14T12:53:00Z"/>
  <w16cex:commentExtensible w16cex:durableId="183A2838" w16cex:dateUtc="2025-05-14T14:08:00Z"/>
  <w16cex:commentExtensible w16cex:durableId="520D3873" w16cex:dateUtc="2025-05-14T14:10:00Z"/>
  <w16cex:commentExtensible w16cex:durableId="7FDE7164" w16cex:dateUtc="2025-05-14T14:11:00Z"/>
  <w16cex:commentExtensible w16cex:durableId="43AED92D" w16cex:dateUtc="2025-05-14T14:14:00Z"/>
  <w16cex:commentExtensible w16cex:durableId="1B63197E" w16cex:dateUtc="2025-05-14T14:21:00Z"/>
  <w16cex:commentExtensible w16cex:durableId="6BC2F439" w16cex:dateUtc="2025-05-14T14:23:00Z"/>
  <w16cex:commentExtensible w16cex:durableId="5B2948F6" w16cex:dateUtc="2025-05-14T14:24:00Z"/>
  <w16cex:commentExtensible w16cex:durableId="436364A0" w16cex:dateUtc="2025-05-14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DFC36" w16cid:durableId="738D015A"/>
  <w16cid:commentId w16cid:paraId="17BCFC9E" w16cid:durableId="014E7F93"/>
  <w16cid:commentId w16cid:paraId="2CA6985D" w16cid:durableId="19DFE8B0"/>
  <w16cid:commentId w16cid:paraId="3F244446" w16cid:durableId="183A2838"/>
  <w16cid:commentId w16cid:paraId="2B5D1DA5" w16cid:durableId="520D3873"/>
  <w16cid:commentId w16cid:paraId="2889F32D" w16cid:durableId="7FDE7164"/>
  <w16cid:commentId w16cid:paraId="17E35E8F" w16cid:durableId="1872D9F0"/>
  <w16cid:commentId w16cid:paraId="1F9DAA5C" w16cid:durableId="43AED92D"/>
  <w16cid:commentId w16cid:paraId="40E37415" w16cid:durableId="1B63197E"/>
  <w16cid:commentId w16cid:paraId="3C036320" w16cid:durableId="6BC2F439"/>
  <w16cid:commentId w16cid:paraId="63979A3A" w16cid:durableId="5B2948F6"/>
  <w16cid:commentId w16cid:paraId="4C73EB57" w16cid:durableId="41F539C5"/>
  <w16cid:commentId w16cid:paraId="6A9C3C2E" w16cid:durableId="436364A0"/>
  <w16cid:commentId w16cid:paraId="78E49316" w16cid:durableId="3C473C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C15" w:rsidRDefault="00B94C15">
      <w:r>
        <w:separator/>
      </w:r>
    </w:p>
  </w:endnote>
  <w:endnote w:type="continuationSeparator" w:id="0">
    <w:p w:rsidR="00B94C15" w:rsidRDefault="00B9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082829"/>
      <w:docPartObj>
        <w:docPartGallery w:val="Page Numbers (Bottom of Page)"/>
        <w:docPartUnique/>
      </w:docPartObj>
    </w:sdtPr>
    <w:sdtEndPr>
      <w:rPr>
        <w:noProof/>
      </w:rPr>
    </w:sdtEndPr>
    <w:sdtContent>
      <w:p w:rsidR="001E1084" w:rsidRDefault="001E1084">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1E1084" w:rsidRDefault="001E1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874142"/>
      <w:docPartObj>
        <w:docPartGallery w:val="Page Numbers (Bottom of Page)"/>
        <w:docPartUnique/>
      </w:docPartObj>
    </w:sdtPr>
    <w:sdtEndPr>
      <w:rPr>
        <w:noProof/>
      </w:rPr>
    </w:sdtEndPr>
    <w:sdtContent>
      <w:p w:rsidR="001176FF" w:rsidRDefault="001176FF">
        <w:pPr>
          <w:pStyle w:val="Footer"/>
          <w:jc w:val="center"/>
        </w:pPr>
        <w:r>
          <w:fldChar w:fldCharType="begin"/>
        </w:r>
        <w:r>
          <w:instrText xml:space="preserve"> PAGE   \* MERGEFORMAT </w:instrText>
        </w:r>
        <w:r>
          <w:fldChar w:fldCharType="separate"/>
        </w:r>
        <w:r w:rsidR="00DE0879">
          <w:rPr>
            <w:noProof/>
          </w:rPr>
          <w:t>18</w:t>
        </w:r>
        <w:r>
          <w:rPr>
            <w:noProof/>
          </w:rPr>
          <w:fldChar w:fldCharType="end"/>
        </w:r>
      </w:p>
    </w:sdtContent>
  </w:sdt>
  <w:p w:rsidR="001176FF" w:rsidRDefault="00117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C15" w:rsidRDefault="00B94C15">
      <w:r>
        <w:separator/>
      </w:r>
    </w:p>
  </w:footnote>
  <w:footnote w:type="continuationSeparator" w:id="0">
    <w:p w:rsidR="00B94C15" w:rsidRDefault="00B94C15">
      <w:r>
        <w:continuationSeparator/>
      </w:r>
    </w:p>
  </w:footnote>
  <w:footnote w:id="1">
    <w:p w:rsidR="001176FF" w:rsidRPr="00B830F6" w:rsidRDefault="001176FF" w:rsidP="008F7D93">
      <w:pPr>
        <w:pStyle w:val="FootnoteText"/>
        <w:rPr>
          <w:lang w:val="fi-FI"/>
        </w:rPr>
      </w:pPr>
      <w:r>
        <w:rPr>
          <w:rStyle w:val="FootnoteReference"/>
        </w:rPr>
        <w:footnoteRef/>
      </w:r>
      <w:r w:rsidRPr="00B830F6">
        <w:rPr>
          <w:lang w:val="fi-FI"/>
        </w:rPr>
        <w:t xml:space="preserve"> OJ L 157, 26.6.2003, p. 49.</w:t>
      </w:r>
    </w:p>
  </w:footnote>
  <w:footnote w:id="2">
    <w:p w:rsidR="001176FF" w:rsidRPr="00B830F6" w:rsidRDefault="001176FF" w:rsidP="008F7D93">
      <w:pPr>
        <w:pStyle w:val="FootnoteText"/>
        <w:rPr>
          <w:lang w:val="fi-FI"/>
        </w:rPr>
      </w:pPr>
      <w:r>
        <w:rPr>
          <w:rStyle w:val="FootnoteReference"/>
        </w:rPr>
        <w:footnoteRef/>
      </w:r>
      <w:r w:rsidRPr="00B830F6">
        <w:rPr>
          <w:lang w:val="fi-FI"/>
        </w:rPr>
        <w:t xml:space="preserve"> OJ L 345, 29.12.2011, p. 8.</w:t>
      </w:r>
    </w:p>
  </w:footnote>
  <w:footnote w:id="3">
    <w:p w:rsidR="001176FF" w:rsidRPr="00B830F6" w:rsidRDefault="001176FF" w:rsidP="008F7D93">
      <w:pPr>
        <w:pStyle w:val="FootnoteText"/>
        <w:rPr>
          <w:lang w:val="fi-FI"/>
        </w:rPr>
      </w:pPr>
      <w:r>
        <w:rPr>
          <w:rStyle w:val="FootnoteReference"/>
        </w:rPr>
        <w:footnoteRef/>
      </w:r>
      <w:r w:rsidRPr="00B830F6">
        <w:rPr>
          <w:lang w:val="fi-FI"/>
        </w:rPr>
        <w:t xml:space="preserve"> OJ L 328, 22.12.2022, p. 1, ELI: http://data.europa.eu/eli/dir/2022/2523/oj.</w:t>
      </w:r>
    </w:p>
  </w:footnote>
  <w:footnote w:id="4">
    <w:p w:rsidR="001176FF" w:rsidRPr="00B830F6" w:rsidRDefault="001176FF" w:rsidP="008F7D93">
      <w:pPr>
        <w:pStyle w:val="FootnoteText"/>
        <w:rPr>
          <w:lang w:val="fi-FI"/>
        </w:rPr>
      </w:pPr>
      <w:r>
        <w:rPr>
          <w:rStyle w:val="FootnoteReference"/>
        </w:rPr>
        <w:footnoteRef/>
      </w:r>
      <w:r w:rsidRPr="00B830F6">
        <w:rPr>
          <w:lang w:val="fi-FI"/>
        </w:rPr>
        <w:t xml:space="preserve"> OJ C 479, 16.12.2022, p. 89.</w:t>
      </w:r>
    </w:p>
  </w:footnote>
  <w:footnote w:id="5">
    <w:p w:rsidR="001176FF" w:rsidRPr="00B830F6" w:rsidRDefault="001176FF" w:rsidP="008F7D93">
      <w:pPr>
        <w:pStyle w:val="FootnoteText"/>
        <w:rPr>
          <w:lang w:val="fi-FI"/>
        </w:rPr>
      </w:pPr>
      <w:r>
        <w:rPr>
          <w:rStyle w:val="FootnoteReference"/>
        </w:rPr>
        <w:footnoteRef/>
      </w:r>
      <w:r w:rsidRPr="00B830F6">
        <w:rPr>
          <w:lang w:val="fi-FI"/>
        </w:rPr>
        <w:t xml:space="preserve"> OJ L, 2025/50, 10.1.2025, ELI: http://data.europa.eu/eli/dir/2025/50/oj.</w:t>
      </w:r>
    </w:p>
  </w:footnote>
  <w:footnote w:id="6">
    <w:p w:rsidR="001176FF" w:rsidRPr="00B830F6" w:rsidRDefault="001176FF" w:rsidP="008F7D93">
      <w:pPr>
        <w:pStyle w:val="FootnoteText"/>
        <w:rPr>
          <w:lang w:val="pl-PL"/>
        </w:rPr>
      </w:pPr>
      <w:r>
        <w:rPr>
          <w:rStyle w:val="FootnoteReference"/>
        </w:rPr>
        <w:footnoteRef/>
      </w:r>
      <w:r w:rsidRPr="00B830F6">
        <w:rPr>
          <w:lang w:val="pl-PL"/>
        </w:rPr>
        <w:t xml:space="preserve"> OJ C 342, 6.9.2022, p. 88.</w:t>
      </w:r>
    </w:p>
  </w:footnote>
  <w:footnote w:id="7">
    <w:p w:rsidR="001176FF" w:rsidRPr="00B830F6" w:rsidRDefault="001176FF" w:rsidP="008F7D93">
      <w:pPr>
        <w:pStyle w:val="FootnoteText"/>
        <w:rPr>
          <w:lang w:val="pl-PL"/>
        </w:rPr>
      </w:pPr>
      <w:r>
        <w:rPr>
          <w:rStyle w:val="FootnoteReference"/>
        </w:rPr>
        <w:footnoteRef/>
      </w:r>
      <w:r w:rsidRPr="00B830F6">
        <w:rPr>
          <w:lang w:val="pl-PL"/>
        </w:rPr>
        <w:t xml:space="preserve"> OJ C 132, 24.3.2022, p. 167.</w:t>
      </w:r>
    </w:p>
  </w:footnote>
  <w:footnote w:id="8">
    <w:p w:rsidR="001176FF" w:rsidRPr="00B830F6" w:rsidRDefault="001176FF" w:rsidP="008F7D93">
      <w:pPr>
        <w:pStyle w:val="FootnoteText"/>
        <w:rPr>
          <w:lang w:val="pl-PL"/>
        </w:rPr>
      </w:pPr>
      <w:r>
        <w:rPr>
          <w:rStyle w:val="FootnoteReference"/>
        </w:rPr>
        <w:footnoteRef/>
      </w:r>
      <w:r w:rsidRPr="00B830F6">
        <w:rPr>
          <w:lang w:val="pl-PL"/>
        </w:rPr>
        <w:t xml:space="preserve"> OJ C 342, 6.9.2022, p. 14.</w:t>
      </w:r>
    </w:p>
  </w:footnote>
  <w:footnote w:id="9">
    <w:p w:rsidR="001176FF" w:rsidRPr="00B830F6" w:rsidRDefault="001176FF" w:rsidP="008F7D93">
      <w:pPr>
        <w:pStyle w:val="FootnoteText"/>
        <w:rPr>
          <w:lang w:val="pl-PL"/>
        </w:rPr>
      </w:pPr>
      <w:r>
        <w:rPr>
          <w:rStyle w:val="FootnoteReference"/>
        </w:rPr>
        <w:footnoteRef/>
      </w:r>
      <w:r w:rsidRPr="00B830F6">
        <w:rPr>
          <w:lang w:val="pl-PL"/>
        </w:rPr>
        <w:t xml:space="preserve"> OJ C 347, 9.9.2022, p. 172.</w:t>
      </w:r>
    </w:p>
  </w:footnote>
  <w:footnote w:id="10">
    <w:p w:rsidR="001176FF" w:rsidRPr="00B830F6" w:rsidRDefault="001176FF" w:rsidP="008F7D93">
      <w:pPr>
        <w:pStyle w:val="FootnoteText"/>
        <w:rPr>
          <w:lang w:val="pl-PL"/>
        </w:rPr>
      </w:pPr>
      <w:r>
        <w:rPr>
          <w:rStyle w:val="FootnoteReference"/>
        </w:rPr>
        <w:footnoteRef/>
      </w:r>
      <w:r w:rsidRPr="00B830F6">
        <w:rPr>
          <w:lang w:val="pl-PL"/>
        </w:rPr>
        <w:t xml:space="preserve"> OJ C 132, 14.4.2023, p. 15.</w:t>
      </w:r>
    </w:p>
  </w:footnote>
  <w:footnote w:id="11">
    <w:p w:rsidR="001176FF" w:rsidRPr="00B830F6" w:rsidRDefault="001176FF" w:rsidP="008F7D93">
      <w:pPr>
        <w:pStyle w:val="FootnoteText"/>
        <w:rPr>
          <w:lang w:val="pl-PL"/>
        </w:rPr>
      </w:pPr>
      <w:r>
        <w:rPr>
          <w:rStyle w:val="FootnoteReference"/>
        </w:rPr>
        <w:footnoteRef/>
      </w:r>
      <w:r w:rsidRPr="00B830F6">
        <w:rPr>
          <w:lang w:val="pl-PL"/>
        </w:rPr>
        <w:t xml:space="preserve"> </w:t>
      </w:r>
      <w:hyperlink r:id="rId1" w:history="1">
        <w:r w:rsidRPr="00B830F6">
          <w:rPr>
            <w:color w:val="0000FF"/>
            <w:u w:val="single" w:color="0000FF"/>
            <w:lang w:val="pl-PL"/>
          </w:rPr>
          <w:t>OJ C 347, 9.9.2022, p. 211.</w:t>
        </w:r>
      </w:hyperlink>
    </w:p>
  </w:footnote>
  <w:footnote w:id="12">
    <w:p w:rsidR="001176FF" w:rsidRDefault="001176FF" w:rsidP="008F7D93">
      <w:pPr>
        <w:pStyle w:val="FootnoteText"/>
      </w:pPr>
      <w:r>
        <w:rPr>
          <w:rStyle w:val="FootnoteReference"/>
        </w:rPr>
        <w:footnoteRef/>
      </w:r>
      <w:r>
        <w:t xml:space="preserve"> Texts adopted, P9_TA(2022)0141.</w:t>
      </w:r>
    </w:p>
  </w:footnote>
  <w:footnote w:id="13">
    <w:p w:rsidR="001176FF" w:rsidRDefault="001176FF" w:rsidP="008F7D93">
      <w:pPr>
        <w:pStyle w:val="FootnoteText"/>
      </w:pPr>
      <w:r>
        <w:rPr>
          <w:rStyle w:val="FootnoteReference"/>
        </w:rPr>
        <w:footnoteRef/>
      </w:r>
      <w:r>
        <w:t xml:space="preserve"> OJ C, C/2024/492, 23.1.2024, ELI: http://data.europa.eu/eli/C/2024/492/oj.</w:t>
      </w:r>
    </w:p>
  </w:footnote>
  <w:footnote w:id="14">
    <w:p w:rsidR="001176FF" w:rsidRPr="00B830F6" w:rsidRDefault="001176FF" w:rsidP="008F7D93">
      <w:pPr>
        <w:pStyle w:val="FootnoteText"/>
        <w:rPr>
          <w:lang w:val="fi-FI"/>
        </w:rPr>
      </w:pPr>
      <w:r>
        <w:rPr>
          <w:rStyle w:val="FootnoteReference"/>
        </w:rPr>
        <w:footnoteRef/>
      </w:r>
      <w:r w:rsidRPr="00B830F6">
        <w:rPr>
          <w:lang w:val="fi-FI"/>
        </w:rPr>
        <w:t xml:space="preserve"> OJ C 2024/4165, 2.8.2024, ELI: http://data.europa.eu/eli/C/2024/4165/oj.</w:t>
      </w:r>
    </w:p>
  </w:footnote>
  <w:footnote w:id="15">
    <w:p w:rsidR="001176FF" w:rsidRDefault="001176FF" w:rsidP="008F7D93">
      <w:pPr>
        <w:pStyle w:val="FootnoteText"/>
      </w:pPr>
      <w:r>
        <w:rPr>
          <w:rStyle w:val="FootnoteReference"/>
        </w:rPr>
        <w:footnoteRef/>
      </w:r>
      <w:r>
        <w:t xml:space="preserve"> </w:t>
      </w:r>
      <w:hyperlink r:id="rId2" w:history="1">
        <w:r>
          <w:rPr>
            <w:color w:val="0000FF"/>
            <w:u w:val="single" w:color="0000FF"/>
          </w:rPr>
          <w:t>European Commission, Data on Taxation Trends, last updated on 10 March 2025.</w:t>
        </w:r>
      </w:hyperlink>
    </w:p>
  </w:footnote>
  <w:footnote w:id="16">
    <w:p w:rsidR="001176FF" w:rsidRDefault="001176FF" w:rsidP="008F7D93">
      <w:pPr>
        <w:pStyle w:val="FootnoteText"/>
      </w:pPr>
      <w:r>
        <w:rPr>
          <w:rStyle w:val="FootnoteReference"/>
        </w:rPr>
        <w:footnoteRef/>
      </w:r>
      <w:r>
        <w:t xml:space="preserve"> European Commission, Data on Taxation Trends, last updated on 10 March 2025.</w:t>
      </w:r>
    </w:p>
  </w:footnote>
  <w:footnote w:id="17">
    <w:p w:rsidR="001176FF" w:rsidRDefault="001176FF" w:rsidP="008F7D93">
      <w:pPr>
        <w:pStyle w:val="FootnoteText"/>
      </w:pPr>
      <w:r>
        <w:rPr>
          <w:rStyle w:val="FootnoteReference"/>
        </w:rPr>
        <w:footnoteRef/>
      </w:r>
      <w:r>
        <w:t xml:space="preserve"> European Commission, Data on Taxation Trends, last updated on 10 March 2025.</w:t>
      </w:r>
    </w:p>
  </w:footnote>
  <w:footnote w:id="18">
    <w:p w:rsidR="001176FF" w:rsidRDefault="001176FF" w:rsidP="008F7D93">
      <w:pPr>
        <w:pStyle w:val="FootnoteText"/>
      </w:pPr>
      <w:r>
        <w:rPr>
          <w:rStyle w:val="FootnoteReference"/>
        </w:rPr>
        <w:footnoteRef/>
      </w:r>
      <w:r>
        <w:t xml:space="preserve"> European Commission, </w:t>
      </w:r>
      <w:r>
        <w:rPr>
          <w:rStyle w:val="Italic"/>
        </w:rPr>
        <w:t>VAT gap in the EU</w:t>
      </w:r>
      <w:r>
        <w:t xml:space="preserve"> –</w:t>
      </w:r>
      <w:r>
        <w:rPr>
          <w:rStyle w:val="Italic"/>
        </w:rPr>
        <w:t xml:space="preserve"> 2024 report</w:t>
      </w:r>
      <w:r>
        <w:t>, 2024.</w:t>
      </w:r>
    </w:p>
  </w:footnote>
  <w:footnote w:id="19">
    <w:p w:rsidR="001176FF" w:rsidRDefault="001176FF" w:rsidP="008F7D93">
      <w:pPr>
        <w:pStyle w:val="FootnoteText"/>
      </w:pPr>
      <w:r>
        <w:rPr>
          <w:rStyle w:val="FootnoteReference"/>
        </w:rPr>
        <w:footnoteRef/>
      </w:r>
      <w:r>
        <w:t xml:space="preserve"> </w:t>
      </w:r>
      <w:hyperlink r:id="rId3" w:history="1">
        <w:r>
          <w:rPr>
            <w:color w:val="0000FF"/>
            <w:u w:val="single" w:color="0000FF"/>
          </w:rPr>
          <w:t>European commission: Directorate-General for Taxation and Customs Union, Annual report on taxation 2024 – Review of taxation policies in the European Union, 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54581"/>
    <w:multiLevelType w:val="hybridMultilevel"/>
    <w:tmpl w:val="F16C6036"/>
    <w:lvl w:ilvl="0" w:tplc="55A059A6">
      <w:start w:val="1"/>
      <w:numFmt w:val="bullet"/>
      <w:pStyle w:val="Normal12aBullet1"/>
      <w:lvlText w:val=""/>
      <w:lvlJc w:val="left"/>
      <w:pPr>
        <w:ind w:left="720" w:hanging="360"/>
      </w:pPr>
      <w:rPr>
        <w:rFonts w:ascii="Symbol" w:hAnsi="Symbol" w:hint="default"/>
      </w:rPr>
    </w:lvl>
    <w:lvl w:ilvl="1" w:tplc="A3080A40" w:tentative="1">
      <w:start w:val="1"/>
      <w:numFmt w:val="bullet"/>
      <w:lvlText w:val="o"/>
      <w:lvlJc w:val="left"/>
      <w:pPr>
        <w:ind w:left="1440" w:hanging="360"/>
      </w:pPr>
      <w:rPr>
        <w:rFonts w:ascii="Courier New" w:hAnsi="Courier New" w:cs="Courier New" w:hint="default"/>
      </w:rPr>
    </w:lvl>
    <w:lvl w:ilvl="2" w:tplc="A9BE732C" w:tentative="1">
      <w:start w:val="1"/>
      <w:numFmt w:val="bullet"/>
      <w:lvlText w:val=""/>
      <w:lvlJc w:val="left"/>
      <w:pPr>
        <w:ind w:left="2160" w:hanging="360"/>
      </w:pPr>
      <w:rPr>
        <w:rFonts w:ascii="Wingdings" w:hAnsi="Wingdings" w:hint="default"/>
      </w:rPr>
    </w:lvl>
    <w:lvl w:ilvl="3" w:tplc="CF7098AC" w:tentative="1">
      <w:start w:val="1"/>
      <w:numFmt w:val="bullet"/>
      <w:lvlText w:val=""/>
      <w:lvlJc w:val="left"/>
      <w:pPr>
        <w:ind w:left="2880" w:hanging="360"/>
      </w:pPr>
      <w:rPr>
        <w:rFonts w:ascii="Symbol" w:hAnsi="Symbol" w:hint="default"/>
      </w:rPr>
    </w:lvl>
    <w:lvl w:ilvl="4" w:tplc="7E920894" w:tentative="1">
      <w:start w:val="1"/>
      <w:numFmt w:val="bullet"/>
      <w:lvlText w:val="o"/>
      <w:lvlJc w:val="left"/>
      <w:pPr>
        <w:ind w:left="3600" w:hanging="360"/>
      </w:pPr>
      <w:rPr>
        <w:rFonts w:ascii="Courier New" w:hAnsi="Courier New" w:cs="Courier New" w:hint="default"/>
      </w:rPr>
    </w:lvl>
    <w:lvl w:ilvl="5" w:tplc="6592EE8A" w:tentative="1">
      <w:start w:val="1"/>
      <w:numFmt w:val="bullet"/>
      <w:lvlText w:val=""/>
      <w:lvlJc w:val="left"/>
      <w:pPr>
        <w:ind w:left="4320" w:hanging="360"/>
      </w:pPr>
      <w:rPr>
        <w:rFonts w:ascii="Wingdings" w:hAnsi="Wingdings" w:hint="default"/>
      </w:rPr>
    </w:lvl>
    <w:lvl w:ilvl="6" w:tplc="E81AF5A4" w:tentative="1">
      <w:start w:val="1"/>
      <w:numFmt w:val="bullet"/>
      <w:lvlText w:val=""/>
      <w:lvlJc w:val="left"/>
      <w:pPr>
        <w:ind w:left="5040" w:hanging="360"/>
      </w:pPr>
      <w:rPr>
        <w:rFonts w:ascii="Symbol" w:hAnsi="Symbol" w:hint="default"/>
      </w:rPr>
    </w:lvl>
    <w:lvl w:ilvl="7" w:tplc="326E0F38" w:tentative="1">
      <w:start w:val="1"/>
      <w:numFmt w:val="bullet"/>
      <w:lvlText w:val="o"/>
      <w:lvlJc w:val="left"/>
      <w:pPr>
        <w:ind w:left="5760" w:hanging="360"/>
      </w:pPr>
      <w:rPr>
        <w:rFonts w:ascii="Courier New" w:hAnsi="Courier New" w:cs="Courier New" w:hint="default"/>
      </w:rPr>
    </w:lvl>
    <w:lvl w:ilvl="8" w:tplc="2034E400" w:tentative="1">
      <w:start w:val="1"/>
      <w:numFmt w:val="bullet"/>
      <w:lvlText w:val=""/>
      <w:lvlJc w:val="left"/>
      <w:pPr>
        <w:ind w:left="6480" w:hanging="360"/>
      </w:pPr>
      <w:rPr>
        <w:rFonts w:ascii="Wingdings" w:hAnsi="Wingdings" w:hint="default"/>
      </w:rPr>
    </w:lvl>
  </w:abstractNum>
  <w:abstractNum w:abstractNumId="1" w15:restartNumberingAfterBreak="0">
    <w:nsid w:val="669B262C"/>
    <w:multiLevelType w:val="hybridMultilevel"/>
    <w:tmpl w:val="4B64CAC4"/>
    <w:lvl w:ilvl="0" w:tplc="3B5CA442">
      <w:start w:val="1"/>
      <w:numFmt w:val="decimal"/>
      <w:lvlText w:val="%1."/>
      <w:lvlJc w:val="left"/>
      <w:pPr>
        <w:ind w:left="1020" w:hanging="360"/>
      </w:pPr>
    </w:lvl>
    <w:lvl w:ilvl="1" w:tplc="E84AE430">
      <w:start w:val="1"/>
      <w:numFmt w:val="decimal"/>
      <w:lvlText w:val="%2."/>
      <w:lvlJc w:val="left"/>
      <w:pPr>
        <w:ind w:left="1020" w:hanging="360"/>
      </w:pPr>
    </w:lvl>
    <w:lvl w:ilvl="2" w:tplc="BD2E3196">
      <w:start w:val="1"/>
      <w:numFmt w:val="decimal"/>
      <w:lvlText w:val="%3."/>
      <w:lvlJc w:val="left"/>
      <w:pPr>
        <w:ind w:left="1020" w:hanging="360"/>
      </w:pPr>
    </w:lvl>
    <w:lvl w:ilvl="3" w:tplc="C8922F9A">
      <w:start w:val="1"/>
      <w:numFmt w:val="decimal"/>
      <w:lvlText w:val="%4."/>
      <w:lvlJc w:val="left"/>
      <w:pPr>
        <w:ind w:left="1020" w:hanging="360"/>
      </w:pPr>
    </w:lvl>
    <w:lvl w:ilvl="4" w:tplc="9CCA5F34">
      <w:start w:val="1"/>
      <w:numFmt w:val="decimal"/>
      <w:lvlText w:val="%5."/>
      <w:lvlJc w:val="left"/>
      <w:pPr>
        <w:ind w:left="1020" w:hanging="360"/>
      </w:pPr>
    </w:lvl>
    <w:lvl w:ilvl="5" w:tplc="C4521CC4">
      <w:start w:val="1"/>
      <w:numFmt w:val="decimal"/>
      <w:lvlText w:val="%6."/>
      <w:lvlJc w:val="left"/>
      <w:pPr>
        <w:ind w:left="1020" w:hanging="360"/>
      </w:pPr>
    </w:lvl>
    <w:lvl w:ilvl="6" w:tplc="1090D938">
      <w:start w:val="1"/>
      <w:numFmt w:val="decimal"/>
      <w:lvlText w:val="%7."/>
      <w:lvlJc w:val="left"/>
      <w:pPr>
        <w:ind w:left="1020" w:hanging="360"/>
      </w:pPr>
    </w:lvl>
    <w:lvl w:ilvl="7" w:tplc="D7324288">
      <w:start w:val="1"/>
      <w:numFmt w:val="decimal"/>
      <w:lvlText w:val="%8."/>
      <w:lvlJc w:val="left"/>
      <w:pPr>
        <w:ind w:left="1020" w:hanging="360"/>
      </w:pPr>
    </w:lvl>
    <w:lvl w:ilvl="8" w:tplc="D8AAA88C">
      <w:start w:val="1"/>
      <w:numFmt w:val="decimal"/>
      <w:lvlText w:val="%9."/>
      <w:lvlJc w:val="left"/>
      <w:pPr>
        <w:ind w:left="1020" w:hanging="360"/>
      </w:pPr>
    </w:lvl>
  </w:abstractNum>
  <w:abstractNum w:abstractNumId="2" w15:restartNumberingAfterBreak="0">
    <w:nsid w:val="6D6C09CF"/>
    <w:multiLevelType w:val="hybridMultilevel"/>
    <w:tmpl w:val="0DAA9F68"/>
    <w:lvl w:ilvl="0" w:tplc="C478CAA0">
      <w:start w:val="1"/>
      <w:numFmt w:val="bullet"/>
      <w:pStyle w:val="Normal12aBullet2"/>
      <w:lvlText w:val="o"/>
      <w:lvlJc w:val="left"/>
      <w:pPr>
        <w:ind w:left="1080" w:hanging="360"/>
      </w:pPr>
      <w:rPr>
        <w:rFonts w:ascii="Courier New" w:hAnsi="Courier New" w:cs="Courier New" w:hint="default"/>
      </w:rPr>
    </w:lvl>
    <w:lvl w:ilvl="1" w:tplc="D316B0E6" w:tentative="1">
      <w:start w:val="1"/>
      <w:numFmt w:val="bullet"/>
      <w:lvlText w:val="o"/>
      <w:lvlJc w:val="left"/>
      <w:pPr>
        <w:ind w:left="1800" w:hanging="360"/>
      </w:pPr>
      <w:rPr>
        <w:rFonts w:ascii="Courier New" w:hAnsi="Courier New" w:cs="Courier New" w:hint="default"/>
      </w:rPr>
    </w:lvl>
    <w:lvl w:ilvl="2" w:tplc="D4DEC358" w:tentative="1">
      <w:start w:val="1"/>
      <w:numFmt w:val="bullet"/>
      <w:lvlText w:val=""/>
      <w:lvlJc w:val="left"/>
      <w:pPr>
        <w:ind w:left="2520" w:hanging="360"/>
      </w:pPr>
      <w:rPr>
        <w:rFonts w:ascii="Wingdings" w:hAnsi="Wingdings" w:hint="default"/>
      </w:rPr>
    </w:lvl>
    <w:lvl w:ilvl="3" w:tplc="B6BA77BC" w:tentative="1">
      <w:start w:val="1"/>
      <w:numFmt w:val="bullet"/>
      <w:lvlText w:val=""/>
      <w:lvlJc w:val="left"/>
      <w:pPr>
        <w:ind w:left="3240" w:hanging="360"/>
      </w:pPr>
      <w:rPr>
        <w:rFonts w:ascii="Symbol" w:hAnsi="Symbol" w:hint="default"/>
      </w:rPr>
    </w:lvl>
    <w:lvl w:ilvl="4" w:tplc="D7848714" w:tentative="1">
      <w:start w:val="1"/>
      <w:numFmt w:val="bullet"/>
      <w:lvlText w:val="o"/>
      <w:lvlJc w:val="left"/>
      <w:pPr>
        <w:ind w:left="3960" w:hanging="360"/>
      </w:pPr>
      <w:rPr>
        <w:rFonts w:ascii="Courier New" w:hAnsi="Courier New" w:cs="Courier New" w:hint="default"/>
      </w:rPr>
    </w:lvl>
    <w:lvl w:ilvl="5" w:tplc="937EE2B0" w:tentative="1">
      <w:start w:val="1"/>
      <w:numFmt w:val="bullet"/>
      <w:lvlText w:val=""/>
      <w:lvlJc w:val="left"/>
      <w:pPr>
        <w:ind w:left="4680" w:hanging="360"/>
      </w:pPr>
      <w:rPr>
        <w:rFonts w:ascii="Wingdings" w:hAnsi="Wingdings" w:hint="default"/>
      </w:rPr>
    </w:lvl>
    <w:lvl w:ilvl="6" w:tplc="FED845E2" w:tentative="1">
      <w:start w:val="1"/>
      <w:numFmt w:val="bullet"/>
      <w:lvlText w:val=""/>
      <w:lvlJc w:val="left"/>
      <w:pPr>
        <w:ind w:left="5400" w:hanging="360"/>
      </w:pPr>
      <w:rPr>
        <w:rFonts w:ascii="Symbol" w:hAnsi="Symbol" w:hint="default"/>
      </w:rPr>
    </w:lvl>
    <w:lvl w:ilvl="7" w:tplc="7862C822" w:tentative="1">
      <w:start w:val="1"/>
      <w:numFmt w:val="bullet"/>
      <w:lvlText w:val="o"/>
      <w:lvlJc w:val="left"/>
      <w:pPr>
        <w:ind w:left="6120" w:hanging="360"/>
      </w:pPr>
      <w:rPr>
        <w:rFonts w:ascii="Courier New" w:hAnsi="Courier New" w:cs="Courier New" w:hint="default"/>
      </w:rPr>
    </w:lvl>
    <w:lvl w:ilvl="8" w:tplc="579A0B06"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activeWritingStyle w:appName="MSWord" w:lang="fi-FI"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359C"/>
    <w:rsid w:val="0002405A"/>
    <w:rsid w:val="0002763B"/>
    <w:rsid w:val="00034201"/>
    <w:rsid w:val="00043A62"/>
    <w:rsid w:val="00057403"/>
    <w:rsid w:val="000576B7"/>
    <w:rsid w:val="000608E7"/>
    <w:rsid w:val="000718D2"/>
    <w:rsid w:val="0007202D"/>
    <w:rsid w:val="000778A7"/>
    <w:rsid w:val="00082E68"/>
    <w:rsid w:val="00084BD6"/>
    <w:rsid w:val="00084FC0"/>
    <w:rsid w:val="00085974"/>
    <w:rsid w:val="000860E6"/>
    <w:rsid w:val="0008632C"/>
    <w:rsid w:val="00087D2B"/>
    <w:rsid w:val="00090AA8"/>
    <w:rsid w:val="0009455F"/>
    <w:rsid w:val="000A030B"/>
    <w:rsid w:val="000B571B"/>
    <w:rsid w:val="000B71F6"/>
    <w:rsid w:val="000C3605"/>
    <w:rsid w:val="000C5D92"/>
    <w:rsid w:val="000D35B8"/>
    <w:rsid w:val="000D446A"/>
    <w:rsid w:val="000D5A43"/>
    <w:rsid w:val="000E5B76"/>
    <w:rsid w:val="000F063E"/>
    <w:rsid w:val="000F376C"/>
    <w:rsid w:val="00107940"/>
    <w:rsid w:val="001079FF"/>
    <w:rsid w:val="0011011A"/>
    <w:rsid w:val="00117218"/>
    <w:rsid w:val="001176FF"/>
    <w:rsid w:val="00144493"/>
    <w:rsid w:val="001544C8"/>
    <w:rsid w:val="0016444A"/>
    <w:rsid w:val="00166DB9"/>
    <w:rsid w:val="00175357"/>
    <w:rsid w:val="001904B0"/>
    <w:rsid w:val="001A3498"/>
    <w:rsid w:val="001A7D7B"/>
    <w:rsid w:val="001B1255"/>
    <w:rsid w:val="001B468B"/>
    <w:rsid w:val="001C2175"/>
    <w:rsid w:val="001C331E"/>
    <w:rsid w:val="001C41C0"/>
    <w:rsid w:val="001D16EA"/>
    <w:rsid w:val="001D4291"/>
    <w:rsid w:val="001E1084"/>
    <w:rsid w:val="001E7332"/>
    <w:rsid w:val="0021266D"/>
    <w:rsid w:val="00223438"/>
    <w:rsid w:val="00231912"/>
    <w:rsid w:val="00236C59"/>
    <w:rsid w:val="002416AB"/>
    <w:rsid w:val="00242A3A"/>
    <w:rsid w:val="00243EF3"/>
    <w:rsid w:val="00245802"/>
    <w:rsid w:val="00253C64"/>
    <w:rsid w:val="00260230"/>
    <w:rsid w:val="00277D11"/>
    <w:rsid w:val="00294B08"/>
    <w:rsid w:val="002B727E"/>
    <w:rsid w:val="002C092D"/>
    <w:rsid w:val="002C2B6C"/>
    <w:rsid w:val="002C6006"/>
    <w:rsid w:val="002D0382"/>
    <w:rsid w:val="002D3538"/>
    <w:rsid w:val="002D4870"/>
    <w:rsid w:val="002D677F"/>
    <w:rsid w:val="002E57B6"/>
    <w:rsid w:val="002F0827"/>
    <w:rsid w:val="002F4700"/>
    <w:rsid w:val="002F741C"/>
    <w:rsid w:val="00314A83"/>
    <w:rsid w:val="0032035F"/>
    <w:rsid w:val="0032170E"/>
    <w:rsid w:val="003218E9"/>
    <w:rsid w:val="003358D6"/>
    <w:rsid w:val="00335F70"/>
    <w:rsid w:val="00347034"/>
    <w:rsid w:val="003521C8"/>
    <w:rsid w:val="00353711"/>
    <w:rsid w:val="003726BA"/>
    <w:rsid w:val="00372B38"/>
    <w:rsid w:val="00394C40"/>
    <w:rsid w:val="00394CA7"/>
    <w:rsid w:val="00396066"/>
    <w:rsid w:val="003A080A"/>
    <w:rsid w:val="003C0E6C"/>
    <w:rsid w:val="003C3779"/>
    <w:rsid w:val="003C3E95"/>
    <w:rsid w:val="003D0B58"/>
    <w:rsid w:val="003D6B6E"/>
    <w:rsid w:val="003E3637"/>
    <w:rsid w:val="003E7C86"/>
    <w:rsid w:val="00405339"/>
    <w:rsid w:val="00407912"/>
    <w:rsid w:val="00423219"/>
    <w:rsid w:val="00436CB0"/>
    <w:rsid w:val="00443BC3"/>
    <w:rsid w:val="004536FD"/>
    <w:rsid w:val="00456A62"/>
    <w:rsid w:val="004571BD"/>
    <w:rsid w:val="00464586"/>
    <w:rsid w:val="00471054"/>
    <w:rsid w:val="00472ED4"/>
    <w:rsid w:val="00474E8C"/>
    <w:rsid w:val="00481A9A"/>
    <w:rsid w:val="0048740E"/>
    <w:rsid w:val="004963D3"/>
    <w:rsid w:val="004A1E56"/>
    <w:rsid w:val="004A6F5F"/>
    <w:rsid w:val="004B0719"/>
    <w:rsid w:val="004B1B9E"/>
    <w:rsid w:val="004B4943"/>
    <w:rsid w:val="004D01BB"/>
    <w:rsid w:val="004D23BD"/>
    <w:rsid w:val="004E5391"/>
    <w:rsid w:val="004E7454"/>
    <w:rsid w:val="004F22D6"/>
    <w:rsid w:val="004F305E"/>
    <w:rsid w:val="00503BB8"/>
    <w:rsid w:val="00513B4C"/>
    <w:rsid w:val="005269F1"/>
    <w:rsid w:val="005345CF"/>
    <w:rsid w:val="00536671"/>
    <w:rsid w:val="005376A0"/>
    <w:rsid w:val="00542E9E"/>
    <w:rsid w:val="00543825"/>
    <w:rsid w:val="005460BC"/>
    <w:rsid w:val="00565B30"/>
    <w:rsid w:val="00574EC7"/>
    <w:rsid w:val="00577929"/>
    <w:rsid w:val="00577F54"/>
    <w:rsid w:val="00582AEF"/>
    <w:rsid w:val="00582C80"/>
    <w:rsid w:val="00586DA4"/>
    <w:rsid w:val="00591C81"/>
    <w:rsid w:val="00591DB1"/>
    <w:rsid w:val="00591E69"/>
    <w:rsid w:val="005A0A86"/>
    <w:rsid w:val="005A39C1"/>
    <w:rsid w:val="005A3EB1"/>
    <w:rsid w:val="005A49A6"/>
    <w:rsid w:val="005B6A95"/>
    <w:rsid w:val="005C11D0"/>
    <w:rsid w:val="005C42F8"/>
    <w:rsid w:val="005C7E1B"/>
    <w:rsid w:val="005D0747"/>
    <w:rsid w:val="005D0BC5"/>
    <w:rsid w:val="005D4153"/>
    <w:rsid w:val="005D48AD"/>
    <w:rsid w:val="005E3979"/>
    <w:rsid w:val="005E7FD5"/>
    <w:rsid w:val="005F248A"/>
    <w:rsid w:val="005F3E97"/>
    <w:rsid w:val="00613C38"/>
    <w:rsid w:val="00622C65"/>
    <w:rsid w:val="006350F1"/>
    <w:rsid w:val="00637380"/>
    <w:rsid w:val="006476A3"/>
    <w:rsid w:val="00647713"/>
    <w:rsid w:val="0065455E"/>
    <w:rsid w:val="0065460D"/>
    <w:rsid w:val="006547DB"/>
    <w:rsid w:val="00654BFE"/>
    <w:rsid w:val="00675483"/>
    <w:rsid w:val="006A114E"/>
    <w:rsid w:val="006A3F49"/>
    <w:rsid w:val="006B14DF"/>
    <w:rsid w:val="006C7C1D"/>
    <w:rsid w:val="006D4781"/>
    <w:rsid w:val="006F78ED"/>
    <w:rsid w:val="00707D4A"/>
    <w:rsid w:val="0071040A"/>
    <w:rsid w:val="007518A4"/>
    <w:rsid w:val="007668EC"/>
    <w:rsid w:val="00772B7F"/>
    <w:rsid w:val="00795DE2"/>
    <w:rsid w:val="0079704E"/>
    <w:rsid w:val="007A3668"/>
    <w:rsid w:val="007A62DA"/>
    <w:rsid w:val="007B7F2D"/>
    <w:rsid w:val="007C025E"/>
    <w:rsid w:val="007C7468"/>
    <w:rsid w:val="007C76D4"/>
    <w:rsid w:val="007D7201"/>
    <w:rsid w:val="007F1862"/>
    <w:rsid w:val="008060BB"/>
    <w:rsid w:val="00811049"/>
    <w:rsid w:val="00813472"/>
    <w:rsid w:val="00814E9D"/>
    <w:rsid w:val="00824FB2"/>
    <w:rsid w:val="00837BE3"/>
    <w:rsid w:val="008415C5"/>
    <w:rsid w:val="008447E6"/>
    <w:rsid w:val="00845E8B"/>
    <w:rsid w:val="0084629D"/>
    <w:rsid w:val="008531C9"/>
    <w:rsid w:val="00857715"/>
    <w:rsid w:val="0086603B"/>
    <w:rsid w:val="00872C2B"/>
    <w:rsid w:val="008813B6"/>
    <w:rsid w:val="00885322"/>
    <w:rsid w:val="00890517"/>
    <w:rsid w:val="008915A8"/>
    <w:rsid w:val="008A22E9"/>
    <w:rsid w:val="008C17E1"/>
    <w:rsid w:val="008C6BBB"/>
    <w:rsid w:val="008C728D"/>
    <w:rsid w:val="008E4E52"/>
    <w:rsid w:val="008F2B47"/>
    <w:rsid w:val="008F7D93"/>
    <w:rsid w:val="00900D0F"/>
    <w:rsid w:val="00907995"/>
    <w:rsid w:val="009119C5"/>
    <w:rsid w:val="00911A15"/>
    <w:rsid w:val="00915548"/>
    <w:rsid w:val="00923BA1"/>
    <w:rsid w:val="009414CB"/>
    <w:rsid w:val="009618B3"/>
    <w:rsid w:val="00962E68"/>
    <w:rsid w:val="0096390D"/>
    <w:rsid w:val="0098399E"/>
    <w:rsid w:val="009855E0"/>
    <w:rsid w:val="00995DC6"/>
    <w:rsid w:val="009A0F02"/>
    <w:rsid w:val="009A3674"/>
    <w:rsid w:val="009B0D73"/>
    <w:rsid w:val="009B11BC"/>
    <w:rsid w:val="009B7CAE"/>
    <w:rsid w:val="009C52A9"/>
    <w:rsid w:val="009D2755"/>
    <w:rsid w:val="009D51D7"/>
    <w:rsid w:val="009D6E52"/>
    <w:rsid w:val="009E5BD5"/>
    <w:rsid w:val="00A049B0"/>
    <w:rsid w:val="00A07705"/>
    <w:rsid w:val="00A1254D"/>
    <w:rsid w:val="00A1526E"/>
    <w:rsid w:val="00A152CD"/>
    <w:rsid w:val="00A17DE0"/>
    <w:rsid w:val="00A22A0D"/>
    <w:rsid w:val="00A3463D"/>
    <w:rsid w:val="00A41113"/>
    <w:rsid w:val="00A429CC"/>
    <w:rsid w:val="00A4511D"/>
    <w:rsid w:val="00A50F27"/>
    <w:rsid w:val="00A53E1E"/>
    <w:rsid w:val="00A55A04"/>
    <w:rsid w:val="00A5661A"/>
    <w:rsid w:val="00A571FD"/>
    <w:rsid w:val="00A66A45"/>
    <w:rsid w:val="00A7473B"/>
    <w:rsid w:val="00A77B3E"/>
    <w:rsid w:val="00A92A3B"/>
    <w:rsid w:val="00A94502"/>
    <w:rsid w:val="00AA3AEB"/>
    <w:rsid w:val="00AA7AF6"/>
    <w:rsid w:val="00AB14E7"/>
    <w:rsid w:val="00AB3D12"/>
    <w:rsid w:val="00AC0C7B"/>
    <w:rsid w:val="00AD47F4"/>
    <w:rsid w:val="00AE5B58"/>
    <w:rsid w:val="00AF0D8B"/>
    <w:rsid w:val="00AF6648"/>
    <w:rsid w:val="00B01152"/>
    <w:rsid w:val="00B03B73"/>
    <w:rsid w:val="00B14AD5"/>
    <w:rsid w:val="00B201C5"/>
    <w:rsid w:val="00B35468"/>
    <w:rsid w:val="00B35CD4"/>
    <w:rsid w:val="00B37F0B"/>
    <w:rsid w:val="00B64ACA"/>
    <w:rsid w:val="00B65BDE"/>
    <w:rsid w:val="00B71063"/>
    <w:rsid w:val="00B767E8"/>
    <w:rsid w:val="00B830F6"/>
    <w:rsid w:val="00B94C15"/>
    <w:rsid w:val="00BA1998"/>
    <w:rsid w:val="00BA27F6"/>
    <w:rsid w:val="00BA2BB9"/>
    <w:rsid w:val="00BA73DE"/>
    <w:rsid w:val="00BA77DB"/>
    <w:rsid w:val="00BC165B"/>
    <w:rsid w:val="00BC1A80"/>
    <w:rsid w:val="00BC6780"/>
    <w:rsid w:val="00BD032C"/>
    <w:rsid w:val="00BE591F"/>
    <w:rsid w:val="00BE6EA3"/>
    <w:rsid w:val="00BE7C39"/>
    <w:rsid w:val="00BF5BCD"/>
    <w:rsid w:val="00BF6FB9"/>
    <w:rsid w:val="00BF773A"/>
    <w:rsid w:val="00BF7E4D"/>
    <w:rsid w:val="00C02F45"/>
    <w:rsid w:val="00C11ACF"/>
    <w:rsid w:val="00C177BE"/>
    <w:rsid w:val="00C17B78"/>
    <w:rsid w:val="00C21B21"/>
    <w:rsid w:val="00C22E85"/>
    <w:rsid w:val="00C424EA"/>
    <w:rsid w:val="00C47661"/>
    <w:rsid w:val="00C52887"/>
    <w:rsid w:val="00C60F6F"/>
    <w:rsid w:val="00C7130F"/>
    <w:rsid w:val="00C82203"/>
    <w:rsid w:val="00C82515"/>
    <w:rsid w:val="00CA2A55"/>
    <w:rsid w:val="00CA2AF0"/>
    <w:rsid w:val="00CA31A0"/>
    <w:rsid w:val="00CA40E2"/>
    <w:rsid w:val="00CE2D5A"/>
    <w:rsid w:val="00CE3B72"/>
    <w:rsid w:val="00D23749"/>
    <w:rsid w:val="00D50A31"/>
    <w:rsid w:val="00D52F59"/>
    <w:rsid w:val="00D5345B"/>
    <w:rsid w:val="00D64A2F"/>
    <w:rsid w:val="00D734BE"/>
    <w:rsid w:val="00D84101"/>
    <w:rsid w:val="00D84BAE"/>
    <w:rsid w:val="00D957BF"/>
    <w:rsid w:val="00DA1882"/>
    <w:rsid w:val="00DB2D81"/>
    <w:rsid w:val="00DB45B2"/>
    <w:rsid w:val="00DB56FE"/>
    <w:rsid w:val="00DC6C8B"/>
    <w:rsid w:val="00DD7923"/>
    <w:rsid w:val="00DE0879"/>
    <w:rsid w:val="00DE26E0"/>
    <w:rsid w:val="00DE78DA"/>
    <w:rsid w:val="00DF79A1"/>
    <w:rsid w:val="00E02156"/>
    <w:rsid w:val="00E0267F"/>
    <w:rsid w:val="00E1549C"/>
    <w:rsid w:val="00E24E31"/>
    <w:rsid w:val="00E27DC1"/>
    <w:rsid w:val="00E317F5"/>
    <w:rsid w:val="00E31E6F"/>
    <w:rsid w:val="00E33DDE"/>
    <w:rsid w:val="00E34063"/>
    <w:rsid w:val="00E44489"/>
    <w:rsid w:val="00E951BA"/>
    <w:rsid w:val="00E97B53"/>
    <w:rsid w:val="00EA5EC6"/>
    <w:rsid w:val="00EB20E3"/>
    <w:rsid w:val="00EB43D4"/>
    <w:rsid w:val="00EB7D24"/>
    <w:rsid w:val="00EC47AE"/>
    <w:rsid w:val="00EE10F0"/>
    <w:rsid w:val="00EE7070"/>
    <w:rsid w:val="00F045D3"/>
    <w:rsid w:val="00F10E8D"/>
    <w:rsid w:val="00F12C20"/>
    <w:rsid w:val="00F178FA"/>
    <w:rsid w:val="00F238FD"/>
    <w:rsid w:val="00F26FA4"/>
    <w:rsid w:val="00F33DCF"/>
    <w:rsid w:val="00F3467D"/>
    <w:rsid w:val="00F3768C"/>
    <w:rsid w:val="00F63B6D"/>
    <w:rsid w:val="00F65C12"/>
    <w:rsid w:val="00F912D4"/>
    <w:rsid w:val="00F941BE"/>
    <w:rsid w:val="00FA1DA0"/>
    <w:rsid w:val="00FC1A16"/>
    <w:rsid w:val="00FD3EC5"/>
    <w:rsid w:val="00FE33F2"/>
    <w:rsid w:val="00FE4F28"/>
    <w:rsid w:val="00FE7E4C"/>
    <w:rsid w:val="00FF1AE1"/>
    <w:rsid w:val="00FF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B9394"/>
  <w15:docId w15:val="{DBE796C6-05A2-4390-892A-542076B0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0A31"/>
    <w:pPr>
      <w:widowControl w:val="0"/>
    </w:pPr>
    <w:rPr>
      <w:snapToGrid w:val="0"/>
      <w:sz w:val="24"/>
      <w:lang w:eastAsia="en-US"/>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EPComma">
    <w:name w:val="EPComma"/>
    <w:basedOn w:val="Normal"/>
    <w:rsid w:val="006A5366"/>
    <w:pPr>
      <w:spacing w:before="480" w:after="240"/>
    </w:pPr>
  </w:style>
  <w:style w:type="paragraph" w:customStyle="1" w:styleId="CoverNormal">
    <w:name w:val="CoverNormal"/>
    <w:basedOn w:val="Normal"/>
    <w:pPr>
      <w:ind w:left="1418"/>
    </w:pPr>
  </w:style>
  <w:style w:type="paragraph" w:customStyle="1" w:styleId="TOCRight">
    <w:name w:val="TOC Right"/>
    <w:basedOn w:val="Normal"/>
    <w:rsid w:val="00E839D9"/>
    <w:pPr>
      <w:spacing w:after="240"/>
      <w:jc w:val="right"/>
    </w:pPr>
  </w:style>
  <w:style w:type="paragraph" w:customStyle="1" w:styleId="CoverDateRefPart">
    <w:name w:val="CoverDateRefPart"/>
    <w:basedOn w:val="Normal"/>
    <w:rsid w:val="00C5424C"/>
    <w:pPr>
      <w:spacing w:after="1200"/>
    </w:pPr>
  </w:style>
  <w:style w:type="paragraph" w:customStyle="1" w:styleId="EPName">
    <w:name w:val="EPName"/>
    <w:basedOn w:val="Normal"/>
    <w:rsid w:val="00D16E15"/>
    <w:pPr>
      <w:spacing w:before="80" w:after="80"/>
    </w:pPr>
    <w:rPr>
      <w:rFonts w:ascii="Arial Narrow" w:hAnsi="Arial Narrow" w:cs="Arial"/>
      <w:b/>
      <w:snapToGrid/>
      <w:sz w:val="32"/>
      <w:szCs w:val="22"/>
      <w:lang w:eastAsia="en-GB"/>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styleId="FootnoteText">
    <w:name w:val="footnote text"/>
    <w:basedOn w:val="Normal"/>
    <w:link w:val="FootnoteTextChar"/>
    <w:semiHidden/>
    <w:rPr>
      <w:sz w:val="20"/>
    </w:rPr>
  </w:style>
  <w:style w:type="paragraph" w:customStyle="1" w:styleId="NormalBold">
    <w:name w:val="NormalBold"/>
    <w:basedOn w:val="Normal"/>
    <w:link w:val="NormalBoldChar"/>
    <w:rsid w:val="006A5366"/>
    <w:rPr>
      <w:b/>
    </w:rPr>
  </w:style>
  <w:style w:type="paragraph" w:customStyle="1" w:styleId="CoverReference">
    <w:name w:val="CoverReference"/>
    <w:basedOn w:val="Normal"/>
    <w:rsid w:val="00791131"/>
    <w:pPr>
      <w:spacing w:before="1080"/>
      <w:jc w:val="right"/>
    </w:pPr>
    <w:rPr>
      <w:rFonts w:ascii="Arial" w:hAnsi="Arial" w:cs="Arial"/>
      <w:b/>
    </w:rPr>
  </w:style>
  <w:style w:type="paragraph" w:customStyle="1" w:styleId="CoverNormal24a">
    <w:name w:val="CoverNormal24a"/>
    <w:basedOn w:val="Normal"/>
    <w:rsid w:val="00D20BEB"/>
    <w:pPr>
      <w:spacing w:after="480"/>
      <w:ind w:left="1417"/>
    </w:pPr>
  </w:style>
  <w:style w:type="paragraph" w:styleId="TOC1">
    <w:name w:val="toc 1"/>
    <w:basedOn w:val="Normal"/>
    <w:next w:val="Normal"/>
    <w:autoRedefine/>
    <w:uiPriority w:val="39"/>
    <w:rsid w:val="00E57F92"/>
    <w:pPr>
      <w:spacing w:after="240"/>
    </w:pPr>
  </w:style>
  <w:style w:type="paragraph" w:customStyle="1" w:styleId="TOCPage">
    <w:name w:val="TOC Page"/>
    <w:basedOn w:val="Normal"/>
    <w:next w:val="TOC1"/>
    <w:rsid w:val="004302F8"/>
    <w:pPr>
      <w:keepNext/>
      <w:spacing w:after="240"/>
      <w:jc w:val="right"/>
    </w:pPr>
    <w:rPr>
      <w:rFonts w:ascii="Arial" w:hAnsi="Arial"/>
      <w:b/>
    </w:rPr>
  </w:style>
  <w:style w:type="paragraph" w:customStyle="1" w:styleId="CoverDocType24a">
    <w:name w:val="CoverDocType24a"/>
    <w:basedOn w:val="Normal"/>
    <w:rsid w:val="00F03FCA"/>
    <w:pPr>
      <w:spacing w:after="480"/>
      <w:ind w:left="1418"/>
    </w:pPr>
    <w:rPr>
      <w:rFonts w:ascii="Arial" w:hAnsi="Arial"/>
      <w:b/>
      <w:sz w:val="48"/>
    </w:rPr>
  </w:style>
  <w:style w:type="character" w:customStyle="1" w:styleId="HideTWBInt">
    <w:name w:val="HideTWBInt"/>
    <w:rPr>
      <w:rFonts w:ascii="Arial" w:hAnsi="Arial" w:cs="Arial"/>
      <w:vanish/>
      <w:color w:val="808080"/>
      <w:sz w:val="20"/>
    </w:rPr>
  </w:style>
  <w:style w:type="paragraph" w:styleId="TOC2">
    <w:name w:val="toc 2"/>
    <w:basedOn w:val="Normal"/>
    <w:next w:val="Normal"/>
    <w:autoRedefine/>
    <w:semiHidden/>
    <w:pPr>
      <w:ind w:left="240"/>
    </w:pPr>
  </w:style>
  <w:style w:type="paragraph" w:customStyle="1" w:styleId="NormalHanging12a">
    <w:name w:val="NormalHanging12a"/>
    <w:basedOn w:val="Normal"/>
    <w:rsid w:val="00572801"/>
    <w:pPr>
      <w:widowControl/>
      <w:spacing w:after="240"/>
      <w:ind w:left="567" w:hanging="567"/>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customStyle="1" w:styleId="PageHeading">
    <w:name w:val="PageHeading"/>
    <w:basedOn w:val="Normal"/>
    <w:rsid w:val="00F03FCA"/>
    <w:pPr>
      <w:keepNext/>
      <w:spacing w:after="480"/>
      <w:jc w:val="center"/>
    </w:pPr>
    <w:rPr>
      <w:rFonts w:ascii="Arial" w:hAnsi="Arial" w:cs="Arial"/>
      <w:b/>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OCSubHeading">
    <w:name w:val="TOC SubHeading"/>
    <w:basedOn w:val="Normal"/>
    <w:rsid w:val="00F03FCA"/>
    <w:pPr>
      <w:spacing w:before="480" w:after="240"/>
    </w:pPr>
    <w:rPr>
      <w:b/>
    </w:rPr>
  </w:style>
  <w:style w:type="paragraph" w:customStyle="1" w:styleId="TOCTabLeader">
    <w:name w:val="TOC TabLeader"/>
    <w:basedOn w:val="Normal"/>
    <w:rsid w:val="00E839D9"/>
    <w:pPr>
      <w:tabs>
        <w:tab w:val="left" w:leader="dot" w:pos="5954"/>
      </w:tabs>
      <w:spacing w:after="240"/>
    </w:pPr>
  </w:style>
  <w:style w:type="paragraph" w:customStyle="1" w:styleId="CoverNormalHanging">
    <w:name w:val="CoverNormalHanging"/>
    <w:basedOn w:val="Normal"/>
    <w:rsid w:val="00BF1100"/>
    <w:pPr>
      <w:ind w:left="3686" w:hanging="2268"/>
    </w:pPr>
  </w:style>
  <w:style w:type="paragraph" w:styleId="TOCHeading">
    <w:name w:val="TOC Heading"/>
    <w:basedOn w:val="Normal"/>
    <w:next w:val="TOCPage"/>
    <w:rsid w:val="007F2104"/>
    <w:pPr>
      <w:keepNext/>
      <w:spacing w:before="240" w:after="240"/>
      <w:jc w:val="center"/>
    </w:pPr>
    <w:rPr>
      <w:rFonts w:ascii="Arial" w:hAnsi="Arial"/>
      <w:b/>
      <w:snapToGrid/>
      <w:lang w:eastAsia="en-GB"/>
    </w:rPr>
  </w:style>
  <w:style w:type="table" w:styleId="TableGrid">
    <w:name w:val="Table Grid"/>
    <w:basedOn w:val="TableNormal"/>
    <w:rsid w:val="00F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F03FCA"/>
    <w:pPr>
      <w:jc w:val="center"/>
    </w:pPr>
    <w:rPr>
      <w:rFonts w:ascii="Arial" w:hAnsi="Arial" w:cs="Arial"/>
      <w:i/>
      <w:snapToGrid/>
      <w:sz w:val="22"/>
      <w:szCs w:val="22"/>
      <w:lang w:eastAsia="en-GB"/>
    </w:rPr>
  </w:style>
  <w:style w:type="paragraph" w:customStyle="1" w:styleId="LineTop">
    <w:name w:val="LineTop"/>
    <w:basedOn w:val="Normal"/>
    <w:next w:val="Normal"/>
    <w:rsid w:val="00F732B6"/>
    <w:pPr>
      <w:pBdr>
        <w:top w:val="single" w:sz="4" w:space="1" w:color="auto"/>
      </w:pBdr>
      <w:jc w:val="center"/>
    </w:pPr>
    <w:rPr>
      <w:rFonts w:ascii="Arial" w:hAnsi="Arial" w:cs="Arial"/>
      <w:snapToGrid/>
      <w:sz w:val="16"/>
      <w:szCs w:val="16"/>
      <w:lang w:eastAsia="en-GB"/>
    </w:rPr>
  </w:style>
  <w:style w:type="paragraph" w:customStyle="1" w:styleId="LineBottom">
    <w:name w:val="LineBottom"/>
    <w:basedOn w:val="Normal"/>
    <w:next w:val="Normal"/>
    <w:rsid w:val="00791131"/>
    <w:pPr>
      <w:pBdr>
        <w:bottom w:val="single" w:sz="4" w:space="1" w:color="auto"/>
      </w:pBdr>
      <w:spacing w:after="240"/>
      <w:jc w:val="center"/>
    </w:pPr>
    <w:rPr>
      <w:rFonts w:ascii="Arial" w:hAnsi="Arial" w:cs="Arial"/>
      <w:snapToGrid/>
      <w:sz w:val="16"/>
      <w:szCs w:val="16"/>
      <w:lang w:eastAsia="en-GB"/>
    </w:rPr>
  </w:style>
  <w:style w:type="paragraph" w:customStyle="1" w:styleId="EPTerm">
    <w:name w:val="EPTerm"/>
    <w:basedOn w:val="Normal"/>
    <w:next w:val="Normal"/>
    <w:rsid w:val="00D16E15"/>
    <w:pPr>
      <w:spacing w:after="80"/>
    </w:pPr>
    <w:rPr>
      <w:rFonts w:ascii="Arial" w:hAnsi="Arial" w:cs="Arial"/>
      <w:snapToGrid/>
      <w:sz w:val="20"/>
      <w:szCs w:val="22"/>
      <w:lang w:eastAsia="en-GB"/>
    </w:rPr>
  </w:style>
  <w:style w:type="paragraph" w:customStyle="1" w:styleId="EPLogo">
    <w:name w:val="EPLogo"/>
    <w:basedOn w:val="Normal"/>
    <w:qFormat/>
    <w:rsid w:val="00D16E15"/>
    <w:pPr>
      <w:jc w:val="right"/>
    </w:pPr>
    <w:rPr>
      <w:snapToGrid/>
      <w:lang w:eastAsia="en-GB"/>
    </w:rPr>
  </w:style>
  <w:style w:type="paragraph" w:customStyle="1" w:styleId="CoverRefPart">
    <w:name w:val="CoverRefPart"/>
    <w:basedOn w:val="Normal"/>
    <w:rsid w:val="00577455"/>
    <w:pPr>
      <w:jc w:val="right"/>
    </w:pPr>
    <w:rPr>
      <w:rFonts w:ascii="Arial" w:hAnsi="Arial"/>
    </w:rPr>
  </w:style>
  <w:style w:type="paragraph" w:customStyle="1" w:styleId="Subheading">
    <w:name w:val="Subheading"/>
    <w:basedOn w:val="Normal"/>
    <w:rsid w:val="0065571D"/>
    <w:pPr>
      <w:spacing w:before="480" w:after="240"/>
    </w:pPr>
    <w:rPr>
      <w:b/>
      <w:bCs/>
      <w:i/>
      <w:iCs/>
    </w:rPr>
  </w:style>
  <w:style w:type="paragraph" w:customStyle="1" w:styleId="EPFooter">
    <w:name w:val="EPFooter"/>
    <w:basedOn w:val="Normal"/>
    <w:rsid w:val="007C663F"/>
    <w:pPr>
      <w:tabs>
        <w:tab w:val="center" w:pos="4535"/>
        <w:tab w:val="right" w:pos="9071"/>
      </w:tabs>
      <w:spacing w:before="240" w:after="240"/>
    </w:pPr>
    <w:rPr>
      <w:sz w:val="22"/>
    </w:rPr>
  </w:style>
  <w:style w:type="paragraph" w:styleId="Header">
    <w:name w:val="header"/>
    <w:basedOn w:val="Normal"/>
    <w:link w:val="HeaderChar"/>
    <w:semiHidden/>
    <w:rsid w:val="007C663F"/>
    <w:pPr>
      <w:tabs>
        <w:tab w:val="center" w:pos="4513"/>
        <w:tab w:val="right" w:pos="9026"/>
      </w:tabs>
    </w:pPr>
  </w:style>
  <w:style w:type="character" w:customStyle="1" w:styleId="HeaderChar">
    <w:name w:val="Header Char"/>
    <w:basedOn w:val="DefaultParagraphFont"/>
    <w:link w:val="Header"/>
    <w:semiHidden/>
    <w:rsid w:val="00791131"/>
    <w:rPr>
      <w:snapToGrid w:val="0"/>
      <w:sz w:val="24"/>
      <w:lang w:eastAsia="en-US"/>
    </w:rPr>
  </w:style>
  <w:style w:type="character" w:styleId="PageNumber">
    <w:name w:val="page number"/>
    <w:basedOn w:val="DefaultParagraphFont"/>
    <w:semiHidden/>
    <w:rsid w:val="00131752"/>
  </w:style>
  <w:style w:type="paragraph" w:customStyle="1" w:styleId="AmColumnHeading">
    <w:name w:val="AmColumnHeading"/>
    <w:basedOn w:val="Normal"/>
    <w:rsid w:val="00B47478"/>
    <w:pPr>
      <w:spacing w:after="240"/>
      <w:jc w:val="center"/>
    </w:pPr>
    <w:rPr>
      <w:i/>
      <w:snapToGrid/>
      <w:lang w:eastAsia="en-GB"/>
    </w:rPr>
  </w:style>
  <w:style w:type="paragraph" w:customStyle="1" w:styleId="AmCrossRef">
    <w:name w:val="AmCrossRef"/>
    <w:basedOn w:val="Normal"/>
    <w:rsid w:val="00B47478"/>
    <w:pPr>
      <w:spacing w:before="240" w:after="240"/>
      <w:jc w:val="center"/>
    </w:pPr>
    <w:rPr>
      <w:i/>
      <w:snapToGrid/>
      <w:lang w:eastAsia="en-GB"/>
    </w:rPr>
  </w:style>
  <w:style w:type="paragraph" w:customStyle="1" w:styleId="AmJustText">
    <w:name w:val="AmJustText"/>
    <w:basedOn w:val="Normal"/>
    <w:rsid w:val="00B47478"/>
    <w:pPr>
      <w:spacing w:after="240"/>
    </w:pPr>
    <w:rPr>
      <w:i/>
      <w:snapToGrid/>
      <w:lang w:eastAsia="en-GB"/>
    </w:rPr>
  </w:style>
  <w:style w:type="paragraph" w:customStyle="1" w:styleId="AmJustTitle">
    <w:name w:val="AmJustTitle"/>
    <w:basedOn w:val="Normal"/>
    <w:next w:val="AmJustText"/>
    <w:rsid w:val="00B47478"/>
    <w:pPr>
      <w:keepNext/>
      <w:spacing w:before="240" w:after="240"/>
      <w:jc w:val="center"/>
    </w:pPr>
    <w:rPr>
      <w:i/>
      <w:snapToGrid/>
      <w:lang w:eastAsia="en-GB"/>
    </w:rPr>
  </w:style>
  <w:style w:type="paragraph" w:customStyle="1" w:styleId="AmNumberTabs">
    <w:name w:val="AmNumberTabs"/>
    <w:basedOn w:val="Normal"/>
    <w:rsid w:val="00B47478"/>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napToGrid/>
      <w:lang w:eastAsia="en-GB"/>
    </w:rPr>
  </w:style>
  <w:style w:type="paragraph" w:customStyle="1" w:styleId="AmOrLang">
    <w:name w:val="AmOrLang"/>
    <w:basedOn w:val="Normal"/>
    <w:rsid w:val="00B47478"/>
    <w:pPr>
      <w:spacing w:before="240" w:after="240"/>
      <w:jc w:val="right"/>
    </w:pPr>
    <w:rPr>
      <w:snapToGrid/>
      <w:lang w:eastAsia="en-GB"/>
    </w:rPr>
  </w:style>
  <w:style w:type="paragraph" w:customStyle="1" w:styleId="AnnexWPDate">
    <w:name w:val="AnnexWPDate"/>
    <w:basedOn w:val="Normal"/>
    <w:rsid w:val="00B47478"/>
    <w:pPr>
      <w:spacing w:before="240" w:after="480"/>
      <w:jc w:val="right"/>
    </w:pPr>
    <w:rPr>
      <w:snapToGrid/>
      <w:lang w:eastAsia="en-GB"/>
    </w:rPr>
  </w:style>
  <w:style w:type="paragraph" w:customStyle="1" w:styleId="AnnexWPDocType">
    <w:name w:val="AnnexWPDocType"/>
    <w:basedOn w:val="Normal"/>
    <w:rsid w:val="00B47478"/>
    <w:pPr>
      <w:spacing w:after="240"/>
      <w:jc w:val="center"/>
    </w:pPr>
    <w:rPr>
      <w:b/>
      <w:snapToGrid/>
      <w:lang w:eastAsia="en-GB"/>
    </w:rPr>
  </w:style>
  <w:style w:type="paragraph" w:customStyle="1" w:styleId="AnnexWPLogo">
    <w:name w:val="AnnexWPLogo"/>
    <w:basedOn w:val="Normal"/>
    <w:rsid w:val="00B47478"/>
    <w:pPr>
      <w:spacing w:before="120" w:after="120"/>
    </w:pPr>
    <w:rPr>
      <w:snapToGrid/>
      <w:lang w:eastAsia="en-GB"/>
    </w:rPr>
  </w:style>
  <w:style w:type="paragraph" w:customStyle="1" w:styleId="AnnexWPSmall">
    <w:name w:val="AnnexWPSmall"/>
    <w:basedOn w:val="Normal"/>
    <w:rsid w:val="00B47478"/>
    <w:rPr>
      <w:smallCaps/>
      <w:snapToGrid/>
      <w:sz w:val="20"/>
      <w:lang w:eastAsia="en-GB"/>
    </w:rPr>
  </w:style>
  <w:style w:type="paragraph" w:customStyle="1" w:styleId="AnnexWPTabs">
    <w:name w:val="AnnexWPTabs"/>
    <w:basedOn w:val="Normal"/>
    <w:rsid w:val="00B47478"/>
    <w:pPr>
      <w:tabs>
        <w:tab w:val="right" w:pos="3686"/>
        <w:tab w:val="left" w:pos="3827"/>
      </w:tabs>
    </w:pPr>
    <w:rPr>
      <w:b/>
      <w:snapToGrid/>
      <w:lang w:eastAsia="en-GB"/>
    </w:rPr>
  </w:style>
  <w:style w:type="paragraph" w:customStyle="1" w:styleId="AnnexWPTitle">
    <w:name w:val="AnnexWPTitle"/>
    <w:basedOn w:val="Normal"/>
    <w:rsid w:val="00B47478"/>
    <w:pPr>
      <w:spacing w:before="480"/>
    </w:pPr>
    <w:rPr>
      <w:b/>
      <w:snapToGrid/>
      <w:lang w:eastAsia="en-GB"/>
    </w:rPr>
  </w:style>
  <w:style w:type="paragraph" w:customStyle="1" w:styleId="AmHeadingConsam">
    <w:name w:val="AmHeadingConsam"/>
    <w:basedOn w:val="Normal"/>
    <w:next w:val="Normal"/>
    <w:rsid w:val="00B47478"/>
    <w:pPr>
      <w:spacing w:before="720" w:after="240"/>
      <w:jc w:val="center"/>
    </w:pPr>
    <w:rPr>
      <w:snapToGrid/>
      <w:lang w:eastAsia="en-GB"/>
    </w:rPr>
  </w:style>
  <w:style w:type="paragraph" w:customStyle="1" w:styleId="CoverNormal12a">
    <w:name w:val="CoverNormal12a"/>
    <w:basedOn w:val="Normal"/>
    <w:rsid w:val="00B47478"/>
    <w:pPr>
      <w:spacing w:after="240"/>
      <w:ind w:left="1418"/>
    </w:pPr>
    <w:rPr>
      <w:snapToGrid/>
      <w:lang w:eastAsia="en-GB"/>
    </w:rPr>
  </w:style>
  <w:style w:type="paragraph" w:customStyle="1" w:styleId="Confidential">
    <w:name w:val="Confidential"/>
    <w:basedOn w:val="Normal"/>
    <w:rsid w:val="00B47478"/>
    <w:pPr>
      <w:spacing w:before="120" w:after="120"/>
      <w:jc w:val="center"/>
    </w:pPr>
    <w:rPr>
      <w:rFonts w:ascii="Arial" w:hAnsi="Arial"/>
      <w:caps/>
      <w:snapToGrid/>
      <w:lang w:eastAsia="en-GB"/>
    </w:rPr>
  </w:style>
  <w:style w:type="paragraph" w:customStyle="1" w:styleId="CoverReferenceIMM">
    <w:name w:val="CoverReferenceIMM"/>
    <w:basedOn w:val="Normal"/>
    <w:rsid w:val="00B47478"/>
    <w:pPr>
      <w:spacing w:before="360"/>
      <w:jc w:val="right"/>
    </w:pPr>
    <w:rPr>
      <w:rFonts w:ascii="Arial" w:hAnsi="Arial"/>
      <w:b/>
      <w:snapToGrid/>
      <w:lang w:eastAsia="en-GB"/>
    </w:rPr>
  </w:style>
  <w:style w:type="paragraph" w:customStyle="1" w:styleId="CoverDate">
    <w:name w:val="CoverDate"/>
    <w:basedOn w:val="Normal"/>
    <w:rsid w:val="00B47478"/>
    <w:pPr>
      <w:spacing w:before="240" w:after="1200"/>
    </w:pPr>
    <w:rPr>
      <w:snapToGrid/>
      <w:lang w:eastAsia="en-GB"/>
    </w:rPr>
  </w:style>
  <w:style w:type="paragraph" w:customStyle="1" w:styleId="CoverDocType">
    <w:name w:val="CoverDocType"/>
    <w:basedOn w:val="Normal"/>
    <w:rsid w:val="00B47478"/>
    <w:pPr>
      <w:ind w:left="1418"/>
    </w:pPr>
    <w:rPr>
      <w:rFonts w:ascii="Arial" w:hAnsi="Arial"/>
      <w:b/>
      <w:snapToGrid/>
      <w:sz w:val="48"/>
      <w:lang w:eastAsia="en-GB"/>
    </w:rPr>
  </w:style>
  <w:style w:type="character" w:styleId="FootnoteReference">
    <w:name w:val="footnote reference"/>
    <w:rsid w:val="00B47478"/>
    <w:rPr>
      <w:vertAlign w:val="superscript"/>
    </w:rPr>
  </w:style>
  <w:style w:type="paragraph" w:customStyle="1" w:styleId="NormalBold12a">
    <w:name w:val="NormalBold12a"/>
    <w:basedOn w:val="Normal"/>
    <w:rsid w:val="00B47478"/>
    <w:pPr>
      <w:spacing w:after="240"/>
    </w:pPr>
    <w:rPr>
      <w:b/>
      <w:snapToGrid/>
      <w:lang w:eastAsia="en-GB"/>
    </w:rPr>
  </w:style>
  <w:style w:type="paragraph" w:customStyle="1" w:styleId="NormalCenter12a">
    <w:name w:val="NormalCenter12a"/>
    <w:basedOn w:val="Normal"/>
    <w:rsid w:val="00B47478"/>
    <w:pPr>
      <w:spacing w:after="240"/>
      <w:jc w:val="center"/>
    </w:pPr>
    <w:rPr>
      <w:snapToGrid/>
      <w:lang w:eastAsia="en-GB"/>
    </w:rPr>
  </w:style>
  <w:style w:type="paragraph" w:customStyle="1" w:styleId="Normal6a">
    <w:name w:val="Normal6a"/>
    <w:basedOn w:val="Normal"/>
    <w:rsid w:val="00B47478"/>
    <w:pPr>
      <w:spacing w:after="120"/>
    </w:pPr>
    <w:rPr>
      <w:snapToGrid/>
      <w:lang w:eastAsia="en-GB"/>
    </w:rPr>
  </w:style>
  <w:style w:type="paragraph" w:customStyle="1" w:styleId="NormalBold12b">
    <w:name w:val="NormalBold12b"/>
    <w:basedOn w:val="Normal"/>
    <w:rsid w:val="00B47478"/>
    <w:pPr>
      <w:spacing w:before="240"/>
    </w:pPr>
    <w:rPr>
      <w:b/>
      <w:snapToGrid/>
      <w:lang w:eastAsia="en-GB"/>
    </w:rPr>
  </w:style>
  <w:style w:type="paragraph" w:customStyle="1" w:styleId="Arial14CentreBold">
    <w:name w:val="Arial14CentreBold"/>
    <w:basedOn w:val="Normal"/>
    <w:qFormat/>
    <w:rsid w:val="00A75A20"/>
    <w:pPr>
      <w:jc w:val="center"/>
    </w:pPr>
    <w:rPr>
      <w:rFonts w:ascii="Arial" w:hAnsi="Arial" w:cs="Arial"/>
      <w:b/>
      <w:snapToGrid/>
      <w:sz w:val="28"/>
      <w:szCs w:val="28"/>
      <w:lang w:eastAsia="en-GB"/>
    </w:rPr>
  </w:style>
  <w:style w:type="character" w:customStyle="1" w:styleId="Bold">
    <w:name w:val="Bold"/>
    <w:uiPriority w:val="1"/>
    <w:rsid w:val="0065571D"/>
    <w:rPr>
      <w:b/>
    </w:rPr>
  </w:style>
  <w:style w:type="character" w:customStyle="1" w:styleId="BoldItalic">
    <w:name w:val="BoldItalic"/>
    <w:uiPriority w:val="1"/>
    <w:rsid w:val="0065571D"/>
    <w:rPr>
      <w:b/>
      <w:i/>
      <w:u w:val="none"/>
    </w:rPr>
  </w:style>
  <w:style w:type="character" w:customStyle="1" w:styleId="BoldItalicUnderline">
    <w:name w:val="BoldItalicUnderline"/>
    <w:uiPriority w:val="1"/>
    <w:rsid w:val="0065571D"/>
    <w:rPr>
      <w:b/>
      <w:i/>
      <w:u w:val="single"/>
    </w:rPr>
  </w:style>
  <w:style w:type="character" w:customStyle="1" w:styleId="BoldUnderline">
    <w:name w:val="BoldUnderline"/>
    <w:uiPriority w:val="1"/>
    <w:rsid w:val="0065571D"/>
    <w:rPr>
      <w:b/>
      <w:u w:val="single"/>
    </w:rPr>
  </w:style>
  <w:style w:type="paragraph" w:customStyle="1" w:styleId="CoverNormalLeft">
    <w:name w:val="CoverNormalLeft"/>
    <w:basedOn w:val="CoverNormal"/>
    <w:qFormat/>
    <w:rsid w:val="00A75A20"/>
    <w:pPr>
      <w:ind w:left="0"/>
    </w:pPr>
    <w:rPr>
      <w:snapToGrid/>
      <w:lang w:eastAsia="en-GB"/>
    </w:rPr>
  </w:style>
  <w:style w:type="paragraph" w:customStyle="1" w:styleId="EPFooter2Landscape">
    <w:name w:val="EPFooter2Landscape"/>
    <w:qFormat/>
    <w:rsid w:val="00A75A20"/>
    <w:pPr>
      <w:tabs>
        <w:tab w:val="center" w:pos="4536"/>
        <w:tab w:val="center" w:pos="9923"/>
        <w:tab w:val="right" w:pos="15026"/>
      </w:tabs>
    </w:pPr>
    <w:rPr>
      <w:rFonts w:ascii="Arial" w:hAnsi="Arial" w:cs="Arial"/>
      <w:b/>
      <w:sz w:val="48"/>
      <w:szCs w:val="22"/>
    </w:rPr>
  </w:style>
  <w:style w:type="character" w:customStyle="1" w:styleId="EPFooter2Motto">
    <w:name w:val="EPFooter2Motto"/>
    <w:uiPriority w:val="1"/>
    <w:qFormat/>
    <w:rsid w:val="002707F5"/>
    <w:rPr>
      <w:rFonts w:ascii="Arial" w:hAnsi="Arial"/>
      <w:b/>
      <w:i/>
      <w:color w:val="C0C0C0"/>
      <w:sz w:val="22"/>
    </w:rPr>
  </w:style>
  <w:style w:type="paragraph" w:customStyle="1" w:styleId="EPFooterLandscape">
    <w:name w:val="EPFooterLandscape"/>
    <w:qFormat/>
    <w:rsid w:val="00A75A20"/>
    <w:pPr>
      <w:tabs>
        <w:tab w:val="center" w:pos="6804"/>
        <w:tab w:val="right" w:pos="15026"/>
      </w:tabs>
    </w:pPr>
    <w:rPr>
      <w:sz w:val="22"/>
    </w:rPr>
  </w:style>
  <w:style w:type="character" w:customStyle="1" w:styleId="Italic">
    <w:name w:val="Italic"/>
    <w:uiPriority w:val="1"/>
    <w:rsid w:val="0065571D"/>
    <w:rPr>
      <w:i/>
    </w:rPr>
  </w:style>
  <w:style w:type="character" w:customStyle="1" w:styleId="ItalicUnderline">
    <w:name w:val="ItalicUnderline"/>
    <w:uiPriority w:val="1"/>
    <w:rsid w:val="0065571D"/>
    <w:rPr>
      <w:i/>
      <w:u w:val="single"/>
    </w:rPr>
  </w:style>
  <w:style w:type="paragraph" w:customStyle="1" w:styleId="LegendSign">
    <w:name w:val="LegendSign"/>
    <w:basedOn w:val="Normal"/>
    <w:qFormat/>
    <w:rsid w:val="00A75A20"/>
    <w:pPr>
      <w:tabs>
        <w:tab w:val="right" w:pos="454"/>
        <w:tab w:val="left" w:pos="737"/>
      </w:tabs>
      <w:ind w:left="737" w:hanging="737"/>
    </w:pPr>
    <w:rPr>
      <w:snapToGrid/>
      <w:sz w:val="18"/>
      <w:lang w:eastAsia="en-GB"/>
    </w:rPr>
  </w:style>
  <w:style w:type="paragraph" w:customStyle="1" w:styleId="LegendStandard">
    <w:name w:val="LegendStandard"/>
    <w:basedOn w:val="LegendSign"/>
    <w:qFormat/>
    <w:rsid w:val="00A75A20"/>
    <w:pPr>
      <w:ind w:left="0" w:firstLine="0"/>
    </w:pPr>
  </w:style>
  <w:style w:type="paragraph" w:customStyle="1" w:styleId="LegendTitle">
    <w:name w:val="LegendTitle"/>
    <w:basedOn w:val="Normal"/>
    <w:qFormat/>
    <w:rsid w:val="00A75A20"/>
    <w:pPr>
      <w:spacing w:before="240" w:after="240"/>
    </w:pPr>
    <w:rPr>
      <w:b/>
      <w:i/>
      <w:snapToGrid/>
      <w:lang w:eastAsia="en-GB"/>
    </w:rPr>
  </w:style>
  <w:style w:type="character" w:customStyle="1" w:styleId="HideTermComment">
    <w:name w:val="HideTermComment"/>
    <w:uiPriority w:val="1"/>
    <w:qFormat/>
    <w:rsid w:val="00A75A20"/>
    <w:rPr>
      <w:rFonts w:ascii="Arial" w:hAnsi="Arial"/>
      <w:vanish/>
      <w:color w:val="0066CC"/>
      <w:sz w:val="18"/>
    </w:rPr>
  </w:style>
  <w:style w:type="character" w:customStyle="1" w:styleId="HideTerminTermComment">
    <w:name w:val="HideTerminTermComment"/>
    <w:basedOn w:val="HideTermComment"/>
    <w:uiPriority w:val="1"/>
    <w:qFormat/>
    <w:rsid w:val="00A75A20"/>
    <w:rPr>
      <w:rFonts w:ascii="Arial" w:hAnsi="Arial"/>
      <w:vanish/>
      <w:color w:val="E36C0A" w:themeColor="accent6" w:themeShade="BF"/>
      <w:sz w:val="18"/>
    </w:rPr>
  </w:style>
  <w:style w:type="paragraph" w:customStyle="1" w:styleId="Normal12a">
    <w:name w:val="Normal12a"/>
    <w:basedOn w:val="Normal"/>
    <w:rsid w:val="00031EA2"/>
    <w:pPr>
      <w:spacing w:after="240"/>
    </w:pPr>
    <w:rPr>
      <w:snapToGrid/>
      <w:lang w:eastAsia="en-GB"/>
    </w:rPr>
  </w:style>
  <w:style w:type="paragraph" w:customStyle="1" w:styleId="Normal12b">
    <w:name w:val="Normal12b"/>
    <w:basedOn w:val="Normal"/>
    <w:qFormat/>
    <w:rsid w:val="00A75A20"/>
    <w:pPr>
      <w:spacing w:before="240"/>
    </w:pPr>
    <w:rPr>
      <w:snapToGrid/>
      <w:lang w:eastAsia="en-GB"/>
    </w:rPr>
  </w:style>
  <w:style w:type="paragraph" w:customStyle="1" w:styleId="NormalBoldUnderline24b">
    <w:name w:val="NormalBoldUnderline24b"/>
    <w:basedOn w:val="Normal"/>
    <w:qFormat/>
    <w:rsid w:val="001038F2"/>
    <w:pPr>
      <w:spacing w:before="480"/>
    </w:pPr>
    <w:rPr>
      <w:b/>
      <w:snapToGrid/>
      <w:u w:val="single"/>
      <w:lang w:eastAsia="en-GB"/>
    </w:rPr>
  </w:style>
  <w:style w:type="paragraph" w:customStyle="1" w:styleId="NormalBoldUnderline24b12a">
    <w:name w:val="NormalBoldUnderline24b12a"/>
    <w:basedOn w:val="NormalBoldUnderline24b"/>
    <w:qFormat/>
    <w:rsid w:val="00A75A20"/>
    <w:pPr>
      <w:spacing w:after="240"/>
    </w:pPr>
  </w:style>
  <w:style w:type="paragraph" w:customStyle="1" w:styleId="Normal12aBullet1">
    <w:name w:val="Normal12aBullet1"/>
    <w:basedOn w:val="Normal"/>
    <w:qFormat/>
    <w:rsid w:val="00A75A20"/>
    <w:pPr>
      <w:widowControl/>
      <w:numPr>
        <w:numId w:val="1"/>
      </w:numPr>
    </w:pPr>
    <w:rPr>
      <w:snapToGrid/>
      <w:lang w:eastAsia="en-GB"/>
    </w:rPr>
  </w:style>
  <w:style w:type="paragraph" w:customStyle="1" w:styleId="Normal12aBullet2">
    <w:name w:val="Normal12aBullet2"/>
    <w:basedOn w:val="Normal"/>
    <w:qFormat/>
    <w:rsid w:val="00A75A20"/>
    <w:pPr>
      <w:numPr>
        <w:numId w:val="2"/>
      </w:numPr>
    </w:pPr>
    <w:rPr>
      <w:snapToGrid/>
      <w:lang w:eastAsia="en-GB"/>
    </w:rPr>
  </w:style>
  <w:style w:type="paragraph" w:customStyle="1" w:styleId="NormalHanging12a1">
    <w:name w:val="NormalHanging12a1"/>
    <w:basedOn w:val="Normal"/>
    <w:qFormat/>
    <w:rsid w:val="00C668A5"/>
    <w:pPr>
      <w:spacing w:after="240"/>
      <w:ind w:left="992" w:hanging="425"/>
    </w:pPr>
    <w:rPr>
      <w:snapToGrid/>
      <w:lang w:eastAsia="en-GB"/>
    </w:rPr>
  </w:style>
  <w:style w:type="paragraph" w:customStyle="1" w:styleId="NormalHanging12a2">
    <w:name w:val="NormalHanging12a2"/>
    <w:basedOn w:val="NormalHanging12a1"/>
    <w:qFormat/>
    <w:rsid w:val="00A75A20"/>
    <w:pPr>
      <w:ind w:left="1417"/>
    </w:pPr>
  </w:style>
  <w:style w:type="paragraph" w:customStyle="1" w:styleId="NormalHanging12a3">
    <w:name w:val="NormalHanging12a3"/>
    <w:basedOn w:val="NormalHanging12a2"/>
    <w:qFormat/>
    <w:rsid w:val="00A75A20"/>
    <w:pPr>
      <w:ind w:left="1843"/>
    </w:pPr>
  </w:style>
  <w:style w:type="paragraph" w:customStyle="1" w:styleId="NormalHanging12a4">
    <w:name w:val="NormalHanging12a4"/>
    <w:basedOn w:val="NormalHanging12a3"/>
    <w:qFormat/>
    <w:rsid w:val="00A75A20"/>
    <w:pPr>
      <w:ind w:left="2268"/>
    </w:pPr>
  </w:style>
  <w:style w:type="paragraph" w:customStyle="1" w:styleId="NormalHanging12a5">
    <w:name w:val="NormalHanging12a5"/>
    <w:basedOn w:val="NormalHanging12a4"/>
    <w:qFormat/>
    <w:rsid w:val="00A75A20"/>
    <w:pPr>
      <w:ind w:left="2693"/>
    </w:pPr>
  </w:style>
  <w:style w:type="paragraph" w:customStyle="1" w:styleId="NormalHanging12a6">
    <w:name w:val="NormalHanging12a6"/>
    <w:basedOn w:val="NormalHanging12a5"/>
    <w:qFormat/>
    <w:rsid w:val="00A75A20"/>
    <w:pPr>
      <w:ind w:left="3118"/>
    </w:pPr>
  </w:style>
  <w:style w:type="paragraph" w:customStyle="1" w:styleId="NormalHanging12a7">
    <w:name w:val="NormalHanging12a7"/>
    <w:basedOn w:val="NormalHanging12a6"/>
    <w:qFormat/>
    <w:rsid w:val="00A75A20"/>
    <w:pPr>
      <w:ind w:left="3544"/>
    </w:pPr>
  </w:style>
  <w:style w:type="paragraph" w:customStyle="1" w:styleId="NormalHangingCenter">
    <w:name w:val="NormalHangingCenter"/>
    <w:basedOn w:val="Normal"/>
    <w:qFormat/>
    <w:rsid w:val="00BC0B6B"/>
    <w:pPr>
      <w:spacing w:after="240"/>
      <w:ind w:left="567" w:hanging="567"/>
      <w:jc w:val="center"/>
    </w:pPr>
    <w:rPr>
      <w:snapToGrid/>
      <w:lang w:eastAsia="en-GB"/>
    </w:rPr>
  </w:style>
  <w:style w:type="paragraph" w:customStyle="1" w:styleId="NormalHangingJustified">
    <w:name w:val="NormalHangingJustified"/>
    <w:basedOn w:val="Normal"/>
    <w:qFormat/>
    <w:rsid w:val="00BC0B6B"/>
    <w:pPr>
      <w:spacing w:after="240"/>
      <w:ind w:left="714" w:hanging="357"/>
      <w:jc w:val="both"/>
    </w:pPr>
    <w:rPr>
      <w:snapToGrid/>
      <w:lang w:eastAsia="en-GB"/>
    </w:rPr>
  </w:style>
  <w:style w:type="paragraph" w:customStyle="1" w:styleId="NormalUnderline24b12a">
    <w:name w:val="NormalUnderline24b12a"/>
    <w:basedOn w:val="EPComma"/>
    <w:qFormat/>
    <w:rsid w:val="00A75A20"/>
    <w:rPr>
      <w:snapToGrid/>
      <w:u w:val="single"/>
      <w:lang w:eastAsia="en-GB"/>
    </w:rPr>
  </w:style>
  <w:style w:type="paragraph" w:customStyle="1" w:styleId="Normal2">
    <w:name w:val="Normal2"/>
    <w:next w:val="Normal"/>
    <w:qFormat/>
    <w:rsid w:val="00A75A20"/>
    <w:pPr>
      <w:spacing w:line="120" w:lineRule="auto"/>
    </w:pPr>
    <w:rPr>
      <w:color w:val="000000"/>
      <w:sz w:val="4"/>
      <w:szCs w:val="24"/>
    </w:rPr>
  </w:style>
  <w:style w:type="character" w:customStyle="1" w:styleId="NormalBI">
    <w:name w:val="NormalBI"/>
    <w:basedOn w:val="DefaultParagraphFont"/>
    <w:uiPriority w:val="1"/>
    <w:qFormat/>
    <w:rsid w:val="00A75A20"/>
    <w:rPr>
      <w:rFonts w:ascii="Times New Roman" w:hAnsi="Times New Roman"/>
      <w:b/>
      <w:i/>
      <w:sz w:val="24"/>
    </w:rPr>
  </w:style>
  <w:style w:type="paragraph" w:customStyle="1" w:styleId="NormalBoldItalic6a">
    <w:name w:val="NormalBoldItalic6a"/>
    <w:basedOn w:val="Normal6a"/>
    <w:qFormat/>
    <w:rsid w:val="00A75A20"/>
    <w:rPr>
      <w:b/>
      <w:i/>
    </w:rPr>
  </w:style>
  <w:style w:type="paragraph" w:customStyle="1" w:styleId="NormalBoldItalicCenter6a">
    <w:name w:val="NormalBoldItalicCenter6a"/>
    <w:basedOn w:val="Normal6a"/>
    <w:qFormat/>
    <w:rsid w:val="00A75A20"/>
    <w:pPr>
      <w:jc w:val="center"/>
    </w:pPr>
    <w:rPr>
      <w:b/>
      <w:i/>
    </w:rPr>
  </w:style>
  <w:style w:type="paragraph" w:customStyle="1" w:styleId="NormalItalic6a">
    <w:name w:val="NormalItalic6a"/>
    <w:basedOn w:val="Normal6a"/>
    <w:qFormat/>
    <w:rsid w:val="00A75A20"/>
    <w:rPr>
      <w:i/>
    </w:rPr>
  </w:style>
  <w:style w:type="paragraph" w:customStyle="1" w:styleId="PageHeadingNotTOC">
    <w:name w:val="PageHeadingNotTOC"/>
    <w:basedOn w:val="PageHeading"/>
    <w:rsid w:val="00A75A20"/>
    <w:rPr>
      <w:rFonts w:cs="Times New Roman"/>
      <w:snapToGrid/>
      <w:lang w:eastAsia="en-GB"/>
    </w:rPr>
  </w:style>
  <w:style w:type="character" w:customStyle="1" w:styleId="Sub">
    <w:name w:val="Sub"/>
    <w:uiPriority w:val="1"/>
    <w:qFormat/>
    <w:rsid w:val="0065571D"/>
    <w:rPr>
      <w:vertAlign w:val="subscript"/>
    </w:rPr>
  </w:style>
  <w:style w:type="character" w:customStyle="1" w:styleId="SubBold">
    <w:name w:val="SubBold"/>
    <w:uiPriority w:val="1"/>
    <w:qFormat/>
    <w:rsid w:val="0065571D"/>
    <w:rPr>
      <w:b/>
      <w:vertAlign w:val="subscript"/>
    </w:rPr>
  </w:style>
  <w:style w:type="character" w:customStyle="1" w:styleId="SubBoldItalic">
    <w:name w:val="SubBoldItalic"/>
    <w:uiPriority w:val="1"/>
    <w:rsid w:val="0065571D"/>
    <w:rPr>
      <w:b/>
      <w:i/>
      <w:vertAlign w:val="subscript"/>
    </w:rPr>
  </w:style>
  <w:style w:type="character" w:customStyle="1" w:styleId="SubItalic">
    <w:name w:val="SubItalic"/>
    <w:uiPriority w:val="1"/>
    <w:qFormat/>
    <w:rsid w:val="0065571D"/>
    <w:rPr>
      <w:b/>
      <w:i/>
      <w:vertAlign w:val="subscript"/>
    </w:rPr>
  </w:style>
  <w:style w:type="character" w:customStyle="1" w:styleId="Sup">
    <w:name w:val="Sup"/>
    <w:uiPriority w:val="1"/>
    <w:rsid w:val="0065571D"/>
    <w:rPr>
      <w:vertAlign w:val="superscript"/>
    </w:rPr>
  </w:style>
  <w:style w:type="character" w:customStyle="1" w:styleId="SupBoldItalic">
    <w:name w:val="SupBoldItalic"/>
    <w:uiPriority w:val="1"/>
    <w:qFormat/>
    <w:rsid w:val="0065571D"/>
    <w:rPr>
      <w:b/>
      <w:i/>
      <w:vertAlign w:val="superscript"/>
    </w:rPr>
  </w:style>
  <w:style w:type="character" w:customStyle="1" w:styleId="Underline">
    <w:name w:val="Underline"/>
    <w:uiPriority w:val="1"/>
    <w:rsid w:val="0065571D"/>
    <w:rPr>
      <w:u w:val="single"/>
    </w:rPr>
  </w:style>
  <w:style w:type="paragraph" w:customStyle="1" w:styleId="NormalBoldCenter">
    <w:name w:val="NormalBoldCenter"/>
    <w:basedOn w:val="Normal"/>
    <w:rsid w:val="00880359"/>
    <w:pPr>
      <w:jc w:val="center"/>
    </w:pPr>
    <w:rPr>
      <w:b/>
      <w:snapToGrid/>
      <w:lang w:eastAsia="en-GB"/>
    </w:rPr>
  </w:style>
  <w:style w:type="paragraph" w:customStyle="1" w:styleId="ProcedureTable">
    <w:name w:val="ProcedureTable"/>
    <w:basedOn w:val="Normal"/>
    <w:rsid w:val="008572D4"/>
    <w:rPr>
      <w:snapToGrid/>
      <w:sz w:val="20"/>
      <w:lang w:eastAsia="en-GB"/>
    </w:rPr>
  </w:style>
  <w:style w:type="paragraph" w:customStyle="1" w:styleId="ProcedureTableBold">
    <w:name w:val="ProcedureTableBold"/>
    <w:basedOn w:val="Normal"/>
    <w:rsid w:val="008572D4"/>
    <w:rPr>
      <w:b/>
      <w:snapToGrid/>
      <w:sz w:val="20"/>
      <w:lang w:eastAsia="en-GB"/>
    </w:rPr>
  </w:style>
  <w:style w:type="paragraph" w:customStyle="1" w:styleId="NormalCenter">
    <w:name w:val="NormalCenter"/>
    <w:basedOn w:val="Normal"/>
    <w:rsid w:val="00314D1A"/>
    <w:pPr>
      <w:jc w:val="center"/>
    </w:pPr>
    <w:rPr>
      <w:snapToGrid/>
      <w:lang w:eastAsia="en-GB"/>
    </w:rPr>
  </w:style>
  <w:style w:type="character" w:customStyle="1" w:styleId="SubBoldItalicUnderline">
    <w:name w:val="SubBoldItalicUnderline"/>
    <w:uiPriority w:val="1"/>
    <w:rsid w:val="0065571D"/>
    <w:rPr>
      <w:b/>
      <w:i/>
      <w:u w:val="single"/>
      <w:vertAlign w:val="subscript"/>
    </w:rPr>
  </w:style>
  <w:style w:type="character" w:customStyle="1" w:styleId="SubBoldUnderline">
    <w:name w:val="SubBoldUnderline"/>
    <w:uiPriority w:val="1"/>
    <w:rsid w:val="0065571D"/>
    <w:rPr>
      <w:b/>
      <w:u w:val="single"/>
      <w:vertAlign w:val="subscript"/>
    </w:rPr>
  </w:style>
  <w:style w:type="character" w:customStyle="1" w:styleId="SubItalicUnderline">
    <w:name w:val="SubItalicUnderline"/>
    <w:uiPriority w:val="1"/>
    <w:rsid w:val="0065571D"/>
    <w:rPr>
      <w:i/>
      <w:u w:val="single"/>
      <w:vertAlign w:val="subscript"/>
    </w:rPr>
  </w:style>
  <w:style w:type="character" w:customStyle="1" w:styleId="SubUnderline">
    <w:name w:val="SubUnderline"/>
    <w:uiPriority w:val="1"/>
    <w:rsid w:val="0065571D"/>
    <w:rPr>
      <w:u w:val="single"/>
      <w:vertAlign w:val="subscript"/>
    </w:rPr>
  </w:style>
  <w:style w:type="character" w:customStyle="1" w:styleId="SupBold">
    <w:name w:val="SupBold"/>
    <w:uiPriority w:val="1"/>
    <w:rsid w:val="0065571D"/>
    <w:rPr>
      <w:b/>
      <w:vertAlign w:val="superscript"/>
    </w:rPr>
  </w:style>
  <w:style w:type="character" w:customStyle="1" w:styleId="SupBoldItalicUnderline">
    <w:name w:val="SupBoldItalicUnderline"/>
    <w:uiPriority w:val="1"/>
    <w:rsid w:val="0065571D"/>
    <w:rPr>
      <w:b/>
      <w:i/>
      <w:u w:val="single"/>
      <w:vertAlign w:val="superscript"/>
    </w:rPr>
  </w:style>
  <w:style w:type="character" w:customStyle="1" w:styleId="SupBoldUnderline">
    <w:name w:val="SupBoldUnderline"/>
    <w:uiPriority w:val="1"/>
    <w:rsid w:val="0065571D"/>
    <w:rPr>
      <w:b/>
      <w:u w:val="single"/>
      <w:vertAlign w:val="superscript"/>
    </w:rPr>
  </w:style>
  <w:style w:type="character" w:customStyle="1" w:styleId="SupItalic">
    <w:name w:val="SupItalic"/>
    <w:uiPriority w:val="1"/>
    <w:rsid w:val="0065571D"/>
    <w:rPr>
      <w:i/>
      <w:vertAlign w:val="superscript"/>
    </w:rPr>
  </w:style>
  <w:style w:type="character" w:customStyle="1" w:styleId="SupItalicUnderline">
    <w:name w:val="SupItalicUnderline"/>
    <w:uiPriority w:val="1"/>
    <w:rsid w:val="0065571D"/>
    <w:rPr>
      <w:i/>
      <w:u w:val="single"/>
      <w:vertAlign w:val="superscript"/>
    </w:rPr>
  </w:style>
  <w:style w:type="character" w:customStyle="1" w:styleId="SupUnderline">
    <w:name w:val="SupUnderline"/>
    <w:uiPriority w:val="1"/>
    <w:rsid w:val="0065571D"/>
    <w:rPr>
      <w:u w:val="single"/>
      <w:vertAlign w:val="superscript"/>
    </w:rPr>
  </w:style>
  <w:style w:type="paragraph" w:customStyle="1" w:styleId="Normal24a">
    <w:name w:val="Normal24a"/>
    <w:basedOn w:val="Normal"/>
    <w:rsid w:val="00B140D0"/>
    <w:pPr>
      <w:spacing w:after="480"/>
    </w:pPr>
    <w:rPr>
      <w:snapToGrid/>
      <w:lang w:eastAsia="en-GB"/>
    </w:rPr>
  </w:style>
  <w:style w:type="paragraph" w:customStyle="1" w:styleId="Normal12a24b">
    <w:name w:val="Normal12a24b"/>
    <w:basedOn w:val="Normal"/>
    <w:rsid w:val="00D46F6C"/>
    <w:pPr>
      <w:spacing w:before="360" w:after="240"/>
    </w:pPr>
  </w:style>
  <w:style w:type="paragraph" w:customStyle="1" w:styleId="NormalTab">
    <w:name w:val="NormalTab"/>
    <w:basedOn w:val="Normal"/>
    <w:rsid w:val="00CC6F1E"/>
    <w:pPr>
      <w:tabs>
        <w:tab w:val="center" w:pos="284"/>
        <w:tab w:val="left" w:pos="425"/>
      </w:tabs>
    </w:pPr>
    <w:rPr>
      <w:snapToGrid/>
      <w:lang w:eastAsia="en-GB"/>
    </w:rPr>
  </w:style>
  <w:style w:type="character" w:styleId="Hyperlink">
    <w:name w:val="Hyperlink"/>
    <w:basedOn w:val="DefaultParagraphFont"/>
    <w:rsid w:val="00EF7B96"/>
    <w:rPr>
      <w:color w:val="0000FF"/>
      <w:u w:val="single"/>
    </w:rPr>
  </w:style>
  <w:style w:type="paragraph" w:styleId="Footer">
    <w:name w:val="footer"/>
    <w:basedOn w:val="Normal"/>
    <w:link w:val="FooterChar"/>
    <w:uiPriority w:val="99"/>
    <w:unhideWhenUsed/>
    <w:rsid w:val="00B830F6"/>
    <w:pPr>
      <w:tabs>
        <w:tab w:val="center" w:pos="4513"/>
        <w:tab w:val="right" w:pos="9026"/>
      </w:tabs>
    </w:pPr>
  </w:style>
  <w:style w:type="character" w:customStyle="1" w:styleId="FooterChar">
    <w:name w:val="Footer Char"/>
    <w:basedOn w:val="DefaultParagraphFont"/>
    <w:link w:val="Footer"/>
    <w:uiPriority w:val="99"/>
    <w:rsid w:val="00B830F6"/>
    <w:rPr>
      <w:snapToGrid w:val="0"/>
      <w:sz w:val="24"/>
      <w:lang w:eastAsia="en-US"/>
    </w:rPr>
  </w:style>
  <w:style w:type="paragraph" w:customStyle="1" w:styleId="Statut">
    <w:name w:val="Statut"/>
    <w:basedOn w:val="Normal"/>
    <w:next w:val="Normal"/>
    <w:rsid w:val="00B830F6"/>
    <w:pPr>
      <w:widowControl/>
      <w:spacing w:before="360"/>
      <w:jc w:val="center"/>
    </w:pPr>
    <w:rPr>
      <w:rFonts w:eastAsiaTheme="minorHAnsi"/>
      <w:snapToGrid/>
      <w:szCs w:val="22"/>
    </w:rPr>
  </w:style>
  <w:style w:type="character" w:customStyle="1" w:styleId="NormalBoldChar">
    <w:name w:val="NormalBold Char"/>
    <w:link w:val="NormalBold"/>
    <w:rsid w:val="00B830F6"/>
    <w:rPr>
      <w:b/>
      <w:snapToGrid w:val="0"/>
      <w:sz w:val="24"/>
      <w:lang w:eastAsia="en-US"/>
    </w:rPr>
  </w:style>
  <w:style w:type="character" w:customStyle="1" w:styleId="FootnoteTextChar">
    <w:name w:val="Footnote Text Char"/>
    <w:basedOn w:val="DefaultParagraphFont"/>
    <w:link w:val="FootnoteText"/>
    <w:semiHidden/>
    <w:rsid w:val="00D50A31"/>
    <w:rPr>
      <w:snapToGrid w:val="0"/>
      <w:lang w:eastAsia="en-US"/>
    </w:rPr>
  </w:style>
  <w:style w:type="character" w:customStyle="1" w:styleId="fadeinm1hgl8">
    <w:name w:val="_fadein_m1hgl_8"/>
    <w:basedOn w:val="DefaultParagraphFont"/>
    <w:rsid w:val="002C6006"/>
  </w:style>
  <w:style w:type="character" w:styleId="CommentReference">
    <w:name w:val="annotation reference"/>
    <w:basedOn w:val="DefaultParagraphFont"/>
    <w:semiHidden/>
    <w:unhideWhenUsed/>
    <w:rsid w:val="00A152CD"/>
    <w:rPr>
      <w:sz w:val="16"/>
      <w:szCs w:val="16"/>
    </w:rPr>
  </w:style>
  <w:style w:type="paragraph" w:styleId="CommentText">
    <w:name w:val="annotation text"/>
    <w:basedOn w:val="Normal"/>
    <w:link w:val="CommentTextChar"/>
    <w:unhideWhenUsed/>
    <w:rsid w:val="00A152CD"/>
    <w:rPr>
      <w:sz w:val="20"/>
    </w:rPr>
  </w:style>
  <w:style w:type="character" w:customStyle="1" w:styleId="CommentTextChar">
    <w:name w:val="Comment Text Char"/>
    <w:basedOn w:val="DefaultParagraphFont"/>
    <w:link w:val="CommentText"/>
    <w:rsid w:val="00A152CD"/>
    <w:rPr>
      <w:snapToGrid w:val="0"/>
      <w:lang w:eastAsia="en-US"/>
    </w:rPr>
  </w:style>
  <w:style w:type="paragraph" w:styleId="CommentSubject">
    <w:name w:val="annotation subject"/>
    <w:basedOn w:val="CommentText"/>
    <w:next w:val="CommentText"/>
    <w:link w:val="CommentSubjectChar"/>
    <w:semiHidden/>
    <w:unhideWhenUsed/>
    <w:rsid w:val="00A152CD"/>
    <w:rPr>
      <w:b/>
      <w:bCs/>
    </w:rPr>
  </w:style>
  <w:style w:type="character" w:customStyle="1" w:styleId="CommentSubjectChar">
    <w:name w:val="Comment Subject Char"/>
    <w:basedOn w:val="CommentTextChar"/>
    <w:link w:val="CommentSubject"/>
    <w:semiHidden/>
    <w:rsid w:val="00A152CD"/>
    <w:rPr>
      <w:b/>
      <w:bCs/>
      <w:snapToGrid w:val="0"/>
      <w:lang w:eastAsia="en-US"/>
    </w:rPr>
  </w:style>
  <w:style w:type="paragraph" w:styleId="BalloonText">
    <w:name w:val="Balloon Text"/>
    <w:basedOn w:val="Normal"/>
    <w:link w:val="BalloonTextChar"/>
    <w:semiHidden/>
    <w:unhideWhenUsed/>
    <w:rsid w:val="00A152CD"/>
    <w:rPr>
      <w:rFonts w:ascii="Segoe UI" w:hAnsi="Segoe UI" w:cs="Segoe UI"/>
      <w:sz w:val="18"/>
      <w:szCs w:val="18"/>
    </w:rPr>
  </w:style>
  <w:style w:type="character" w:customStyle="1" w:styleId="BalloonTextChar">
    <w:name w:val="Balloon Text Char"/>
    <w:basedOn w:val="DefaultParagraphFont"/>
    <w:link w:val="BalloonText"/>
    <w:semiHidden/>
    <w:rsid w:val="00A152CD"/>
    <w:rPr>
      <w:rFonts w:ascii="Segoe UI" w:hAnsi="Segoe UI" w:cs="Segoe UI"/>
      <w:snapToGrid w:val="0"/>
      <w:sz w:val="18"/>
      <w:szCs w:val="18"/>
      <w:lang w:eastAsia="en-US"/>
    </w:rPr>
  </w:style>
  <w:style w:type="paragraph" w:styleId="Revision">
    <w:name w:val="Revision"/>
    <w:hidden/>
    <w:uiPriority w:val="99"/>
    <w:semiHidden/>
    <w:rsid w:val="000D35B8"/>
    <w:rPr>
      <w:snapToGrid w:val="0"/>
      <w:sz w:val="24"/>
      <w:lang w:eastAsia="en-US"/>
    </w:rPr>
  </w:style>
  <w:style w:type="paragraph" w:styleId="NormalWeb">
    <w:name w:val="Normal (Web)"/>
    <w:basedOn w:val="Normal"/>
    <w:uiPriority w:val="99"/>
    <w:semiHidden/>
    <w:unhideWhenUsed/>
    <w:rsid w:val="008415C5"/>
    <w:pPr>
      <w:widowControl/>
      <w:spacing w:before="100" w:beforeAutospacing="1" w:after="100" w:afterAutospacing="1"/>
    </w:pPr>
    <w:rPr>
      <w:snapToGrid/>
      <w:szCs w:val="24"/>
      <w:lang w:eastAsia="en-GB"/>
    </w:rPr>
  </w:style>
  <w:style w:type="character" w:styleId="Strong">
    <w:name w:val="Strong"/>
    <w:basedOn w:val="DefaultParagraphFont"/>
    <w:uiPriority w:val="22"/>
    <w:qFormat/>
    <w:rsid w:val="008415C5"/>
    <w:rPr>
      <w:b/>
      <w:bCs/>
    </w:rPr>
  </w:style>
  <w:style w:type="character" w:styleId="FollowedHyperlink">
    <w:name w:val="FollowedHyperlink"/>
    <w:basedOn w:val="DefaultParagraphFont"/>
    <w:semiHidden/>
    <w:unhideWhenUsed/>
    <w:rsid w:val="005D0B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9538">
      <w:bodyDiv w:val="1"/>
      <w:marLeft w:val="0"/>
      <w:marRight w:val="0"/>
      <w:marTop w:val="0"/>
      <w:marBottom w:val="0"/>
      <w:divBdr>
        <w:top w:val="none" w:sz="0" w:space="0" w:color="auto"/>
        <w:left w:val="none" w:sz="0" w:space="0" w:color="auto"/>
        <w:bottom w:val="none" w:sz="0" w:space="0" w:color="auto"/>
        <w:right w:val="none" w:sz="0" w:space="0" w:color="auto"/>
      </w:divBdr>
    </w:div>
    <w:div w:id="91243207">
      <w:bodyDiv w:val="1"/>
      <w:marLeft w:val="0"/>
      <w:marRight w:val="0"/>
      <w:marTop w:val="0"/>
      <w:marBottom w:val="0"/>
      <w:divBdr>
        <w:top w:val="none" w:sz="0" w:space="0" w:color="auto"/>
        <w:left w:val="none" w:sz="0" w:space="0" w:color="auto"/>
        <w:bottom w:val="none" w:sz="0" w:space="0" w:color="auto"/>
        <w:right w:val="none" w:sz="0" w:space="0" w:color="auto"/>
      </w:divBdr>
    </w:div>
    <w:div w:id="176578211">
      <w:bodyDiv w:val="1"/>
      <w:marLeft w:val="0"/>
      <w:marRight w:val="0"/>
      <w:marTop w:val="0"/>
      <w:marBottom w:val="0"/>
      <w:divBdr>
        <w:top w:val="none" w:sz="0" w:space="0" w:color="auto"/>
        <w:left w:val="none" w:sz="0" w:space="0" w:color="auto"/>
        <w:bottom w:val="none" w:sz="0" w:space="0" w:color="auto"/>
        <w:right w:val="none" w:sz="0" w:space="0" w:color="auto"/>
      </w:divBdr>
    </w:div>
    <w:div w:id="805120137">
      <w:bodyDiv w:val="1"/>
      <w:marLeft w:val="0"/>
      <w:marRight w:val="0"/>
      <w:marTop w:val="0"/>
      <w:marBottom w:val="0"/>
      <w:divBdr>
        <w:top w:val="none" w:sz="0" w:space="0" w:color="auto"/>
        <w:left w:val="none" w:sz="0" w:space="0" w:color="auto"/>
        <w:bottom w:val="none" w:sz="0" w:space="0" w:color="auto"/>
        <w:right w:val="none" w:sz="0" w:space="0" w:color="auto"/>
      </w:divBdr>
    </w:div>
    <w:div w:id="1261986915">
      <w:bodyDiv w:val="1"/>
      <w:marLeft w:val="0"/>
      <w:marRight w:val="0"/>
      <w:marTop w:val="0"/>
      <w:marBottom w:val="0"/>
      <w:divBdr>
        <w:top w:val="none" w:sz="0" w:space="0" w:color="auto"/>
        <w:left w:val="none" w:sz="0" w:space="0" w:color="auto"/>
        <w:bottom w:val="none" w:sz="0" w:space="0" w:color="auto"/>
        <w:right w:val="none" w:sz="0" w:space="0" w:color="auto"/>
      </w:divBdr>
    </w:div>
    <w:div w:id="1401440321">
      <w:bodyDiv w:val="1"/>
      <w:marLeft w:val="0"/>
      <w:marRight w:val="0"/>
      <w:marTop w:val="0"/>
      <w:marBottom w:val="0"/>
      <w:divBdr>
        <w:top w:val="none" w:sz="0" w:space="0" w:color="auto"/>
        <w:left w:val="none" w:sz="0" w:space="0" w:color="auto"/>
        <w:bottom w:val="none" w:sz="0" w:space="0" w:color="auto"/>
        <w:right w:val="none" w:sz="0" w:space="0" w:color="auto"/>
      </w:divBdr>
    </w:div>
    <w:div w:id="1714187171">
      <w:bodyDiv w:val="1"/>
      <w:marLeft w:val="0"/>
      <w:marRight w:val="0"/>
      <w:marTop w:val="0"/>
      <w:marBottom w:val="0"/>
      <w:divBdr>
        <w:top w:val="none" w:sz="0" w:space="0" w:color="auto"/>
        <w:left w:val="none" w:sz="0" w:space="0" w:color="auto"/>
        <w:bottom w:val="none" w:sz="0" w:space="0" w:color="auto"/>
        <w:right w:val="none" w:sz="0" w:space="0" w:color="auto"/>
      </w:divBdr>
    </w:div>
    <w:div w:id="1752314650">
      <w:bodyDiv w:val="1"/>
      <w:marLeft w:val="0"/>
      <w:marRight w:val="0"/>
      <w:marTop w:val="0"/>
      <w:marBottom w:val="0"/>
      <w:divBdr>
        <w:top w:val="none" w:sz="0" w:space="0" w:color="auto"/>
        <w:left w:val="none" w:sz="0" w:space="0" w:color="auto"/>
        <w:bottom w:val="none" w:sz="0" w:space="0" w:color="auto"/>
        <w:right w:val="none" w:sz="0" w:space="0" w:color="auto"/>
      </w:divBdr>
    </w:div>
    <w:div w:id="189550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LL/?uri=CELEX:52020DC0312" TargetMode="External"/><Relationship Id="rId13" Type="http://schemas.openxmlformats.org/officeDocument/2006/relationships/hyperlink" Target="https://eur-lex.europa.eu/legal-content/EN/ALL/?uri=CELEX:52022PC0703"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EN/ALL/?uri=CELEX:52022PC0701" TargetMode="External"/><Relationship Id="rId17" Type="http://schemas.openxmlformats.org/officeDocument/2006/relationships/hyperlink" Target="https://eur-lex.europa.eu/legal-content/EN/ALL/?uri=CELEX:52023PC0529"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eur-lex.europa.eu/legal-content/EN/ALL/?uri=CELEX:52023PC05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ALL/?uri=CELEX:52022PC0216" TargetMode="External"/><Relationship Id="rId5" Type="http://schemas.openxmlformats.org/officeDocument/2006/relationships/webSettings" Target="webSettings.xml"/><Relationship Id="rId15" Type="http://schemas.openxmlformats.org/officeDocument/2006/relationships/hyperlink" Target="https://eur-lex.europa.eu/legal-content/EN/ALL/?uri=CELEX:52023PC0532" TargetMode="External"/><Relationship Id="rId10" Type="http://schemas.openxmlformats.org/officeDocument/2006/relationships/hyperlink" Target="https://eur-lex.europa.eu/legal-content/EN/ALL/?uri=CELEX:52021PC08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lex.europa.eu/legal-content/EN/ALL/?uri=CELEX:52021DC0251" TargetMode="External"/><Relationship Id="rId14" Type="http://schemas.openxmlformats.org/officeDocument/2006/relationships/hyperlink" Target="https://eur-lex.europa.eu/legal-content/EN/ALL/?uri=CELEX:52024PC027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RegData/docs_autres_institutions/commission_europeenne/swd/2024/0172/COM_SWD(2024)0172_EN.pdf" TargetMode="External"/><Relationship Id="rId2" Type="http://schemas.openxmlformats.org/officeDocument/2006/relationships/hyperlink" Target="https://taxation-customs.ec.europa.eu/news/data-taxation-trends-2025-03-10_en" TargetMode="External"/><Relationship Id="rId1" Type="http://schemas.openxmlformats.org/officeDocument/2006/relationships/hyperlink" Target="https://eur-lex.europa.eu/legal-content/EN/TXT/?uri=CELEX%3A52022IP0082&amp;qid=1742982891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CE65-EFD3-446A-86C1-0371D7F8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8308</Words>
  <Characters>45694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PR_INI</vt:lpstr>
    </vt:vector>
  </TitlesOfParts>
  <Company/>
  <LinksUpToDate>false</LinksUpToDate>
  <CharactersWithSpaces>53895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PR_INI</dc:title>
  <dc:creator>PIANO NUNES Diogo</dc:creator>
  <cp:lastModifiedBy>PIANO NUNES Diogo</cp:lastModifiedBy>
  <cp:revision>8</cp:revision>
  <cp:lastPrinted>2025-06-16T16:22:00Z</cp:lastPrinted>
  <dcterms:created xsi:type="dcterms:W3CDTF">2025-06-25T08:52:00Z</dcterms:created>
  <dcterms:modified xsi:type="dcterms:W3CDTF">2025-07-08T15:31:00Z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FdR&gt;">
    <vt:lpwstr>1317160</vt:lpwstr>
  </property>
  <property fmtid="{D5CDD505-2E9C-101B-9397-08002B2CF9AE}" pid="4" name="&lt;Model&gt;">
    <vt:lpwstr>PR_INI</vt:lpwstr>
  </property>
  <property fmtid="{D5CDD505-2E9C-101B-9397-08002B2CF9AE}" pid="5" name="&lt;Type&gt;">
    <vt:lpwstr>PR</vt:lpwstr>
  </property>
  <property fmtid="{D5CDD505-2E9C-101B-9397-08002B2CF9AE}" pid="6" name="DMXMLUID">
    <vt:lpwstr>20250415-163000-014311-521301</vt:lpwstr>
  </property>
  <property fmtid="{D5CDD505-2E9C-101B-9397-08002B2CF9AE}" pid="7" name="FooterPath">
    <vt:lpwstr>PR\1317160EN.doc</vt:lpwstr>
  </property>
  <property fmtid="{D5CDD505-2E9C-101B-9397-08002B2CF9AE}" pid="8" name="PE Number">
    <vt:lpwstr>770.261</vt:lpwstr>
  </property>
  <property fmtid="{D5CDD505-2E9C-101B-9397-08002B2CF9AE}" pid="9" name="UID">
    <vt:lpwstr>eu.europa.europarl-DIN1-2025-0000055156_01.05-en-01.00_text-xml</vt:lpwstr>
  </property>
</Properties>
</file>