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44"/>
        <w:gridCol w:w="4645"/>
      </w:tblGrid>
      <w:tr w:rsidRPr="007F2705" w:rsidR="000D6A84" w:rsidTr="006D78CA" w14:paraId="3610863D" w14:textId="77777777">
        <w:trPr>
          <w:cantSplit/>
        </w:trPr>
        <w:tc>
          <w:tcPr>
            <w:tcW w:w="4644" w:type="dxa"/>
          </w:tcPr>
          <w:p w:rsidRPr="007F2705" w:rsidR="000D6A84" w:rsidP="00A04FB7" w:rsidRDefault="00A10A48" w14:paraId="418167B5" w14:textId="202EDADD">
            <w:bookmarkStart w:name="_GoBack" w:id="0"/>
            <w:bookmarkEnd w:id="0"/>
            <w:r w:rsidRPr="00DA6B44">
              <w:rPr>
                <w:noProof/>
                <w:lang w:val="en-US"/>
              </w:rPr>
              <w:drawing>
                <wp:inline distT="0" distB="0" distL="0" distR="0" wp14:anchorId="4549A977" wp14:editId="08FE55D1">
                  <wp:extent cx="1799590" cy="1558925"/>
                  <wp:effectExtent l="0" t="0" r="0" b="3175"/>
                  <wp:docPr id="1" name="Picture 1" title="CoRLogo_EN"/>
                  <wp:cNvGraphicFramePr/>
                  <a:graphic xmlns:a="http://schemas.openxmlformats.org/drawingml/2006/main">
                    <a:graphicData uri="http://schemas.openxmlformats.org/drawingml/2006/picture">
                      <pic:pic xmlns:pic="http://schemas.openxmlformats.org/drawingml/2006/picture">
                        <pic:nvPicPr>
                          <pic:cNvPr id="1" name="Picture 1" title="CoRLogo_EN"/>
                          <pic:cNvPicPr/>
                        </pic:nvPicPr>
                        <pic:blipFill>
                          <a:blip r:embed="rId10"/>
                          <a:stretch>
                            <a:fillRect/>
                          </a:stretch>
                        </pic:blipFill>
                        <pic:spPr>
                          <a:xfrm>
                            <a:off x="0" y="0"/>
                            <a:ext cx="1799590" cy="1558925"/>
                          </a:xfrm>
                          <a:prstGeom prst="rect">
                            <a:avLst/>
                          </a:prstGeom>
                        </pic:spPr>
                      </pic:pic>
                    </a:graphicData>
                  </a:graphic>
                </wp:inline>
              </w:drawing>
            </w:r>
          </w:p>
        </w:tc>
        <w:tc>
          <w:tcPr>
            <w:tcW w:w="4645" w:type="dxa"/>
          </w:tcPr>
          <w:p w:rsidRPr="007F2705" w:rsidR="000D6A84" w:rsidP="00A04FB7" w:rsidRDefault="000D6A84" w14:paraId="1C7455E9" w14:textId="77777777"/>
        </w:tc>
      </w:tr>
      <w:tr w:rsidRPr="007F2705" w:rsidR="00444A98" w:rsidTr="006D78CA" w14:paraId="55E48AD3" w14:textId="77777777">
        <w:trPr>
          <w:cantSplit/>
        </w:trPr>
        <w:tc>
          <w:tcPr>
            <w:tcW w:w="9289" w:type="dxa"/>
            <w:gridSpan w:val="2"/>
          </w:tcPr>
          <w:p w:rsidRPr="007F2705" w:rsidR="00444A98" w:rsidP="00A04FB7" w:rsidRDefault="005E0619" w14:paraId="32FAADA6" w14:textId="73C1C684">
            <w:pPr>
              <w:jc w:val="right"/>
              <w:rPr>
                <w:b/>
                <w:bCs/>
                <w:sz w:val="28"/>
              </w:rPr>
            </w:pPr>
            <w:r w:rsidRPr="007F2705">
              <w:rPr>
                <w:b/>
                <w:sz w:val="28"/>
              </w:rPr>
              <w:t>SEDEC-VIII/005</w:t>
            </w:r>
          </w:p>
        </w:tc>
      </w:tr>
      <w:tr w:rsidRPr="007F2705" w:rsidR="00444A98" w:rsidTr="006D78CA" w14:paraId="38017C10" w14:textId="77777777">
        <w:tc>
          <w:tcPr>
            <w:tcW w:w="9289" w:type="dxa"/>
            <w:gridSpan w:val="2"/>
          </w:tcPr>
          <w:p w:rsidRPr="007F2705" w:rsidR="00444A98" w:rsidP="00A04FB7" w:rsidRDefault="00334C9E" w14:paraId="3BAEB278" w14:textId="4BFA1235">
            <w:pPr>
              <w:jc w:val="center"/>
              <w:rPr>
                <w:b/>
                <w:bCs/>
                <w:sz w:val="28"/>
              </w:rPr>
            </w:pPr>
            <w:r>
              <w:rPr>
                <w:b/>
                <w:sz w:val="28"/>
              </w:rPr>
              <w:t>168</w:t>
            </w:r>
            <w:r w:rsidR="006E5CD1">
              <w:rPr>
                <w:b/>
                <w:sz w:val="28"/>
              </w:rPr>
              <w:t>th</w:t>
            </w:r>
            <w:r w:rsidRPr="007B1452" w:rsidR="007B1452">
              <w:rPr>
                <w:b/>
                <w:sz w:val="28"/>
              </w:rPr>
              <w:t xml:space="preserve"> plenary session, </w:t>
            </w:r>
            <w:r w:rsidR="007A5838">
              <w:rPr>
                <w:b/>
                <w:sz w:val="28"/>
              </w:rPr>
              <w:t xml:space="preserve">13-15 October </w:t>
            </w:r>
            <w:r w:rsidRPr="007F2705" w:rsidR="00F52541">
              <w:rPr>
                <w:b/>
                <w:sz w:val="28"/>
              </w:rPr>
              <w:t>2025</w:t>
            </w:r>
          </w:p>
        </w:tc>
      </w:tr>
    </w:tbl>
    <w:p w:rsidRPr="007F2705" w:rsidR="00444A98" w:rsidP="00A04FB7" w:rsidRDefault="009A16C1" w14:paraId="2C013CD1" w14:textId="6B8965EC">
      <w:r w:rsidRPr="001A454A">
        <w:rPr>
          <w:noProof/>
          <w:lang w:val="en-US"/>
        </w:rPr>
        <mc:AlternateContent>
          <mc:Choice Requires="wps">
            <w:drawing>
              <wp:anchor distT="0" distB="0" distL="114300" distR="114300" simplePos="0" relativeHeight="251658240" behindDoc="1" locked="0" layoutInCell="0" allowOverlap="1" wp14:editId="6346DBD4" wp14:anchorId="757470D8">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33430" w:rsidR="00444A98" w:rsidRDefault="00444A98" w14:paraId="1D4F189D"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57470D8">
                <v:stroke joinstyle="miter"/>
                <v:path gradientshapeok="t" o:connecttype="rect"/>
              </v:shapetype>
              <v:shape id="Text Box 3"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C0IreQtQIAALgF&#10;AAAOAAAAAAAAAAAAAAAAAC4CAABkcnMvZTJvRG9jLnhtbFBLAQItABQABgAIAAAAIQDrVDFa3gAA&#10;AA8BAAAPAAAAAAAAAAAAAAAAAA8FAABkcnMvZG93bnJldi54bWxQSwUGAAAAAAQABADzAAAAGgYA&#10;AAAA&#10;">
                <v:textbox>
                  <w:txbxContent>
                    <w:p w:rsidRPr="00B33430" w:rsidR="00444A98" w:rsidRDefault="00444A98" w14:paraId="1D4F189D"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7F2705" w:rsidR="00444A98" w:rsidP="00A04FB7" w:rsidRDefault="00444A98" w14:paraId="4686F0F2" w14:textId="77777777"/>
    <w:p w:rsidRPr="007F2705" w:rsidR="001B33A4" w:rsidP="00A04FB7" w:rsidRDefault="00E8645C" w14:paraId="41D657A5" w14:textId="4B90CDE0">
      <w:pPr>
        <w:jc w:val="center"/>
        <w:rPr>
          <w:b/>
          <w:bCs/>
          <w:sz w:val="28"/>
        </w:rPr>
      </w:pPr>
      <w:r w:rsidRPr="007F2705">
        <w:rPr>
          <w:b/>
          <w:sz w:val="28"/>
        </w:rPr>
        <w:t>DRAFT OPINION</w:t>
      </w:r>
    </w:p>
    <w:p w:rsidRPr="007F2705" w:rsidR="001B33A4" w:rsidP="00A04FB7" w:rsidRDefault="001B33A4" w14:paraId="56ED25B7" w14:textId="77777777"/>
    <w:p w:rsidRPr="007F2705" w:rsidR="00444A98" w:rsidP="00A04FB7" w:rsidRDefault="00F52541" w14:paraId="35217CF9" w14:textId="738B8A3D">
      <w:pPr>
        <w:jc w:val="center"/>
        <w:rPr>
          <w:sz w:val="28"/>
          <w:szCs w:val="28"/>
        </w:rPr>
      </w:pPr>
      <w:r w:rsidRPr="007F2705">
        <w:rPr>
          <w:b/>
          <w:sz w:val="28"/>
        </w:rPr>
        <w:t xml:space="preserve">Strengthening women’s rights in the EU: </w:t>
      </w:r>
      <w:r w:rsidR="005651A3">
        <w:rPr>
          <w:b/>
          <w:sz w:val="28"/>
        </w:rPr>
        <w:br/>
      </w:r>
      <w:r w:rsidRPr="007F2705">
        <w:rPr>
          <w:b/>
          <w:sz w:val="28"/>
        </w:rPr>
        <w:t>A local and regional perspective</w:t>
      </w:r>
    </w:p>
    <w:p w:rsidRPr="007F2705" w:rsidR="00444A98" w:rsidP="00A04FB7" w:rsidRDefault="00444A98" w14:paraId="60C42C54" w14:textId="77777777">
      <w:pPr>
        <w:jc w:val="left"/>
      </w:pPr>
    </w:p>
    <w:p w:rsidRPr="007F2705" w:rsidR="00444A98" w:rsidP="00A04FB7" w:rsidRDefault="00444A98" w14:paraId="60E5847B" w14:textId="77777777"/>
    <w:tbl>
      <w:tblPr>
        <w:tblW w:w="5000" w:type="pct"/>
        <w:tblLook w:val="0000" w:firstRow="0" w:lastRow="0" w:firstColumn="0" w:lastColumn="0" w:noHBand="0" w:noVBand="0"/>
      </w:tblPr>
      <w:tblGrid>
        <w:gridCol w:w="9289"/>
      </w:tblGrid>
      <w:tr w:rsidRPr="007F2705" w:rsidR="00444A98" w:rsidTr="006D78CA" w14:paraId="5ECE4120" w14:textId="77777777">
        <w:tc>
          <w:tcPr>
            <w:tcW w:w="5000" w:type="pct"/>
          </w:tcPr>
          <w:p w:rsidRPr="001A454A" w:rsidR="00444A98" w:rsidP="00A04FB7" w:rsidRDefault="00444A98" w14:paraId="60184716" w14:textId="77777777">
            <w:pPr>
              <w:jc w:val="center"/>
              <w:rPr>
                <w:lang w:val="fr-FR"/>
              </w:rPr>
            </w:pPr>
            <w:r w:rsidRPr="001A454A">
              <w:rPr>
                <w:lang w:val="fr-FR"/>
              </w:rPr>
              <w:t>_____________</w:t>
            </w:r>
          </w:p>
          <w:p w:rsidRPr="001A454A" w:rsidR="00444A98" w:rsidP="00A04FB7" w:rsidRDefault="00444A98" w14:paraId="1E6C001E" w14:textId="77777777">
            <w:pPr>
              <w:jc w:val="center"/>
              <w:rPr>
                <w:lang w:val="fr-FR"/>
              </w:rPr>
            </w:pPr>
          </w:p>
          <w:p w:rsidRPr="001A454A" w:rsidR="005E0619" w:rsidP="00A04FB7" w:rsidRDefault="00444A98" w14:paraId="1EAC085E" w14:textId="7275A9D7">
            <w:pPr>
              <w:jc w:val="center"/>
              <w:rPr>
                <w:b/>
                <w:lang w:val="fr-FR"/>
              </w:rPr>
            </w:pPr>
            <w:r w:rsidRPr="001A454A">
              <w:rPr>
                <w:lang w:val="fr-FR"/>
              </w:rPr>
              <w:t>Rapporteur:</w:t>
            </w:r>
            <w:r w:rsidRPr="001A454A">
              <w:rPr>
                <w:b/>
                <w:lang w:val="fr-FR"/>
              </w:rPr>
              <w:t xml:space="preserve"> Carina Ohlsson (SE/PES)</w:t>
            </w:r>
          </w:p>
          <w:p w:rsidRPr="007F2705" w:rsidR="00444A98" w:rsidP="00A04FB7" w:rsidRDefault="00554046" w14:paraId="304D52AB" w14:textId="47FEDDC7">
            <w:pPr>
              <w:jc w:val="center"/>
            </w:pPr>
            <w:r w:rsidRPr="007F2705">
              <w:t>Member of Municipal Council, Lidköping Municipality</w:t>
            </w:r>
          </w:p>
          <w:p w:rsidRPr="007F2705" w:rsidR="00444A98" w:rsidP="00A04FB7" w:rsidRDefault="00444A98" w14:paraId="216946CF" w14:textId="77777777">
            <w:pPr>
              <w:jc w:val="center"/>
            </w:pPr>
            <w:r w:rsidRPr="007F2705">
              <w:t>_____________</w:t>
            </w:r>
          </w:p>
        </w:tc>
      </w:tr>
    </w:tbl>
    <w:p w:rsidRPr="007F2705" w:rsidR="00444A98" w:rsidP="00A04FB7" w:rsidRDefault="00444A98" w14:paraId="29A53EDF" w14:textId="77777777">
      <w:pPr>
        <w:jc w:val="left"/>
      </w:pPr>
    </w:p>
    <w:p w:rsidRPr="007F2705" w:rsidR="00444A98" w:rsidP="00A04FB7" w:rsidRDefault="00444A98" w14:paraId="4369A71C" w14:textId="77777777">
      <w:pPr>
        <w:jc w:val="left"/>
      </w:pPr>
    </w:p>
    <w:p w:rsidRPr="007F2705" w:rsidR="00444A98" w:rsidP="00A04FB7" w:rsidRDefault="00444A98" w14:paraId="473CBC8E" w14:textId="77777777">
      <w:pPr>
        <w:jc w:val="left"/>
      </w:pPr>
    </w:p>
    <w:p w:rsidRPr="007F2705" w:rsidR="00444A98" w:rsidP="00A04FB7" w:rsidRDefault="00444A98" w14:paraId="001A7632" w14:textId="77777777">
      <w:pPr>
        <w:jc w:val="left"/>
      </w:pPr>
    </w:p>
    <w:p w:rsidRPr="007F2705" w:rsidR="00444A98" w:rsidP="00A04FB7" w:rsidRDefault="00444A98" w14:paraId="12351124" w14:textId="77777777">
      <w:pPr>
        <w:jc w:val="left"/>
      </w:pPr>
    </w:p>
    <w:p w:rsidRPr="007F2705" w:rsidR="00444A98" w:rsidP="00A04FB7" w:rsidRDefault="00444A98" w14:paraId="18DF55AB" w14:textId="77777777">
      <w:pPr>
        <w:jc w:val="left"/>
      </w:pPr>
    </w:p>
    <w:p w:rsidRPr="007F2705" w:rsidR="00444A98" w:rsidP="00A04FB7" w:rsidRDefault="00444A98" w14:paraId="4AE63CD2" w14:textId="77777777">
      <w:pPr>
        <w:jc w:val="left"/>
      </w:pPr>
    </w:p>
    <w:p w:rsidRPr="007F2705" w:rsidR="00444A98" w:rsidP="00A04FB7" w:rsidRDefault="00444A98" w14:paraId="1B3FB386" w14:textId="77777777">
      <w:pPr>
        <w:jc w:val="left"/>
      </w:pPr>
    </w:p>
    <w:tbl>
      <w:tblPr>
        <w:tblW w:w="0" w:type="auto"/>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289"/>
      </w:tblGrid>
      <w:tr w:rsidRPr="007F2705" w:rsidR="00444A98" w:rsidTr="006D78CA" w14:paraId="50179DB3" w14:textId="77777777">
        <w:tc>
          <w:tcPr>
            <w:tcW w:w="9289" w:type="dxa"/>
            <w:tcBorders>
              <w:top w:val="single" w:color="auto" w:sz="4" w:space="0"/>
              <w:bottom w:val="single" w:color="auto" w:sz="4" w:space="0"/>
            </w:tcBorders>
          </w:tcPr>
          <w:p w:rsidRPr="004C479D" w:rsidR="002D0FC6" w:rsidP="00A04FB7" w:rsidRDefault="002D0FC6" w14:paraId="5296E271" w14:textId="77777777">
            <w:pPr>
              <w:rPr>
                <w:b/>
                <w:bCs/>
              </w:rPr>
            </w:pPr>
            <w:r w:rsidRPr="004C479D">
              <w:rPr>
                <w:b/>
                <w:bCs/>
                <w:u w:val="single"/>
              </w:rPr>
              <w:t>Deadline for tabling amendments</w:t>
            </w:r>
            <w:r w:rsidRPr="004C479D">
              <w:rPr>
                <w:b/>
                <w:bCs/>
              </w:rPr>
              <w:t>:</w:t>
            </w:r>
          </w:p>
          <w:p w:rsidRPr="004C479D" w:rsidR="002D0FC6" w:rsidP="00A04FB7" w:rsidRDefault="002D0FC6" w14:paraId="0179EAB0" w14:textId="77777777">
            <w:pPr>
              <w:rPr>
                <w:b/>
                <w:bCs/>
              </w:rPr>
            </w:pPr>
          </w:p>
          <w:p w:rsidRPr="00D24DCB" w:rsidR="002D0FC6" w:rsidP="00A04FB7" w:rsidRDefault="002D0FC6" w14:paraId="3D2D090D" w14:textId="55B4FA3E">
            <w:pPr>
              <w:rPr>
                <w:szCs w:val="24"/>
              </w:rPr>
            </w:pPr>
            <w:r>
              <w:rPr>
                <w:b/>
                <w:bCs/>
              </w:rPr>
              <w:t>15:00</w:t>
            </w:r>
            <w:r w:rsidRPr="004C479D">
              <w:rPr>
                <w:b/>
                <w:bCs/>
              </w:rPr>
              <w:t xml:space="preserve"> </w:t>
            </w:r>
            <w:r w:rsidRPr="004C479D">
              <w:t xml:space="preserve">(Brussels time) </w:t>
            </w:r>
            <w:r w:rsidRPr="004C479D">
              <w:rPr>
                <w:b/>
                <w:bCs/>
              </w:rPr>
              <w:t xml:space="preserve">on </w:t>
            </w:r>
            <w:r w:rsidR="00400BEA">
              <w:rPr>
                <w:b/>
                <w:bCs/>
              </w:rPr>
              <w:t xml:space="preserve">Friday, </w:t>
            </w:r>
            <w:r w:rsidRPr="00D34BCF" w:rsidR="007F0B20">
              <w:rPr>
                <w:b/>
                <w:bCs/>
              </w:rPr>
              <w:t>26 September</w:t>
            </w:r>
            <w:r w:rsidR="007F0B20">
              <w:rPr>
                <w:b/>
                <w:bCs/>
              </w:rPr>
              <w:t xml:space="preserve"> 2025</w:t>
            </w:r>
            <w:r w:rsidRPr="004C479D">
              <w:rPr>
                <w:bCs/>
              </w:rPr>
              <w:t>.</w:t>
            </w:r>
            <w:r w:rsidRPr="004C479D">
              <w:t xml:space="preserve"> Amendments must be submitted using the online tool for tabling amendments (available through the </w:t>
            </w:r>
            <w:r w:rsidRPr="00D24DCB">
              <w:t>Members</w:t>
            </w:r>
            <w:r>
              <w:t>’</w:t>
            </w:r>
            <w:r w:rsidRPr="00D24DCB">
              <w:t xml:space="preserve"> Portal at </w:t>
            </w:r>
            <w:hyperlink w:history="1" r:id="rId11">
              <w:r w:rsidRPr="0064131D">
                <w:rPr>
                  <w:rStyle w:val="Hyperlink"/>
                  <w:rFonts w:eastAsiaTheme="majorEastAsia"/>
                  <w:lang w:val="en"/>
                </w:rPr>
                <w:t>https://memportal.cor.europa.eu/</w:t>
              </w:r>
            </w:hyperlink>
            <w:r w:rsidRPr="00D24DCB">
              <w:rPr>
                <w:szCs w:val="24"/>
              </w:rPr>
              <w:t>).</w:t>
            </w:r>
          </w:p>
          <w:p w:rsidRPr="004C479D" w:rsidR="002D0FC6" w:rsidP="00A04FB7" w:rsidRDefault="002D0FC6" w14:paraId="03C10A86" w14:textId="77777777">
            <w:pPr>
              <w:rPr>
                <w:i/>
                <w:iCs/>
              </w:rPr>
            </w:pPr>
          </w:p>
          <w:p w:rsidRPr="007F2705" w:rsidR="00444A98" w:rsidP="00A04FB7" w:rsidRDefault="002D0FC6" w14:paraId="75D6E4E2" w14:textId="4EDA03CF">
            <w:pPr>
              <w:rPr>
                <w:b/>
                <w:bCs/>
                <w:iCs/>
                <w:color w:val="000000"/>
              </w:rPr>
            </w:pPr>
            <w:r w:rsidRPr="004C479D">
              <w:rPr>
                <w:iCs/>
                <w:u w:val="single"/>
              </w:rPr>
              <w:t>Number of signatures required</w:t>
            </w:r>
            <w:r w:rsidRPr="004C479D">
              <w:rPr>
                <w:iCs/>
              </w:rPr>
              <w:t xml:space="preserve">: </w:t>
            </w:r>
            <w:r>
              <w:rPr>
                <w:iCs/>
              </w:rPr>
              <w:t>6</w:t>
            </w:r>
          </w:p>
        </w:tc>
      </w:tr>
    </w:tbl>
    <w:p w:rsidRPr="007F2705" w:rsidR="000D6A84" w:rsidP="00A04FB7" w:rsidRDefault="0015151A" w14:paraId="3509AF93" w14:textId="1ED50B57">
      <w:r w:rsidRPr="001A454A">
        <w:rPr>
          <w:noProof/>
          <w:lang w:val="en-US"/>
        </w:rPr>
        <w:drawing>
          <wp:anchor distT="0" distB="0" distL="114300" distR="114300" simplePos="0" relativeHeight="251658241" behindDoc="0" locked="0" layoutInCell="1" allowOverlap="1" wp14:editId="1D195319" wp14:anchorId="28CD5052">
            <wp:simplePos x="0" y="0"/>
            <wp:positionH relativeFrom="column">
              <wp:posOffset>8255</wp:posOffset>
            </wp:positionH>
            <wp:positionV relativeFrom="page">
              <wp:posOffset>10210800</wp:posOffset>
            </wp:positionV>
            <wp:extent cx="5770245" cy="2876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14569"/>
                    <a:stretch/>
                  </pic:blipFill>
                  <pic:spPr bwMode="auto">
                    <a:xfrm>
                      <a:off x="0" y="0"/>
                      <a:ext cx="5770245" cy="287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7F2705" w:rsidR="003E1CB2" w:rsidP="00A04FB7" w:rsidRDefault="003E1CB2" w14:paraId="4FA1622F" w14:textId="46113982"/>
    <w:p w:rsidRPr="007F2705" w:rsidR="000D6A84" w:rsidP="00A04FB7" w:rsidRDefault="000D6A84" w14:paraId="7D407F5C" w14:textId="77777777">
      <w:pPr>
        <w:tabs>
          <w:tab w:val="left" w:pos="440"/>
        </w:tabs>
        <w:ind w:left="440" w:hanging="440"/>
        <w:sectPr w:rsidRPr="007F2705" w:rsidR="000D6A84" w:rsidSect="000E27E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94" w:gutter="0"/>
          <w:pgNumType w:start="1"/>
          <w:cols w:space="720"/>
          <w:docGrid w:linePitch="299"/>
        </w:sectPr>
      </w:pPr>
    </w:p>
    <w:tbl>
      <w:tblPr>
        <w:tblW w:w="0" w:type="auto"/>
        <w:tblLayout w:type="fixed"/>
        <w:tblLook w:val="01E0" w:firstRow="1" w:lastRow="1" w:firstColumn="1" w:lastColumn="1" w:noHBand="0" w:noVBand="0"/>
      </w:tblPr>
      <w:tblGrid>
        <w:gridCol w:w="9289"/>
      </w:tblGrid>
      <w:tr w:rsidRPr="007F2705" w:rsidR="00444A98" w:rsidTr="006D78CA" w14:paraId="3F111DF4" w14:textId="77777777">
        <w:trPr>
          <w:trHeight w:val="12474"/>
        </w:trPr>
        <w:tc>
          <w:tcPr>
            <w:tcW w:w="9289" w:type="dxa"/>
            <w:vAlign w:val="bottom"/>
          </w:tcPr>
          <w:p w:rsidRPr="007F2705" w:rsidR="00444A98" w:rsidP="00A04FB7" w:rsidRDefault="00444A98" w14:paraId="2E62E7E8" w14:textId="22CB2EC2">
            <w:pPr>
              <w:rPr>
                <w:u w:val="single"/>
              </w:rPr>
            </w:pPr>
            <w:r w:rsidRPr="007F2705">
              <w:rPr>
                <w:u w:val="single"/>
              </w:rPr>
              <w:lastRenderedPageBreak/>
              <w:t>Reference document</w:t>
            </w:r>
          </w:p>
          <w:p w:rsidRPr="007F2705" w:rsidR="002B6129" w:rsidP="00A04FB7" w:rsidRDefault="002B6129" w14:paraId="67CD8BFC" w14:textId="77777777">
            <w:pPr>
              <w:rPr>
                <w:u w:val="single"/>
              </w:rPr>
            </w:pPr>
          </w:p>
          <w:p w:rsidRPr="007F2705" w:rsidR="002B6129" w:rsidP="00A04FB7" w:rsidRDefault="002A1297" w14:paraId="523E6763" w14:textId="4C39D3A8">
            <w:r w:rsidRPr="007F2705">
              <w:t>Communication from the European Commission to the European Parliament, the Council, the European Economic and Social Committee and the Committee of the Regions: Roadmap for Women’s Rights COM(2025) 97 final</w:t>
            </w:r>
          </w:p>
        </w:tc>
      </w:tr>
    </w:tbl>
    <w:p w:rsidRPr="007F2705" w:rsidR="00444A98" w:rsidP="00A04FB7" w:rsidRDefault="00444A98" w14:paraId="184C0E07" w14:textId="191F736E">
      <w:pPr>
        <w:jc w:val="center"/>
      </w:pPr>
      <w:r w:rsidRPr="007F2705">
        <w:br w:type="page"/>
      </w:r>
      <w:r w:rsidRPr="007F2705" w:rsidR="00E8645C">
        <w:rPr>
          <w:b/>
        </w:rPr>
        <w:t>Draft opinion</w:t>
      </w:r>
      <w:r w:rsidRPr="007F2705">
        <w:rPr>
          <w:b/>
        </w:rPr>
        <w:t xml:space="preserve"> of the </w:t>
      </w:r>
      <w:r w:rsidRPr="00691676" w:rsidR="00691676">
        <w:rPr>
          <w:b/>
        </w:rPr>
        <w:t>European Committee of the Regions</w:t>
      </w:r>
      <w:r w:rsidRPr="007F2705">
        <w:rPr>
          <w:b/>
        </w:rPr>
        <w:t xml:space="preserve"> – </w:t>
      </w:r>
      <w:r w:rsidR="00063BF7">
        <w:rPr>
          <w:b/>
        </w:rPr>
        <w:br/>
      </w:r>
      <w:r w:rsidRPr="007F2705">
        <w:rPr>
          <w:b/>
        </w:rPr>
        <w:t>Strengthening women’s rights in the EU: A local and regional perspective</w:t>
      </w:r>
    </w:p>
    <w:p w:rsidRPr="007F2705" w:rsidR="003A043C" w:rsidP="00A04FB7" w:rsidRDefault="003A043C" w14:paraId="224A222A" w14:textId="77777777"/>
    <w:p w:rsidRPr="007F2705" w:rsidR="00E8645C" w:rsidP="00A04FB7" w:rsidRDefault="00E8645C" w14:paraId="037F87A4" w14:textId="77777777">
      <w:pPr>
        <w:numPr>
          <w:ilvl w:val="0"/>
          <w:numId w:val="13"/>
        </w:numPr>
        <w:ind w:left="567" w:hanging="567"/>
        <w:rPr>
          <w:b/>
        </w:rPr>
      </w:pPr>
      <w:r w:rsidRPr="007F2705">
        <w:rPr>
          <w:b/>
          <w:bCs/>
        </w:rPr>
        <w:t>POLICY</w:t>
      </w:r>
      <w:r w:rsidRPr="007F2705">
        <w:rPr>
          <w:b/>
        </w:rPr>
        <w:t xml:space="preserve"> RECOMMENDATIONS</w:t>
      </w:r>
    </w:p>
    <w:p w:rsidRPr="007F2705" w:rsidR="00E8645C" w:rsidP="00A04FB7" w:rsidRDefault="00E8645C" w14:paraId="4E8349D0" w14:textId="77777777"/>
    <w:p w:rsidRPr="007F2705" w:rsidR="00E8645C" w:rsidP="00A04FB7" w:rsidRDefault="00E8645C" w14:paraId="1DB382FC" w14:textId="77777777">
      <w:r w:rsidRPr="007F2705">
        <w:t>THE EUROPEAN COMMITTEE OF THE REGIONS (CoR)</w:t>
      </w:r>
    </w:p>
    <w:p w:rsidRPr="007F2705" w:rsidR="00E8645C" w:rsidP="00A95EAF" w:rsidRDefault="00E8645C" w14:paraId="0AB4CFE6" w14:textId="77777777">
      <w:pPr>
        <w:pStyle w:val="Heading1"/>
        <w:numPr>
          <w:ilvl w:val="0"/>
          <w:numId w:val="0"/>
        </w:numPr>
      </w:pPr>
    </w:p>
    <w:p w:rsidRPr="007F2705" w:rsidR="00E8645C" w:rsidP="00A04FB7" w:rsidRDefault="00E46EA7" w14:paraId="55984F91" w14:textId="669BF90F">
      <w:pPr>
        <w:pStyle w:val="Heading1"/>
        <w:ind w:left="567" w:hanging="567"/>
      </w:pPr>
      <w:r w:rsidRPr="007F2705">
        <w:t xml:space="preserve">stresses that gender equality is a fundamental right and a core democratic value; during the previous legislative period, the EU made </w:t>
      </w:r>
      <w:r w:rsidRPr="00422251" w:rsidR="00422251">
        <w:t xml:space="preserve">important strides </w:t>
      </w:r>
      <w:r w:rsidRPr="007F2705">
        <w:t xml:space="preserve">towards </w:t>
      </w:r>
      <w:r w:rsidRPr="00670F48" w:rsidR="00670F48">
        <w:t xml:space="preserve">greater </w:t>
      </w:r>
      <w:r w:rsidRPr="007F2705">
        <w:t xml:space="preserve">gender equality, notably through directives and policy initiatives on work-life balance, gender balance on </w:t>
      </w:r>
      <w:r w:rsidRPr="008153EE" w:rsidR="008153EE">
        <w:t xml:space="preserve">corporate </w:t>
      </w:r>
      <w:r w:rsidRPr="007F2705">
        <w:t xml:space="preserve">boards, </w:t>
      </w:r>
      <w:r w:rsidRPr="00F2031B" w:rsidR="00F2031B">
        <w:t xml:space="preserve">access to </w:t>
      </w:r>
      <w:r w:rsidRPr="007F2705">
        <w:t>care, pay transparency, equal</w:t>
      </w:r>
      <w:r w:rsidRPr="001A454A" w:rsidR="00E76CA8">
        <w:t>ity</w:t>
      </w:r>
      <w:r w:rsidRPr="007F2705">
        <w:t xml:space="preserve"> bodies and protection from violence against women and domestic violence; the EU</w:t>
      </w:r>
      <w:r w:rsidRPr="007F2705" w:rsidR="00B542B8">
        <w:t>’</w:t>
      </w:r>
      <w:r w:rsidRPr="007F2705">
        <w:t>s accession to the Istanbul Convention further reinforces its commitment to combating gender-based violence</w:t>
      </w:r>
      <w:r w:rsidRPr="007F2705" w:rsidR="004C7C2E">
        <w:t>;</w:t>
      </w:r>
    </w:p>
    <w:p w:rsidRPr="007F2705" w:rsidR="004C7C2E" w:rsidP="00A04FB7" w:rsidRDefault="004C7C2E" w14:paraId="2E2E57D0" w14:textId="77777777"/>
    <w:p w:rsidRPr="001A454A" w:rsidR="004C7C2E" w:rsidP="00A04FB7" w:rsidRDefault="00DA2CBD" w14:paraId="234C8EC2" w14:textId="3E9BDBCE">
      <w:pPr>
        <w:pStyle w:val="Heading1"/>
        <w:ind w:left="567" w:hanging="567"/>
      </w:pPr>
      <w:r w:rsidRPr="001A454A">
        <w:t>welcomes the European Commission</w:t>
      </w:r>
      <w:r w:rsidRPr="001A454A" w:rsidR="00B542B8">
        <w:t>’</w:t>
      </w:r>
      <w:r w:rsidRPr="001A454A">
        <w:t>s Roadmap for Women</w:t>
      </w:r>
      <w:r w:rsidRPr="001A454A" w:rsidR="00B542B8">
        <w:t>’</w:t>
      </w:r>
      <w:r w:rsidRPr="001A454A">
        <w:t>s Rights and the Declaration of Principles for a Gender-Equal Society</w:t>
      </w:r>
      <w:r w:rsidRPr="001A454A">
        <w:rPr>
          <w:rStyle w:val="FootnoteReference"/>
        </w:rPr>
        <w:footnoteReference w:id="1"/>
      </w:r>
      <w:r w:rsidRPr="001A454A" w:rsidR="00B542B8">
        <w:t>,</w:t>
      </w:r>
      <w:r w:rsidRPr="001A454A">
        <w:t xml:space="preserve"> considering them a strong foundation for shaping the new EU Gender Equality Strategy and achieving tangible progress in advancing gender equality across the EU and beyond;</w:t>
      </w:r>
    </w:p>
    <w:p w:rsidRPr="001A454A" w:rsidR="00DA2CBD" w:rsidP="00A04FB7" w:rsidRDefault="00DA2CBD" w14:paraId="317C47C3" w14:textId="77777777"/>
    <w:p w:rsidRPr="001A454A" w:rsidR="00D22AF7" w:rsidP="00A04FB7" w:rsidRDefault="00D22AF7" w14:paraId="4F686C69" w14:textId="79D35238">
      <w:pPr>
        <w:pStyle w:val="Heading1"/>
        <w:ind w:left="567" w:hanging="567"/>
      </w:pPr>
      <w:r w:rsidRPr="001A454A">
        <w:t>draws attention to the fact that, while the Roadmap rightly acknowledges the importance of robust institutional mechanisms at all levels, it fails to sufficiently recogni</w:t>
      </w:r>
      <w:r w:rsidRPr="001A454A" w:rsidR="007F2705">
        <w:t>s</w:t>
      </w:r>
      <w:r w:rsidRPr="001A454A">
        <w:t>e the pivotal role that local and regional authorities play in implementing gender equality policies on the ground;</w:t>
      </w:r>
    </w:p>
    <w:p w:rsidRPr="007F2705" w:rsidR="00652A97" w:rsidP="00A04FB7" w:rsidRDefault="00652A97" w14:paraId="714623F6" w14:textId="77777777"/>
    <w:p w:rsidRPr="001A454A" w:rsidR="00D22AF7" w:rsidP="00A04FB7" w:rsidRDefault="00D22AF7" w14:paraId="7413CC70" w14:textId="6F83E04A">
      <w:pPr>
        <w:pStyle w:val="Heading1"/>
        <w:ind w:left="567" w:hanging="567"/>
      </w:pPr>
      <w:r w:rsidRPr="001A454A">
        <w:t>calls for local and regional authorities – in light of their competences and vital role – to be recogni</w:t>
      </w:r>
      <w:r w:rsidR="007F2705">
        <w:t>s</w:t>
      </w:r>
      <w:r w:rsidRPr="001A454A">
        <w:t>ed as strategic partners in the design, implementation and monitoring of the Roadmap and the forthcoming EU Gender Equality Strategy; this partnership must be backed by adequate financial resources and closer cooperation with civil society</w:t>
      </w:r>
      <w:r w:rsidR="007F2705">
        <w:t>. I</w:t>
      </w:r>
      <w:r w:rsidRPr="001A454A">
        <w:t>n this context, the principle of subsidiarity is key</w:t>
      </w:r>
      <w:r w:rsidR="007F2705">
        <w:t>:</w:t>
      </w:r>
      <w:r w:rsidRPr="001A454A">
        <w:t xml:space="preserve"> decisions</w:t>
      </w:r>
      <w:r w:rsidRPr="001A454A" w:rsidR="00AA07C3">
        <w:t xml:space="preserve"> </w:t>
      </w:r>
      <w:r w:rsidRPr="001A454A">
        <w:t>and measures should be taken as close as possible to citizens, where gender equality challenges and opportunities are most tangible;</w:t>
      </w:r>
    </w:p>
    <w:p w:rsidRPr="007F2705" w:rsidR="00652A97" w:rsidP="00A04FB7" w:rsidRDefault="00652A97" w14:paraId="058E0054" w14:textId="77777777"/>
    <w:p w:rsidRPr="007F2705" w:rsidR="00D22AF7" w:rsidP="00A04FB7" w:rsidRDefault="00D22AF7" w14:paraId="3696CBCA" w14:textId="45D931D0">
      <w:pPr>
        <w:pStyle w:val="Heading1"/>
        <w:ind w:left="567" w:hanging="567"/>
      </w:pPr>
      <w:r w:rsidRPr="007F2705">
        <w:t>furthermore, calls for the next Multiannual Financial Framework (MFF) to systematically mainstream gender equality across all EU program</w:t>
      </w:r>
      <w:r w:rsidR="007F2705">
        <w:t>me</w:t>
      </w:r>
      <w:r w:rsidRPr="007F2705">
        <w:t>s, ensuring consistency between gender budgeting and other key priorities, including the green and digital transitions, competitiveness, and social resilience</w:t>
      </w:r>
      <w:r w:rsidRPr="001A454A" w:rsidR="00690546">
        <w:t>;</w:t>
      </w:r>
      <w:r w:rsidRPr="007F2705">
        <w:t xml:space="preserve"> in line with the commitments made under the previous legislature, the existing gender mainstreaming methodology should be reviewed and strengthened during the preparations for the 2028–2034 MFF, with the meaningful involvement of local and regional authorities, including through the </w:t>
      </w:r>
      <w:r w:rsidRPr="007F2705" w:rsidR="00A21E4F">
        <w:t>CoR</w:t>
      </w:r>
      <w:r w:rsidRPr="007F2705">
        <w:t>;</w:t>
      </w:r>
    </w:p>
    <w:p w:rsidRPr="007F2705" w:rsidR="00735804" w:rsidP="00A04FB7" w:rsidRDefault="00735804" w14:paraId="3904E3F5" w14:textId="77777777"/>
    <w:p w:rsidRPr="001A454A" w:rsidR="00735804" w:rsidP="00A04FB7" w:rsidRDefault="00735804" w14:paraId="437E45D7" w14:textId="3140767D">
      <w:pPr>
        <w:pStyle w:val="Heading1"/>
        <w:ind w:left="567" w:hanging="567"/>
      </w:pPr>
      <w:r w:rsidRPr="001A454A">
        <w:t>reaffirms that cohesion and recovery funds must be anchored in clear and measurable gender</w:t>
      </w:r>
      <w:r w:rsidR="007F2705">
        <w:t>-</w:t>
      </w:r>
      <w:r w:rsidRPr="001A454A">
        <w:t>responsive objectives, to ensure that regional development actively contributes to closing gender gaps and advancing social justice, rather than reinforcing existing inequalities;</w:t>
      </w:r>
      <w:r w:rsidRPr="007F2705">
        <w:t xml:space="preserve"> </w:t>
      </w:r>
      <w:r w:rsidRPr="001A454A">
        <w:t>gender mainstreaming and equality impact assessments should be systematically applied throughout the programming, implementation and evaluation phases;</w:t>
      </w:r>
    </w:p>
    <w:p w:rsidRPr="007F2705" w:rsidR="00735804" w:rsidP="00A04FB7" w:rsidRDefault="00735804" w14:paraId="24F00DB8" w14:textId="77777777"/>
    <w:p w:rsidRPr="001A454A" w:rsidR="00735804" w:rsidP="00A04FB7" w:rsidRDefault="00735804" w14:paraId="6BDE8F02" w14:textId="0AD2B782">
      <w:pPr>
        <w:pStyle w:val="Heading1"/>
        <w:ind w:left="567" w:hanging="567"/>
      </w:pPr>
      <w:r w:rsidRPr="001A454A">
        <w:t>underlines that women</w:t>
      </w:r>
      <w:r w:rsidR="007F2705">
        <w:t>’</w:t>
      </w:r>
      <w:r w:rsidRPr="001A454A">
        <w:t xml:space="preserve">s rights and opportunities are intrinsically linked to the socioeconomic development of regions, with women in less developed areas facing systemic barriers to employment, education, healthcare and political participation; the EU must ensure that gender equality is fully mainstreamed in local and regional governance, </w:t>
      </w:r>
      <w:r w:rsidRPr="0003746D" w:rsidR="0003746D">
        <w:t xml:space="preserve">by supporting </w:t>
      </w:r>
      <w:r w:rsidRPr="001A454A">
        <w:t>Member States</w:t>
      </w:r>
      <w:r w:rsidRPr="00D7559A" w:rsidR="00D7559A">
        <w:t xml:space="preserve"> in the effective </w:t>
      </w:r>
      <w:r w:rsidRPr="001A454A">
        <w:t>implementation of cohesion policy, social investment, and inclusive regional development strategies</w:t>
      </w:r>
      <w:r w:rsidRPr="004C7A39" w:rsidR="004C7A39">
        <w:t>. This includes, but is not limited to</w:t>
      </w:r>
      <w:r w:rsidR="00063BF7">
        <w:t>,</w:t>
      </w:r>
      <w:r w:rsidRPr="004C7A39" w:rsidR="004C7A39">
        <w:t xml:space="preserve"> less developed regions, where women – especially in rural and remote areas – face multiple, intersecting barriers. Their leadership and participation in regional and rural development, biodiversity protection, sustainable agriculture, and rural economy must be supported through targeted gender-responsive programmes</w:t>
      </w:r>
      <w:r w:rsidRPr="001A454A">
        <w:t>;</w:t>
      </w:r>
    </w:p>
    <w:p w:rsidRPr="001A454A" w:rsidR="00735804" w:rsidP="00A04FB7" w:rsidRDefault="00735804" w14:paraId="7E777B6F" w14:textId="77777777"/>
    <w:p w:rsidRPr="001A454A" w:rsidR="002A3528" w:rsidP="00A04FB7" w:rsidRDefault="002A3528" w14:paraId="3ED837BF" w14:textId="11E4F6FD">
      <w:pPr>
        <w:pStyle w:val="Heading1"/>
        <w:ind w:left="567" w:hanging="567"/>
      </w:pPr>
      <w:r w:rsidRPr="001A454A">
        <w:t>welcomes the EU</w:t>
      </w:r>
      <w:r w:rsidR="007F2705">
        <w:t>’</w:t>
      </w:r>
      <w:r w:rsidRPr="001A454A">
        <w:t>s continued commitment to the dual approach of systematically mainstreaming gender equality across all policies while also supporting targeted, concrete actions at local and regional level;</w:t>
      </w:r>
    </w:p>
    <w:p w:rsidRPr="001A454A" w:rsidR="002A3528" w:rsidP="00A04FB7" w:rsidRDefault="002A3528" w14:paraId="2526424A" w14:textId="77777777"/>
    <w:p w:rsidRPr="001A454A" w:rsidR="002A3528" w:rsidP="00A04FB7" w:rsidRDefault="002A3528" w14:paraId="07DF7FD8" w14:textId="16A2C3BD">
      <w:pPr>
        <w:pStyle w:val="Heading1"/>
        <w:ind w:left="567" w:hanging="567"/>
      </w:pPr>
      <w:r w:rsidRPr="001A454A">
        <w:t>reaffirms that intersectionality must remain at the core of the EU</w:t>
      </w:r>
      <w:r w:rsidR="007F2705">
        <w:t>’</w:t>
      </w:r>
      <w:r w:rsidRPr="001A454A">
        <w:t>s gender equality efforts; women from vulnerable and marginali</w:t>
      </w:r>
      <w:r w:rsidR="007F2705">
        <w:t>s</w:t>
      </w:r>
      <w:r w:rsidRPr="001A454A">
        <w:t>ed groups, such as single mothers</w:t>
      </w:r>
      <w:r w:rsidRPr="001A454A" w:rsidR="000D5BB0">
        <w:t xml:space="preserve"> </w:t>
      </w:r>
      <w:r w:rsidR="007F2705">
        <w:t>and</w:t>
      </w:r>
      <w:r w:rsidRPr="001A454A">
        <w:t xml:space="preserve"> women living in rural and remote areas, face compounded discrimination and are disproportionately affected by structural inequalities; the upcoming EU strategy must explicitly address these realities, ensuring their visibility and support for those most at risk, and promoting sustained cooperation between local authorities and civil society to reach these communities effectively</w:t>
      </w:r>
      <w:r w:rsidRPr="00814994" w:rsidR="00814994">
        <w:t>. Recognises also the critical importance of integrating a gender balance perspective in the context of rural agriculture and biodiversity. Empowering women in these fields is not only a matter of equity but a prerequisite for sustainable rural development and environmental conservation. Gender equality is a fundamental EU value</w:t>
      </w:r>
      <w:r w:rsidRPr="001A454A">
        <w:t>;</w:t>
      </w:r>
    </w:p>
    <w:p w:rsidRPr="007F2705" w:rsidR="002A3528" w:rsidP="00A04FB7" w:rsidRDefault="002A3528" w14:paraId="444E04EC" w14:textId="77777777"/>
    <w:p w:rsidRPr="007F2705" w:rsidR="00DA2CBD" w:rsidP="00A04FB7" w:rsidRDefault="00392720" w14:paraId="5148245A" w14:textId="68EC3114">
      <w:pPr>
        <w:pStyle w:val="Heading1"/>
        <w:ind w:left="567" w:hanging="567"/>
      </w:pPr>
      <w:r w:rsidRPr="007F2705">
        <w:t>stresses that dismantling harmful gender norms</w:t>
      </w:r>
      <w:r w:rsidRPr="0070359F" w:rsidR="0070359F">
        <w:t>, combating discriminatory language</w:t>
      </w:r>
      <w:r w:rsidRPr="007F2705">
        <w:t xml:space="preserve"> and promoting positive masculinities benefits the whole </w:t>
      </w:r>
      <w:r w:rsidR="007F2705">
        <w:t xml:space="preserve">of </w:t>
      </w:r>
      <w:r w:rsidRPr="007F2705">
        <w:t>society; rigid gender roles perpetuate inequality, violence and social exclusion; to advance gender equality, action is needed on all fronts, including comprehensive gender equality</w:t>
      </w:r>
      <w:r w:rsidRPr="003D0413" w:rsidR="003D0413">
        <w:t xml:space="preserve"> </w:t>
      </w:r>
      <w:r w:rsidRPr="007F2705">
        <w:t>education, engag</w:t>
      </w:r>
      <w:r w:rsidRPr="007F2705" w:rsidR="00F5209B">
        <w:t>ing</w:t>
      </w:r>
      <w:r w:rsidRPr="007F2705">
        <w:t xml:space="preserve"> boys and men as allies, supporting men who seek to break cycles of violence and promoting gender-equal </w:t>
      </w:r>
      <w:r w:rsidRPr="00D726E0" w:rsidR="00D726E0">
        <w:t xml:space="preserve">family models and </w:t>
      </w:r>
      <w:r w:rsidRPr="007F2705">
        <w:t xml:space="preserve">parenting; local and regional authorities are uniquely placed to lead these cultural and </w:t>
      </w:r>
      <w:r w:rsidRPr="007F2705" w:rsidR="00B84E24">
        <w:t>behavioural</w:t>
      </w:r>
      <w:r w:rsidRPr="007F2705">
        <w:t xml:space="preserve"> shifts by working closely with schools, community organi</w:t>
      </w:r>
      <w:r w:rsidR="00E44083">
        <w:t>s</w:t>
      </w:r>
      <w:r w:rsidRPr="007F2705">
        <w:t>ations, and social services;</w:t>
      </w:r>
    </w:p>
    <w:p w:rsidRPr="007F2705" w:rsidR="00392720" w:rsidP="00A04FB7" w:rsidRDefault="00392720" w14:paraId="056DB3F7" w14:textId="77777777"/>
    <w:p w:rsidRPr="007F2705" w:rsidR="007448FD" w:rsidP="00A04FB7" w:rsidRDefault="007448FD" w14:paraId="6BE4ACFA" w14:textId="64C48E95">
      <w:pPr>
        <w:pStyle w:val="Heading1"/>
        <w:ind w:left="567" w:hanging="567"/>
      </w:pPr>
      <w:r w:rsidRPr="007F2705">
        <w:t>underlines that insufficient resources, institutional capacity and gender expertise remain key barriers to effective gender equality work at local and regional level; therefore, calls for continuous well-resourced training of public officials and staff across all sectors with a focus on integrating gender equality into the planning, delivery and evaluation of all public services</w:t>
      </w:r>
      <w:r w:rsidRPr="00D27A32" w:rsidR="00D27A32">
        <w:t xml:space="preserve">. In parallel, highlights the need to strengthen the capacities of women in economically disadvantaged and rural areas </w:t>
      </w:r>
      <w:r w:rsidR="00292781">
        <w:sym w:font="Symbol" w:char="F02D"/>
      </w:r>
      <w:r w:rsidRPr="00D27A32" w:rsidR="00D27A32">
        <w:t xml:space="preserve"> including those in agricultural communities </w:t>
      </w:r>
      <w:r w:rsidR="00292781">
        <w:sym w:font="Symbol" w:char="F02D"/>
      </w:r>
      <w:r w:rsidRPr="00D27A32" w:rsidR="00D27A32">
        <w:t xml:space="preserve"> through targeted programmes focusing on agroecological techniques, digital tools, entrepreneurship and social innovation. These initiatives, often delivered in cooperation with civil society organisations, should aim to foster both economic independence and ecological stewardship</w:t>
      </w:r>
      <w:r w:rsidRPr="007F2705">
        <w:t>;</w:t>
      </w:r>
    </w:p>
    <w:p w:rsidRPr="007F2705" w:rsidR="007448FD" w:rsidP="00A04FB7" w:rsidRDefault="007448FD" w14:paraId="13753F36" w14:textId="77777777"/>
    <w:p w:rsidRPr="001A454A" w:rsidR="007448FD" w:rsidP="00A04FB7" w:rsidRDefault="007448FD" w14:paraId="3ECCD4AD" w14:textId="77777777">
      <w:pPr>
        <w:pStyle w:val="Heading1"/>
        <w:ind w:left="567" w:hanging="567"/>
      </w:pPr>
      <w:r w:rsidRPr="001A454A">
        <w:t>reaffirms that</w:t>
      </w:r>
      <w:r w:rsidRPr="007F2705">
        <w:t xml:space="preserve"> </w:t>
      </w:r>
      <w:r w:rsidRPr="001A454A">
        <w:t>adequate financial and human resources must be guaranteed to ensure that local authorities can deliver on gender equality commitments in practice;</w:t>
      </w:r>
    </w:p>
    <w:p w:rsidRPr="001A454A" w:rsidR="00021D31" w:rsidP="00A04FB7" w:rsidRDefault="00021D31" w14:paraId="1B39A4DB" w14:textId="77777777"/>
    <w:p w:rsidRPr="001A454A" w:rsidR="007448FD" w:rsidP="00A04FB7" w:rsidRDefault="00021D31" w14:paraId="6BF09D2B" w14:textId="1586A964">
      <w:pPr>
        <w:pStyle w:val="Heading1"/>
        <w:ind w:left="567" w:hanging="567"/>
      </w:pPr>
      <w:r w:rsidRPr="001A454A">
        <w:tab/>
        <w:t>recommends the systemic use of gender-responsive budgeting at all levels of governance; budgets are political tools that reveal how resources are distributed – between activities, women and men, girls and boys. To prevent the unintentional reinforcement of gender inequalities, the gender perspective must be integrated from the outset in both the objectives and allocation of expenditure;</w:t>
      </w:r>
    </w:p>
    <w:p w:rsidRPr="007F2705" w:rsidR="00392720" w:rsidP="00A04FB7" w:rsidRDefault="00392720" w14:paraId="178A72C3" w14:textId="77777777"/>
    <w:p w:rsidRPr="001A454A" w:rsidR="003118F9" w:rsidP="00A04FB7" w:rsidRDefault="003118F9" w14:paraId="6391BB73" w14:textId="6D68AE30">
      <w:pPr>
        <w:keepNext/>
        <w:keepLines/>
        <w:rPr>
          <w:b/>
          <w:bCs/>
        </w:rPr>
      </w:pPr>
      <w:r w:rsidRPr="001A454A">
        <w:rPr>
          <w:b/>
          <w:bCs/>
        </w:rPr>
        <w:t>From words to action - The principles of gender equality and the important role of local and regional authorities</w:t>
      </w:r>
    </w:p>
    <w:p w:rsidRPr="001A454A" w:rsidR="003118F9" w:rsidP="00A04FB7" w:rsidRDefault="003118F9" w14:paraId="34315376" w14:textId="77777777">
      <w:pPr>
        <w:keepNext/>
        <w:keepLines/>
        <w:rPr>
          <w:b/>
          <w:bCs/>
        </w:rPr>
      </w:pPr>
    </w:p>
    <w:p w:rsidRPr="001A454A" w:rsidR="003118F9" w:rsidP="00A04FB7" w:rsidRDefault="003118F9" w14:paraId="6E9CB525" w14:textId="774A5AEE">
      <w:pPr>
        <w:keepNext/>
        <w:keepLines/>
        <w:rPr>
          <w:b/>
          <w:bCs/>
        </w:rPr>
      </w:pPr>
      <w:r w:rsidRPr="001A454A">
        <w:rPr>
          <w:b/>
          <w:bCs/>
        </w:rPr>
        <w:t>Freedom from gender-based violence</w:t>
      </w:r>
    </w:p>
    <w:p w:rsidRPr="007F2705" w:rsidR="003118F9" w:rsidP="00A04FB7" w:rsidRDefault="003118F9" w14:paraId="6EAD3BB3" w14:textId="77777777">
      <w:pPr>
        <w:keepNext/>
        <w:keepLines/>
      </w:pPr>
    </w:p>
    <w:p w:rsidRPr="007F2705" w:rsidR="00617EB2" w:rsidP="00A04FB7" w:rsidRDefault="00617EB2" w14:paraId="6EE0B1DF" w14:textId="7815DB9E">
      <w:pPr>
        <w:pStyle w:val="Heading1"/>
        <w:ind w:left="567" w:hanging="567"/>
      </w:pPr>
      <w:r w:rsidRPr="007F2705">
        <w:t>welcomes the adoption of the EU Directive to combat violence against women and domestic violence, which incorporates an intersectional perspective; regrets</w:t>
      </w:r>
      <w:r w:rsidR="00DB5E23">
        <w:t>,</w:t>
      </w:r>
      <w:r w:rsidRPr="007F2705">
        <w:t xml:space="preserve"> however, the absence of a consent-based definition of rape, as outlined in the Istanbul Convention; calls on the Commission and Member States to address this gap and ensure full implementation of the directive’s protections; its proper and timely implementation by Member States is essential to providing robust protection for women</w:t>
      </w:r>
      <w:r w:rsidR="00DB5E23">
        <w:t xml:space="preserve"> and</w:t>
      </w:r>
      <w:r w:rsidRPr="007F2705">
        <w:t xml:space="preserve"> ensuring access to justice and support services, and represents a milestone in the EU</w:t>
      </w:r>
      <w:r w:rsidR="00DB5E23">
        <w:t>’</w:t>
      </w:r>
      <w:r w:rsidRPr="007F2705">
        <w:t>s commitment to ending gender-based violence;</w:t>
      </w:r>
    </w:p>
    <w:p w:rsidRPr="007F2705" w:rsidR="00285990" w:rsidP="00A04FB7" w:rsidRDefault="00285990" w14:paraId="0DF5396C" w14:textId="77777777"/>
    <w:p w:rsidR="00AF4A15" w:rsidP="00A04FB7" w:rsidRDefault="00AF4A15" w14:paraId="42FAC2BF" w14:textId="628FCE83">
      <w:pPr>
        <w:pStyle w:val="Heading1"/>
        <w:ind w:left="567" w:hanging="567"/>
      </w:pPr>
      <w:r w:rsidRPr="00AF4A15">
        <w:t>affirms that all individuals, regardless of sex assigned at birth, gender identity or gender expression, must be protected from gender-based violence. It stresses the need for public policies and services to explicitly include trans and gender-diverse people, who are disproportionately affected by discrimination and violence. Recognising womanhood as a social identity is essential to ensuring inclusive, rights-based approaches to gender equality and protection from violence;</w:t>
      </w:r>
    </w:p>
    <w:p w:rsidRPr="00AF4A15" w:rsidR="00AF4A15" w:rsidP="00A95EAF" w:rsidRDefault="00AF4A15" w14:paraId="50A8E9BD" w14:textId="77777777"/>
    <w:p w:rsidRPr="007F2705" w:rsidR="00F626E7" w:rsidP="00A04FB7" w:rsidRDefault="00F626E7" w14:paraId="6A81A544" w14:textId="2EC7D31D">
      <w:pPr>
        <w:pStyle w:val="Heading1"/>
        <w:ind w:left="567" w:hanging="567"/>
      </w:pPr>
      <w:r w:rsidRPr="007F2705">
        <w:tab/>
        <w:t>recommends that the European Commission integrate the CoR opinion (COR 2023/02488)</w:t>
      </w:r>
      <w:r w:rsidRPr="007F2705" w:rsidR="00F54A70">
        <w:rPr>
          <w:rStyle w:val="FootnoteReference"/>
        </w:rPr>
        <w:footnoteReference w:id="2"/>
      </w:r>
      <w:r w:rsidRPr="007F2705">
        <w:t xml:space="preserve"> in its upcoming Gender Equality Strategy and recogni</w:t>
      </w:r>
      <w:r w:rsidR="00DB5E23">
        <w:t>s</w:t>
      </w:r>
      <w:r w:rsidRPr="007F2705">
        <w:t>e the key role of cities and regions in delivering concrete measures to combat gender-based violence;</w:t>
      </w:r>
    </w:p>
    <w:p w:rsidRPr="007F2705" w:rsidR="00F626E7" w:rsidP="00A04FB7" w:rsidRDefault="00F626E7" w14:paraId="03D5B16D" w14:textId="77777777"/>
    <w:p w:rsidRPr="007F2705" w:rsidR="00F626E7" w:rsidP="00A04FB7" w:rsidRDefault="00F626E7" w14:paraId="0AAE0117" w14:textId="5DDC26BD">
      <w:pPr>
        <w:pStyle w:val="Heading1"/>
        <w:ind w:left="567" w:hanging="567"/>
      </w:pPr>
      <w:r w:rsidRPr="007F2705">
        <w:tab/>
        <w:t>stresses that effective violence prevention requires tackling gender stereotypes</w:t>
      </w:r>
      <w:r w:rsidR="00794CE7">
        <w:t>,</w:t>
      </w:r>
      <w:r w:rsidR="00DB5E23">
        <w:t xml:space="preserve"> </w:t>
      </w:r>
      <w:r w:rsidRPr="007F2705">
        <w:t>harmful masculinity norms</w:t>
      </w:r>
      <w:r w:rsidRPr="00C42F76" w:rsidR="00C42F76">
        <w:t xml:space="preserve"> and patriarchal structures through an intersectional lens</w:t>
      </w:r>
      <w:r w:rsidR="00DB5E23">
        <w:t>,</w:t>
      </w:r>
      <w:r w:rsidRPr="007F2705">
        <w:t xml:space="preserve"> and understanding women</w:t>
      </w:r>
      <w:r w:rsidR="00DB5E23">
        <w:t>’</w:t>
      </w:r>
      <w:r w:rsidRPr="007F2705">
        <w:t xml:space="preserve">s </w:t>
      </w:r>
      <w:r w:rsidR="00DB5E23">
        <w:t xml:space="preserve">lived </w:t>
      </w:r>
      <w:r w:rsidRPr="007F2705">
        <w:t xml:space="preserve">experiences; </w:t>
      </w:r>
      <w:r w:rsidRPr="007F2705" w:rsidR="005C51E8">
        <w:t>i</w:t>
      </w:r>
      <w:r w:rsidRPr="007F2705">
        <w:t xml:space="preserve">t is also crucial to make men responsible for violence prevention, as they are the demographic that overwhelmingly perpetuates gender-based violence; engaging men and boys is essential, and local and regional authorities must be equipped with the resources and capacity to lead this work on the ground; </w:t>
      </w:r>
    </w:p>
    <w:p w:rsidRPr="007F2705" w:rsidR="00F626E7" w:rsidP="00A04FB7" w:rsidRDefault="00F626E7" w14:paraId="6206AF75" w14:textId="77777777"/>
    <w:p w:rsidR="00566081" w:rsidP="00A04FB7" w:rsidRDefault="00F626E7" w14:paraId="64FD26DE" w14:textId="7D55D075">
      <w:pPr>
        <w:pStyle w:val="Heading1"/>
        <w:ind w:left="567" w:hanging="567"/>
      </w:pPr>
      <w:r w:rsidRPr="007F2705">
        <w:tab/>
      </w:r>
      <w:r w:rsidRPr="00566081" w:rsidR="00566081">
        <w:t>calls for LRAs to consider increased investment in safe and accessible spaces for survivors of gender-based violence. It is essential to integrate this perspective into urban planning, local development strategies, and the overall design of cities and towns. Gender-sensitive local and regional planning is crucial. Further stresses the urgent need to enhance local and regional services, including shelters and counselling centres, to provide comprehensive support and protection for all survivors, regardless of gender identity or background;</w:t>
      </w:r>
    </w:p>
    <w:p w:rsidRPr="00566081" w:rsidR="00566081" w:rsidP="00A95EAF" w:rsidRDefault="00566081" w14:paraId="19C6EB93" w14:textId="77777777"/>
    <w:p w:rsidRPr="007F2705" w:rsidR="00285990" w:rsidP="00A04FB7" w:rsidRDefault="00F626E7" w14:paraId="087379FE" w14:textId="7E4A2DF8">
      <w:pPr>
        <w:pStyle w:val="Heading1"/>
        <w:ind w:left="567" w:hanging="567"/>
      </w:pPr>
      <w:r w:rsidRPr="007F2705">
        <w:t xml:space="preserve">calls on local and regional authorities to integrate </w:t>
      </w:r>
      <w:r w:rsidRPr="001A454A" w:rsidR="007025B1">
        <w:t xml:space="preserve">a </w:t>
      </w:r>
      <w:r w:rsidRPr="007F2705">
        <w:t>gender perspective in urban and transport planning</w:t>
      </w:r>
      <w:r w:rsidRPr="00886625" w:rsidR="00886625">
        <w:t>, including through structured cooperation with civil society organisations, such as feminist and community-led initiatives,</w:t>
      </w:r>
      <w:r w:rsidRPr="007F2705">
        <w:t xml:space="preserve"> to create safer public spaces and reduce the risk of gender-based violence in streets, public transport, schools, workplaces, parks and everyday environments; urges the European Commission to reflect this priority in the forthcoming Gender Equality Strategy and to support local efforts through funding, guidance, and the exchange of good practices</w:t>
      </w:r>
      <w:r w:rsidRPr="007F2705" w:rsidR="007E5FAE">
        <w:t>;</w:t>
      </w:r>
    </w:p>
    <w:p w:rsidRPr="007F2705" w:rsidR="007E5FAE" w:rsidP="00A04FB7" w:rsidRDefault="007E5FAE" w14:paraId="36178792" w14:textId="77777777"/>
    <w:p w:rsidRPr="007F2705" w:rsidR="007E5FAE" w:rsidP="00A04FB7" w:rsidRDefault="007E5FAE" w14:paraId="00A7F77F" w14:textId="40587F32">
      <w:pPr>
        <w:pStyle w:val="Heading1"/>
        <w:ind w:left="567" w:hanging="567"/>
      </w:pPr>
      <w:r w:rsidRPr="007F2705">
        <w:tab/>
        <w:t>stresses the urgent need to prioriti</w:t>
      </w:r>
      <w:r w:rsidR="00DB5E23">
        <w:t>s</w:t>
      </w:r>
      <w:r w:rsidRPr="007F2705">
        <w:t>e early prevention in schools, by promoting inclusive education based on gender equality, respect and non-violence; calls for the integration of this work into the daily fabric of school beyond one-off awareness campaigns, through the provision of tools and training for both pupils and staff to recogni</w:t>
      </w:r>
      <w:r w:rsidR="0035364D">
        <w:t>s</w:t>
      </w:r>
      <w:r w:rsidRPr="007F2705">
        <w:t>e, prevent, and address all forms of violence, including gender-based violence, and highlights the critical role of schools in challenging gender stereotypes and promoting positive social norms from a young age;</w:t>
      </w:r>
    </w:p>
    <w:p w:rsidRPr="007F2705" w:rsidR="00202513" w:rsidP="00A04FB7" w:rsidRDefault="00202513" w14:paraId="333AF590" w14:textId="77777777"/>
    <w:p w:rsidRPr="007F2705" w:rsidR="007E5FAE" w:rsidP="00A04FB7" w:rsidRDefault="007E5FAE" w14:paraId="46CE7C02" w14:textId="764386C9">
      <w:pPr>
        <w:pStyle w:val="Heading1"/>
        <w:ind w:left="567" w:hanging="567"/>
      </w:pPr>
      <w:r w:rsidRPr="007F2705">
        <w:tab/>
        <w:t xml:space="preserve">encourages the European Commission to support cooperation and structured exchange of evidence-based practices between Member States, and to ensure that education on gender equality and violence prevention is a core component of the upcoming Gender Equality Strategy; </w:t>
      </w:r>
    </w:p>
    <w:p w:rsidRPr="007F2705" w:rsidR="00202513" w:rsidP="00A04FB7" w:rsidRDefault="00202513" w14:paraId="5A4E94E6" w14:textId="77777777"/>
    <w:p w:rsidRPr="001A454A" w:rsidR="007E5FAE" w:rsidP="00A04FB7" w:rsidRDefault="007E5FAE" w14:paraId="0F6F2890" w14:textId="1E14656D">
      <w:pPr>
        <w:pStyle w:val="Heading1"/>
        <w:ind w:left="567" w:hanging="567"/>
      </w:pPr>
      <w:r w:rsidRPr="001A454A">
        <w:tab/>
        <w:t>regrets that the Roadmap fails to adequately address the specific needs of women in vulnerable situation</w:t>
      </w:r>
      <w:r w:rsidR="0035364D">
        <w:t>s</w:t>
      </w:r>
      <w:r w:rsidRPr="001A454A">
        <w:t>, including women with disabilities, migrants, asylum seekers, and those whose residence status depends on a partner; these groups face heightened risks of violence and exclusion and must be made visible in EU policymaking; calls for stronger action to safeguard their rights and highlights the role of local and regional authorities, working in partnership with civil society, in delivering protection and support on the ground;</w:t>
      </w:r>
    </w:p>
    <w:p w:rsidRPr="007F2705" w:rsidR="00617EB2" w:rsidP="00A04FB7" w:rsidRDefault="00617EB2" w14:paraId="5764B9FF" w14:textId="77777777"/>
    <w:p w:rsidRPr="007F2705" w:rsidR="000A7F61" w:rsidP="00A04FB7" w:rsidRDefault="000A7F61" w14:paraId="1B8232A7" w14:textId="4E40BD26">
      <w:pPr>
        <w:pStyle w:val="Heading1"/>
        <w:ind w:left="567" w:hanging="567"/>
      </w:pPr>
      <w:r w:rsidRPr="007F2705">
        <w:tab/>
        <w:t xml:space="preserve">highlights the growing threat of digital violence, including online misogyny, cyberstalking and doxing, which disproportionately target women </w:t>
      </w:r>
      <w:r w:rsidR="0035364D">
        <w:t>–</w:t>
      </w:r>
      <w:r w:rsidRPr="007F2705">
        <w:t xml:space="preserve"> especially those in politics and public life; calls for local and regional strategies to promote digital safety, awareness and support for survivors, and urges stronger accountability from tech platforms to combat gender-based violence online;</w:t>
      </w:r>
    </w:p>
    <w:p w:rsidRPr="007F2705" w:rsidR="000A7F61" w:rsidP="00A04FB7" w:rsidRDefault="000A7F61" w14:paraId="1CBCEC6D" w14:textId="77777777"/>
    <w:p w:rsidRPr="007F2705" w:rsidR="00ED375E" w:rsidP="00A04FB7" w:rsidRDefault="00ED375E" w14:paraId="7560534F" w14:textId="77777777">
      <w:pPr>
        <w:keepNext/>
        <w:rPr>
          <w:b/>
          <w:bCs/>
        </w:rPr>
      </w:pPr>
      <w:r w:rsidRPr="001A454A">
        <w:rPr>
          <w:b/>
          <w:bCs/>
        </w:rPr>
        <w:t>The highest health standards</w:t>
      </w:r>
    </w:p>
    <w:p w:rsidRPr="001A454A" w:rsidR="00ED375E" w:rsidP="00A04FB7" w:rsidRDefault="00ED375E" w14:paraId="0AC59C9F" w14:textId="77777777">
      <w:pPr>
        <w:keepNext/>
        <w:rPr>
          <w:b/>
          <w:bCs/>
        </w:rPr>
      </w:pPr>
    </w:p>
    <w:p w:rsidRPr="001A454A" w:rsidR="00ED375E" w:rsidP="00A04FB7" w:rsidRDefault="00ED375E" w14:paraId="0B68E913" w14:textId="29494BE1">
      <w:pPr>
        <w:pStyle w:val="Heading1"/>
        <w:ind w:left="567" w:hanging="567"/>
      </w:pPr>
      <w:r w:rsidRPr="001A454A">
        <w:tab/>
        <w:t>welcomes the Commission</w:t>
      </w:r>
      <w:r w:rsidR="0035364D">
        <w:t>’</w:t>
      </w:r>
      <w:r w:rsidRPr="001A454A">
        <w:t>s recognition of the need to support Member States in ensuring women</w:t>
      </w:r>
      <w:r w:rsidR="00913389">
        <w:t>’</w:t>
      </w:r>
      <w:r w:rsidRPr="001A454A">
        <w:t>s access to sexual and reproductive health rights (SRHR</w:t>
      </w:r>
      <w:r w:rsidR="00913389">
        <w:t>s</w:t>
      </w:r>
      <w:r w:rsidRPr="001A454A">
        <w:t>), and in promoting gender-responsive medical research and care; stresses that SRHR</w:t>
      </w:r>
      <w:r w:rsidR="00913389">
        <w:t>s</w:t>
      </w:r>
      <w:r w:rsidRPr="001A454A">
        <w:t xml:space="preserve"> are fundamental human rights and essential for achieving gender equality;</w:t>
      </w:r>
    </w:p>
    <w:p w:rsidRPr="007F2705" w:rsidR="00ED375E" w:rsidP="00A04FB7" w:rsidRDefault="00ED375E" w14:paraId="52C23C9E" w14:textId="77777777"/>
    <w:p w:rsidRPr="001A454A" w:rsidR="00ED375E" w:rsidP="00A04FB7" w:rsidRDefault="00ED375E" w14:paraId="009C5484" w14:textId="794A5364">
      <w:pPr>
        <w:pStyle w:val="Heading1"/>
        <w:ind w:left="567" w:hanging="567"/>
      </w:pPr>
      <w:r w:rsidRPr="001A454A">
        <w:t>highlights persistent gaps in women</w:t>
      </w:r>
      <w:r w:rsidR="00913389">
        <w:t>’</w:t>
      </w:r>
      <w:r w:rsidRPr="001A454A">
        <w:t>s healthcare</w:t>
      </w:r>
      <w:r w:rsidR="00913389">
        <w:t>,</w:t>
      </w:r>
      <w:r w:rsidRPr="001A454A">
        <w:t xml:space="preserve"> including mental health </w:t>
      </w:r>
      <w:r w:rsidR="00913389">
        <w:t xml:space="preserve">and </w:t>
      </w:r>
      <w:r w:rsidRPr="001A454A">
        <w:t>reproductive and maternal care</w:t>
      </w:r>
      <w:r w:rsidR="00913389">
        <w:t>;</w:t>
      </w:r>
      <w:r w:rsidRPr="001A454A">
        <w:t xml:space="preserve"> underlines the vital role of local and regional authorities in ensuring accessible, equitable, and rights-based health services, including planned parenthood </w:t>
      </w:r>
      <w:r w:rsidRPr="001A454A" w:rsidR="00FB2B33">
        <w:t>centres</w:t>
      </w:r>
      <w:r w:rsidRPr="001A454A">
        <w:t>, for all women and girls;</w:t>
      </w:r>
    </w:p>
    <w:p w:rsidRPr="007F2705" w:rsidR="00ED375E" w:rsidP="00A04FB7" w:rsidRDefault="00ED375E" w14:paraId="0862FAA3" w14:textId="77777777"/>
    <w:p w:rsidRPr="007F2705" w:rsidR="000E5659" w:rsidP="00A04FB7" w:rsidRDefault="00913389" w14:paraId="1DEDEA74" w14:textId="20BB0829">
      <w:pPr>
        <w:pStyle w:val="Heading1"/>
        <w:ind w:left="567" w:hanging="567"/>
      </w:pPr>
      <w:r>
        <w:t xml:space="preserve">notes that </w:t>
      </w:r>
      <w:r w:rsidRPr="007F2705" w:rsidR="000E5659">
        <w:t>recent rollbacks in some Member States underscore the urgency of protecting these rights across all levels of governance;</w:t>
      </w:r>
      <w:r w:rsidRPr="007F2705" w:rsidR="0024458C">
        <w:t xml:space="preserve"> </w:t>
      </w:r>
      <w:r w:rsidRPr="007F2705" w:rsidR="000E5659">
        <w:t>calls for all women in the EU to have access to legal, safe, and affordable abortion care in line with international human rights standards; emphasi</w:t>
      </w:r>
      <w:r>
        <w:t>s</w:t>
      </w:r>
      <w:r w:rsidRPr="007F2705" w:rsidR="000E5659">
        <w:t>es the importance of ensuring that such care is available without discrimination and highlights the need to address regional disparities in access; encourages local and regional authorities to work towards guaranteeing equitable access to reproductive healthcare services across all territories; stresses that all women have the right to bodily autonomy and to make informed decisions about their health and lives, free from exploitation;</w:t>
      </w:r>
    </w:p>
    <w:p w:rsidRPr="007F2705" w:rsidR="00D6421F" w:rsidP="00A04FB7" w:rsidRDefault="00D6421F" w14:paraId="1E0ED876" w14:textId="77777777"/>
    <w:p w:rsidRPr="007F2705" w:rsidR="00D6421F" w:rsidP="00A04FB7" w:rsidRDefault="00274A6D" w14:paraId="77A2C126" w14:textId="7D4BE81A">
      <w:pPr>
        <w:pStyle w:val="Heading1"/>
        <w:ind w:left="567" w:hanging="567"/>
      </w:pPr>
      <w:r w:rsidRPr="007F2705">
        <w:t>calls for the development of common European standards for maternal and reproductive healthcare, including access to affordable and de-stigmati</w:t>
      </w:r>
      <w:r w:rsidR="00913389">
        <w:t>s</w:t>
      </w:r>
      <w:r w:rsidRPr="007F2705">
        <w:t xml:space="preserve">ed contraception for women and men, as well as counselling; </w:t>
      </w:r>
      <w:r w:rsidRPr="007F2705" w:rsidR="00627C3B">
        <w:t>e</w:t>
      </w:r>
      <w:r w:rsidRPr="007F2705">
        <w:t>mphasi</w:t>
      </w:r>
      <w:r w:rsidR="00913389">
        <w:t>s</w:t>
      </w:r>
      <w:r w:rsidRPr="007F2705">
        <w:t>es the need to reduce regional disparities and supports HPV vaccination as a key step towards eradicating cervical cancer;</w:t>
      </w:r>
    </w:p>
    <w:p w:rsidRPr="007F2705" w:rsidR="00274A6D" w:rsidP="00A04FB7" w:rsidRDefault="00274A6D" w14:paraId="5493209D" w14:textId="77777777"/>
    <w:p w:rsidR="00D30EE1" w:rsidP="00A04FB7" w:rsidRDefault="007A0283" w14:paraId="72377A8E" w14:textId="2981F24E">
      <w:pPr>
        <w:pStyle w:val="Heading1"/>
        <w:ind w:left="567" w:hanging="567"/>
      </w:pPr>
      <w:r w:rsidRPr="007F2705">
        <w:tab/>
      </w:r>
      <w:r w:rsidRPr="00D30EE1" w:rsidR="00D30EE1">
        <w:t>encourages LRAs to lead efforts in providing free menstrual hygiene products (MHPs) in public spaces under their competence, including schools, social care institutions, youth centres and municipal facilities. Ensuring access to menstrual hygiene is essential to safeguarding human dignity, promoting gender equality and addressing health disparities at the local level;</w:t>
      </w:r>
    </w:p>
    <w:p w:rsidRPr="00D30EE1" w:rsidR="00D30EE1" w:rsidP="00A95EAF" w:rsidRDefault="00D30EE1" w14:paraId="6DCBAE10" w14:textId="77777777"/>
    <w:p w:rsidRPr="007F2705" w:rsidR="00274A6D" w:rsidP="00A04FB7" w:rsidRDefault="007A0283" w14:paraId="54CEDD75" w14:textId="5938C702">
      <w:pPr>
        <w:pStyle w:val="Heading1"/>
        <w:ind w:left="567" w:hanging="567"/>
      </w:pPr>
      <w:r w:rsidRPr="007F2705">
        <w:t>stresses that gender stereotypes and insufficient understanding of sex-based differences can result in misdiagnoses and unequal care; calls for increased awareness, gender-disaggregated data, and the exchange of best practices in gender</w:t>
      </w:r>
      <w:r w:rsidR="00913389">
        <w:t>-</w:t>
      </w:r>
      <w:r w:rsidRPr="007F2705">
        <w:t>sensitive healthcare;</w:t>
      </w:r>
    </w:p>
    <w:p w:rsidRPr="007F2705" w:rsidR="007A0283" w:rsidP="00A04FB7" w:rsidRDefault="007A0283" w14:paraId="6D266A24" w14:textId="77777777"/>
    <w:p w:rsidRPr="007F2705" w:rsidR="007A0283" w:rsidP="00A04FB7" w:rsidRDefault="005D7695" w14:paraId="26786F3E" w14:textId="0E8B1331">
      <w:pPr>
        <w:pStyle w:val="Heading1"/>
        <w:ind w:left="567" w:hanging="567"/>
      </w:pPr>
      <w:r w:rsidRPr="005D7695">
        <w:t xml:space="preserve">calls on the Commission to designate femicide as such, i.e. the murder of women based on their gender, and condemn it in its strategy for combating gender-based violence; </w:t>
      </w:r>
      <w:r w:rsidRPr="007F2705" w:rsidR="00C72A7A">
        <w:t xml:space="preserve">underlines the need for early identification and support of survivors of domestic and gender-based violence, including sexual violence, </w:t>
      </w:r>
      <w:r w:rsidRPr="007F2705" w:rsidR="005E74BF">
        <w:t>honour</w:t>
      </w:r>
      <w:r w:rsidRPr="007F2705" w:rsidR="00C72A7A">
        <w:t xml:space="preserve">-related violence and genital mutilation and harmful practices; </w:t>
      </w:r>
      <w:r w:rsidRPr="007F2705" w:rsidR="006463BF">
        <w:t>l</w:t>
      </w:r>
      <w:r w:rsidRPr="007F2705" w:rsidR="00C72A7A">
        <w:t>ocal and regional authorities must be equipped with the knowledge, resources, and legal frameworks to respond effectively;</w:t>
      </w:r>
    </w:p>
    <w:p w:rsidRPr="007F2705" w:rsidR="00C72A7A" w:rsidP="00A04FB7" w:rsidRDefault="00C72A7A" w14:paraId="5C1FA9BE" w14:textId="77777777"/>
    <w:p w:rsidRPr="001A454A" w:rsidR="00C72A7A" w:rsidP="00A04FB7" w:rsidRDefault="00B02107" w14:paraId="6F165F6C" w14:textId="66FE6AAD">
      <w:pPr>
        <w:keepNext/>
        <w:rPr>
          <w:b/>
          <w:bCs/>
          <w:szCs w:val="22"/>
        </w:rPr>
      </w:pPr>
      <w:r w:rsidRPr="001A454A">
        <w:rPr>
          <w:b/>
          <w:bCs/>
          <w:szCs w:val="22"/>
        </w:rPr>
        <w:t>Equal pay and economic empowerment</w:t>
      </w:r>
    </w:p>
    <w:p w:rsidRPr="00A95EAF" w:rsidR="00B02107" w:rsidP="00A04FB7" w:rsidRDefault="00B02107" w14:paraId="1DE865E7" w14:textId="77777777">
      <w:pPr>
        <w:keepNext/>
        <w:rPr>
          <w:szCs w:val="22"/>
        </w:rPr>
      </w:pPr>
    </w:p>
    <w:p w:rsidRPr="007F2705" w:rsidR="0037256B" w:rsidP="00A04FB7" w:rsidRDefault="0037256B" w14:paraId="748C7872" w14:textId="41B31F99">
      <w:pPr>
        <w:pStyle w:val="Heading1"/>
        <w:ind w:left="567" w:hanging="567"/>
      </w:pPr>
      <w:r w:rsidRPr="001A454A">
        <w:tab/>
        <w:t xml:space="preserve">stresses the need to close gender pay and pension gaps, tackle gender segregation in the </w:t>
      </w:r>
      <w:r w:rsidRPr="007F2705" w:rsidR="0022619A">
        <w:t>labour</w:t>
      </w:r>
      <w:r w:rsidRPr="001A454A">
        <w:t xml:space="preserve"> market, and promote women</w:t>
      </w:r>
      <w:r w:rsidR="00913389">
        <w:t>’</w:t>
      </w:r>
      <w:r w:rsidRPr="001A454A">
        <w:t xml:space="preserve">s economic empowerment; highlights the potential of public procurement to advance gender equality through targeted clauses and training for procurers; </w:t>
      </w:r>
    </w:p>
    <w:p w:rsidRPr="001A454A" w:rsidR="0037256B" w:rsidP="00A04FB7" w:rsidRDefault="0037256B" w14:paraId="334F0B6C" w14:textId="77777777"/>
    <w:p w:rsidR="00DA6B11" w:rsidP="00A04FB7" w:rsidRDefault="00DA6B11" w14:paraId="1CB7643B" w14:textId="26F7CFE6">
      <w:pPr>
        <w:pStyle w:val="Heading1"/>
        <w:ind w:left="567" w:hanging="567"/>
      </w:pPr>
      <w:r w:rsidRPr="00DA6B11">
        <w:t>calls for the promotion of gender-sensitive rural and urban development policies that actively encourage women’s entrepreneurship, including through improved access to land, credit, technology and targeted funding in agriculture and green sectors. This includes financing women-led initiatives, supporting them in navigating administrative processes and reviewing potential barriers to accessing funding schemes. In less developed regions, inclusive local strategies must prioritise support for women-led initiatives that contribute to, amongst other goals, biodiversity protection and sustainable land use;</w:t>
      </w:r>
    </w:p>
    <w:p w:rsidRPr="00DA6B11" w:rsidR="00DA6B11" w:rsidP="00A95EAF" w:rsidRDefault="00DA6B11" w14:paraId="765098F1" w14:textId="77777777"/>
    <w:p w:rsidRPr="007F2705" w:rsidR="00B02107" w:rsidP="00A04FB7" w:rsidRDefault="0037256B" w14:paraId="471EDC49" w14:textId="17CC892E">
      <w:pPr>
        <w:pStyle w:val="Heading1"/>
        <w:ind w:left="567" w:hanging="567"/>
      </w:pPr>
      <w:r w:rsidRPr="007F2705">
        <w:t>n</w:t>
      </w:r>
      <w:r w:rsidRPr="001A454A">
        <w:t>otes that women remain disproportionately at risk of poverty and social exclusion, and underlines the key role of local and regional authorities in addressing these challenges</w:t>
      </w:r>
      <w:r w:rsidR="00913389">
        <w:t>; c</w:t>
      </w:r>
      <w:r w:rsidRPr="001A454A">
        <w:t>alls for adequate legal frameworks and funding to enable them to act effectively</w:t>
      </w:r>
      <w:r w:rsidRPr="007F2705" w:rsidR="00A46D38">
        <w:rPr>
          <w:rStyle w:val="FootnoteReference"/>
        </w:rPr>
        <w:footnoteReference w:id="3"/>
      </w:r>
      <w:r w:rsidRPr="007F2705">
        <w:t>;</w:t>
      </w:r>
    </w:p>
    <w:p w:rsidRPr="001A454A" w:rsidR="00C511EC" w:rsidP="00A04FB7" w:rsidRDefault="00C511EC" w14:paraId="1D83B172" w14:textId="77777777"/>
    <w:p w:rsidRPr="007F2705" w:rsidR="0037256B" w:rsidP="00A04FB7" w:rsidRDefault="00C511EC" w14:paraId="65AE98AF" w14:textId="3D770886">
      <w:pPr>
        <w:pStyle w:val="Heading1"/>
        <w:ind w:left="567" w:hanging="567"/>
      </w:pPr>
      <w:r w:rsidRPr="007F2705">
        <w:tab/>
        <w:t>calls for an intersectional approach to be mainstreamed into EU and national policies, in particular labour market policies in close consultation with social partners, to better protect and strengthen the rights of women facing multiple forms of discrimination, including migrant women, asylum seekers and women with disabilities; warns that digitali</w:t>
      </w:r>
      <w:r w:rsidR="00913389">
        <w:t>s</w:t>
      </w:r>
      <w:r w:rsidRPr="007F2705">
        <w:t>ation risks deepening existing inequalities and urges action to ensure it promotes inclusion rather than exclusion;</w:t>
      </w:r>
    </w:p>
    <w:p w:rsidRPr="007F2705" w:rsidR="001A19E2" w:rsidP="00A04FB7" w:rsidRDefault="001A19E2" w14:paraId="152E4A70" w14:textId="77777777"/>
    <w:p w:rsidRPr="007F2705" w:rsidR="001A19E2" w:rsidP="00A04FB7" w:rsidRDefault="00584EF0" w14:paraId="381F50EA" w14:textId="46D33B49">
      <w:pPr>
        <w:keepNext/>
        <w:rPr>
          <w:b/>
          <w:bCs/>
        </w:rPr>
      </w:pPr>
      <w:r w:rsidRPr="001A454A">
        <w:rPr>
          <w:b/>
          <w:bCs/>
        </w:rPr>
        <w:t>Work-life balance and caring responsibilities</w:t>
      </w:r>
    </w:p>
    <w:p w:rsidRPr="007F2705" w:rsidR="00584EF0" w:rsidP="00A04FB7" w:rsidRDefault="00584EF0" w14:paraId="296BD7E2" w14:textId="77777777">
      <w:pPr>
        <w:keepNext/>
        <w:rPr>
          <w:b/>
          <w:bCs/>
        </w:rPr>
      </w:pPr>
    </w:p>
    <w:p w:rsidRPr="007F2705" w:rsidR="00584EF0" w:rsidP="00A04FB7" w:rsidRDefault="005B210F" w14:paraId="5E912DA7" w14:textId="4E43CC2C">
      <w:pPr>
        <w:pStyle w:val="Heading1"/>
        <w:ind w:left="567" w:hanging="567"/>
      </w:pPr>
      <w:r w:rsidRPr="001A454A">
        <w:tab/>
        <w:t>welcomes the Roadmap</w:t>
      </w:r>
      <w:r w:rsidR="009A22EC">
        <w:t>’</w:t>
      </w:r>
      <w:r w:rsidRPr="001A454A">
        <w:t>s focus on a fairer sharing of care responsibilities and stronger investment in the care sector; highlights the key role of local and regional authorities in providing care infrastructure that enables women</w:t>
      </w:r>
      <w:r w:rsidR="009A22EC">
        <w:t>’</w:t>
      </w:r>
      <w:r w:rsidRPr="001A454A">
        <w:t xml:space="preserve">s reintegration and active participation in the </w:t>
      </w:r>
      <w:r w:rsidRPr="007F2705">
        <w:t>labour</w:t>
      </w:r>
      <w:r w:rsidRPr="001A454A">
        <w:t xml:space="preserve"> market, which helps clos</w:t>
      </w:r>
      <w:r w:rsidR="009A22EC">
        <w:t>e</w:t>
      </w:r>
      <w:r w:rsidRPr="001A454A">
        <w:t xml:space="preserve"> pay and pension gaps; notes that women continue to shoulder the majority of care work, both unpaid within the private sphere and paid within the care sector, with millions excluded from the </w:t>
      </w:r>
      <w:r w:rsidRPr="007F2705">
        <w:t>labour</w:t>
      </w:r>
      <w:r w:rsidRPr="001A454A">
        <w:t xml:space="preserve"> market as a result; 90% of </w:t>
      </w:r>
      <w:r w:rsidR="009A22EC">
        <w:t xml:space="preserve">the formal care workforce are </w:t>
      </w:r>
      <w:r w:rsidRPr="001A454A">
        <w:t xml:space="preserve">women and 7.7 million women </w:t>
      </w:r>
      <w:r w:rsidR="009A22EC">
        <w:t xml:space="preserve">are </w:t>
      </w:r>
      <w:r w:rsidRPr="001A454A">
        <w:t xml:space="preserve">outside the </w:t>
      </w:r>
      <w:r w:rsidRPr="007F2705">
        <w:t>labour</w:t>
      </w:r>
      <w:r w:rsidRPr="001A454A">
        <w:t xml:space="preserve"> market due to care responsibilities</w:t>
      </w:r>
      <w:r w:rsidRPr="007F2705" w:rsidR="00090C79">
        <w:rPr>
          <w:rStyle w:val="FootnoteReference"/>
        </w:rPr>
        <w:footnoteReference w:id="4"/>
      </w:r>
      <w:r w:rsidRPr="007F2705" w:rsidR="00F6028F">
        <w:t>;</w:t>
      </w:r>
    </w:p>
    <w:p w:rsidRPr="007F2705" w:rsidR="00F6028F" w:rsidP="00A04FB7" w:rsidRDefault="00F6028F" w14:paraId="7ACA7BDE" w14:textId="77777777"/>
    <w:p w:rsidR="00750AF3" w:rsidP="00A04FB7" w:rsidRDefault="00750AF3" w14:paraId="1A54C6C2" w14:textId="7D247A77">
      <w:pPr>
        <w:pStyle w:val="Heading1"/>
        <w:ind w:left="567" w:hanging="567"/>
      </w:pPr>
      <w:r w:rsidRPr="00750AF3">
        <w:t>calls for the elimination of the so-called ‘pink tax’</w:t>
      </w:r>
      <w:r w:rsidR="00F87CAB">
        <w:t xml:space="preserve"> </w:t>
      </w:r>
      <w:r w:rsidR="00F87CAB">
        <w:sym w:font="Symbol" w:char="F02D"/>
      </w:r>
      <w:r w:rsidR="00F87CAB">
        <w:t xml:space="preserve"> </w:t>
      </w:r>
      <w:r w:rsidRPr="00750AF3">
        <w:t>the application of VAT or higher pricing on MHPs</w:t>
      </w:r>
      <w:r w:rsidR="00F87CAB">
        <w:t xml:space="preserve"> </w:t>
      </w:r>
      <w:r w:rsidR="00F87CAB">
        <w:sym w:font="Symbol" w:char="F02D"/>
      </w:r>
      <w:r w:rsidR="00F87CAB">
        <w:t xml:space="preserve"> </w:t>
      </w:r>
      <w:r w:rsidRPr="00750AF3">
        <w:t>which contributes to gender-based economic inequality. Removing VAT on MHPs, using the flexibility allowed under Council Directive 2006/112/EC, would be a concrete step toward fiscal justice and gender equality</w:t>
      </w:r>
      <w:r w:rsidR="00CD42FC">
        <w:t>;</w:t>
      </w:r>
    </w:p>
    <w:p w:rsidRPr="00CD42FC" w:rsidR="00CD42FC" w:rsidP="00A95EAF" w:rsidRDefault="00CD42FC" w14:paraId="4787E0D9" w14:textId="77777777"/>
    <w:p w:rsidR="00F6028F" w:rsidP="00A04FB7" w:rsidRDefault="00497276" w14:paraId="67BE70E3" w14:textId="018D0711">
      <w:pPr>
        <w:pStyle w:val="Heading1"/>
        <w:ind w:left="567" w:hanging="567"/>
      </w:pPr>
      <w:r w:rsidRPr="001A454A">
        <w:tab/>
        <w:t>stresses the importance of the EU Care Strategy</w:t>
      </w:r>
      <w:r w:rsidRPr="001A454A">
        <w:rPr>
          <w:rStyle w:val="FootnoteReference"/>
        </w:rPr>
        <w:footnoteReference w:id="5"/>
      </w:r>
      <w:r w:rsidRPr="001A454A">
        <w:t xml:space="preserve"> in ensuring access to affordable and quality care services and improving conditions for both caregivers and recipients; underscores that women are disproportionately affected by care gaps, as they continue to be responsible for the bulk of informal care responsibilities;</w:t>
      </w:r>
    </w:p>
    <w:p w:rsidRPr="001A454A" w:rsidR="00DA6B44" w:rsidP="00A04FB7" w:rsidRDefault="00DA6B44" w14:paraId="74BAA1E8" w14:textId="77777777"/>
    <w:p w:rsidR="00DE4AD1" w:rsidP="00A04FB7" w:rsidRDefault="00D139B3" w14:paraId="4CAF1E93" w14:textId="3ECCDD43">
      <w:pPr>
        <w:pStyle w:val="Heading1"/>
        <w:ind w:left="567" w:hanging="567"/>
        <w:rPr>
          <w:szCs w:val="22"/>
        </w:rPr>
      </w:pPr>
      <w:r w:rsidRPr="00D139B3">
        <w:rPr>
          <w:szCs w:val="22"/>
        </w:rPr>
        <w:t>underlines the need to decouple womanhood from traditional roles tied exclusively to childbearing and caregiving, in line with the EU Gender Equality Strategy 2020-2025 (Action 4) and as such calls for family-friendly policies to explicitly recognise and support diverse family forms</w:t>
      </w:r>
      <w:r w:rsidR="00F87CAB">
        <w:t xml:space="preserve"> </w:t>
      </w:r>
      <w:r w:rsidR="00F87CAB">
        <w:sym w:font="Symbol" w:char="F02D"/>
      </w:r>
      <w:r w:rsidR="00F87CAB">
        <w:t xml:space="preserve"> </w:t>
      </w:r>
      <w:r w:rsidRPr="00D139B3">
        <w:rPr>
          <w:szCs w:val="22"/>
        </w:rPr>
        <w:t>including single-parent and LGBTQ+ families</w:t>
      </w:r>
      <w:r w:rsidR="00F87CAB">
        <w:t xml:space="preserve"> </w:t>
      </w:r>
      <w:r w:rsidR="00F87CAB">
        <w:sym w:font="Symbol" w:char="F02D"/>
      </w:r>
      <w:r w:rsidR="00F87CAB">
        <w:t xml:space="preserve"> </w:t>
      </w:r>
      <w:r w:rsidRPr="00D139B3">
        <w:rPr>
          <w:szCs w:val="22"/>
        </w:rPr>
        <w:t>as equally valid and deserving of protection. This approach promotes shared family responsibilities and social inclusion, addressing the unequal burden historically placed on women;</w:t>
      </w:r>
    </w:p>
    <w:p w:rsidR="00AC3F93" w:rsidP="00A95EAF" w:rsidRDefault="00AC3F93" w14:paraId="0B7AC8FE" w14:textId="77777777">
      <w:pPr>
        <w:textAlignment w:val="auto"/>
        <w:rPr>
          <w:b/>
          <w:bCs/>
          <w:szCs w:val="22"/>
        </w:rPr>
      </w:pPr>
    </w:p>
    <w:p w:rsidR="000129F3" w:rsidP="00A04FB7" w:rsidRDefault="000129F3" w14:paraId="25F9850E" w14:textId="155225A4">
      <w:pPr>
        <w:keepNext/>
        <w:textAlignment w:val="auto"/>
        <w:rPr>
          <w:b/>
          <w:bCs/>
          <w:szCs w:val="22"/>
        </w:rPr>
      </w:pPr>
      <w:r w:rsidRPr="001A454A">
        <w:rPr>
          <w:b/>
          <w:bCs/>
          <w:szCs w:val="22"/>
        </w:rPr>
        <w:t>Equal opportunities for employment and good working conditions</w:t>
      </w:r>
    </w:p>
    <w:p w:rsidRPr="001A454A" w:rsidR="000129F3" w:rsidP="00A04FB7" w:rsidRDefault="000129F3" w14:paraId="70723E01" w14:textId="77777777">
      <w:pPr>
        <w:keepNext/>
        <w:textAlignment w:val="auto"/>
        <w:rPr>
          <w:b/>
          <w:bCs/>
        </w:rPr>
      </w:pPr>
    </w:p>
    <w:p w:rsidR="00235075" w:rsidP="00A04FB7" w:rsidRDefault="00235075" w14:paraId="57062A1F" w14:textId="4B45B7F5">
      <w:pPr>
        <w:pStyle w:val="Heading1"/>
        <w:ind w:left="567" w:hanging="567"/>
        <w:rPr>
          <w:szCs w:val="22"/>
        </w:rPr>
      </w:pPr>
      <w:r w:rsidRPr="001A454A">
        <w:rPr>
          <w:szCs w:val="22"/>
        </w:rPr>
        <w:t>stresses the need for the EU, in partnership with social partners, to promote equal opportunities in the labo</w:t>
      </w:r>
      <w:r w:rsidR="009A22EC">
        <w:rPr>
          <w:szCs w:val="22"/>
        </w:rPr>
        <w:t>u</w:t>
      </w:r>
      <w:r w:rsidRPr="001A454A">
        <w:rPr>
          <w:szCs w:val="22"/>
        </w:rPr>
        <w:t xml:space="preserve">r market and address gender segregation and discrimination, by elevating the status of female-dominated professions; highlights the strategic role of municipalities and regions as employers in leading by example; </w:t>
      </w:r>
    </w:p>
    <w:p w:rsidRPr="001A454A" w:rsidR="00DA6B44" w:rsidP="00A04FB7" w:rsidRDefault="00DA6B44" w14:paraId="38ABADFB" w14:textId="77777777"/>
    <w:p w:rsidR="007C28A1" w:rsidP="00A04FB7" w:rsidRDefault="007C28A1" w14:paraId="3AB534D4" w14:textId="2CE5F487">
      <w:pPr>
        <w:pStyle w:val="Heading1"/>
        <w:ind w:left="567" w:hanging="567"/>
        <w:rPr>
          <w:szCs w:val="22"/>
        </w:rPr>
      </w:pPr>
      <w:r w:rsidRPr="007C28A1">
        <w:rPr>
          <w:szCs w:val="22"/>
        </w:rPr>
        <w:t>highlights the importance of suitable childcare services and the role that local and regional authorities play in providing such services; emphasises how important the Directive on work-life balance for parents and carers</w:t>
      </w:r>
      <w:r>
        <w:rPr>
          <w:rStyle w:val="FootnoteReference"/>
          <w:szCs w:val="22"/>
        </w:rPr>
        <w:footnoteReference w:id="6"/>
      </w:r>
      <w:r w:rsidRPr="007C28A1">
        <w:rPr>
          <w:szCs w:val="22"/>
        </w:rPr>
        <w:t xml:space="preserve"> and the Barcelona targets are in making care work gender-equal;</w:t>
      </w:r>
    </w:p>
    <w:p w:rsidRPr="007C28A1" w:rsidR="007C28A1" w:rsidP="00A95EAF" w:rsidRDefault="007C28A1" w14:paraId="558F1E8A" w14:textId="77777777"/>
    <w:p w:rsidR="00726E21" w:rsidP="00A04FB7" w:rsidRDefault="003D080D" w14:paraId="16AEFA17" w14:textId="54512071">
      <w:pPr>
        <w:pStyle w:val="Heading1"/>
        <w:ind w:left="567" w:hanging="567"/>
        <w:rPr>
          <w:szCs w:val="22"/>
        </w:rPr>
      </w:pPr>
      <w:r w:rsidRPr="003D080D">
        <w:rPr>
          <w:szCs w:val="22"/>
        </w:rPr>
        <w:t>emphasises the importance of systematically integrating a gender perspective into climate and environmental policies, in line with the European Green Deal. It recognises that women, particularly those in vulnerable communities, are disproportionately affected by climate change and environmental degradation; calls for targeted measures to ensure women’s full participation in climate decision-making, green jobs and resilience-building efforts to achieve both climate justice and gender equality;</w:t>
      </w:r>
    </w:p>
    <w:p w:rsidR="00622E96" w:rsidP="00A95EAF" w:rsidRDefault="00622E96" w14:paraId="0B94FBD7" w14:textId="77777777">
      <w:pPr>
        <w:textAlignment w:val="auto"/>
        <w:rPr>
          <w:b/>
          <w:bCs/>
          <w:szCs w:val="22"/>
        </w:rPr>
      </w:pPr>
    </w:p>
    <w:p w:rsidR="00493343" w:rsidP="00A04FB7" w:rsidRDefault="00493343" w14:paraId="4B164824" w14:textId="31F47E10">
      <w:pPr>
        <w:keepNext/>
        <w:textAlignment w:val="auto"/>
        <w:rPr>
          <w:b/>
          <w:bCs/>
          <w:szCs w:val="22"/>
        </w:rPr>
      </w:pPr>
      <w:r w:rsidRPr="001A454A">
        <w:rPr>
          <w:b/>
          <w:bCs/>
          <w:szCs w:val="22"/>
        </w:rPr>
        <w:t>Quality and inclusive education</w:t>
      </w:r>
    </w:p>
    <w:p w:rsidRPr="001A454A" w:rsidR="00493343" w:rsidP="00A04FB7" w:rsidRDefault="00493343" w14:paraId="30DA742E" w14:textId="77777777">
      <w:pPr>
        <w:keepNext/>
        <w:textAlignment w:val="auto"/>
        <w:rPr>
          <w:b/>
          <w:bCs/>
        </w:rPr>
      </w:pPr>
    </w:p>
    <w:p w:rsidR="00235075" w:rsidP="00A04FB7" w:rsidRDefault="00235075" w14:paraId="23D9FE7E" w14:textId="609D8973">
      <w:pPr>
        <w:pStyle w:val="Heading1"/>
        <w:ind w:left="567" w:hanging="567"/>
        <w:rPr>
          <w:szCs w:val="22"/>
        </w:rPr>
      </w:pPr>
      <w:r w:rsidRPr="001A454A">
        <w:rPr>
          <w:szCs w:val="22"/>
        </w:rPr>
        <w:t>stresses that integrating gender equality education into all levels of the education system is essential to building a more equal society; highlights that girls often feel less safe in school settings, and that safety and inclusion efforts are more effective when combined with systematic gender</w:t>
      </w:r>
      <w:r w:rsidR="0086027B">
        <w:rPr>
          <w:szCs w:val="22"/>
        </w:rPr>
        <w:t>-</w:t>
      </w:r>
      <w:r w:rsidRPr="001A454A">
        <w:rPr>
          <w:szCs w:val="22"/>
        </w:rPr>
        <w:t>responsive approaches</w:t>
      </w:r>
      <w:r w:rsidR="0086027B">
        <w:rPr>
          <w:szCs w:val="22"/>
        </w:rPr>
        <w:t>,</w:t>
      </w:r>
      <w:r w:rsidRPr="001A454A">
        <w:rPr>
          <w:szCs w:val="22"/>
        </w:rPr>
        <w:t xml:space="preserve"> supportive leadership and inclusive curricula;</w:t>
      </w:r>
    </w:p>
    <w:p w:rsidRPr="001A454A" w:rsidR="00DA6B44" w:rsidP="00A95EAF" w:rsidRDefault="00DA6B44" w14:paraId="512E5633" w14:textId="77777777">
      <w:pPr>
        <w:textAlignment w:val="auto"/>
        <w:rPr>
          <w:b/>
          <w:bCs/>
        </w:rPr>
      </w:pPr>
    </w:p>
    <w:p w:rsidR="004D2AD2" w:rsidP="00A04FB7" w:rsidRDefault="00AE3F7D" w14:paraId="12ABFAAC" w14:textId="0FBC1CE7">
      <w:pPr>
        <w:pStyle w:val="Heading1"/>
        <w:ind w:left="567" w:hanging="567"/>
        <w:rPr>
          <w:szCs w:val="22"/>
        </w:rPr>
      </w:pPr>
      <w:r w:rsidRPr="00AE3F7D">
        <w:rPr>
          <w:szCs w:val="22"/>
        </w:rPr>
        <w:t>highlights the importance of formal and informal lifelong learning through feminist, anti-racist and inclusive pedagogical content and practices;</w:t>
      </w:r>
    </w:p>
    <w:p w:rsidRPr="00DA6B44" w:rsidR="001E0EF9" w:rsidP="00A04FB7" w:rsidRDefault="001E0EF9" w14:paraId="4FA7F8D4" w14:textId="77777777"/>
    <w:p w:rsidR="001E0EF9" w:rsidP="00A04FB7" w:rsidRDefault="001E0EF9" w14:paraId="7A01B2CE" w14:textId="77777777">
      <w:pPr>
        <w:keepNext/>
        <w:keepLines/>
        <w:textAlignment w:val="auto"/>
        <w:rPr>
          <w:b/>
          <w:bCs/>
          <w:szCs w:val="22"/>
        </w:rPr>
      </w:pPr>
      <w:r w:rsidRPr="001A454A">
        <w:rPr>
          <w:b/>
          <w:bCs/>
          <w:szCs w:val="22"/>
        </w:rPr>
        <w:t>Political participation and equal representation</w:t>
      </w:r>
    </w:p>
    <w:p w:rsidRPr="00AE3F7D" w:rsidR="00AE3F7D" w:rsidP="00A95EAF" w:rsidRDefault="00AE3F7D" w14:paraId="791E7995" w14:textId="77777777"/>
    <w:p w:rsidRPr="001A454A" w:rsidR="00235075" w:rsidP="00A04FB7" w:rsidRDefault="00235075" w14:paraId="41A911E6" w14:textId="65A8AAC3">
      <w:pPr>
        <w:pStyle w:val="Heading1"/>
        <w:ind w:left="567" w:hanging="567"/>
        <w:rPr>
          <w:szCs w:val="22"/>
        </w:rPr>
      </w:pPr>
      <w:r w:rsidRPr="001A454A">
        <w:rPr>
          <w:szCs w:val="22"/>
        </w:rPr>
        <w:t>underlines the continued under-representation of women in local politics, and stresses the need for gender balance in decision-making bodies and working groups; calls on the European Commission to support Member States in promoting women’s political participation and leadership, including initiatives that address structural barriers, stereotypes, and discriminatory norms; emphasi</w:t>
      </w:r>
      <w:r w:rsidR="0086027B">
        <w:rPr>
          <w:szCs w:val="22"/>
        </w:rPr>
        <w:t>s</w:t>
      </w:r>
      <w:r w:rsidRPr="001A454A">
        <w:rPr>
          <w:szCs w:val="22"/>
        </w:rPr>
        <w:t>es that unequal conditions still limit many women’s ability to fully participate and engage in political life at the local level;</w:t>
      </w:r>
    </w:p>
    <w:p w:rsidRPr="001A454A" w:rsidR="00C84E02" w:rsidP="00A04FB7" w:rsidRDefault="00C84E02" w14:paraId="45394941" w14:textId="77777777"/>
    <w:p w:rsidRPr="001A454A" w:rsidR="00235075" w:rsidP="00A04FB7" w:rsidRDefault="00235075" w14:paraId="0E208DFB" w14:textId="4194377B">
      <w:pPr>
        <w:pStyle w:val="Heading1"/>
        <w:ind w:left="567" w:hanging="567"/>
        <w:rPr>
          <w:szCs w:val="22"/>
        </w:rPr>
      </w:pPr>
      <w:r w:rsidRPr="001A454A">
        <w:rPr>
          <w:szCs w:val="22"/>
        </w:rPr>
        <w:t xml:space="preserve">stresses the importance of integrating a gender perspective into all stages of </w:t>
      </w:r>
      <w:r w:rsidRPr="001A454A" w:rsidR="006F4E7E">
        <w:rPr>
          <w:szCs w:val="22"/>
        </w:rPr>
        <w:t xml:space="preserve">the </w:t>
      </w:r>
      <w:r w:rsidRPr="001A454A">
        <w:rPr>
          <w:szCs w:val="22"/>
        </w:rPr>
        <w:t>political process and calls on parties and political groups to adopt proactive measures, including, where appropriate</w:t>
      </w:r>
      <w:r w:rsidRPr="001A454A" w:rsidR="009429FC">
        <w:rPr>
          <w:szCs w:val="22"/>
        </w:rPr>
        <w:t>,</w:t>
      </w:r>
      <w:r w:rsidRPr="001A454A">
        <w:rPr>
          <w:szCs w:val="22"/>
        </w:rPr>
        <w:t xml:space="preserve"> quotas </w:t>
      </w:r>
      <w:r w:rsidRPr="007D4734" w:rsidR="007D4734">
        <w:rPr>
          <w:szCs w:val="22"/>
        </w:rPr>
        <w:t xml:space="preserve">and parity-based approaches </w:t>
      </w:r>
      <w:r w:rsidRPr="001A454A">
        <w:rPr>
          <w:szCs w:val="22"/>
        </w:rPr>
        <w:t>to increase women</w:t>
      </w:r>
      <w:r w:rsidR="0086027B">
        <w:rPr>
          <w:szCs w:val="22"/>
        </w:rPr>
        <w:t>’</w:t>
      </w:r>
      <w:r w:rsidRPr="001A454A">
        <w:rPr>
          <w:szCs w:val="22"/>
        </w:rPr>
        <w:t>s representation</w:t>
      </w:r>
      <w:r w:rsidRPr="008E5D72" w:rsidR="008E5D72">
        <w:rPr>
          <w:szCs w:val="22"/>
        </w:rPr>
        <w:t>, particularly in elected and leadership positions.</w:t>
      </w:r>
      <w:r w:rsidR="00F87CAB">
        <w:rPr>
          <w:szCs w:val="22"/>
        </w:rPr>
        <w:t xml:space="preserve"> </w:t>
      </w:r>
      <w:r w:rsidR="0053535C">
        <w:rPr>
          <w:szCs w:val="22"/>
        </w:rPr>
        <w:t>N</w:t>
      </w:r>
      <w:r w:rsidRPr="001A454A">
        <w:rPr>
          <w:szCs w:val="22"/>
        </w:rPr>
        <w:t>otes that gender</w:t>
      </w:r>
      <w:r w:rsidR="0086027B">
        <w:rPr>
          <w:szCs w:val="22"/>
        </w:rPr>
        <w:t>-</w:t>
      </w:r>
      <w:r w:rsidRPr="001A454A">
        <w:rPr>
          <w:szCs w:val="22"/>
        </w:rPr>
        <w:t>balanced candidate lists can enhance overall competence</w:t>
      </w:r>
      <w:r w:rsidRPr="001A454A" w:rsidR="00332D31">
        <w:rPr>
          <w:rStyle w:val="FootnoteReference"/>
          <w:szCs w:val="22"/>
        </w:rPr>
        <w:footnoteReference w:id="7"/>
      </w:r>
      <w:r w:rsidRPr="001A454A">
        <w:rPr>
          <w:szCs w:val="22"/>
        </w:rPr>
        <w:t xml:space="preserve"> </w:t>
      </w:r>
      <w:r w:rsidRPr="00AF36D7" w:rsidR="00AF36D7">
        <w:rPr>
          <w:szCs w:val="22"/>
        </w:rPr>
        <w:t xml:space="preserve">and accelerate progress toward equal representation. Expresses </w:t>
      </w:r>
      <w:r w:rsidRPr="001A454A">
        <w:rPr>
          <w:szCs w:val="22"/>
        </w:rPr>
        <w:t>concern over increasing threats and harassment targeting local and regional elected officials, particularly women, young women from minority backgrounds and those in leadership roles</w:t>
      </w:r>
      <w:r w:rsidR="0043518A">
        <w:rPr>
          <w:szCs w:val="22"/>
        </w:rPr>
        <w:t>.</w:t>
      </w:r>
      <w:r w:rsidR="00487E3F">
        <w:rPr>
          <w:szCs w:val="22"/>
        </w:rPr>
        <w:t xml:space="preserve"> C</w:t>
      </w:r>
      <w:r w:rsidRPr="001A454A">
        <w:rPr>
          <w:szCs w:val="22"/>
        </w:rPr>
        <w:t>alls on cities and regions to ensure a safe political environment and urges all institutions to adopt gender-sensitive codes of conduct and mandatory anti-harassment training, with clear enforcement mechanisms;</w:t>
      </w:r>
    </w:p>
    <w:p w:rsidRPr="001A454A" w:rsidR="00342C48" w:rsidP="00A04FB7" w:rsidRDefault="00342C48" w14:paraId="45E7FB19" w14:textId="77777777"/>
    <w:p w:rsidR="00235075" w:rsidP="00A04FB7" w:rsidRDefault="00342C48" w14:paraId="4A39646F" w14:textId="00875BBE">
      <w:pPr>
        <w:pStyle w:val="Heading1"/>
        <w:ind w:left="567" w:hanging="567"/>
        <w:rPr>
          <w:szCs w:val="22"/>
        </w:rPr>
      </w:pPr>
      <w:r w:rsidRPr="001A454A">
        <w:rPr>
          <w:szCs w:val="22"/>
        </w:rPr>
        <w:t>c</w:t>
      </w:r>
      <w:r w:rsidRPr="001A454A" w:rsidR="00235075">
        <w:rPr>
          <w:szCs w:val="22"/>
        </w:rPr>
        <w:t>alls for a shift from mere participation to genuine power redistribution, ensuring equal access to leadership and decision-making roles, and valuing the knowledge and leadership of women from marginali</w:t>
      </w:r>
      <w:r w:rsidR="0086027B">
        <w:rPr>
          <w:szCs w:val="22"/>
        </w:rPr>
        <w:t>s</w:t>
      </w:r>
      <w:r w:rsidRPr="001A454A" w:rsidR="00235075">
        <w:rPr>
          <w:szCs w:val="22"/>
        </w:rPr>
        <w:t>ed backgrounds;</w:t>
      </w:r>
    </w:p>
    <w:p w:rsidRPr="00DA6B44" w:rsidR="00DA6B44" w:rsidP="00A04FB7" w:rsidRDefault="00DA6B44" w14:paraId="58B42544" w14:textId="77777777"/>
    <w:p w:rsidR="00C87200" w:rsidP="00A04FB7" w:rsidRDefault="005A0E7D" w14:paraId="52C002C5" w14:textId="26158482">
      <w:pPr>
        <w:pStyle w:val="Heading1"/>
        <w:ind w:left="567" w:hanging="567"/>
        <w:rPr>
          <w:szCs w:val="22"/>
        </w:rPr>
      </w:pPr>
      <w:r w:rsidRPr="005A0E7D">
        <w:rPr>
          <w:szCs w:val="22"/>
        </w:rPr>
        <w:t>stresses the importance of promoting women’s leadership in environmental and rural governance, including agricultural cooperatives, biodiversity councils and rural development boards. Gender balance in these structures is essential to ensure inclusive decision-making in line with EU democratic principles;</w:t>
      </w:r>
    </w:p>
    <w:p w:rsidRPr="00B92FDA" w:rsidR="00B92FDA" w:rsidP="00A95EAF" w:rsidRDefault="00B92FDA" w14:paraId="35AD6069" w14:textId="77777777"/>
    <w:p w:rsidR="00B92FDA" w:rsidP="00A04FB7" w:rsidRDefault="00B92FDA" w14:paraId="06D006F2" w14:textId="77777777">
      <w:pPr>
        <w:keepNext/>
        <w:keepLines/>
        <w:textAlignment w:val="auto"/>
        <w:rPr>
          <w:b/>
          <w:bCs/>
          <w:szCs w:val="22"/>
        </w:rPr>
      </w:pPr>
      <w:r w:rsidRPr="001A454A">
        <w:rPr>
          <w:b/>
          <w:bCs/>
          <w:szCs w:val="22"/>
        </w:rPr>
        <w:t>Institutional mechanisms ensuring women</w:t>
      </w:r>
      <w:r>
        <w:rPr>
          <w:b/>
          <w:bCs/>
          <w:szCs w:val="22"/>
        </w:rPr>
        <w:t>’</w:t>
      </w:r>
      <w:r w:rsidRPr="001A454A">
        <w:rPr>
          <w:b/>
          <w:bCs/>
          <w:szCs w:val="22"/>
        </w:rPr>
        <w:t>s rights</w:t>
      </w:r>
    </w:p>
    <w:p w:rsidRPr="001A454A" w:rsidR="00B92FDA" w:rsidP="00A04FB7" w:rsidRDefault="00B92FDA" w14:paraId="75A734AC" w14:textId="77777777">
      <w:pPr>
        <w:keepNext/>
        <w:keepLines/>
        <w:textAlignment w:val="auto"/>
        <w:rPr>
          <w:b/>
          <w:bCs/>
        </w:rPr>
      </w:pPr>
    </w:p>
    <w:p w:rsidRPr="001A454A" w:rsidR="00235075" w:rsidP="00A04FB7" w:rsidRDefault="00235075" w14:paraId="15851EE9" w14:textId="0548BE7A">
      <w:pPr>
        <w:pStyle w:val="Heading1"/>
        <w:ind w:left="567" w:hanging="567"/>
        <w:rPr>
          <w:szCs w:val="22"/>
        </w:rPr>
      </w:pPr>
      <w:r w:rsidRPr="001A454A">
        <w:rPr>
          <w:szCs w:val="22"/>
        </w:rPr>
        <w:t>stresses that gender equality must be embedded in everyday governance</w:t>
      </w:r>
      <w:r w:rsidR="0086027B">
        <w:rPr>
          <w:szCs w:val="22"/>
        </w:rPr>
        <w:t xml:space="preserve"> –</w:t>
      </w:r>
      <w:r w:rsidRPr="001A454A">
        <w:rPr>
          <w:szCs w:val="22"/>
        </w:rPr>
        <w:t xml:space="preserve"> from decision-making and budgeting to norm-setting </w:t>
      </w:r>
      <w:r w:rsidR="0086027B">
        <w:rPr>
          <w:szCs w:val="22"/>
        </w:rPr>
        <w:t xml:space="preserve">– </w:t>
      </w:r>
      <w:r w:rsidRPr="001A454A">
        <w:rPr>
          <w:szCs w:val="22"/>
        </w:rPr>
        <w:t>and not treated as a one-off project; calls on the European Commission to support local and regional authorities in mainstreaming gender equality across their systems; encourages experienced cities and regions to share good practices, in order to promote structured and systematic work at local, regional and national level</w:t>
      </w:r>
      <w:r w:rsidR="0086027B">
        <w:rPr>
          <w:szCs w:val="22"/>
        </w:rPr>
        <w:t>;</w:t>
      </w:r>
      <w:r w:rsidRPr="001A454A">
        <w:rPr>
          <w:szCs w:val="22"/>
        </w:rPr>
        <w:t xml:space="preserve"> underlines the importance of gender</w:t>
      </w:r>
      <w:r w:rsidR="0086027B">
        <w:rPr>
          <w:szCs w:val="22"/>
        </w:rPr>
        <w:t>-</w:t>
      </w:r>
      <w:r w:rsidRPr="001A454A">
        <w:rPr>
          <w:szCs w:val="22"/>
        </w:rPr>
        <w:t>disaggregated data for evidence-based policymaking; local and regional authorities must play a key role in collecting and using this data, which should also be reflected in the future EU Gender Equality Strategy;</w:t>
      </w:r>
    </w:p>
    <w:p w:rsidRPr="001A454A" w:rsidR="00333977" w:rsidP="00A04FB7" w:rsidRDefault="00333977" w14:paraId="07B7F87F" w14:textId="77777777"/>
    <w:p w:rsidR="00B92FDA" w:rsidP="00A04FB7" w:rsidRDefault="00A758AA" w14:paraId="5149E619" w14:textId="03A88F2A">
      <w:pPr>
        <w:pStyle w:val="Heading1"/>
        <w:ind w:left="567" w:hanging="567"/>
        <w:rPr>
          <w:szCs w:val="22"/>
        </w:rPr>
      </w:pPr>
      <w:r w:rsidRPr="00A758AA">
        <w:rPr>
          <w:szCs w:val="22"/>
        </w:rPr>
        <w:t>reminds</w:t>
      </w:r>
      <w:r w:rsidR="00917E5A">
        <w:rPr>
          <w:rStyle w:val="FootnoteReference"/>
          <w:szCs w:val="22"/>
        </w:rPr>
        <w:footnoteReference w:id="8"/>
      </w:r>
      <w:r w:rsidRPr="00A758AA">
        <w:rPr>
          <w:szCs w:val="22"/>
        </w:rPr>
        <w:t xml:space="preserve"> members of the CoR, its </w:t>
      </w:r>
      <w:r w:rsidRPr="00A758AA" w:rsidR="00FA1354">
        <w:rPr>
          <w:szCs w:val="22"/>
        </w:rPr>
        <w:t xml:space="preserve">Young Elected Politicians </w:t>
      </w:r>
      <w:r w:rsidR="00FA1354">
        <w:rPr>
          <w:szCs w:val="22"/>
        </w:rPr>
        <w:t>and the EU</w:t>
      </w:r>
      <w:r w:rsidRPr="00976ADD" w:rsidR="00976ADD">
        <w:rPr>
          <w:szCs w:val="22"/>
        </w:rPr>
        <w:t xml:space="preserve"> </w:t>
      </w:r>
      <w:r w:rsidRPr="00A758AA">
        <w:rPr>
          <w:szCs w:val="22"/>
        </w:rPr>
        <w:t xml:space="preserve">Local Councillors </w:t>
      </w:r>
      <w:r w:rsidRPr="00A758AA" w:rsidR="00976ADD">
        <w:rPr>
          <w:szCs w:val="22"/>
        </w:rPr>
        <w:t>Network</w:t>
      </w:r>
      <w:r w:rsidR="001B6EF1">
        <w:rPr>
          <w:szCs w:val="22"/>
        </w:rPr>
        <w:t xml:space="preserve"> </w:t>
      </w:r>
      <w:r w:rsidRPr="00A758AA">
        <w:rPr>
          <w:szCs w:val="22"/>
        </w:rPr>
        <w:t>to take a step further and join the ‘European Charter for Equality of Women and Men in Local Life’</w:t>
      </w:r>
      <w:r w:rsidR="00C56922">
        <w:rPr>
          <w:rStyle w:val="FootnoteReference"/>
          <w:szCs w:val="22"/>
        </w:rPr>
        <w:footnoteReference w:id="9"/>
      </w:r>
      <w:r w:rsidRPr="00A758AA">
        <w:rPr>
          <w:szCs w:val="22"/>
        </w:rPr>
        <w:t xml:space="preserve"> that has already gathered a diverse pool of more than 2000 LRAs across Europe;</w:t>
      </w:r>
    </w:p>
    <w:p w:rsidRPr="00A758AA" w:rsidR="00A758AA" w:rsidP="00A95EAF" w:rsidRDefault="00A758AA" w14:paraId="7E011BA7" w14:textId="77777777"/>
    <w:p w:rsidRPr="001A454A" w:rsidR="00235075" w:rsidP="00A04FB7" w:rsidRDefault="009726C1" w14:paraId="2EFF810D" w14:textId="3CCE4C17">
      <w:pPr>
        <w:pStyle w:val="Heading1"/>
        <w:ind w:left="567" w:hanging="567"/>
        <w:rPr>
          <w:szCs w:val="22"/>
        </w:rPr>
      </w:pPr>
      <w:r w:rsidRPr="001A454A">
        <w:rPr>
          <w:szCs w:val="22"/>
        </w:rPr>
        <w:t>c</w:t>
      </w:r>
      <w:r w:rsidRPr="001A454A" w:rsidR="00235075">
        <w:rPr>
          <w:szCs w:val="22"/>
        </w:rPr>
        <w:t>alls for the establishment of clear accountability mechanisms, including independent gender equality observatories, regular gender audits, and civil society oversight, to ensure that commitments translate into measurable progress at all levels of governance</w:t>
      </w:r>
      <w:r w:rsidRPr="001A454A">
        <w:rPr>
          <w:szCs w:val="22"/>
        </w:rPr>
        <w:t>.</w:t>
      </w:r>
    </w:p>
    <w:p w:rsidR="00A758AA" w:rsidP="00A04FB7" w:rsidRDefault="00A758AA" w14:paraId="15210B9F" w14:textId="77777777">
      <w:pPr>
        <w:textAlignment w:val="auto"/>
      </w:pPr>
    </w:p>
    <w:p w:rsidRPr="007F2705" w:rsidR="00310F92" w:rsidP="00A04FB7" w:rsidRDefault="00310F92" w14:paraId="3F3E7FA6" w14:textId="4CA29AFF">
      <w:pPr>
        <w:textAlignment w:val="auto"/>
        <w:rPr>
          <w:szCs w:val="22"/>
        </w:rPr>
      </w:pPr>
      <w:r w:rsidRPr="007F2705">
        <w:t>Brussels,   .</w:t>
      </w:r>
    </w:p>
    <w:p w:rsidRPr="007F2705" w:rsidR="00310F92" w:rsidP="00A04FB7" w:rsidRDefault="00310F92" w14:paraId="5BB3DF2A" w14:textId="77777777">
      <w:pPr>
        <w:rPr>
          <w:szCs w:val="22"/>
        </w:rPr>
      </w:pPr>
    </w:p>
    <w:p w:rsidRPr="007F2705" w:rsidR="00310F92" w:rsidP="00A04FB7" w:rsidRDefault="00310F92" w14:paraId="1E8542A0" w14:textId="77777777">
      <w:pPr>
        <w:numPr>
          <w:ilvl w:val="0"/>
          <w:numId w:val="13"/>
        </w:numPr>
        <w:ind w:left="567" w:hanging="567"/>
        <w:rPr>
          <w:b/>
          <w:bCs/>
        </w:rPr>
      </w:pPr>
      <w:r w:rsidRPr="007F2705">
        <w:rPr>
          <w:szCs w:val="22"/>
        </w:rPr>
        <w:br w:type="page"/>
      </w:r>
      <w:r w:rsidRPr="007F2705">
        <w:rPr>
          <w:b/>
          <w:bCs/>
        </w:rPr>
        <w:t>PROCEDURE</w:t>
      </w:r>
    </w:p>
    <w:p w:rsidRPr="007F2705" w:rsidR="00444A98" w:rsidP="00A04FB7" w:rsidRDefault="00444A98" w14:paraId="25474DE1" w14:textId="77777777">
      <w:pPr>
        <w:ind w:left="360"/>
      </w:pPr>
    </w:p>
    <w:tbl>
      <w:tblPr>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48"/>
        <w:gridCol w:w="5441"/>
      </w:tblGrid>
      <w:tr w:rsidRPr="007F2705" w:rsidR="00444A98" w:rsidTr="00A8375C" w14:paraId="33B445A0" w14:textId="77777777">
        <w:trPr>
          <w:jc w:val="center"/>
        </w:trPr>
        <w:tc>
          <w:tcPr>
            <w:tcW w:w="3848" w:type="dxa"/>
            <w:noWrap/>
          </w:tcPr>
          <w:p w:rsidRPr="007F2705" w:rsidR="00444A98" w:rsidP="00A04FB7" w:rsidRDefault="00444A98" w14:paraId="3B8387E2" w14:textId="77777777">
            <w:pPr>
              <w:jc w:val="left"/>
              <w:rPr>
                <w:b/>
                <w:bCs/>
              </w:rPr>
            </w:pPr>
            <w:r w:rsidRPr="007F2705">
              <w:rPr>
                <w:b/>
              </w:rPr>
              <w:t>Title</w:t>
            </w:r>
          </w:p>
          <w:p w:rsidRPr="007F2705" w:rsidR="00444A98" w:rsidP="00A04FB7" w:rsidRDefault="00444A98" w14:paraId="4000BD19" w14:textId="77777777">
            <w:pPr>
              <w:jc w:val="left"/>
            </w:pPr>
          </w:p>
        </w:tc>
        <w:tc>
          <w:tcPr>
            <w:tcW w:w="5441" w:type="dxa"/>
            <w:noWrap/>
          </w:tcPr>
          <w:p w:rsidRPr="007F2705" w:rsidR="00444A98" w:rsidP="00A04FB7" w:rsidRDefault="002A1297" w14:paraId="7763334F" w14:textId="0FB85F34">
            <w:r w:rsidRPr="007F2705">
              <w:t>Strengthening women’s rights in the EU: A local and regional perspective</w:t>
            </w:r>
          </w:p>
        </w:tc>
      </w:tr>
      <w:tr w:rsidRPr="007F2705" w:rsidR="00444A98" w:rsidTr="00A8375C" w14:paraId="3D25714F" w14:textId="77777777">
        <w:trPr>
          <w:jc w:val="center"/>
        </w:trPr>
        <w:tc>
          <w:tcPr>
            <w:tcW w:w="3848" w:type="dxa"/>
            <w:noWrap/>
          </w:tcPr>
          <w:p w:rsidRPr="007F2705" w:rsidR="00444A98" w:rsidP="00A04FB7" w:rsidRDefault="00444A98" w14:paraId="25DFE291" w14:textId="77777777">
            <w:pPr>
              <w:jc w:val="left"/>
              <w:rPr>
                <w:b/>
                <w:bCs/>
              </w:rPr>
            </w:pPr>
            <w:r w:rsidRPr="007F2705">
              <w:rPr>
                <w:b/>
              </w:rPr>
              <w:t xml:space="preserve">Reference(s) </w:t>
            </w:r>
          </w:p>
        </w:tc>
        <w:tc>
          <w:tcPr>
            <w:tcW w:w="5441" w:type="dxa"/>
            <w:noWrap/>
          </w:tcPr>
          <w:p w:rsidRPr="007F2705" w:rsidR="00444A98" w:rsidP="00A04FB7" w:rsidRDefault="003B6756" w14:paraId="1903AD8B" w14:textId="0C0E352D">
            <w:r w:rsidRPr="007F2705">
              <w:t>COM(2025) 97 final</w:t>
            </w:r>
          </w:p>
        </w:tc>
      </w:tr>
      <w:tr w:rsidRPr="007F2705" w:rsidR="00444A98" w:rsidTr="00A8375C" w14:paraId="23E1F4AB" w14:textId="77777777">
        <w:trPr>
          <w:jc w:val="center"/>
        </w:trPr>
        <w:tc>
          <w:tcPr>
            <w:tcW w:w="3848" w:type="dxa"/>
            <w:noWrap/>
          </w:tcPr>
          <w:p w:rsidRPr="007F2705" w:rsidR="00444A98" w:rsidP="00A04FB7" w:rsidRDefault="00444A98" w14:paraId="6078A5EF" w14:textId="77777777">
            <w:pPr>
              <w:jc w:val="left"/>
              <w:rPr>
                <w:b/>
                <w:bCs/>
              </w:rPr>
            </w:pPr>
            <w:r w:rsidRPr="007F2705">
              <w:rPr>
                <w:b/>
              </w:rPr>
              <w:t>Legal basis</w:t>
            </w:r>
          </w:p>
        </w:tc>
        <w:tc>
          <w:tcPr>
            <w:tcW w:w="5441" w:type="dxa"/>
            <w:noWrap/>
          </w:tcPr>
          <w:p w:rsidRPr="007F2705" w:rsidR="00444A98" w:rsidP="00A04FB7" w:rsidRDefault="0031706B" w14:paraId="0F82B18C" w14:textId="2CE7A6BD">
            <w:r w:rsidRPr="007F2705">
              <w:t xml:space="preserve">TFEU </w:t>
            </w:r>
            <w:r w:rsidR="0086027B">
              <w:t xml:space="preserve">Article </w:t>
            </w:r>
            <w:r w:rsidRPr="007F2705">
              <w:t>307</w:t>
            </w:r>
          </w:p>
        </w:tc>
      </w:tr>
      <w:tr w:rsidRPr="007F2705" w:rsidR="00444A98" w:rsidTr="00A8375C" w14:paraId="204C723C" w14:textId="77777777">
        <w:trPr>
          <w:jc w:val="center"/>
        </w:trPr>
        <w:tc>
          <w:tcPr>
            <w:tcW w:w="3848" w:type="dxa"/>
            <w:noWrap/>
          </w:tcPr>
          <w:p w:rsidRPr="007F2705" w:rsidR="00444A98" w:rsidP="00A04FB7" w:rsidRDefault="00444A98" w14:paraId="2E740F6D" w14:textId="77777777">
            <w:pPr>
              <w:jc w:val="left"/>
              <w:rPr>
                <w:b/>
                <w:bCs/>
              </w:rPr>
            </w:pPr>
            <w:r w:rsidRPr="007F2705">
              <w:rPr>
                <w:b/>
              </w:rPr>
              <w:t>Procedural basis</w:t>
            </w:r>
          </w:p>
        </w:tc>
        <w:tc>
          <w:tcPr>
            <w:tcW w:w="5441" w:type="dxa"/>
            <w:noWrap/>
          </w:tcPr>
          <w:p w:rsidRPr="007F2705" w:rsidR="00444A98" w:rsidP="00A04FB7" w:rsidRDefault="0031706B" w14:paraId="35809121" w14:textId="30B6E691">
            <w:r w:rsidRPr="007F2705">
              <w:rPr>
                <w:color w:val="000000" w:themeColor="text1"/>
                <w:szCs w:val="22"/>
              </w:rPr>
              <w:t>CoR RoP Rule 41</w:t>
            </w:r>
            <w:r w:rsidR="0086027B">
              <w:rPr>
                <w:color w:val="000000" w:themeColor="text1"/>
                <w:szCs w:val="22"/>
              </w:rPr>
              <w:t>(</w:t>
            </w:r>
            <w:r w:rsidRPr="007F2705">
              <w:rPr>
                <w:color w:val="000000" w:themeColor="text1"/>
                <w:szCs w:val="22"/>
              </w:rPr>
              <w:t>b)</w:t>
            </w:r>
            <w:r w:rsidR="0086027B">
              <w:rPr>
                <w:color w:val="000000" w:themeColor="text1"/>
                <w:szCs w:val="22"/>
              </w:rPr>
              <w:t>(</w:t>
            </w:r>
            <w:r w:rsidRPr="007F2705">
              <w:rPr>
                <w:color w:val="000000" w:themeColor="text1"/>
                <w:szCs w:val="22"/>
              </w:rPr>
              <w:t>i)</w:t>
            </w:r>
          </w:p>
        </w:tc>
      </w:tr>
      <w:tr w:rsidRPr="007F2705" w:rsidR="00444A98" w:rsidTr="00A8375C" w14:paraId="1A91A5E6" w14:textId="77777777">
        <w:trPr>
          <w:jc w:val="center"/>
        </w:trPr>
        <w:tc>
          <w:tcPr>
            <w:tcW w:w="3848" w:type="dxa"/>
          </w:tcPr>
          <w:p w:rsidRPr="007F2705" w:rsidR="00444A98" w:rsidP="00A04FB7" w:rsidRDefault="00444A98" w14:paraId="2FC73A12" w14:textId="77777777">
            <w:pPr>
              <w:jc w:val="left"/>
            </w:pPr>
            <w:r w:rsidRPr="007F2705">
              <w:rPr>
                <w:b/>
              </w:rPr>
              <w:t>Date of Council/EP referral/Date of Commission letter</w:t>
            </w:r>
          </w:p>
        </w:tc>
        <w:tc>
          <w:tcPr>
            <w:tcW w:w="5441" w:type="dxa"/>
            <w:noWrap/>
          </w:tcPr>
          <w:p w:rsidRPr="007F2705" w:rsidR="00444A98" w:rsidP="00A04FB7" w:rsidRDefault="00444A98" w14:paraId="090B88F4" w14:textId="24303319"/>
        </w:tc>
      </w:tr>
      <w:tr w:rsidRPr="007F2705" w:rsidR="00444A98" w:rsidTr="00A8375C" w14:paraId="5C79075B" w14:textId="77777777">
        <w:trPr>
          <w:jc w:val="center"/>
        </w:trPr>
        <w:tc>
          <w:tcPr>
            <w:tcW w:w="3848" w:type="dxa"/>
          </w:tcPr>
          <w:p w:rsidRPr="007F2705" w:rsidR="00444A98" w:rsidP="00A04FB7" w:rsidRDefault="00444A98" w14:paraId="6096374D" w14:textId="77777777">
            <w:pPr>
              <w:jc w:val="left"/>
            </w:pPr>
            <w:r w:rsidRPr="007F2705">
              <w:rPr>
                <w:b/>
              </w:rPr>
              <w:t>Date of Bureau/President's decision</w:t>
            </w:r>
          </w:p>
        </w:tc>
        <w:tc>
          <w:tcPr>
            <w:tcW w:w="5441" w:type="dxa"/>
            <w:noWrap/>
          </w:tcPr>
          <w:p w:rsidRPr="007F2705" w:rsidR="00444A98" w:rsidP="00A04FB7" w:rsidRDefault="00DD0FA6" w14:paraId="7DD48180" w14:textId="36C8C284">
            <w:r w:rsidRPr="007F2705">
              <w:t>17 March 2025</w:t>
            </w:r>
          </w:p>
        </w:tc>
      </w:tr>
      <w:tr w:rsidRPr="007F2705" w:rsidR="00444A98" w:rsidTr="00A8375C" w14:paraId="7A07543E" w14:textId="77777777">
        <w:trPr>
          <w:jc w:val="center"/>
        </w:trPr>
        <w:tc>
          <w:tcPr>
            <w:tcW w:w="3848" w:type="dxa"/>
            <w:noWrap/>
          </w:tcPr>
          <w:p w:rsidRPr="007F2705" w:rsidR="00444A98" w:rsidP="00A04FB7" w:rsidRDefault="00444A98" w14:paraId="2A1C11A4" w14:textId="77777777">
            <w:pPr>
              <w:jc w:val="left"/>
              <w:rPr>
                <w:b/>
                <w:bCs/>
              </w:rPr>
            </w:pPr>
            <w:r w:rsidRPr="007F2705">
              <w:rPr>
                <w:b/>
              </w:rPr>
              <w:t>Commission responsible</w:t>
            </w:r>
          </w:p>
        </w:tc>
        <w:tc>
          <w:tcPr>
            <w:tcW w:w="5441" w:type="dxa"/>
            <w:noWrap/>
          </w:tcPr>
          <w:p w:rsidRPr="007F2705" w:rsidR="00444A98" w:rsidP="00A04FB7" w:rsidRDefault="005A400B" w14:paraId="11DD836B" w14:textId="3216E9E3">
            <w:r w:rsidRPr="007F2705">
              <w:t>SEDEC-VIII - 8th Mandate - Commission for Social Policy, Education, Employment, Research and Culture (SEDEC)</w:t>
            </w:r>
          </w:p>
        </w:tc>
      </w:tr>
      <w:tr w:rsidRPr="007F2705" w:rsidR="00444A98" w:rsidTr="00A8375C" w14:paraId="7763E683" w14:textId="77777777">
        <w:trPr>
          <w:jc w:val="center"/>
        </w:trPr>
        <w:tc>
          <w:tcPr>
            <w:tcW w:w="3848" w:type="dxa"/>
            <w:noWrap/>
          </w:tcPr>
          <w:p w:rsidRPr="007F2705" w:rsidR="00444A98" w:rsidP="00A04FB7" w:rsidRDefault="00444A98" w14:paraId="0637CD75" w14:textId="77777777">
            <w:pPr>
              <w:jc w:val="left"/>
              <w:rPr>
                <w:b/>
                <w:bCs/>
              </w:rPr>
            </w:pPr>
            <w:r w:rsidRPr="007F2705">
              <w:rPr>
                <w:b/>
              </w:rPr>
              <w:t>Rapporteur</w:t>
            </w:r>
          </w:p>
        </w:tc>
        <w:tc>
          <w:tcPr>
            <w:tcW w:w="5441" w:type="dxa"/>
            <w:noWrap/>
          </w:tcPr>
          <w:p w:rsidRPr="007F2705" w:rsidR="00444A98" w:rsidP="00A04FB7" w:rsidRDefault="002A1297" w14:paraId="25D1A998" w14:textId="6E4D3196">
            <w:r w:rsidRPr="007F2705">
              <w:t>Carina Ohlsson (SE/PES)</w:t>
            </w:r>
          </w:p>
        </w:tc>
      </w:tr>
      <w:tr w:rsidRPr="007F2705" w:rsidR="00444A98" w:rsidTr="00A8375C" w14:paraId="50CFA60D" w14:textId="77777777">
        <w:trPr>
          <w:jc w:val="center"/>
        </w:trPr>
        <w:tc>
          <w:tcPr>
            <w:tcW w:w="3848" w:type="dxa"/>
            <w:noWrap/>
          </w:tcPr>
          <w:p w:rsidRPr="007F2705" w:rsidR="00444A98" w:rsidP="00A04FB7" w:rsidRDefault="00444A98" w14:paraId="1091857E" w14:textId="77777777">
            <w:pPr>
              <w:jc w:val="left"/>
              <w:rPr>
                <w:b/>
                <w:bCs/>
              </w:rPr>
            </w:pPr>
            <w:r w:rsidRPr="007F2705">
              <w:rPr>
                <w:b/>
              </w:rPr>
              <w:t xml:space="preserve">Discussed in commission </w:t>
            </w:r>
          </w:p>
        </w:tc>
        <w:tc>
          <w:tcPr>
            <w:tcW w:w="5441" w:type="dxa"/>
            <w:noWrap/>
          </w:tcPr>
          <w:p w:rsidRPr="007F2705" w:rsidR="00444A98" w:rsidP="00A04FB7" w:rsidRDefault="002A1297" w14:paraId="39BADD7C" w14:textId="610D60E6">
            <w:r w:rsidRPr="007F2705">
              <w:t>7 May 2025</w:t>
            </w:r>
          </w:p>
        </w:tc>
      </w:tr>
      <w:tr w:rsidRPr="007F2705" w:rsidR="00444A98" w:rsidTr="00A8375C" w14:paraId="550B9AC6" w14:textId="77777777">
        <w:trPr>
          <w:jc w:val="center"/>
        </w:trPr>
        <w:tc>
          <w:tcPr>
            <w:tcW w:w="3848" w:type="dxa"/>
            <w:noWrap/>
          </w:tcPr>
          <w:p w:rsidRPr="007F2705" w:rsidR="00444A98" w:rsidP="00A04FB7" w:rsidRDefault="00444A98" w14:paraId="49222FEA" w14:textId="77777777">
            <w:pPr>
              <w:jc w:val="left"/>
              <w:rPr>
                <w:b/>
                <w:bCs/>
              </w:rPr>
            </w:pPr>
            <w:r w:rsidRPr="007F2705">
              <w:rPr>
                <w:b/>
              </w:rPr>
              <w:t xml:space="preserve">Date adopted by commission </w:t>
            </w:r>
          </w:p>
        </w:tc>
        <w:tc>
          <w:tcPr>
            <w:tcW w:w="5441" w:type="dxa"/>
            <w:noWrap/>
          </w:tcPr>
          <w:p w:rsidRPr="007F2705" w:rsidR="00444A98" w:rsidP="00A04FB7" w:rsidRDefault="00F72854" w14:paraId="3F951320" w14:textId="6E213F40">
            <w:r w:rsidRPr="007F2705">
              <w:t>17 June 2025</w:t>
            </w:r>
          </w:p>
        </w:tc>
      </w:tr>
      <w:tr w:rsidRPr="007F2705" w:rsidR="00444A98" w:rsidTr="00A8375C" w14:paraId="18A68C55" w14:textId="77777777">
        <w:trPr>
          <w:jc w:val="center"/>
        </w:trPr>
        <w:tc>
          <w:tcPr>
            <w:tcW w:w="3848" w:type="dxa"/>
            <w:noWrap/>
          </w:tcPr>
          <w:p w:rsidRPr="007F2705" w:rsidR="00444A98" w:rsidP="00A04FB7" w:rsidRDefault="00444A98" w14:paraId="393D8A34" w14:textId="77777777">
            <w:pPr>
              <w:jc w:val="left"/>
              <w:rPr>
                <w:b/>
                <w:bCs/>
              </w:rPr>
            </w:pPr>
            <w:r w:rsidRPr="007F2705">
              <w:rPr>
                <w:b/>
              </w:rPr>
              <w:t>Result of the vote in commission</w:t>
            </w:r>
          </w:p>
          <w:p w:rsidRPr="007F2705" w:rsidR="00444A98" w:rsidP="00A04FB7" w:rsidRDefault="00444A98" w14:paraId="08EBB26E" w14:textId="77777777">
            <w:pPr>
              <w:jc w:val="left"/>
              <w:rPr>
                <w:b/>
                <w:bCs/>
              </w:rPr>
            </w:pPr>
            <w:r w:rsidRPr="007F2705">
              <w:rPr>
                <w:b/>
              </w:rPr>
              <w:t>(majority, unanimity)</w:t>
            </w:r>
          </w:p>
        </w:tc>
        <w:tc>
          <w:tcPr>
            <w:tcW w:w="5441" w:type="dxa"/>
            <w:noWrap/>
          </w:tcPr>
          <w:p w:rsidRPr="007F2705" w:rsidR="00444A98" w:rsidP="00A04FB7" w:rsidRDefault="00F87CAB" w14:paraId="5528C8A7" w14:textId="73B49337">
            <w:r w:rsidRPr="00F31130">
              <w:t>M</w:t>
            </w:r>
            <w:r w:rsidRPr="00F31130" w:rsidR="00F31130">
              <w:t>ajority</w:t>
            </w:r>
          </w:p>
        </w:tc>
      </w:tr>
      <w:tr w:rsidRPr="007F2705" w:rsidR="00444A98" w:rsidTr="00A8375C" w14:paraId="2F6D707B" w14:textId="77777777">
        <w:trPr>
          <w:jc w:val="center"/>
        </w:trPr>
        <w:tc>
          <w:tcPr>
            <w:tcW w:w="3848" w:type="dxa"/>
            <w:noWrap/>
          </w:tcPr>
          <w:p w:rsidRPr="007F2705" w:rsidR="00444A98" w:rsidP="00A04FB7" w:rsidRDefault="00444A98" w14:paraId="48624E4D" w14:textId="77777777">
            <w:pPr>
              <w:jc w:val="left"/>
              <w:rPr>
                <w:b/>
                <w:bCs/>
              </w:rPr>
            </w:pPr>
            <w:r w:rsidRPr="007F2705">
              <w:rPr>
                <w:b/>
              </w:rPr>
              <w:t xml:space="preserve">Date adopted in plenary </w:t>
            </w:r>
          </w:p>
        </w:tc>
        <w:tc>
          <w:tcPr>
            <w:tcW w:w="5441" w:type="dxa"/>
            <w:noWrap/>
          </w:tcPr>
          <w:p w:rsidRPr="007F2705" w:rsidR="00444A98" w:rsidP="00A04FB7" w:rsidRDefault="00620A19" w14:paraId="7E62CD5D" w14:textId="2F28FB4C">
            <w:r w:rsidRPr="007F2705">
              <w:t>Scheduled for 14-15 October 2025</w:t>
            </w:r>
          </w:p>
        </w:tc>
      </w:tr>
      <w:tr w:rsidRPr="007F2705" w:rsidR="00444A98" w:rsidTr="00A8375C" w14:paraId="59F2AEB5" w14:textId="77777777">
        <w:trPr>
          <w:jc w:val="center"/>
        </w:trPr>
        <w:tc>
          <w:tcPr>
            <w:tcW w:w="3848" w:type="dxa"/>
            <w:noWrap/>
          </w:tcPr>
          <w:p w:rsidRPr="007F2705" w:rsidR="00444A98" w:rsidP="00A04FB7" w:rsidRDefault="00444A98" w14:paraId="1480F6BA" w14:textId="77777777">
            <w:pPr>
              <w:jc w:val="left"/>
              <w:rPr>
                <w:b/>
                <w:bCs/>
              </w:rPr>
            </w:pPr>
            <w:r w:rsidRPr="007F2705">
              <w:rPr>
                <w:b/>
              </w:rPr>
              <w:t xml:space="preserve">Previous Committee opinions </w:t>
            </w:r>
          </w:p>
        </w:tc>
        <w:tc>
          <w:tcPr>
            <w:tcW w:w="5441" w:type="dxa"/>
            <w:noWrap/>
          </w:tcPr>
          <w:p w:rsidRPr="007F2705" w:rsidR="005C4A89" w:rsidP="00A04FB7" w:rsidRDefault="000B47C9" w14:paraId="363C417A" w14:textId="19E3848A">
            <w:pPr>
              <w:pStyle w:val="ListParagraph"/>
              <w:numPr>
                <w:ilvl w:val="0"/>
                <w:numId w:val="17"/>
              </w:numPr>
              <w:ind w:left="293" w:hanging="284"/>
            </w:pPr>
            <w:hyperlink w:history="1" r:id="rId19">
              <w:r w:rsidRPr="007F2705" w:rsidR="0015151A">
                <w:rPr>
                  <w:rStyle w:val="Hyperlink"/>
                </w:rPr>
                <w:t>A Union of Equality: Gender Equality Strategy 2020-2025</w:t>
              </w:r>
            </w:hyperlink>
          </w:p>
          <w:p w:rsidRPr="007F2705" w:rsidR="005838A7" w:rsidP="00A04FB7" w:rsidRDefault="000B47C9" w14:paraId="32860175" w14:textId="0C8464BA">
            <w:pPr>
              <w:pStyle w:val="ListParagraph"/>
              <w:numPr>
                <w:ilvl w:val="0"/>
                <w:numId w:val="17"/>
              </w:numPr>
              <w:ind w:left="293" w:hanging="284"/>
            </w:pPr>
            <w:hyperlink w:history="1" r:id="rId20">
              <w:r w:rsidRPr="007F2705" w:rsidR="0015151A">
                <w:rPr>
                  <w:rStyle w:val="Hyperlink"/>
                </w:rPr>
                <w:t xml:space="preserve">Stopping gender-based violence </w:t>
              </w:r>
              <w:r w:rsidR="00F87CAB">
                <w:rPr>
                  <w:rStyle w:val="Hyperlink"/>
                </w:rPr>
                <w:sym w:font="Symbol" w:char="F02D"/>
              </w:r>
              <w:r w:rsidRPr="007F2705" w:rsidR="0015151A">
                <w:rPr>
                  <w:rStyle w:val="Hyperlink"/>
                </w:rPr>
                <w:t xml:space="preserve"> cities and regions leading the way</w:t>
              </w:r>
            </w:hyperlink>
          </w:p>
        </w:tc>
      </w:tr>
      <w:tr w:rsidRPr="007F2705" w:rsidR="00444A98" w:rsidTr="00A8375C" w14:paraId="36C22B4E" w14:textId="77777777">
        <w:trPr>
          <w:jc w:val="center"/>
        </w:trPr>
        <w:tc>
          <w:tcPr>
            <w:tcW w:w="3848" w:type="dxa"/>
            <w:noWrap/>
          </w:tcPr>
          <w:p w:rsidRPr="007F2705" w:rsidR="00444A98" w:rsidP="00A04FB7" w:rsidRDefault="000273A5" w14:paraId="4E25415A" w14:textId="1E817D70">
            <w:pPr>
              <w:jc w:val="left"/>
              <w:rPr>
                <w:b/>
                <w:bCs/>
              </w:rPr>
            </w:pPr>
            <w:r w:rsidRPr="007F2705">
              <w:rPr>
                <w:b/>
              </w:rPr>
              <w:t>Subsidiarity reference</w:t>
            </w:r>
          </w:p>
        </w:tc>
        <w:tc>
          <w:tcPr>
            <w:tcW w:w="5441" w:type="dxa"/>
            <w:noWrap/>
          </w:tcPr>
          <w:p w:rsidRPr="007F2705" w:rsidR="00444A98" w:rsidP="00A04FB7" w:rsidRDefault="00444A98" w14:paraId="0648ED3F" w14:textId="74383949"/>
        </w:tc>
      </w:tr>
    </w:tbl>
    <w:p w:rsidRPr="007F2705" w:rsidR="00444A98" w:rsidP="00A04FB7" w:rsidRDefault="00444A98" w14:paraId="520429A0" w14:textId="77777777"/>
    <w:p w:rsidRPr="007F2705" w:rsidR="00444A98" w:rsidP="00A04FB7" w:rsidRDefault="00444A98" w14:paraId="04BDB43F" w14:textId="77777777">
      <w:pPr>
        <w:jc w:val="center"/>
      </w:pPr>
      <w:r w:rsidRPr="007F2705">
        <w:t>_____________</w:t>
      </w:r>
    </w:p>
    <w:p w:rsidRPr="007F2705" w:rsidR="00444A98" w:rsidP="00A04FB7" w:rsidRDefault="00444A98" w14:paraId="7CB8958C" w14:textId="77777777"/>
    <w:sectPr w:rsidRPr="007F2705" w:rsidR="00444A98" w:rsidSect="000E27E2">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1E7" w:rsidRDefault="002B21E7" w14:paraId="3272ACBC" w14:textId="77777777">
      <w:r>
        <w:separator/>
      </w:r>
    </w:p>
  </w:endnote>
  <w:endnote w:type="continuationSeparator" w:id="0">
    <w:p w:rsidR="002B21E7" w:rsidRDefault="002B21E7" w14:paraId="25D18DB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0E27E2" w:rsidP="000E27E2" w:rsidRDefault="000E27E2" w14:paraId="22107B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6D78CA" w:rsidP="000E27E2" w:rsidRDefault="000E27E2" w14:paraId="08740033" w14:textId="0EA9C8DD">
    <w:pPr>
      <w:pStyle w:val="Footer"/>
    </w:pPr>
    <w:r>
      <w:t xml:space="preserve">COR-2025-01108-00-01-PAC-TRA (EN) </w:t>
    </w:r>
    <w:r>
      <w:fldChar w:fldCharType="begin"/>
    </w:r>
    <w:r>
      <w:instrText xml:space="preserve"> PAGE  \* Arabic  \* MERGEFORMAT </w:instrText>
    </w:r>
    <w:r>
      <w:fldChar w:fldCharType="separate"/>
    </w:r>
    <w:r w:rsidR="00482985">
      <w:rPr>
        <w:noProof/>
      </w:rPr>
      <w:t>1</w:t>
    </w:r>
    <w:r>
      <w:fldChar w:fldCharType="end"/>
    </w:r>
    <w:r>
      <w:t>/</w:t>
    </w:r>
    <w:r w:rsidR="00467544">
      <w:fldChar w:fldCharType="begin"/>
    </w:r>
    <w:r w:rsidR="00467544">
      <w:instrText xml:space="preserve"> NUMPAGES </w:instrText>
    </w:r>
    <w:r w:rsidR="00467544">
      <w:fldChar w:fldCharType="separate"/>
    </w:r>
    <w:r w:rsidR="00482985">
      <w:rPr>
        <w:noProof/>
      </w:rPr>
      <w:t>1</w:t>
    </w:r>
    <w:r w:rsidR="004675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0E27E2" w:rsidP="000E27E2" w:rsidRDefault="000E27E2" w14:paraId="411F6DB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76226D" w:rsidP="000E27E2" w:rsidRDefault="0076226D" w14:paraId="0A45FDE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76226D" w:rsidP="000E27E2" w:rsidRDefault="000E27E2" w14:paraId="72AE6BCF" w14:textId="56F1F0EA">
    <w:pPr>
      <w:pStyle w:val="Footer"/>
    </w:pPr>
    <w:r>
      <w:t xml:space="preserve">COR-2025-01108-00-01-PAC-TRA (EN) </w:t>
    </w:r>
    <w:r>
      <w:fldChar w:fldCharType="begin"/>
    </w:r>
    <w:r>
      <w:instrText xml:space="preserve"> PAGE  \* Arabic  \* MERGEFORMAT </w:instrText>
    </w:r>
    <w:r>
      <w:fldChar w:fldCharType="separate"/>
    </w:r>
    <w:r>
      <w:rPr>
        <w:noProof/>
      </w:rPr>
      <w:t>2</w:t>
    </w:r>
    <w:r>
      <w:fldChar w:fldCharType="end"/>
    </w:r>
    <w:r>
      <w:t>/</w:t>
    </w:r>
    <w:r w:rsidR="00467544">
      <w:fldChar w:fldCharType="begin"/>
    </w:r>
    <w:r w:rsidR="00467544">
      <w:instrText xml:space="preserve"> NUMPAGES </w:instrText>
    </w:r>
    <w:r w:rsidR="00467544">
      <w:fldChar w:fldCharType="separate"/>
    </w:r>
    <w:r>
      <w:rPr>
        <w:noProof/>
      </w:rPr>
      <w:t>11</w:t>
    </w:r>
    <w:r w:rsidR="00467544">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76226D" w:rsidP="000E27E2" w:rsidRDefault="0076226D" w14:paraId="46CDC1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1E7" w:rsidRDefault="002B21E7" w14:paraId="542D986B" w14:textId="77777777">
      <w:r>
        <w:separator/>
      </w:r>
    </w:p>
  </w:footnote>
  <w:footnote w:type="continuationSeparator" w:id="0">
    <w:p w:rsidR="002B21E7" w:rsidRDefault="002B21E7" w14:paraId="6B66B98C" w14:textId="77777777">
      <w:r>
        <w:continuationSeparator/>
      </w:r>
    </w:p>
  </w:footnote>
  <w:footnote w:id="1">
    <w:p w:rsidRPr="001A454A" w:rsidR="00DA2CBD" w:rsidP="00D972D8" w:rsidRDefault="00DA2CBD" w14:paraId="525A6A83" w14:textId="098EBEAA">
      <w:pPr>
        <w:pStyle w:val="FootnoteText"/>
      </w:pPr>
      <w:r w:rsidRPr="00540F32">
        <w:rPr>
          <w:rStyle w:val="FootnoteReference"/>
        </w:rPr>
        <w:footnoteRef/>
      </w:r>
      <w:r w:rsidR="007F2705">
        <w:rPr>
          <w:sz w:val="18"/>
          <w:szCs w:val="18"/>
        </w:rPr>
        <w:tab/>
      </w:r>
      <w:hyperlink w:history="1" r:id="rId1">
        <w:r w:rsidRPr="00B870C5" w:rsidR="00B870EC">
          <w:rPr>
            <w:rStyle w:val="Hyperlink"/>
          </w:rPr>
          <w:t>https://eur-lex.europa.eu/legal-content/EN/TXT/HTML/?uri=CELEX:52025DC0097&amp;qid=1747317895809</w:t>
        </w:r>
      </w:hyperlink>
      <w:r w:rsidRPr="00D972D8" w:rsidR="00D972D8">
        <w:t>.</w:t>
      </w:r>
    </w:p>
  </w:footnote>
  <w:footnote w:id="2">
    <w:p w:rsidRPr="00F54A70" w:rsidR="00F54A70" w:rsidRDefault="00F54A70" w14:paraId="64028163" w14:textId="4435243F">
      <w:pPr>
        <w:pStyle w:val="FootnoteText"/>
      </w:pPr>
      <w:r>
        <w:rPr>
          <w:rStyle w:val="FootnoteReference"/>
        </w:rPr>
        <w:footnoteRef/>
      </w:r>
      <w:r w:rsidR="0035364D">
        <w:tab/>
      </w:r>
      <w:hyperlink w:history="1" r:id="rId2">
        <w:r w:rsidRPr="001A19E2" w:rsidR="006C386D">
          <w:rPr>
            <w:rStyle w:val="Hyperlink"/>
          </w:rPr>
          <w:t xml:space="preserve">Stopping gender-based violence </w:t>
        </w:r>
        <w:r w:rsidR="0035364D">
          <w:rPr>
            <w:rStyle w:val="Hyperlink"/>
          </w:rPr>
          <w:t>–</w:t>
        </w:r>
        <w:r w:rsidRPr="001A19E2" w:rsidR="006C386D">
          <w:rPr>
            <w:rStyle w:val="Hyperlink"/>
          </w:rPr>
          <w:t xml:space="preserve"> cities and regions leading the way</w:t>
        </w:r>
      </w:hyperlink>
      <w:r w:rsidRPr="00540F32" w:rsidR="0035364D">
        <w:t>.</w:t>
      </w:r>
    </w:p>
  </w:footnote>
  <w:footnote w:id="3">
    <w:p w:rsidRPr="00A46D38" w:rsidR="00A46D38" w:rsidRDefault="00A46D38" w14:paraId="1BD92E46" w14:textId="45BC7055">
      <w:pPr>
        <w:pStyle w:val="FootnoteText"/>
      </w:pPr>
      <w:r>
        <w:rPr>
          <w:rStyle w:val="FootnoteReference"/>
        </w:rPr>
        <w:footnoteRef/>
      </w:r>
      <w:r w:rsidR="0035364D">
        <w:tab/>
      </w:r>
      <w:hyperlink w:history="1" r:id="rId3">
        <w:r w:rsidRPr="008C2CEB" w:rsidR="00AE376C">
          <w:rPr>
            <w:rStyle w:val="Hyperlink"/>
          </w:rPr>
          <w:t>Opinion of the Committee of the Regions on Women and Poverty in the European Union</w:t>
        </w:r>
      </w:hyperlink>
      <w:r w:rsidRPr="00540F32" w:rsidR="0035364D">
        <w:t>.</w:t>
      </w:r>
    </w:p>
  </w:footnote>
  <w:footnote w:id="4">
    <w:p w:rsidRPr="00090C79" w:rsidR="00090C79" w:rsidRDefault="00090C79" w14:paraId="57A2ED49" w14:textId="692E58D9">
      <w:pPr>
        <w:pStyle w:val="FootnoteText"/>
      </w:pPr>
      <w:r>
        <w:rPr>
          <w:rStyle w:val="FootnoteReference"/>
        </w:rPr>
        <w:footnoteRef/>
      </w:r>
      <w:r w:rsidR="0035364D">
        <w:tab/>
      </w:r>
      <w:hyperlink w:history="1" r:id="rId4">
        <w:r w:rsidRPr="005707A2" w:rsidR="0035364D">
          <w:rPr>
            <w:rStyle w:val="Hyperlink"/>
          </w:rPr>
          <w:t>https://ec.europa.eu/commission/presscorner/detail/en/ip_22_5169</w:t>
        </w:r>
      </w:hyperlink>
      <w:r w:rsidRPr="00540F32" w:rsidR="0035364D">
        <w:t>.</w:t>
      </w:r>
    </w:p>
  </w:footnote>
  <w:footnote w:id="5">
    <w:p w:rsidRPr="00497276" w:rsidR="00497276" w:rsidRDefault="00497276" w14:paraId="4BC3F614" w14:textId="32137338">
      <w:pPr>
        <w:pStyle w:val="FootnoteText"/>
      </w:pPr>
      <w:r>
        <w:rPr>
          <w:rStyle w:val="FootnoteReference"/>
        </w:rPr>
        <w:footnoteRef/>
      </w:r>
      <w:r w:rsidR="0035364D">
        <w:tab/>
      </w:r>
      <w:hyperlink w:history="1" r:id="rId5">
        <w:r w:rsidR="0086027B">
          <w:rPr>
            <w:rStyle w:val="Hyperlink"/>
          </w:rPr>
          <w:t>Opinion of the European Committee of the Regions on the European care strategy</w:t>
        </w:r>
      </w:hyperlink>
      <w:r w:rsidRPr="00540F32" w:rsidR="0035364D">
        <w:t>.</w:t>
      </w:r>
    </w:p>
  </w:footnote>
  <w:footnote w:id="6">
    <w:p w:rsidRPr="007C28A1" w:rsidR="007C28A1" w:rsidRDefault="007C28A1" w14:paraId="53083B4A" w14:textId="36CE8421">
      <w:pPr>
        <w:pStyle w:val="FootnoteText"/>
      </w:pPr>
      <w:r>
        <w:rPr>
          <w:rStyle w:val="FootnoteReference"/>
        </w:rPr>
        <w:footnoteRef/>
      </w:r>
      <w:r>
        <w:t xml:space="preserve"> </w:t>
      </w:r>
      <w:r>
        <w:tab/>
      </w:r>
      <w:r w:rsidRPr="00726E21" w:rsidR="00726E21">
        <w:t>(EU) 2019/1158.</w:t>
      </w:r>
    </w:p>
  </w:footnote>
  <w:footnote w:id="7">
    <w:p w:rsidRPr="001A454A" w:rsidR="00332D31" w:rsidRDefault="00332D31" w14:paraId="41B3BD77" w14:textId="2F3804E2">
      <w:pPr>
        <w:pStyle w:val="FootnoteText"/>
        <w:rPr>
          <w:lang w:val="en-US"/>
        </w:rPr>
      </w:pPr>
      <w:r>
        <w:rPr>
          <w:rStyle w:val="FootnoteReference"/>
        </w:rPr>
        <w:footnoteRef/>
      </w:r>
      <w:r w:rsidR="0035364D">
        <w:tab/>
      </w:r>
      <w:hyperlink w:history="1" r:id="rId6">
        <w:r w:rsidRPr="005707A2" w:rsidR="0035364D">
          <w:rPr>
            <w:rStyle w:val="Hyperlink"/>
            <w:lang w:val="en-US"/>
          </w:rPr>
          <w:t>https://jamstalldhetsmyndigheten.se/media/buhj543w/slutredovisning-lokal-demokrati.pdf</w:t>
        </w:r>
      </w:hyperlink>
      <w:r w:rsidRPr="00540F32" w:rsidR="00CC19BB">
        <w:t xml:space="preserve">, </w:t>
      </w:r>
      <w:r w:rsidRPr="00540F32" w:rsidR="00423090">
        <w:t>English summary</w:t>
      </w:r>
      <w:r w:rsidRPr="00540F32" w:rsidR="00344107">
        <w:t>,</w:t>
      </w:r>
      <w:r w:rsidRPr="00540F32" w:rsidR="00423090">
        <w:t xml:space="preserve"> </w:t>
      </w:r>
      <w:r w:rsidRPr="00540F32" w:rsidR="00CC19BB">
        <w:t>p. 45</w:t>
      </w:r>
      <w:r w:rsidRPr="00540F32" w:rsidR="0035364D">
        <w:t>.</w:t>
      </w:r>
    </w:p>
  </w:footnote>
  <w:footnote w:id="8">
    <w:p w:rsidRPr="00917E5A" w:rsidR="00917E5A" w:rsidRDefault="00917E5A" w14:paraId="40BD3F88" w14:textId="00199942">
      <w:pPr>
        <w:pStyle w:val="FootnoteText"/>
      </w:pPr>
      <w:r>
        <w:rPr>
          <w:rStyle w:val="FootnoteReference"/>
        </w:rPr>
        <w:footnoteRef/>
      </w:r>
      <w:r>
        <w:t xml:space="preserve"> </w:t>
      </w:r>
      <w:r>
        <w:tab/>
      </w:r>
      <w:r w:rsidRPr="00C56922" w:rsidR="00C56922">
        <w:t>The call has already been launched in the CoR opinion SEDEC-VII/039 on Stopping Gender-Based violence.</w:t>
      </w:r>
    </w:p>
  </w:footnote>
  <w:footnote w:id="9">
    <w:p w:rsidRPr="00C56922" w:rsidR="00C56922" w:rsidRDefault="00C56922" w14:paraId="13933176" w14:textId="7841C15B">
      <w:pPr>
        <w:pStyle w:val="FootnoteText"/>
      </w:pPr>
      <w:r>
        <w:rPr>
          <w:rStyle w:val="FootnoteReference"/>
        </w:rPr>
        <w:footnoteRef/>
      </w:r>
      <w:r>
        <w:t xml:space="preserve"> </w:t>
      </w:r>
      <w:r>
        <w:tab/>
      </w:r>
      <w:r w:rsidRPr="00FB6C3F" w:rsidR="00FB6C3F">
        <w:t>The text of the Charter - Observatory of the European Charter (</w:t>
      </w:r>
      <w:hyperlink w:history="1" r:id="rId7">
        <w:r w:rsidRPr="0016578F" w:rsidR="00FB6C3F">
          <w:rPr>
            <w:rStyle w:val="Hyperlink"/>
          </w:rPr>
          <w:t>charter-equality.eu</w:t>
        </w:r>
      </w:hyperlink>
      <w:r w:rsidRPr="00FB6C3F" w:rsidR="00FB6C3F">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0E27E2" w:rsidP="000E27E2" w:rsidRDefault="000E27E2" w14:paraId="71B80B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0E27E2" w:rsidP="000E27E2" w:rsidRDefault="000E27E2" w14:paraId="1B3C872D" w14:textId="66614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0E27E2" w:rsidP="000E27E2" w:rsidRDefault="000E27E2" w14:paraId="0326474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76226D" w:rsidP="000E27E2" w:rsidRDefault="0076226D" w14:paraId="14D5A1A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76226D" w:rsidP="000E27E2" w:rsidRDefault="0076226D" w14:paraId="17833103" w14:textId="64BBAB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E27E2" w:rsidR="0076226D" w:rsidP="000E27E2" w:rsidRDefault="0076226D" w14:paraId="1C6CE2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619A864"/>
    <w:multiLevelType w:val="hybridMultilevel"/>
    <w:tmpl w:val="EA068624"/>
    <w:lvl w:ilvl="0" w:tplc="BDD4EF72">
      <w:start w:val="34"/>
      <w:numFmt w:val="decimal"/>
      <w:lvlText w:val="%1."/>
      <w:lvlJc w:val="left"/>
      <w:pPr>
        <w:ind w:left="720" w:hanging="360"/>
      </w:pPr>
    </w:lvl>
    <w:lvl w:ilvl="1" w:tplc="97E4859E">
      <w:start w:val="1"/>
      <w:numFmt w:val="lowerLetter"/>
      <w:lvlText w:val="%2."/>
      <w:lvlJc w:val="left"/>
      <w:pPr>
        <w:ind w:left="1440" w:hanging="360"/>
      </w:pPr>
    </w:lvl>
    <w:lvl w:ilvl="2" w:tplc="8C201B64">
      <w:start w:val="1"/>
      <w:numFmt w:val="lowerRoman"/>
      <w:lvlText w:val="%3."/>
      <w:lvlJc w:val="right"/>
      <w:pPr>
        <w:ind w:left="2160" w:hanging="180"/>
      </w:pPr>
    </w:lvl>
    <w:lvl w:ilvl="3" w:tplc="41A81DD2">
      <w:start w:val="1"/>
      <w:numFmt w:val="decimal"/>
      <w:lvlText w:val="%4."/>
      <w:lvlJc w:val="left"/>
      <w:pPr>
        <w:ind w:left="2880" w:hanging="360"/>
      </w:pPr>
    </w:lvl>
    <w:lvl w:ilvl="4" w:tplc="6A3617A2">
      <w:start w:val="1"/>
      <w:numFmt w:val="lowerLetter"/>
      <w:lvlText w:val="%5."/>
      <w:lvlJc w:val="left"/>
      <w:pPr>
        <w:ind w:left="3600" w:hanging="360"/>
      </w:pPr>
    </w:lvl>
    <w:lvl w:ilvl="5" w:tplc="ECB453C2">
      <w:start w:val="1"/>
      <w:numFmt w:val="lowerRoman"/>
      <w:lvlText w:val="%6."/>
      <w:lvlJc w:val="right"/>
      <w:pPr>
        <w:ind w:left="4320" w:hanging="180"/>
      </w:pPr>
    </w:lvl>
    <w:lvl w:ilvl="6" w:tplc="A158383C">
      <w:start w:val="1"/>
      <w:numFmt w:val="decimal"/>
      <w:lvlText w:val="%7."/>
      <w:lvlJc w:val="left"/>
      <w:pPr>
        <w:ind w:left="5040" w:hanging="360"/>
      </w:pPr>
    </w:lvl>
    <w:lvl w:ilvl="7" w:tplc="A7469BAC">
      <w:start w:val="1"/>
      <w:numFmt w:val="lowerLetter"/>
      <w:lvlText w:val="%8."/>
      <w:lvlJc w:val="left"/>
      <w:pPr>
        <w:ind w:left="5760" w:hanging="360"/>
      </w:pPr>
    </w:lvl>
    <w:lvl w:ilvl="8" w:tplc="B322B6D0">
      <w:start w:val="1"/>
      <w:numFmt w:val="lowerRoman"/>
      <w:lvlText w:val="%9."/>
      <w:lvlJc w:val="right"/>
      <w:pPr>
        <w:ind w:left="6480" w:hanging="180"/>
      </w:pPr>
    </w:lvl>
  </w:abstractNum>
  <w:abstractNum w:abstractNumId="2" w15:restartNumberingAfterBreak="0">
    <w:nsid w:val="104D0DF2"/>
    <w:multiLevelType w:val="hybridMultilevel"/>
    <w:tmpl w:val="6EB82686"/>
    <w:lvl w:ilvl="0" w:tplc="6BE49F9E">
      <w:start w:val="1"/>
      <w:numFmt w:val="bullet"/>
      <w:lvlText w:val=""/>
      <w:lvlJc w:val="left"/>
      <w:pPr>
        <w:ind w:left="1080" w:hanging="360"/>
      </w:pPr>
      <w:rPr>
        <w:rFonts w:ascii="Symbol" w:eastAsia="Symbol" w:hAnsi="Symbol" w:cs="Symbol"/>
      </w:rPr>
    </w:lvl>
    <w:lvl w:ilvl="1" w:tplc="DBFA8270">
      <w:start w:val="1"/>
      <w:numFmt w:val="bullet"/>
      <w:lvlText w:val="o"/>
      <w:lvlJc w:val="left"/>
      <w:pPr>
        <w:ind w:left="1800" w:hanging="360"/>
      </w:pPr>
      <w:rPr>
        <w:rFonts w:ascii="Courier New" w:eastAsia="Courier New" w:hAnsi="Courier New" w:cs="Courier New"/>
      </w:rPr>
    </w:lvl>
    <w:lvl w:ilvl="2" w:tplc="6F8827B8">
      <w:start w:val="1"/>
      <w:numFmt w:val="bullet"/>
      <w:lvlText w:val=""/>
      <w:lvlJc w:val="left"/>
      <w:pPr>
        <w:ind w:left="2520" w:hanging="360"/>
      </w:pPr>
      <w:rPr>
        <w:rFonts w:ascii="Wingdings" w:eastAsia="Wingdings" w:hAnsi="Wingdings" w:cs="Wingdings"/>
      </w:rPr>
    </w:lvl>
    <w:lvl w:ilvl="3" w:tplc="3BCC9320">
      <w:start w:val="1"/>
      <w:numFmt w:val="bullet"/>
      <w:lvlText w:val=""/>
      <w:lvlJc w:val="left"/>
      <w:pPr>
        <w:ind w:left="3240" w:hanging="360"/>
      </w:pPr>
      <w:rPr>
        <w:rFonts w:ascii="Symbol" w:eastAsia="Symbol" w:hAnsi="Symbol" w:cs="Symbol"/>
      </w:rPr>
    </w:lvl>
    <w:lvl w:ilvl="4" w:tplc="BA8407F6">
      <w:start w:val="1"/>
      <w:numFmt w:val="bullet"/>
      <w:lvlText w:val="o"/>
      <w:lvlJc w:val="left"/>
      <w:pPr>
        <w:ind w:left="3960" w:hanging="360"/>
      </w:pPr>
      <w:rPr>
        <w:rFonts w:ascii="Courier New" w:eastAsia="Courier New" w:hAnsi="Courier New" w:cs="Courier New"/>
      </w:rPr>
    </w:lvl>
    <w:lvl w:ilvl="5" w:tplc="D5BC4364">
      <w:start w:val="1"/>
      <w:numFmt w:val="bullet"/>
      <w:lvlText w:val=""/>
      <w:lvlJc w:val="left"/>
      <w:pPr>
        <w:ind w:left="4680" w:hanging="360"/>
      </w:pPr>
      <w:rPr>
        <w:rFonts w:ascii="Wingdings" w:eastAsia="Wingdings" w:hAnsi="Wingdings" w:cs="Wingdings"/>
      </w:rPr>
    </w:lvl>
    <w:lvl w:ilvl="6" w:tplc="D96A5D72">
      <w:start w:val="1"/>
      <w:numFmt w:val="bullet"/>
      <w:lvlText w:val=""/>
      <w:lvlJc w:val="left"/>
      <w:pPr>
        <w:ind w:left="5400" w:hanging="360"/>
      </w:pPr>
      <w:rPr>
        <w:rFonts w:ascii="Symbol" w:eastAsia="Symbol" w:hAnsi="Symbol" w:cs="Symbol"/>
      </w:rPr>
    </w:lvl>
    <w:lvl w:ilvl="7" w:tplc="564288E8">
      <w:start w:val="1"/>
      <w:numFmt w:val="bullet"/>
      <w:lvlText w:val="o"/>
      <w:lvlJc w:val="left"/>
      <w:pPr>
        <w:ind w:left="6120" w:hanging="360"/>
      </w:pPr>
      <w:rPr>
        <w:rFonts w:ascii="Courier New" w:eastAsia="Courier New" w:hAnsi="Courier New" w:cs="Courier New"/>
      </w:rPr>
    </w:lvl>
    <w:lvl w:ilvl="8" w:tplc="C3541D4E">
      <w:start w:val="1"/>
      <w:numFmt w:val="bullet"/>
      <w:lvlText w:val=""/>
      <w:lvlJc w:val="left"/>
      <w:pPr>
        <w:ind w:left="6840" w:hanging="360"/>
      </w:pPr>
      <w:rPr>
        <w:rFonts w:ascii="Wingdings" w:eastAsia="Wingdings" w:hAnsi="Wingdings" w:cs="Wingdings"/>
      </w:rPr>
    </w:lvl>
  </w:abstractNum>
  <w:abstractNum w:abstractNumId="3"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48ABCD"/>
    <w:multiLevelType w:val="hybridMultilevel"/>
    <w:tmpl w:val="135292EC"/>
    <w:lvl w:ilvl="0" w:tplc="E08C0372">
      <w:start w:val="39"/>
      <w:numFmt w:val="decimal"/>
      <w:lvlText w:val="%1."/>
      <w:lvlJc w:val="left"/>
      <w:pPr>
        <w:ind w:left="720" w:hanging="360"/>
      </w:pPr>
    </w:lvl>
    <w:lvl w:ilvl="1" w:tplc="94AE638A">
      <w:start w:val="1"/>
      <w:numFmt w:val="lowerLetter"/>
      <w:lvlText w:val="%2."/>
      <w:lvlJc w:val="left"/>
      <w:pPr>
        <w:ind w:left="1440" w:hanging="360"/>
      </w:pPr>
    </w:lvl>
    <w:lvl w:ilvl="2" w:tplc="05FCCEEA">
      <w:start w:val="1"/>
      <w:numFmt w:val="lowerRoman"/>
      <w:lvlText w:val="%3."/>
      <w:lvlJc w:val="right"/>
      <w:pPr>
        <w:ind w:left="2160" w:hanging="180"/>
      </w:pPr>
    </w:lvl>
    <w:lvl w:ilvl="3" w:tplc="A3021672">
      <w:start w:val="1"/>
      <w:numFmt w:val="decimal"/>
      <w:lvlText w:val="%4."/>
      <w:lvlJc w:val="left"/>
      <w:pPr>
        <w:ind w:left="2880" w:hanging="360"/>
      </w:pPr>
    </w:lvl>
    <w:lvl w:ilvl="4" w:tplc="6902D63A">
      <w:start w:val="1"/>
      <w:numFmt w:val="lowerLetter"/>
      <w:lvlText w:val="%5."/>
      <w:lvlJc w:val="left"/>
      <w:pPr>
        <w:ind w:left="3600" w:hanging="360"/>
      </w:pPr>
    </w:lvl>
    <w:lvl w:ilvl="5" w:tplc="1E88962E">
      <w:start w:val="1"/>
      <w:numFmt w:val="lowerRoman"/>
      <w:lvlText w:val="%6."/>
      <w:lvlJc w:val="right"/>
      <w:pPr>
        <w:ind w:left="4320" w:hanging="180"/>
      </w:pPr>
    </w:lvl>
    <w:lvl w:ilvl="6" w:tplc="CE44AD5A">
      <w:start w:val="1"/>
      <w:numFmt w:val="decimal"/>
      <w:lvlText w:val="%7."/>
      <w:lvlJc w:val="left"/>
      <w:pPr>
        <w:ind w:left="5040" w:hanging="360"/>
      </w:pPr>
    </w:lvl>
    <w:lvl w:ilvl="7" w:tplc="E78C8450">
      <w:start w:val="1"/>
      <w:numFmt w:val="lowerLetter"/>
      <w:lvlText w:val="%8."/>
      <w:lvlJc w:val="left"/>
      <w:pPr>
        <w:ind w:left="5760" w:hanging="360"/>
      </w:pPr>
    </w:lvl>
    <w:lvl w:ilvl="8" w:tplc="8AFEDB4A">
      <w:start w:val="1"/>
      <w:numFmt w:val="lowerRoman"/>
      <w:lvlText w:val="%9."/>
      <w:lvlJc w:val="right"/>
      <w:pPr>
        <w:ind w:left="6480" w:hanging="180"/>
      </w:pPr>
    </w:lvl>
  </w:abstractNum>
  <w:abstractNum w:abstractNumId="7" w15:restartNumberingAfterBreak="0">
    <w:nsid w:val="32A486FD"/>
    <w:multiLevelType w:val="hybridMultilevel"/>
    <w:tmpl w:val="30BADD2A"/>
    <w:lvl w:ilvl="0" w:tplc="2B665854">
      <w:start w:val="36"/>
      <w:numFmt w:val="decimal"/>
      <w:lvlText w:val="%1."/>
      <w:lvlJc w:val="left"/>
      <w:pPr>
        <w:ind w:left="720" w:hanging="360"/>
      </w:pPr>
    </w:lvl>
    <w:lvl w:ilvl="1" w:tplc="185841FE">
      <w:start w:val="1"/>
      <w:numFmt w:val="lowerLetter"/>
      <w:lvlText w:val="%2."/>
      <w:lvlJc w:val="left"/>
      <w:pPr>
        <w:ind w:left="1440" w:hanging="360"/>
      </w:pPr>
    </w:lvl>
    <w:lvl w:ilvl="2" w:tplc="04F81F6C">
      <w:start w:val="1"/>
      <w:numFmt w:val="lowerRoman"/>
      <w:lvlText w:val="%3."/>
      <w:lvlJc w:val="right"/>
      <w:pPr>
        <w:ind w:left="2160" w:hanging="180"/>
      </w:pPr>
    </w:lvl>
    <w:lvl w:ilvl="3" w:tplc="F6408B56">
      <w:start w:val="1"/>
      <w:numFmt w:val="decimal"/>
      <w:lvlText w:val="%4."/>
      <w:lvlJc w:val="left"/>
      <w:pPr>
        <w:ind w:left="2880" w:hanging="360"/>
      </w:pPr>
    </w:lvl>
    <w:lvl w:ilvl="4" w:tplc="D708D0A8">
      <w:start w:val="1"/>
      <w:numFmt w:val="lowerLetter"/>
      <w:lvlText w:val="%5."/>
      <w:lvlJc w:val="left"/>
      <w:pPr>
        <w:ind w:left="3600" w:hanging="360"/>
      </w:pPr>
    </w:lvl>
    <w:lvl w:ilvl="5" w:tplc="4004242E">
      <w:start w:val="1"/>
      <w:numFmt w:val="lowerRoman"/>
      <w:lvlText w:val="%6."/>
      <w:lvlJc w:val="right"/>
      <w:pPr>
        <w:ind w:left="4320" w:hanging="180"/>
      </w:pPr>
    </w:lvl>
    <w:lvl w:ilvl="6" w:tplc="5F10472C">
      <w:start w:val="1"/>
      <w:numFmt w:val="decimal"/>
      <w:lvlText w:val="%7."/>
      <w:lvlJc w:val="left"/>
      <w:pPr>
        <w:ind w:left="5040" w:hanging="360"/>
      </w:pPr>
    </w:lvl>
    <w:lvl w:ilvl="7" w:tplc="CF8E33C4">
      <w:start w:val="1"/>
      <w:numFmt w:val="lowerLetter"/>
      <w:lvlText w:val="%8."/>
      <w:lvlJc w:val="left"/>
      <w:pPr>
        <w:ind w:left="5760" w:hanging="360"/>
      </w:pPr>
    </w:lvl>
    <w:lvl w:ilvl="8" w:tplc="4490D17A">
      <w:start w:val="1"/>
      <w:numFmt w:val="lowerRoman"/>
      <w:lvlText w:val="%9."/>
      <w:lvlJc w:val="right"/>
      <w:pPr>
        <w:ind w:left="6480" w:hanging="180"/>
      </w:pPr>
    </w:lvl>
  </w:abstractNum>
  <w:abstractNum w:abstractNumId="8"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11B46"/>
    <w:multiLevelType w:val="hybridMultilevel"/>
    <w:tmpl w:val="C04A7894"/>
    <w:lvl w:ilvl="0" w:tplc="FFFFFFFF">
      <w:start w:val="1"/>
      <w:numFmt w:val="upperRoman"/>
      <w:lvlText w:val="%1."/>
      <w:lvlJc w:val="left"/>
      <w:pPr>
        <w:ind w:left="360" w:hanging="360"/>
      </w:pPr>
      <w:rPr>
        <w:b/>
        <w:i w:val="0"/>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B7057D"/>
    <w:multiLevelType w:val="hybridMultilevel"/>
    <w:tmpl w:val="FC7E220A"/>
    <w:lvl w:ilvl="0" w:tplc="31AA96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800B9F"/>
    <w:multiLevelType w:val="multilevel"/>
    <w:tmpl w:val="EF90F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2D1D3F"/>
    <w:multiLevelType w:val="hybridMultilevel"/>
    <w:tmpl w:val="D7BCC22A"/>
    <w:lvl w:ilvl="0" w:tplc="379EFED4">
      <w:start w:val="35"/>
      <w:numFmt w:val="decimal"/>
      <w:lvlText w:val="%1."/>
      <w:lvlJc w:val="left"/>
      <w:pPr>
        <w:ind w:left="720" w:hanging="360"/>
      </w:pPr>
    </w:lvl>
    <w:lvl w:ilvl="1" w:tplc="C9F2F168">
      <w:start w:val="1"/>
      <w:numFmt w:val="lowerLetter"/>
      <w:lvlText w:val="%2."/>
      <w:lvlJc w:val="left"/>
      <w:pPr>
        <w:ind w:left="1440" w:hanging="360"/>
      </w:pPr>
    </w:lvl>
    <w:lvl w:ilvl="2" w:tplc="B58A0584">
      <w:start w:val="1"/>
      <w:numFmt w:val="lowerRoman"/>
      <w:lvlText w:val="%3."/>
      <w:lvlJc w:val="right"/>
      <w:pPr>
        <w:ind w:left="2160" w:hanging="180"/>
      </w:pPr>
    </w:lvl>
    <w:lvl w:ilvl="3" w:tplc="F6C0AAAC">
      <w:start w:val="1"/>
      <w:numFmt w:val="decimal"/>
      <w:lvlText w:val="%4."/>
      <w:lvlJc w:val="left"/>
      <w:pPr>
        <w:ind w:left="2880" w:hanging="360"/>
      </w:pPr>
    </w:lvl>
    <w:lvl w:ilvl="4" w:tplc="15DAADE0">
      <w:start w:val="1"/>
      <w:numFmt w:val="lowerLetter"/>
      <w:lvlText w:val="%5."/>
      <w:lvlJc w:val="left"/>
      <w:pPr>
        <w:ind w:left="3600" w:hanging="360"/>
      </w:pPr>
    </w:lvl>
    <w:lvl w:ilvl="5" w:tplc="DB24B582">
      <w:start w:val="1"/>
      <w:numFmt w:val="lowerRoman"/>
      <w:lvlText w:val="%6."/>
      <w:lvlJc w:val="right"/>
      <w:pPr>
        <w:ind w:left="4320" w:hanging="180"/>
      </w:pPr>
    </w:lvl>
    <w:lvl w:ilvl="6" w:tplc="D0AA89E8">
      <w:start w:val="1"/>
      <w:numFmt w:val="decimal"/>
      <w:lvlText w:val="%7."/>
      <w:lvlJc w:val="left"/>
      <w:pPr>
        <w:ind w:left="5040" w:hanging="360"/>
      </w:pPr>
    </w:lvl>
    <w:lvl w:ilvl="7" w:tplc="E9DAE9EE">
      <w:start w:val="1"/>
      <w:numFmt w:val="lowerLetter"/>
      <w:lvlText w:val="%8."/>
      <w:lvlJc w:val="left"/>
      <w:pPr>
        <w:ind w:left="5760" w:hanging="360"/>
      </w:pPr>
    </w:lvl>
    <w:lvl w:ilvl="8" w:tplc="01267220">
      <w:start w:val="1"/>
      <w:numFmt w:val="lowerRoman"/>
      <w:lvlText w:val="%9."/>
      <w:lvlJc w:val="right"/>
      <w:pPr>
        <w:ind w:left="6480" w:hanging="180"/>
      </w:pPr>
    </w:lvl>
  </w:abstractNum>
  <w:abstractNum w:abstractNumId="19"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221FF9"/>
    <w:multiLevelType w:val="hybridMultilevel"/>
    <w:tmpl w:val="768EBBFA"/>
    <w:lvl w:ilvl="0" w:tplc="8F82F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BC5746"/>
    <w:multiLevelType w:val="hybridMultilevel"/>
    <w:tmpl w:val="2EFE28F8"/>
    <w:lvl w:ilvl="0" w:tplc="664C02B4">
      <w:start w:val="1"/>
      <w:numFmt w:val="upperRoman"/>
      <w:lvlText w:val="%1."/>
      <w:lvlJc w:val="left"/>
      <w:pPr>
        <w:ind w:left="360" w:hanging="360"/>
      </w:pPr>
      <w:rPr>
        <w:b/>
        <w:i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85A772F"/>
    <w:multiLevelType w:val="hybridMultilevel"/>
    <w:tmpl w:val="3AFC4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A74CF"/>
    <w:multiLevelType w:val="hybridMultilevel"/>
    <w:tmpl w:val="D638B132"/>
    <w:lvl w:ilvl="0" w:tplc="75DCEA50">
      <w:start w:val="2"/>
      <w:numFmt w:val="upperRoman"/>
      <w:lvlText w:val="%1."/>
      <w:lvlJc w:val="left"/>
      <w:pPr>
        <w:ind w:left="360" w:hanging="360"/>
      </w:pPr>
      <w:rPr>
        <w:rFonts w:hint="default"/>
        <w:b/>
        <w:i w:val="0"/>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 w:numId="2">
    <w:abstractNumId w:val="8"/>
  </w:num>
  <w:num w:numId="3">
    <w:abstractNumId w:val="19"/>
  </w:num>
  <w:num w:numId="4">
    <w:abstractNumId w:val="9"/>
  </w:num>
  <w:num w:numId="5">
    <w:abstractNumId w:val="11"/>
  </w:num>
  <w:num w:numId="6">
    <w:abstractNumId w:val="5"/>
  </w:num>
  <w:num w:numId="7">
    <w:abstractNumId w:val="3"/>
  </w:num>
  <w:num w:numId="8">
    <w:abstractNumId w:val="17"/>
  </w:num>
  <w:num w:numId="9">
    <w:abstractNumId w:val="13"/>
  </w:num>
  <w:num w:numId="10">
    <w:abstractNumId w:val="16"/>
  </w:num>
  <w:num w:numId="11">
    <w:abstractNumId w:val="4"/>
  </w:num>
  <w:num w:numId="12">
    <w:abstractNumId w:val="10"/>
  </w:num>
  <w:num w:numId="13">
    <w:abstractNumId w:val="21"/>
  </w:num>
  <w:num w:numId="14">
    <w:abstractNumId w:val="2"/>
    <w:lvlOverride w:ilvl="0">
      <w:startOverride w:val="1"/>
    </w:lvlOverride>
  </w:num>
  <w:num w:numId="15">
    <w:abstractNumId w:val="22"/>
  </w:num>
  <w:num w:numId="16">
    <w:abstractNumId w:val="14"/>
  </w:num>
  <w:num w:numId="17">
    <w:abstractNumId w:val="20"/>
  </w:num>
  <w:num w:numId="18">
    <w:abstractNumId w:val="0"/>
  </w:num>
  <w:num w:numId="19">
    <w:abstractNumId w:val="15"/>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2"/>
  </w:num>
  <w:num w:numId="43">
    <w:abstractNumId w:val="23"/>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6"/>
  </w:num>
  <w:num w:numId="53">
    <w:abstractNumId w:val="7"/>
  </w:num>
  <w:num w:numId="54">
    <w:abstractNumId w:val="18"/>
  </w:num>
  <w:num w:numId="55">
    <w:abstractNumId w:val="1"/>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94"/>
    <w:rsid w:val="000129F3"/>
    <w:rsid w:val="00016A8D"/>
    <w:rsid w:val="00020D7F"/>
    <w:rsid w:val="00021D31"/>
    <w:rsid w:val="0002495F"/>
    <w:rsid w:val="000273A5"/>
    <w:rsid w:val="0003746D"/>
    <w:rsid w:val="000615B3"/>
    <w:rsid w:val="00063BF7"/>
    <w:rsid w:val="00067BA8"/>
    <w:rsid w:val="00083AE8"/>
    <w:rsid w:val="00083D5C"/>
    <w:rsid w:val="00090C79"/>
    <w:rsid w:val="000A0034"/>
    <w:rsid w:val="000A4915"/>
    <w:rsid w:val="000A7F61"/>
    <w:rsid w:val="000B0833"/>
    <w:rsid w:val="000B1614"/>
    <w:rsid w:val="000B74D3"/>
    <w:rsid w:val="000C3BC1"/>
    <w:rsid w:val="000C55EE"/>
    <w:rsid w:val="000C65BA"/>
    <w:rsid w:val="000C70C1"/>
    <w:rsid w:val="000D5BB0"/>
    <w:rsid w:val="000D6A84"/>
    <w:rsid w:val="000E27E2"/>
    <w:rsid w:val="000E2B04"/>
    <w:rsid w:val="000E2C1F"/>
    <w:rsid w:val="000E5659"/>
    <w:rsid w:val="000F28A0"/>
    <w:rsid w:val="000F3C4C"/>
    <w:rsid w:val="000F6030"/>
    <w:rsid w:val="00101FBB"/>
    <w:rsid w:val="00106B27"/>
    <w:rsid w:val="00112E32"/>
    <w:rsid w:val="001161EC"/>
    <w:rsid w:val="0012001C"/>
    <w:rsid w:val="0012190B"/>
    <w:rsid w:val="00126F22"/>
    <w:rsid w:val="00130123"/>
    <w:rsid w:val="0013379A"/>
    <w:rsid w:val="00133C74"/>
    <w:rsid w:val="00142133"/>
    <w:rsid w:val="0014390B"/>
    <w:rsid w:val="00145676"/>
    <w:rsid w:val="0015151A"/>
    <w:rsid w:val="00154892"/>
    <w:rsid w:val="0015645B"/>
    <w:rsid w:val="00163325"/>
    <w:rsid w:val="00163588"/>
    <w:rsid w:val="0016578F"/>
    <w:rsid w:val="00172115"/>
    <w:rsid w:val="001731CB"/>
    <w:rsid w:val="00173CC0"/>
    <w:rsid w:val="00176143"/>
    <w:rsid w:val="00176CC8"/>
    <w:rsid w:val="001802DA"/>
    <w:rsid w:val="00181D6F"/>
    <w:rsid w:val="0018236C"/>
    <w:rsid w:val="00183EE2"/>
    <w:rsid w:val="00194938"/>
    <w:rsid w:val="001970AF"/>
    <w:rsid w:val="001A0BDD"/>
    <w:rsid w:val="001A19E2"/>
    <w:rsid w:val="001A454A"/>
    <w:rsid w:val="001A59BE"/>
    <w:rsid w:val="001A74C3"/>
    <w:rsid w:val="001B3196"/>
    <w:rsid w:val="001B33A4"/>
    <w:rsid w:val="001B6EF1"/>
    <w:rsid w:val="001C66A9"/>
    <w:rsid w:val="001D4A90"/>
    <w:rsid w:val="001E0EF9"/>
    <w:rsid w:val="001E5620"/>
    <w:rsid w:val="001F1849"/>
    <w:rsid w:val="001F1AB8"/>
    <w:rsid w:val="001F2520"/>
    <w:rsid w:val="002018CF"/>
    <w:rsid w:val="00202513"/>
    <w:rsid w:val="002033F5"/>
    <w:rsid w:val="002054D0"/>
    <w:rsid w:val="00206CAF"/>
    <w:rsid w:val="00210249"/>
    <w:rsid w:val="002201B9"/>
    <w:rsid w:val="00220B50"/>
    <w:rsid w:val="00222687"/>
    <w:rsid w:val="0022619A"/>
    <w:rsid w:val="002302F1"/>
    <w:rsid w:val="00235075"/>
    <w:rsid w:val="00241E6C"/>
    <w:rsid w:val="0024458C"/>
    <w:rsid w:val="00254B94"/>
    <w:rsid w:val="00254F68"/>
    <w:rsid w:val="0025784C"/>
    <w:rsid w:val="00260BA6"/>
    <w:rsid w:val="00264F1B"/>
    <w:rsid w:val="0026767E"/>
    <w:rsid w:val="00274A6D"/>
    <w:rsid w:val="00285990"/>
    <w:rsid w:val="00292781"/>
    <w:rsid w:val="00293319"/>
    <w:rsid w:val="002A1297"/>
    <w:rsid w:val="002A3528"/>
    <w:rsid w:val="002A67BF"/>
    <w:rsid w:val="002B0C1C"/>
    <w:rsid w:val="002B1E5E"/>
    <w:rsid w:val="002B21E7"/>
    <w:rsid w:val="002B6129"/>
    <w:rsid w:val="002C5E3E"/>
    <w:rsid w:val="002D0FC6"/>
    <w:rsid w:val="002D588E"/>
    <w:rsid w:val="002D618D"/>
    <w:rsid w:val="002F03D6"/>
    <w:rsid w:val="002F18B6"/>
    <w:rsid w:val="002F6AAD"/>
    <w:rsid w:val="002F729E"/>
    <w:rsid w:val="00304005"/>
    <w:rsid w:val="00310F92"/>
    <w:rsid w:val="003118F9"/>
    <w:rsid w:val="00316F1D"/>
    <w:rsid w:val="0031706B"/>
    <w:rsid w:val="00322488"/>
    <w:rsid w:val="00325CFA"/>
    <w:rsid w:val="00326021"/>
    <w:rsid w:val="00326D8C"/>
    <w:rsid w:val="003320EC"/>
    <w:rsid w:val="00332D31"/>
    <w:rsid w:val="00333977"/>
    <w:rsid w:val="00334C9E"/>
    <w:rsid w:val="00334D96"/>
    <w:rsid w:val="0033537E"/>
    <w:rsid w:val="00335FB6"/>
    <w:rsid w:val="003373A3"/>
    <w:rsid w:val="00342C48"/>
    <w:rsid w:val="00344107"/>
    <w:rsid w:val="00344847"/>
    <w:rsid w:val="0035364D"/>
    <w:rsid w:val="003563A4"/>
    <w:rsid w:val="00367564"/>
    <w:rsid w:val="003718FF"/>
    <w:rsid w:val="0037256B"/>
    <w:rsid w:val="00373ED4"/>
    <w:rsid w:val="00383975"/>
    <w:rsid w:val="0038738B"/>
    <w:rsid w:val="00392720"/>
    <w:rsid w:val="003A0128"/>
    <w:rsid w:val="003A043C"/>
    <w:rsid w:val="003B0723"/>
    <w:rsid w:val="003B1C77"/>
    <w:rsid w:val="003B6756"/>
    <w:rsid w:val="003B6F05"/>
    <w:rsid w:val="003C0F98"/>
    <w:rsid w:val="003C2AD9"/>
    <w:rsid w:val="003C4136"/>
    <w:rsid w:val="003C6C0F"/>
    <w:rsid w:val="003D0413"/>
    <w:rsid w:val="003D080D"/>
    <w:rsid w:val="003D18A1"/>
    <w:rsid w:val="003E1CB2"/>
    <w:rsid w:val="003E420C"/>
    <w:rsid w:val="003E4D30"/>
    <w:rsid w:val="003F060D"/>
    <w:rsid w:val="003F3CBB"/>
    <w:rsid w:val="00400BEA"/>
    <w:rsid w:val="0040341E"/>
    <w:rsid w:val="00406724"/>
    <w:rsid w:val="00410F04"/>
    <w:rsid w:val="00411E70"/>
    <w:rsid w:val="00420744"/>
    <w:rsid w:val="00422251"/>
    <w:rsid w:val="00423090"/>
    <w:rsid w:val="00426182"/>
    <w:rsid w:val="004336B4"/>
    <w:rsid w:val="0043518A"/>
    <w:rsid w:val="00440461"/>
    <w:rsid w:val="00444619"/>
    <w:rsid w:val="00444A98"/>
    <w:rsid w:val="00445F83"/>
    <w:rsid w:val="00454AD9"/>
    <w:rsid w:val="00466C9F"/>
    <w:rsid w:val="00467544"/>
    <w:rsid w:val="0047422E"/>
    <w:rsid w:val="00475484"/>
    <w:rsid w:val="00475C47"/>
    <w:rsid w:val="00482985"/>
    <w:rsid w:val="00487E3F"/>
    <w:rsid w:val="00490E20"/>
    <w:rsid w:val="00493343"/>
    <w:rsid w:val="00497276"/>
    <w:rsid w:val="004A0C7C"/>
    <w:rsid w:val="004A2C47"/>
    <w:rsid w:val="004A41CF"/>
    <w:rsid w:val="004A5AEB"/>
    <w:rsid w:val="004A6A7D"/>
    <w:rsid w:val="004B453C"/>
    <w:rsid w:val="004B5905"/>
    <w:rsid w:val="004B73EC"/>
    <w:rsid w:val="004C7A39"/>
    <w:rsid w:val="004C7C2E"/>
    <w:rsid w:val="004D2AD2"/>
    <w:rsid w:val="004D7CA1"/>
    <w:rsid w:val="004E605D"/>
    <w:rsid w:val="004F2000"/>
    <w:rsid w:val="004F2244"/>
    <w:rsid w:val="004F325B"/>
    <w:rsid w:val="004F5D2E"/>
    <w:rsid w:val="004F5F48"/>
    <w:rsid w:val="00502F98"/>
    <w:rsid w:val="005140A6"/>
    <w:rsid w:val="005147D1"/>
    <w:rsid w:val="00520268"/>
    <w:rsid w:val="00531322"/>
    <w:rsid w:val="00533AA9"/>
    <w:rsid w:val="005343D6"/>
    <w:rsid w:val="0053535C"/>
    <w:rsid w:val="00535B8D"/>
    <w:rsid w:val="00537A5D"/>
    <w:rsid w:val="00540F32"/>
    <w:rsid w:val="0054616C"/>
    <w:rsid w:val="00554046"/>
    <w:rsid w:val="005651A3"/>
    <w:rsid w:val="00566081"/>
    <w:rsid w:val="00575FC1"/>
    <w:rsid w:val="0058058C"/>
    <w:rsid w:val="00580EF6"/>
    <w:rsid w:val="00583866"/>
    <w:rsid w:val="005838A7"/>
    <w:rsid w:val="005840E6"/>
    <w:rsid w:val="00584EF0"/>
    <w:rsid w:val="005852FA"/>
    <w:rsid w:val="005918A5"/>
    <w:rsid w:val="005A0E7D"/>
    <w:rsid w:val="005A400B"/>
    <w:rsid w:val="005A41BB"/>
    <w:rsid w:val="005A4625"/>
    <w:rsid w:val="005A7AD0"/>
    <w:rsid w:val="005A7F8D"/>
    <w:rsid w:val="005B210F"/>
    <w:rsid w:val="005B2905"/>
    <w:rsid w:val="005B5F65"/>
    <w:rsid w:val="005C36CD"/>
    <w:rsid w:val="005C4A89"/>
    <w:rsid w:val="005C4B78"/>
    <w:rsid w:val="005C4F1C"/>
    <w:rsid w:val="005C51E8"/>
    <w:rsid w:val="005D31A6"/>
    <w:rsid w:val="005D36F6"/>
    <w:rsid w:val="005D7695"/>
    <w:rsid w:val="005E0619"/>
    <w:rsid w:val="005E58C7"/>
    <w:rsid w:val="005E74BF"/>
    <w:rsid w:val="00611921"/>
    <w:rsid w:val="006178E4"/>
    <w:rsid w:val="00617EB2"/>
    <w:rsid w:val="00620A19"/>
    <w:rsid w:val="00622E96"/>
    <w:rsid w:val="00627C3B"/>
    <w:rsid w:val="00630094"/>
    <w:rsid w:val="006311E4"/>
    <w:rsid w:val="00632659"/>
    <w:rsid w:val="006463BF"/>
    <w:rsid w:val="00650795"/>
    <w:rsid w:val="00652A97"/>
    <w:rsid w:val="00653D77"/>
    <w:rsid w:val="00655FFB"/>
    <w:rsid w:val="00670F48"/>
    <w:rsid w:val="0067150D"/>
    <w:rsid w:val="00686997"/>
    <w:rsid w:val="00690546"/>
    <w:rsid w:val="00691676"/>
    <w:rsid w:val="00697B03"/>
    <w:rsid w:val="006A4A0A"/>
    <w:rsid w:val="006B0C24"/>
    <w:rsid w:val="006C386D"/>
    <w:rsid w:val="006D0087"/>
    <w:rsid w:val="006D42D3"/>
    <w:rsid w:val="006D65AE"/>
    <w:rsid w:val="006D78CA"/>
    <w:rsid w:val="006E1EB5"/>
    <w:rsid w:val="006E551C"/>
    <w:rsid w:val="006E5CD1"/>
    <w:rsid w:val="006F4E7E"/>
    <w:rsid w:val="007025B1"/>
    <w:rsid w:val="0070359F"/>
    <w:rsid w:val="00706F0C"/>
    <w:rsid w:val="00720994"/>
    <w:rsid w:val="00720D6F"/>
    <w:rsid w:val="00726E21"/>
    <w:rsid w:val="00735804"/>
    <w:rsid w:val="00740AFA"/>
    <w:rsid w:val="007448FD"/>
    <w:rsid w:val="007469BC"/>
    <w:rsid w:val="00750ABC"/>
    <w:rsid w:val="00750AF3"/>
    <w:rsid w:val="00751A5D"/>
    <w:rsid w:val="00751B26"/>
    <w:rsid w:val="0075376F"/>
    <w:rsid w:val="0075508D"/>
    <w:rsid w:val="00756E77"/>
    <w:rsid w:val="007616E6"/>
    <w:rsid w:val="0076226D"/>
    <w:rsid w:val="00764A8A"/>
    <w:rsid w:val="00767523"/>
    <w:rsid w:val="0078349D"/>
    <w:rsid w:val="00785967"/>
    <w:rsid w:val="007916C4"/>
    <w:rsid w:val="00792770"/>
    <w:rsid w:val="00794CE7"/>
    <w:rsid w:val="00796527"/>
    <w:rsid w:val="007A0283"/>
    <w:rsid w:val="007A1B53"/>
    <w:rsid w:val="007A5838"/>
    <w:rsid w:val="007A6D76"/>
    <w:rsid w:val="007B0E59"/>
    <w:rsid w:val="007B10B2"/>
    <w:rsid w:val="007B1452"/>
    <w:rsid w:val="007B17A8"/>
    <w:rsid w:val="007B2E4D"/>
    <w:rsid w:val="007B41AB"/>
    <w:rsid w:val="007B430E"/>
    <w:rsid w:val="007B48A1"/>
    <w:rsid w:val="007C28A1"/>
    <w:rsid w:val="007C54F0"/>
    <w:rsid w:val="007D4734"/>
    <w:rsid w:val="007D7852"/>
    <w:rsid w:val="007E4820"/>
    <w:rsid w:val="007E5FAE"/>
    <w:rsid w:val="007E74D2"/>
    <w:rsid w:val="007F0079"/>
    <w:rsid w:val="007F0262"/>
    <w:rsid w:val="007F0B20"/>
    <w:rsid w:val="007F2705"/>
    <w:rsid w:val="007F2854"/>
    <w:rsid w:val="007F292E"/>
    <w:rsid w:val="007F68C4"/>
    <w:rsid w:val="00800D8B"/>
    <w:rsid w:val="00810512"/>
    <w:rsid w:val="00814994"/>
    <w:rsid w:val="00814EF3"/>
    <w:rsid w:val="008153EE"/>
    <w:rsid w:val="008224B6"/>
    <w:rsid w:val="00826CCA"/>
    <w:rsid w:val="00831563"/>
    <w:rsid w:val="0083182E"/>
    <w:rsid w:val="0083397F"/>
    <w:rsid w:val="00837FA5"/>
    <w:rsid w:val="00847E17"/>
    <w:rsid w:val="00856305"/>
    <w:rsid w:val="0086027B"/>
    <w:rsid w:val="008602A7"/>
    <w:rsid w:val="00861197"/>
    <w:rsid w:val="00866F5C"/>
    <w:rsid w:val="008777E9"/>
    <w:rsid w:val="00883804"/>
    <w:rsid w:val="00886625"/>
    <w:rsid w:val="00895E75"/>
    <w:rsid w:val="008C2CEB"/>
    <w:rsid w:val="008C4D04"/>
    <w:rsid w:val="008C5F5F"/>
    <w:rsid w:val="008D02FC"/>
    <w:rsid w:val="008D1BA1"/>
    <w:rsid w:val="008D34E8"/>
    <w:rsid w:val="008D3638"/>
    <w:rsid w:val="008D5CBC"/>
    <w:rsid w:val="008E2978"/>
    <w:rsid w:val="008E4285"/>
    <w:rsid w:val="008E502E"/>
    <w:rsid w:val="008E5D72"/>
    <w:rsid w:val="008F1D5D"/>
    <w:rsid w:val="009033AA"/>
    <w:rsid w:val="00913389"/>
    <w:rsid w:val="00913B7D"/>
    <w:rsid w:val="00917E5A"/>
    <w:rsid w:val="009352AE"/>
    <w:rsid w:val="00940330"/>
    <w:rsid w:val="009425BB"/>
    <w:rsid w:val="009429FC"/>
    <w:rsid w:val="0095622A"/>
    <w:rsid w:val="009726C1"/>
    <w:rsid w:val="00976ADD"/>
    <w:rsid w:val="00992949"/>
    <w:rsid w:val="0099766D"/>
    <w:rsid w:val="009A16C1"/>
    <w:rsid w:val="009A22EC"/>
    <w:rsid w:val="009A445B"/>
    <w:rsid w:val="009A6E15"/>
    <w:rsid w:val="009B1A59"/>
    <w:rsid w:val="009E3C63"/>
    <w:rsid w:val="009E54F8"/>
    <w:rsid w:val="009E7B5A"/>
    <w:rsid w:val="009F0A85"/>
    <w:rsid w:val="009F0B69"/>
    <w:rsid w:val="009F7B7C"/>
    <w:rsid w:val="009F7D37"/>
    <w:rsid w:val="00A012E5"/>
    <w:rsid w:val="00A0280E"/>
    <w:rsid w:val="00A04FB7"/>
    <w:rsid w:val="00A10A48"/>
    <w:rsid w:val="00A21E4F"/>
    <w:rsid w:val="00A23A19"/>
    <w:rsid w:val="00A363B2"/>
    <w:rsid w:val="00A401BB"/>
    <w:rsid w:val="00A402C8"/>
    <w:rsid w:val="00A46D38"/>
    <w:rsid w:val="00A531A6"/>
    <w:rsid w:val="00A5695F"/>
    <w:rsid w:val="00A64710"/>
    <w:rsid w:val="00A717C7"/>
    <w:rsid w:val="00A758AA"/>
    <w:rsid w:val="00A8375C"/>
    <w:rsid w:val="00A83FBB"/>
    <w:rsid w:val="00A84676"/>
    <w:rsid w:val="00A90A46"/>
    <w:rsid w:val="00A911A9"/>
    <w:rsid w:val="00A91F95"/>
    <w:rsid w:val="00A95EAF"/>
    <w:rsid w:val="00AA07C3"/>
    <w:rsid w:val="00AA29F7"/>
    <w:rsid w:val="00AA77B1"/>
    <w:rsid w:val="00AB0133"/>
    <w:rsid w:val="00AB0937"/>
    <w:rsid w:val="00AB18A6"/>
    <w:rsid w:val="00AB38E2"/>
    <w:rsid w:val="00AC3F93"/>
    <w:rsid w:val="00AC7555"/>
    <w:rsid w:val="00AC799B"/>
    <w:rsid w:val="00AE376C"/>
    <w:rsid w:val="00AE3F7D"/>
    <w:rsid w:val="00AE4401"/>
    <w:rsid w:val="00AF36D7"/>
    <w:rsid w:val="00AF4A15"/>
    <w:rsid w:val="00B02107"/>
    <w:rsid w:val="00B05F13"/>
    <w:rsid w:val="00B3205B"/>
    <w:rsid w:val="00B320B6"/>
    <w:rsid w:val="00B33430"/>
    <w:rsid w:val="00B34552"/>
    <w:rsid w:val="00B4047E"/>
    <w:rsid w:val="00B52CF3"/>
    <w:rsid w:val="00B542B8"/>
    <w:rsid w:val="00B612D6"/>
    <w:rsid w:val="00B61FF2"/>
    <w:rsid w:val="00B62068"/>
    <w:rsid w:val="00B62C49"/>
    <w:rsid w:val="00B658D7"/>
    <w:rsid w:val="00B65DB1"/>
    <w:rsid w:val="00B84E24"/>
    <w:rsid w:val="00B870EC"/>
    <w:rsid w:val="00B92FDA"/>
    <w:rsid w:val="00B958AC"/>
    <w:rsid w:val="00BA27A4"/>
    <w:rsid w:val="00BB014D"/>
    <w:rsid w:val="00BB4B32"/>
    <w:rsid w:val="00BC05F6"/>
    <w:rsid w:val="00BD444E"/>
    <w:rsid w:val="00BE061F"/>
    <w:rsid w:val="00BE3E20"/>
    <w:rsid w:val="00BE7813"/>
    <w:rsid w:val="00BF7AE7"/>
    <w:rsid w:val="00BF7FBC"/>
    <w:rsid w:val="00C33162"/>
    <w:rsid w:val="00C3552F"/>
    <w:rsid w:val="00C42F76"/>
    <w:rsid w:val="00C511EC"/>
    <w:rsid w:val="00C56922"/>
    <w:rsid w:val="00C639CA"/>
    <w:rsid w:val="00C653FF"/>
    <w:rsid w:val="00C710B4"/>
    <w:rsid w:val="00C7292A"/>
    <w:rsid w:val="00C72A7A"/>
    <w:rsid w:val="00C8086D"/>
    <w:rsid w:val="00C82639"/>
    <w:rsid w:val="00C84E02"/>
    <w:rsid w:val="00C87200"/>
    <w:rsid w:val="00C91157"/>
    <w:rsid w:val="00C91D34"/>
    <w:rsid w:val="00C94CB0"/>
    <w:rsid w:val="00CA177A"/>
    <w:rsid w:val="00CA3CF0"/>
    <w:rsid w:val="00CA417D"/>
    <w:rsid w:val="00CA6B49"/>
    <w:rsid w:val="00CB75C3"/>
    <w:rsid w:val="00CB7BAE"/>
    <w:rsid w:val="00CC19BB"/>
    <w:rsid w:val="00CC3991"/>
    <w:rsid w:val="00CC758D"/>
    <w:rsid w:val="00CD42FC"/>
    <w:rsid w:val="00CE2405"/>
    <w:rsid w:val="00CE5929"/>
    <w:rsid w:val="00CF519B"/>
    <w:rsid w:val="00CF6A09"/>
    <w:rsid w:val="00D056DA"/>
    <w:rsid w:val="00D135CF"/>
    <w:rsid w:val="00D139B3"/>
    <w:rsid w:val="00D14059"/>
    <w:rsid w:val="00D14737"/>
    <w:rsid w:val="00D22AF7"/>
    <w:rsid w:val="00D27A32"/>
    <w:rsid w:val="00D30308"/>
    <w:rsid w:val="00D30EE1"/>
    <w:rsid w:val="00D349D7"/>
    <w:rsid w:val="00D34BCF"/>
    <w:rsid w:val="00D41AD0"/>
    <w:rsid w:val="00D46F0D"/>
    <w:rsid w:val="00D6421F"/>
    <w:rsid w:val="00D6443F"/>
    <w:rsid w:val="00D66140"/>
    <w:rsid w:val="00D726E0"/>
    <w:rsid w:val="00D7559A"/>
    <w:rsid w:val="00D772EB"/>
    <w:rsid w:val="00D93AA9"/>
    <w:rsid w:val="00D972D8"/>
    <w:rsid w:val="00DA0453"/>
    <w:rsid w:val="00DA085F"/>
    <w:rsid w:val="00DA2CBD"/>
    <w:rsid w:val="00DA3DEA"/>
    <w:rsid w:val="00DA6B11"/>
    <w:rsid w:val="00DA6B44"/>
    <w:rsid w:val="00DB01FA"/>
    <w:rsid w:val="00DB5E23"/>
    <w:rsid w:val="00DC3311"/>
    <w:rsid w:val="00DC3C0E"/>
    <w:rsid w:val="00DC4F44"/>
    <w:rsid w:val="00DC55CB"/>
    <w:rsid w:val="00DD0FA6"/>
    <w:rsid w:val="00DD5494"/>
    <w:rsid w:val="00DD66B3"/>
    <w:rsid w:val="00DE4AD1"/>
    <w:rsid w:val="00DE5160"/>
    <w:rsid w:val="00DE664B"/>
    <w:rsid w:val="00DE6ACA"/>
    <w:rsid w:val="00DE6AF0"/>
    <w:rsid w:val="00DF5986"/>
    <w:rsid w:val="00DF6E05"/>
    <w:rsid w:val="00DF7D46"/>
    <w:rsid w:val="00DF7F04"/>
    <w:rsid w:val="00E05C28"/>
    <w:rsid w:val="00E10E66"/>
    <w:rsid w:val="00E30D3A"/>
    <w:rsid w:val="00E34436"/>
    <w:rsid w:val="00E44083"/>
    <w:rsid w:val="00E46EA7"/>
    <w:rsid w:val="00E52232"/>
    <w:rsid w:val="00E5664A"/>
    <w:rsid w:val="00E67837"/>
    <w:rsid w:val="00E7518B"/>
    <w:rsid w:val="00E768BC"/>
    <w:rsid w:val="00E76CA8"/>
    <w:rsid w:val="00E83AE3"/>
    <w:rsid w:val="00E83E7B"/>
    <w:rsid w:val="00E8645C"/>
    <w:rsid w:val="00E9009D"/>
    <w:rsid w:val="00EA0157"/>
    <w:rsid w:val="00EB0870"/>
    <w:rsid w:val="00EB2C5F"/>
    <w:rsid w:val="00EB3B52"/>
    <w:rsid w:val="00ED2992"/>
    <w:rsid w:val="00ED375E"/>
    <w:rsid w:val="00ED61DD"/>
    <w:rsid w:val="00EE4BBE"/>
    <w:rsid w:val="00EF7117"/>
    <w:rsid w:val="00F10C40"/>
    <w:rsid w:val="00F154A5"/>
    <w:rsid w:val="00F1695A"/>
    <w:rsid w:val="00F2031B"/>
    <w:rsid w:val="00F27EA8"/>
    <w:rsid w:val="00F31130"/>
    <w:rsid w:val="00F40F26"/>
    <w:rsid w:val="00F42EDA"/>
    <w:rsid w:val="00F45402"/>
    <w:rsid w:val="00F515E5"/>
    <w:rsid w:val="00F5209B"/>
    <w:rsid w:val="00F52541"/>
    <w:rsid w:val="00F54A70"/>
    <w:rsid w:val="00F55286"/>
    <w:rsid w:val="00F6028F"/>
    <w:rsid w:val="00F626E7"/>
    <w:rsid w:val="00F63670"/>
    <w:rsid w:val="00F72854"/>
    <w:rsid w:val="00F77A19"/>
    <w:rsid w:val="00F826AB"/>
    <w:rsid w:val="00F84BCE"/>
    <w:rsid w:val="00F85741"/>
    <w:rsid w:val="00F87CAB"/>
    <w:rsid w:val="00F90F5A"/>
    <w:rsid w:val="00FA1354"/>
    <w:rsid w:val="00FA1EEE"/>
    <w:rsid w:val="00FA4014"/>
    <w:rsid w:val="00FA745B"/>
    <w:rsid w:val="00FB2B33"/>
    <w:rsid w:val="00FB6C3F"/>
    <w:rsid w:val="00FC0005"/>
    <w:rsid w:val="00FC5EFF"/>
    <w:rsid w:val="00FD1B59"/>
    <w:rsid w:val="00FD27C9"/>
    <w:rsid w:val="00FD5DA7"/>
    <w:rsid w:val="00FE7B56"/>
    <w:rsid w:val="00FF03F6"/>
    <w:rsid w:val="00FF53DC"/>
    <w:rsid w:val="00FF695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15:docId w15:val="{0C1A5207-B42A-4C76-BE3E-4C0EB220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E1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847E17"/>
    <w:pPr>
      <w:numPr>
        <w:numId w:val="1"/>
      </w:numPr>
      <w:outlineLvl w:val="0"/>
    </w:pPr>
    <w:rPr>
      <w:kern w:val="28"/>
    </w:rPr>
  </w:style>
  <w:style w:type="paragraph" w:styleId="Heading2">
    <w:name w:val="heading 2"/>
    <w:basedOn w:val="Normal"/>
    <w:next w:val="Normal"/>
    <w:link w:val="Heading2Char"/>
    <w:uiPriority w:val="9"/>
    <w:qFormat/>
    <w:rsid w:val="00847E17"/>
    <w:pPr>
      <w:numPr>
        <w:ilvl w:val="1"/>
        <w:numId w:val="1"/>
      </w:numPr>
      <w:ind w:left="720" w:hanging="720"/>
      <w:outlineLvl w:val="1"/>
    </w:pPr>
  </w:style>
  <w:style w:type="paragraph" w:styleId="Heading3">
    <w:name w:val="heading 3"/>
    <w:basedOn w:val="Normal"/>
    <w:next w:val="Normal"/>
    <w:link w:val="Heading3Char"/>
    <w:uiPriority w:val="9"/>
    <w:qFormat/>
    <w:rsid w:val="00847E17"/>
    <w:pPr>
      <w:numPr>
        <w:ilvl w:val="2"/>
        <w:numId w:val="1"/>
      </w:numPr>
      <w:ind w:left="720" w:hanging="720"/>
      <w:outlineLvl w:val="2"/>
    </w:pPr>
  </w:style>
  <w:style w:type="paragraph" w:styleId="Heading4">
    <w:name w:val="heading 4"/>
    <w:basedOn w:val="Normal"/>
    <w:next w:val="Normal"/>
    <w:link w:val="Heading4Char"/>
    <w:uiPriority w:val="9"/>
    <w:qFormat/>
    <w:rsid w:val="00847E17"/>
    <w:pPr>
      <w:numPr>
        <w:ilvl w:val="3"/>
        <w:numId w:val="1"/>
      </w:numPr>
      <w:ind w:left="720" w:hanging="720"/>
      <w:outlineLvl w:val="3"/>
    </w:pPr>
  </w:style>
  <w:style w:type="paragraph" w:styleId="Heading5">
    <w:name w:val="heading 5"/>
    <w:basedOn w:val="Normal"/>
    <w:next w:val="Normal"/>
    <w:link w:val="Heading5Char"/>
    <w:uiPriority w:val="9"/>
    <w:qFormat/>
    <w:rsid w:val="00847E17"/>
    <w:pPr>
      <w:numPr>
        <w:ilvl w:val="4"/>
        <w:numId w:val="1"/>
      </w:numPr>
      <w:ind w:left="720" w:hanging="720"/>
      <w:outlineLvl w:val="4"/>
    </w:pPr>
  </w:style>
  <w:style w:type="paragraph" w:styleId="Heading6">
    <w:name w:val="heading 6"/>
    <w:basedOn w:val="Normal"/>
    <w:next w:val="Normal"/>
    <w:link w:val="Heading6Char"/>
    <w:uiPriority w:val="9"/>
    <w:qFormat/>
    <w:rsid w:val="00847E17"/>
    <w:pPr>
      <w:numPr>
        <w:ilvl w:val="5"/>
        <w:numId w:val="1"/>
      </w:numPr>
      <w:ind w:left="720" w:hanging="720"/>
      <w:outlineLvl w:val="5"/>
    </w:pPr>
  </w:style>
  <w:style w:type="paragraph" w:styleId="Heading7">
    <w:name w:val="heading 7"/>
    <w:basedOn w:val="Normal"/>
    <w:next w:val="Normal"/>
    <w:link w:val="Heading7Char"/>
    <w:uiPriority w:val="9"/>
    <w:qFormat/>
    <w:rsid w:val="00847E17"/>
    <w:pPr>
      <w:numPr>
        <w:ilvl w:val="6"/>
        <w:numId w:val="1"/>
      </w:numPr>
      <w:ind w:left="720" w:hanging="720"/>
      <w:outlineLvl w:val="6"/>
    </w:pPr>
  </w:style>
  <w:style w:type="paragraph" w:styleId="Heading8">
    <w:name w:val="heading 8"/>
    <w:basedOn w:val="Normal"/>
    <w:next w:val="Normal"/>
    <w:link w:val="Heading8Char"/>
    <w:uiPriority w:val="9"/>
    <w:qFormat/>
    <w:rsid w:val="00847E17"/>
    <w:pPr>
      <w:numPr>
        <w:ilvl w:val="7"/>
        <w:numId w:val="1"/>
      </w:numPr>
      <w:ind w:left="720" w:hanging="720"/>
      <w:outlineLvl w:val="7"/>
    </w:pPr>
  </w:style>
  <w:style w:type="paragraph" w:styleId="Heading9">
    <w:name w:val="heading 9"/>
    <w:basedOn w:val="Normal"/>
    <w:next w:val="Normal"/>
    <w:link w:val="Heading9Char"/>
    <w:uiPriority w:val="9"/>
    <w:qFormat/>
    <w:rsid w:val="00847E1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6A8"/>
    <w:rPr>
      <w:kern w:val="28"/>
      <w:sz w:val="22"/>
      <w:lang w:eastAsia="en-US"/>
    </w:rPr>
  </w:style>
  <w:style w:type="character" w:customStyle="1" w:styleId="Heading2Char">
    <w:name w:val="Heading 2 Char"/>
    <w:basedOn w:val="DefaultParagraphFont"/>
    <w:link w:val="Heading2"/>
    <w:uiPriority w:val="9"/>
    <w:semiHidden/>
    <w:rsid w:val="009D66A8"/>
    <w:rPr>
      <w:rFonts w:asciiTheme="majorHAnsi" w:eastAsiaTheme="majorEastAsia" w:hAnsiTheme="majorHAnsi" w:cstheme="majorBidi"/>
      <w:b/>
      <w:bCs/>
      <w:color w:val="4F81BD" w:themeColor="accent1"/>
      <w:sz w:val="26"/>
      <w:szCs w:val="26"/>
      <w:lang w:val="en-GB" w:eastAsia="en-US"/>
    </w:rPr>
  </w:style>
  <w:style w:type="character" w:customStyle="1" w:styleId="Heading3Char">
    <w:name w:val="Heading 3 Char"/>
    <w:basedOn w:val="DefaultParagraphFont"/>
    <w:link w:val="Heading3"/>
    <w:uiPriority w:val="9"/>
    <w:semiHidden/>
    <w:rsid w:val="009D66A8"/>
    <w:rPr>
      <w:rFonts w:asciiTheme="majorHAnsi" w:eastAsiaTheme="majorEastAsia" w:hAnsiTheme="majorHAnsi" w:cstheme="majorBidi"/>
      <w:b/>
      <w:bCs/>
      <w:color w:val="4F81BD" w:themeColor="accent1"/>
      <w:sz w:val="22"/>
      <w:lang w:val="en-GB" w:eastAsia="en-US"/>
    </w:rPr>
  </w:style>
  <w:style w:type="character" w:customStyle="1" w:styleId="Heading4Char">
    <w:name w:val="Heading 4 Char"/>
    <w:basedOn w:val="DefaultParagraphFont"/>
    <w:link w:val="Heading4"/>
    <w:uiPriority w:val="9"/>
    <w:semiHidden/>
    <w:rsid w:val="009D66A8"/>
    <w:rPr>
      <w:rFonts w:asciiTheme="majorHAnsi" w:eastAsiaTheme="majorEastAsia" w:hAnsiTheme="majorHAnsi" w:cstheme="majorBidi"/>
      <w:b/>
      <w:bCs/>
      <w:i/>
      <w:iCs/>
      <w:color w:val="4F81BD" w:themeColor="accent1"/>
      <w:sz w:val="22"/>
      <w:lang w:val="en-GB" w:eastAsia="en-US"/>
    </w:rPr>
  </w:style>
  <w:style w:type="character" w:customStyle="1" w:styleId="Heading5Char">
    <w:name w:val="Heading 5 Char"/>
    <w:basedOn w:val="DefaultParagraphFont"/>
    <w:link w:val="Heading5"/>
    <w:uiPriority w:val="9"/>
    <w:semiHidden/>
    <w:rsid w:val="009D66A8"/>
    <w:rPr>
      <w:rFonts w:asciiTheme="majorHAnsi" w:eastAsiaTheme="majorEastAsia" w:hAnsiTheme="majorHAnsi" w:cstheme="majorBidi"/>
      <w:color w:val="243F60" w:themeColor="accent1" w:themeShade="7F"/>
      <w:sz w:val="22"/>
      <w:lang w:val="en-GB" w:eastAsia="en-US"/>
    </w:rPr>
  </w:style>
  <w:style w:type="character" w:customStyle="1" w:styleId="Heading6Char">
    <w:name w:val="Heading 6 Char"/>
    <w:basedOn w:val="DefaultParagraphFont"/>
    <w:link w:val="Heading6"/>
    <w:uiPriority w:val="9"/>
    <w:semiHidden/>
    <w:rsid w:val="009D66A8"/>
    <w:rPr>
      <w:rFonts w:asciiTheme="majorHAnsi" w:eastAsiaTheme="majorEastAsia" w:hAnsiTheme="majorHAnsi" w:cstheme="majorBidi"/>
      <w:i/>
      <w:iCs/>
      <w:color w:val="243F60" w:themeColor="accent1" w:themeShade="7F"/>
      <w:sz w:val="22"/>
      <w:lang w:val="en-GB" w:eastAsia="en-US"/>
    </w:rPr>
  </w:style>
  <w:style w:type="character" w:customStyle="1" w:styleId="Heading7Char">
    <w:name w:val="Heading 7 Char"/>
    <w:basedOn w:val="DefaultParagraphFont"/>
    <w:link w:val="Heading7"/>
    <w:uiPriority w:val="9"/>
    <w:semiHidden/>
    <w:rsid w:val="009D66A8"/>
    <w:rPr>
      <w:rFonts w:asciiTheme="majorHAnsi" w:eastAsiaTheme="majorEastAsia" w:hAnsiTheme="majorHAnsi" w:cstheme="majorBidi"/>
      <w:i/>
      <w:iCs/>
      <w:color w:val="404040" w:themeColor="text1" w:themeTint="BF"/>
      <w:sz w:val="22"/>
      <w:lang w:val="en-GB" w:eastAsia="en-US"/>
    </w:rPr>
  </w:style>
  <w:style w:type="character" w:customStyle="1" w:styleId="Heading8Char">
    <w:name w:val="Heading 8 Char"/>
    <w:basedOn w:val="DefaultParagraphFont"/>
    <w:link w:val="Heading8"/>
    <w:uiPriority w:val="9"/>
    <w:semiHidden/>
    <w:rsid w:val="009D66A8"/>
    <w:rPr>
      <w:rFonts w:asciiTheme="majorHAnsi" w:eastAsiaTheme="majorEastAsia" w:hAnsiTheme="majorHAnsi" w:cstheme="majorBidi"/>
      <w:color w:val="404040" w:themeColor="text1" w:themeTint="BF"/>
      <w:lang w:val="en-GB" w:eastAsia="en-US"/>
    </w:rPr>
  </w:style>
  <w:style w:type="character" w:customStyle="1" w:styleId="Heading9Char">
    <w:name w:val="Heading 9 Char"/>
    <w:basedOn w:val="DefaultParagraphFont"/>
    <w:link w:val="Heading9"/>
    <w:uiPriority w:val="9"/>
    <w:semiHidden/>
    <w:rsid w:val="009D66A8"/>
    <w:rPr>
      <w:rFonts w:asciiTheme="majorHAnsi" w:eastAsiaTheme="majorEastAsia" w:hAnsiTheme="majorHAnsi" w:cstheme="majorBidi"/>
      <w:i/>
      <w:iCs/>
      <w:color w:val="404040" w:themeColor="text1" w:themeTint="BF"/>
      <w:lang w:val="en-GB" w:eastAsia="en-US"/>
    </w:rPr>
  </w:style>
  <w:style w:type="paragraph" w:styleId="Footer">
    <w:name w:val="footer"/>
    <w:basedOn w:val="Normal"/>
    <w:link w:val="FooterChar"/>
    <w:qFormat/>
    <w:rsid w:val="00847E17"/>
  </w:style>
  <w:style w:type="character" w:customStyle="1" w:styleId="FooterChar">
    <w:name w:val="Footer Char"/>
    <w:basedOn w:val="DefaultParagraphFont"/>
    <w:link w:val="Footer"/>
    <w:rsid w:val="009D66A8"/>
    <w:rPr>
      <w:sz w:val="22"/>
      <w:lang w:eastAsia="en-US"/>
    </w:rPr>
  </w:style>
  <w:style w:type="paragraph" w:styleId="FootnoteText">
    <w:name w:val="footnote text"/>
    <w:basedOn w:val="Normal"/>
    <w:link w:val="FootnoteTextChar"/>
    <w:uiPriority w:val="99"/>
    <w:qFormat/>
    <w:rsid w:val="00D972D8"/>
    <w:pPr>
      <w:keepLines/>
      <w:spacing w:after="60" w:line="240" w:lineRule="auto"/>
      <w:ind w:left="567" w:hanging="567"/>
    </w:pPr>
    <w:rPr>
      <w:sz w:val="16"/>
      <w:szCs w:val="16"/>
    </w:rPr>
  </w:style>
  <w:style w:type="character" w:customStyle="1" w:styleId="FootnoteTextChar">
    <w:name w:val="Footnote Text Char"/>
    <w:basedOn w:val="DefaultParagraphFont"/>
    <w:link w:val="FootnoteText"/>
    <w:uiPriority w:val="99"/>
    <w:rsid w:val="00D972D8"/>
    <w:rPr>
      <w:sz w:val="16"/>
      <w:szCs w:val="16"/>
      <w:lang w:eastAsia="en-US"/>
    </w:rPr>
  </w:style>
  <w:style w:type="paragraph" w:styleId="Header">
    <w:name w:val="header"/>
    <w:basedOn w:val="Normal"/>
    <w:link w:val="HeaderChar"/>
    <w:uiPriority w:val="99"/>
    <w:rsid w:val="00847E17"/>
  </w:style>
  <w:style w:type="character" w:customStyle="1" w:styleId="HeaderChar">
    <w:name w:val="Header Char"/>
    <w:basedOn w:val="DefaultParagraphFont"/>
    <w:link w:val="Header"/>
    <w:uiPriority w:val="99"/>
    <w:rsid w:val="009D66A8"/>
    <w:rPr>
      <w:sz w:val="22"/>
      <w:lang w:eastAsia="en-US"/>
    </w:rPr>
  </w:style>
  <w:style w:type="paragraph" w:customStyle="1" w:styleId="quotes">
    <w:name w:val="quotes"/>
    <w:basedOn w:val="Normal"/>
    <w:next w:val="Normal"/>
    <w:rsid w:val="00847E17"/>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iPriority w:val="99"/>
    <w:qFormat/>
    <w:rsid w:val="00847E17"/>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15151A"/>
    <w:pPr>
      <w:ind w:left="720"/>
      <w:contextualSpacing/>
    </w:pPr>
  </w:style>
  <w:style w:type="paragraph" w:styleId="Revision">
    <w:name w:val="Revision"/>
    <w:hidden/>
    <w:uiPriority w:val="99"/>
    <w:semiHidden/>
    <w:rsid w:val="00E8645C"/>
    <w:rPr>
      <w:sz w:val="22"/>
      <w:lang w:eastAsia="en-US"/>
    </w:rPr>
  </w:style>
  <w:style w:type="table" w:styleId="TableGrid">
    <w:name w:val="Table Grid"/>
    <w:basedOn w:val="TableNormal"/>
    <w:rsid w:val="007B1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65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header" Target="header6.xml"/><Relationship Id="rId16" Type="http://schemas.openxmlformats.org/officeDocument/2006/relationships/footer" Target="footer2.xml"/><Relationship Id="rId20" Type="http://schemas.openxmlformats.org/officeDocument/2006/relationships/hyperlink" Target="https://eur-lex.europa.eu/legal-content/EN/TXT/?uri=CELEX%3A52023IR2488&amp;qid=1743578740151" TargetMode="External"/><Relationship Id="rId29"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mportal.cor.europa.eu/" TargetMode="External"/><Relationship Id="rId24" Type="http://schemas.openxmlformats.org/officeDocument/2006/relationships/footer" Target="footer5.xml"/><Relationship Id="rId32"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eur-lex.europa.eu/legal-content/EN/TXT/?uri=CELEX%3A52020IR2016" TargetMode="External"/><Relationship Id="rId31"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 Id="rId30"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HTML/?uri=CELEX:52005AR0151" TargetMode="External"/><Relationship Id="rId7" Type="http://schemas.openxmlformats.org/officeDocument/2006/relationships/hyperlink" Target="https://charter-equality.eu/" TargetMode="External"/><Relationship Id="rId2" Type="http://schemas.openxmlformats.org/officeDocument/2006/relationships/hyperlink" Target="https://eur-lex.europa.eu/legal-content/EN/TXT/HTML/?uri=OJ:C_202401042&amp;qid=1747061646957" TargetMode="External"/><Relationship Id="rId1" Type="http://schemas.openxmlformats.org/officeDocument/2006/relationships/hyperlink" Target="https://eur-lex.europa.eu/legal-content/EN/TXT/HTML/?uri=CELEX:52025DC0097&amp;qid=1747317895809" TargetMode="External"/><Relationship Id="rId6" Type="http://schemas.openxmlformats.org/officeDocument/2006/relationships/hyperlink" Target="https://jamstalldhetsmyndigheten.se/media/buhj543w/slutredovisning-lokal-demokrati.pdf" TargetMode="External"/><Relationship Id="rId5" Type="http://schemas.openxmlformats.org/officeDocument/2006/relationships/hyperlink" Target="https://eur-lex.europa.eu/legal-content/EN/TXT/HTML/?uri=CELEX:52022IR5488&amp;qid=1747061894831" TargetMode="External"/><Relationship Id="rId4" Type="http://schemas.openxmlformats.org/officeDocument/2006/relationships/hyperlink" Target="https://ec.europa.eu/commission/presscorner/detail/en/ip_22_5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F0E77182A654196DB7066A24B158B" ma:contentTypeVersion="4" ma:contentTypeDescription="Defines the documents for Document Manager V2" ma:contentTypeScope="" ma:versionID="ffa8481b00cbb975effc3df6b0653b06">
  <xsd:schema xmlns:xsd="http://www.w3.org/2001/XMLSchema" xmlns:xs="http://www.w3.org/2001/XMLSchema" xmlns:p="http://schemas.microsoft.com/office/2006/metadata/properties" xmlns:ns2="28cf4dd3-9bb7-4441-a43c-55eeac69d3a9" xmlns:ns3="http://schemas.microsoft.com/sharepoint/v3/fields" xmlns:ns4="9e47952d-450d-47fe-9907-a94bb21083af" targetNamespace="http://schemas.microsoft.com/office/2006/metadata/properties" ma:root="true" ma:fieldsID="b7a8d211e3366679ede1adbb5dc5c118" ns2:_="" ns3:_="" ns4:_="">
    <xsd:import namespace="28cf4dd3-9bb7-4441-a43c-55eeac69d3a9"/>
    <xsd:import namespace="http://schemas.microsoft.com/sharepoint/v3/fields"/>
    <xsd:import namespace="9e47952d-450d-47fe-9907-a94bb21083a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47952d-450d-47fe-9907-a94bb21083a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3WJDCDQUXNHJ-553942533-8279</_dlc_DocId>
    <_dlc_DocIdUrl xmlns="28cf4dd3-9bb7-4441-a43c-55eeac69d3a9">
      <Url>http://dm/cor/2025/_layouts/15/DocIdRedir.aspx?ID=3WJDCDQUXNHJ-553942533-8279</Url>
      <Description>3WJDCDQUXNHJ-553942533-8279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PAC</TermName>
          <TermId xmlns="http://schemas.microsoft.com/office/infopath/2007/PartnerControls">719e5324-e7b4-48f6-9bbb-a2f1f3496a94</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2025-07-04T12:00:00+00:00</ProductionDate>
    <FicheYear xmlns="28cf4dd3-9bb7-4441-a43c-55eeac69d3a9" xsi:nil="true"/>
    <DocumentNumber xmlns="9e47952d-450d-47fe-9907-a94bb21083af">1108</DocumentNumber>
    <DossierNumber xmlns="28cf4dd3-9bb7-4441-a43c-55eeac69d3a9">5</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2025-10-14T12:00:00+00:00</MeetingDate>
    <TaxCatchAll xmlns="28cf4dd3-9bb7-4441-a43c-55eeac69d3a9">
      <Value>69</Value>
      <Value>68</Value>
      <Value>37</Value>
      <Value>36</Value>
      <Value>35</Value>
      <Value>34</Value>
      <Value>33</Value>
      <Value>31</Value>
      <Value>30</Value>
      <Value>29</Value>
      <Value>28</Value>
      <Value>27</Value>
      <Value>26</Value>
      <Value>25</Value>
      <Value>24</Value>
      <Value>23</Value>
      <Value>22</Value>
      <Value>21</Value>
      <Value>20</Value>
      <Value>19</Value>
      <Value>16</Value>
      <Value>15</Value>
      <Value>14</Value>
      <Value>13</Value>
      <Value>12</Value>
      <Value>10</Value>
      <Value>8</Value>
      <Value>6</Value>
      <Value>4</Value>
      <Value>92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28cf4dd3-9bb7-4441-a43c-55eeac69d3a9">OHLSSON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7036</FicheNumber>
    <OriginalSender xmlns="28cf4dd3-9bb7-4441-a43c-55eeac69d3a9">
      <UserInfo>
        <DisplayName>TDriveSVCUserProd</DisplayName>
        <AccountId>1358</AccountId>
        <AccountType/>
      </UserInfo>
    </OriginalSender>
    <DocumentPart xmlns="28cf4dd3-9bb7-4441-a43c-55eeac69d3a9">0</DocumentPart>
    <AdoptionDate xmlns="28cf4dd3-9bb7-4441-a43c-55eeac69d3a9" xsi:nil="true"/>
    <RequestingService xmlns="28cf4dd3-9bb7-4441-a43c-55eeac69d3a9">Emploi et politique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e47952d-450d-47fe-9907-a94bb21083af">168</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SEDEC-VIII</TermName>
          <TermId xmlns="http://schemas.microsoft.com/office/infopath/2007/PartnerControls">e4fab587-f22b-44a1-ac50-a1dd6fad0c04</TermId>
        </TermInfo>
      </Terms>
    </DossierName_0>
    <DocumentVersion xmlns="28cf4dd3-9bb7-4441-a43c-55eeac69d3a9">1</DocumentVersion>
  </documentManagement>
</p:properties>
</file>

<file path=customXml/itemProps1.xml><?xml version="1.0" encoding="utf-8"?>
<ds:datastoreItem xmlns:ds="http://schemas.openxmlformats.org/officeDocument/2006/customXml" ds:itemID="{503A0695-0FFD-410C-A22D-6DF4EE6DF4C5}"/>
</file>

<file path=customXml/itemProps2.xml><?xml version="1.0" encoding="utf-8"?>
<ds:datastoreItem xmlns:ds="http://schemas.openxmlformats.org/officeDocument/2006/customXml" ds:itemID="{24FE2C67-FB4E-45B0-B2FC-3E8F5E852804}"/>
</file>

<file path=customXml/itemProps3.xml><?xml version="1.0" encoding="utf-8"?>
<ds:datastoreItem xmlns:ds="http://schemas.openxmlformats.org/officeDocument/2006/customXml" ds:itemID="{93FAAF16-4431-46B8-A15F-FE302A2759B4}"/>
</file>

<file path=customXml/itemProps4.xml><?xml version="1.0" encoding="utf-8"?>
<ds:datastoreItem xmlns:ds="http://schemas.openxmlformats.org/officeDocument/2006/customXml" ds:itemID="{E1724865-6A21-4BB7-96AB-7D68D291F62C}"/>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Strengthening women's rights in the EU: A local and regional perspective</vt:lpstr>
    </vt:vector>
  </TitlesOfParts>
  <Company>CESE-CdR</Company>
  <LinksUpToDate>false</LinksUpToDate>
  <CharactersWithSpaces>24915</CharactersWithSpaces>
  <SharedDoc>false</SharedDoc>
  <HLinks>
    <vt:vector size="54" baseType="variant">
      <vt:variant>
        <vt:i4>655377</vt:i4>
      </vt:variant>
      <vt:variant>
        <vt:i4>12</vt:i4>
      </vt:variant>
      <vt:variant>
        <vt:i4>0</vt:i4>
      </vt:variant>
      <vt:variant>
        <vt:i4>5</vt:i4>
      </vt:variant>
      <vt:variant>
        <vt:lpwstr>https://eur-lex.europa.eu/legal-content/EN/TXT/?uri=CELEX%3A52023IR2488&amp;qid=1743578740151</vt:lpwstr>
      </vt:variant>
      <vt:variant>
        <vt:lpwstr/>
      </vt:variant>
      <vt:variant>
        <vt:i4>7340086</vt:i4>
      </vt:variant>
      <vt:variant>
        <vt:i4>9</vt:i4>
      </vt:variant>
      <vt:variant>
        <vt:i4>0</vt:i4>
      </vt:variant>
      <vt:variant>
        <vt:i4>5</vt:i4>
      </vt:variant>
      <vt:variant>
        <vt:lpwstr>https://eur-lex.europa.eu/legal-content/EN/TXT/?uri=CELEX%3A52020IR2016</vt:lpwstr>
      </vt:variant>
      <vt:variant>
        <vt:lpwstr/>
      </vt:variant>
      <vt:variant>
        <vt:i4>4784154</vt:i4>
      </vt:variant>
      <vt:variant>
        <vt:i4>0</vt:i4>
      </vt:variant>
      <vt:variant>
        <vt:i4>0</vt:i4>
      </vt:variant>
      <vt:variant>
        <vt:i4>5</vt:i4>
      </vt:variant>
      <vt:variant>
        <vt:lpwstr>https://memportal.cor.europa.eu/</vt:lpwstr>
      </vt:variant>
      <vt:variant>
        <vt:lpwstr/>
      </vt:variant>
      <vt:variant>
        <vt:i4>2424932</vt:i4>
      </vt:variant>
      <vt:variant>
        <vt:i4>15</vt:i4>
      </vt:variant>
      <vt:variant>
        <vt:i4>0</vt:i4>
      </vt:variant>
      <vt:variant>
        <vt:i4>5</vt:i4>
      </vt:variant>
      <vt:variant>
        <vt:lpwstr>https://jamstalldhetsmyndigheten.se/media/buhj543w/slutredovisning-lokal-demokrati.pdf</vt:lpwstr>
      </vt:variant>
      <vt:variant>
        <vt:lpwstr/>
      </vt:variant>
      <vt:variant>
        <vt:i4>458836</vt:i4>
      </vt:variant>
      <vt:variant>
        <vt:i4>12</vt:i4>
      </vt:variant>
      <vt:variant>
        <vt:i4>0</vt:i4>
      </vt:variant>
      <vt:variant>
        <vt:i4>5</vt:i4>
      </vt:variant>
      <vt:variant>
        <vt:lpwstr>https://eur-lex.europa.eu/legal-content/EN/TXT/HTML/?uri=CELEX:52022IR5488&amp;qid=1747061894831</vt:lpwstr>
      </vt:variant>
      <vt:variant>
        <vt:lpwstr/>
      </vt:variant>
      <vt:variant>
        <vt:i4>7798886</vt:i4>
      </vt:variant>
      <vt:variant>
        <vt:i4>9</vt:i4>
      </vt:variant>
      <vt:variant>
        <vt:i4>0</vt:i4>
      </vt:variant>
      <vt:variant>
        <vt:i4>5</vt:i4>
      </vt:variant>
      <vt:variant>
        <vt:lpwstr>https://ec.europa.eu/commission/presscorner/detail/en/ip_22_5169</vt:lpwstr>
      </vt:variant>
      <vt:variant>
        <vt:lpwstr/>
      </vt:variant>
      <vt:variant>
        <vt:i4>2949165</vt:i4>
      </vt:variant>
      <vt:variant>
        <vt:i4>6</vt:i4>
      </vt:variant>
      <vt:variant>
        <vt:i4>0</vt:i4>
      </vt:variant>
      <vt:variant>
        <vt:i4>5</vt:i4>
      </vt:variant>
      <vt:variant>
        <vt:lpwstr>https://eur-lex.europa.eu/legal-content/EN/TXT/HTML/?uri=CELEX:52005AR0151</vt:lpwstr>
      </vt:variant>
      <vt:variant>
        <vt:lpwstr/>
      </vt:variant>
      <vt:variant>
        <vt:i4>6422614</vt:i4>
      </vt:variant>
      <vt:variant>
        <vt:i4>3</vt:i4>
      </vt:variant>
      <vt:variant>
        <vt:i4>0</vt:i4>
      </vt:variant>
      <vt:variant>
        <vt:i4>5</vt:i4>
      </vt:variant>
      <vt:variant>
        <vt:lpwstr>https://eur-lex.europa.eu/legal-content/EN/TXT/HTML/?uri=OJ:C_202401042&amp;qid=1747061646957</vt:lpwstr>
      </vt:variant>
      <vt:variant>
        <vt:lpwstr/>
      </vt:variant>
      <vt:variant>
        <vt:i4>1507416</vt:i4>
      </vt:variant>
      <vt:variant>
        <vt:i4>0</vt:i4>
      </vt:variant>
      <vt:variant>
        <vt:i4>0</vt:i4>
      </vt:variant>
      <vt:variant>
        <vt:i4>5</vt:i4>
      </vt:variant>
      <vt:variant>
        <vt:lpwstr>https://eur-lex.europa.eu/legal-content/EN/TXT/HTML/?uri=CELEX:52025DC0097&amp;qid=1747317895809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women's rights in the EU: A local and regional perspective</dc:title>
  <dc:subject>Draft Committee opinion</dc:subject>
  <dc:creator>Emma Nieddu</dc:creator>
  <cp:keywords>COR-2025-01108-00-01-PAC-TRA-EN</cp:keywords>
  <dc:description>Rapporteur: - OHLSSON Original language: - EN Date of document: - 04/07/2025 Date of meeting: - 14/10/2025 External documents: - COM(2025)97 Administrator responsible: - MME MÄKÄRÄINEN Pauliina Laura</dc:description>
  <cp:lastModifiedBy>TDriveSVCUserProd</cp:lastModifiedBy>
  <cp:revision>6</cp:revision>
  <cp:lastPrinted>2007-01-10T19:43:00Z</cp:lastPrinted>
  <dcterms:created xsi:type="dcterms:W3CDTF">2025-07-04T12:08:00Z</dcterms:created>
  <dcterms:modified xsi:type="dcterms:W3CDTF">2025-07-04T12:09:00Z</dcterms:modified>
  <cp:category>SEDEC-VIII/5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04/07/2025, 24/06/2025, 16/05/2025, 14/05/2025, 03/04/2025</vt:lpwstr>
  </property>
  <property fmtid="{D5CDD505-2E9C-101B-9397-08002B2CF9AE}" pid="4" name="Pref_Time">
    <vt:lpwstr>14:08:14, 10:54:53, 09:20:26, 08:40:48, 11:23:19</vt:lpwstr>
  </property>
  <property fmtid="{D5CDD505-2E9C-101B-9397-08002B2CF9AE}" pid="5" name="Pref_User">
    <vt:lpwstr>pacup, amett, pacup, amett, pacup</vt:lpwstr>
  </property>
  <property fmtid="{D5CDD505-2E9C-101B-9397-08002B2CF9AE}" pid="6" name="Pref_FileName">
    <vt:lpwstr>COR-2025-01108-00-01-PAC-ORI.docx, COR-2025-01108-00-00-PAC-TRA-EN-CRR.docx, COR-2025-01108-00-01-PA-ORI.docx, COR-2025-01108-00-00-PA-TRA-EN-CRR.docx, COR-2025-01108-00-00-DT-TRA-EN-CRR.docx</vt:lpwstr>
  </property>
  <property fmtid="{D5CDD505-2E9C-101B-9397-08002B2CF9AE}" pid="7" name="ContentTypeId">
    <vt:lpwstr>0x010100EA97B91038054C99906057A708A1480A00FD7F0E77182A654196DB7066A24B158B</vt:lpwstr>
  </property>
  <property fmtid="{D5CDD505-2E9C-101B-9397-08002B2CF9AE}" pid="8" name="_dlc_DocIdItemGuid">
    <vt:lpwstr>af7b2358-9b8b-479d-90e6-057fb691eb21</vt:lpwstr>
  </property>
  <property fmtid="{D5CDD505-2E9C-101B-9397-08002B2CF9AE}" pid="9" name="AvailableTranslations">
    <vt:lpwstr>4;#EN|f2175f21-25d7-44a3-96da-d6a61b075e1b;#25;#DA|5d49c027-8956-412b-aa16-e85a0f96ad0e;#23;#PT|50ccc04a-eadd-42ae-a0cb-acaf45f812ba;#33;#MT|7df99101-6854-4a26-b53a-b88c0da02c26;#16;#NL|55c6556c-b4f4-441d-9acf-c498d4f838bd;#37;#BG|1a1b3951-7821-4e6a-85f5-5673fc08bd2c;#30;#FI|87606a43-d45f-42d6-b8c9-e1a3457db5b7;#28;#CS|72f9705b-0217-4fd3-bea2-cbc7ed80e26e;#34;#EL|6d4f4d51-af9b-4650-94b4-4276bee85c91;#26;#HU|6b229040-c589-4408-b4c1-4285663d20a8;#12;#LT|a7ff5ce7-6123-4f68-865a-a57c31810414;#21;#SV|c2ed69e7-a339-43d7-8f22-d93680a92aa0;#31;#HR|2f555653-ed1a-4fe6-8362-9082d95989e5;#29;#SL|98a412ae-eb01-49e9-ae3d-585a81724cfc;#22;#IT|0774613c-01ed-4e5d-a25d-11d2388de825;#15;#DE|f6b31e5a-26fa-4935-b661-318e46daf27e;#24;#ES|e7a6b05b-ae16-40c8-add9-68b64b03aeba;#19;#FR|d2afafd3-4c81-4f60-8f52-ee33f2f54ff3;#27;#LV|46f7e311-5d9f-4663-b433-18aeccb7ace7;#35;#ET|ff6c3f4c-b02c-4c3c-ab07-2c37995a7a0a;#20;#PL|1e03da61-4678-4e07-b136-b5024ca9197b;#14;#RO|feb747a2-64cd-4299-af12-4833ddc30497;#36;#GA|762d2456-c427-4ecb-b312-af3dad8e258c;#13;#SK|46d9fce0-ef79-4f71-b89b-cd6aa82426b8</vt:lpwstr>
  </property>
  <property fmtid="{D5CDD505-2E9C-101B-9397-08002B2CF9AE}" pid="10" name="DocumentType_0">
    <vt:lpwstr>PAC|719e5324-e7b4-48f6-9bbb-a2f1f3496a94</vt:lpwstr>
  </property>
  <property fmtid="{D5CDD505-2E9C-101B-9397-08002B2CF9AE}" pid="11" name="MeetingNumber">
    <vt:i4>168</vt:i4>
  </property>
  <property fmtid="{D5CDD505-2E9C-101B-9397-08002B2CF9AE}" pid="12" name="DossierName_0">
    <vt:lpwstr>SEDEC-VIII|e4fab587-f22b-44a1-ac50-a1dd6fad0c04</vt:lpwstr>
  </property>
  <property fmtid="{D5CDD505-2E9C-101B-9397-08002B2CF9AE}" pid="13" name="DocumentSource_0">
    <vt:lpwstr>CoR|cb2d75ef-4a7d-4393-b797-49ed6298a5ea</vt:lpwstr>
  </property>
  <property fmtid="{D5CDD505-2E9C-101B-9397-08002B2CF9AE}" pid="14" name="DocumentNumber">
    <vt:i4>1108</vt:i4>
  </property>
  <property fmtid="{D5CDD505-2E9C-101B-9397-08002B2CF9AE}" pid="15" name="FicheYear">
    <vt:i4>2025</vt:i4>
  </property>
  <property fmtid="{D5CDD505-2E9C-101B-9397-08002B2CF9AE}" pid="16" name="DocumentVersion">
    <vt:i4>1</vt:i4>
  </property>
  <property fmtid="{D5CDD505-2E9C-101B-9397-08002B2CF9AE}" pid="17" name="DossierNumber">
    <vt:i4>5</vt:i4>
  </property>
  <property fmtid="{D5CDD505-2E9C-101B-9397-08002B2CF9AE}" pid="18" name="DocumentStatus">
    <vt:lpwstr>8;#TRA|150d2a88-1431-44e6-a8ca-0bb753ab8672</vt:lpwstr>
  </property>
  <property fmtid="{D5CDD505-2E9C-101B-9397-08002B2CF9AE}" pid="19" name="DossierName">
    <vt:lpwstr>92;#SEDEC-VIII|e4fab587-f22b-44a1-ac50-a1dd6fad0c04</vt:lpwstr>
  </property>
  <property fmtid="{D5CDD505-2E9C-101B-9397-08002B2CF9AE}" pid="20" name="RequestingService">
    <vt:lpwstr>Emploi et politique sociale</vt:lpwstr>
  </property>
  <property fmtid="{D5CDD505-2E9C-101B-9397-08002B2CF9AE}" pid="21" name="Confidentiality">
    <vt:lpwstr>10;#Unrestricted|826e22d7-d029-4ec0-a450-0c28ff673572</vt:lpwstr>
  </property>
  <property fmtid="{D5CDD505-2E9C-101B-9397-08002B2CF9AE}" pid="22" name="MeetingName_0">
    <vt:lpwstr>SPL-CDR|8f822234-72c1-4721-9e21-9e3c2bc35462</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69;#SPL-CDR|8f822234-72c1-4721-9e21-9e3c2bc35462</vt:lpwstr>
  </property>
  <property fmtid="{D5CDD505-2E9C-101B-9397-08002B2CF9AE}" pid="26" name="MeetingDate">
    <vt:filetime>2025-10-14T12:00:00Z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69;#SPL-CDR|8f822234-72c1-4721-9e21-9e3c2bc35462;#10;#Unrestricted|826e22d7-d029-4ec0-a450-0c28ff673572;#8;#TRA|150d2a88-1431-44e6-a8ca-0bb753ab8672;#92;#SEDEC-VIII|e4fab587-f22b-44a1-ac50-a1dd6fad0c04;#6;#Final|ea5e6674-7b27-4bac-b091-73adbb394efe;#4;#EN|f2175f21-25d7-44a3-96da-d6a61b075e1b;#1;#CoR|cb2d75ef-4a7d-4393-b797-49ed6298a5ea;#68;#PAC|719e5324-e7b4-48f6-9bbb-a2f1f3496a94</vt:lpwstr>
  </property>
  <property fmtid="{D5CDD505-2E9C-101B-9397-08002B2CF9AE}" pid="31" name="Rapporteur">
    <vt:lpwstr>OHLSSON</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2025</vt:i4>
  </property>
  <property fmtid="{D5CDD505-2E9C-101B-9397-08002B2CF9AE}" pid="35" name="FicheNumber">
    <vt:i4>7036</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9" name="DocumentType">
    <vt:lpwstr>68;#PAC|719e5324-e7b4-48f6-9bbb-a2f1f3496a94</vt:lpwstr>
  </property>
  <property fmtid="{D5CDD505-2E9C-101B-9397-08002B2CF9AE}" pid="40" name="DocumentLanguage">
    <vt:lpwstr>4;#EN|f2175f21-25d7-44a3-96da-d6a61b075e1b</vt:lpwstr>
  </property>
  <property fmtid="{D5CDD505-2E9C-101B-9397-08002B2CF9AE}" pid="41" name="_docset_NoMedatataSyncRequired">
    <vt:lpwstr>False</vt:lpwstr>
  </property>
</Properties>
</file>