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0" w:type="dxa"/>
          <w:right w:w="0" w:type="dxa"/>
        </w:tblCellMar>
        <w:tblLook w:val="01E0" w:firstRow="1" w:lastRow="1" w:firstColumn="1" w:lastColumn="1" w:noHBand="0" w:noVBand="0"/>
      </w:tblPr>
      <w:tblGrid>
        <w:gridCol w:w="6804"/>
        <w:gridCol w:w="2268"/>
      </w:tblGrid>
      <w:tr w:rsidR="00DB659A" w:rsidRPr="00D808EB" w14:paraId="42800505" w14:textId="77777777" w:rsidTr="00CC28AE">
        <w:trPr>
          <w:trHeight w:hRule="exact" w:val="1418"/>
        </w:trPr>
        <w:tc>
          <w:tcPr>
            <w:tcW w:w="6804" w:type="dxa"/>
            <w:shd w:val="clear" w:color="auto" w:fill="auto"/>
            <w:vAlign w:val="center"/>
          </w:tcPr>
          <w:p w14:paraId="1DDD8A49" w14:textId="77777777" w:rsidR="00DB659A" w:rsidRPr="00D808EB" w:rsidRDefault="00DB659A" w:rsidP="00CC28AE">
            <w:pPr>
              <w:pStyle w:val="EPName"/>
            </w:pPr>
            <w:r w:rsidRPr="00D808EB">
              <w:t>European Parliament</w:t>
            </w:r>
          </w:p>
          <w:p w14:paraId="570EDA99" w14:textId="77777777" w:rsidR="00DB659A" w:rsidRPr="00D808EB" w:rsidRDefault="00DB659A" w:rsidP="00CC28AE">
            <w:pPr>
              <w:pStyle w:val="EPTerm"/>
            </w:pPr>
            <w:r w:rsidRPr="00D808EB">
              <w:t>2024-2029</w:t>
            </w:r>
          </w:p>
        </w:tc>
        <w:tc>
          <w:tcPr>
            <w:tcW w:w="2268" w:type="dxa"/>
            <w:shd w:val="clear" w:color="auto" w:fill="auto"/>
          </w:tcPr>
          <w:p w14:paraId="6FE515BE" w14:textId="77777777" w:rsidR="00DB659A" w:rsidRPr="00D808EB" w:rsidRDefault="00DB659A" w:rsidP="00CC28AE">
            <w:pPr>
              <w:pStyle w:val="EPLogo"/>
            </w:pPr>
            <w:r w:rsidRPr="00D808EB">
              <w:rPr>
                <w:noProof/>
                <w:lang w:eastAsia="ja-JP"/>
              </w:rPr>
              <w:drawing>
                <wp:inline distT="0" distB="0" distL="0" distR="0" wp14:anchorId="05F81898" wp14:editId="19D4291B">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444D7957" w14:textId="77777777" w:rsidR="00DB659A" w:rsidRPr="00D808EB" w:rsidRDefault="00DB659A" w:rsidP="00DB659A">
      <w:pPr>
        <w:pStyle w:val="LineTop"/>
      </w:pPr>
    </w:p>
    <w:p w14:paraId="6B34E75A" w14:textId="77777777" w:rsidR="00DB659A" w:rsidRPr="00D808EB" w:rsidRDefault="00DB659A" w:rsidP="00DB659A">
      <w:pPr>
        <w:pStyle w:val="EPBody"/>
      </w:pPr>
      <w:r w:rsidRPr="00D808EB">
        <w:rPr>
          <w:rStyle w:val="HideTWBExt"/>
        </w:rPr>
        <w:t>&lt;</w:t>
      </w:r>
      <w:r w:rsidRPr="00D808EB">
        <w:rPr>
          <w:rStyle w:val="HideTWBExt"/>
          <w:i w:val="0"/>
        </w:rPr>
        <w:t>Commission</w:t>
      </w:r>
      <w:r w:rsidRPr="00D808EB">
        <w:rPr>
          <w:rStyle w:val="HideTWBExt"/>
        </w:rPr>
        <w:t>&gt;</w:t>
      </w:r>
      <w:r w:rsidRPr="00D808EB">
        <w:rPr>
          <w:rStyle w:val="HideTWBInt"/>
        </w:rPr>
        <w:t>{BUDG}</w:t>
      </w:r>
      <w:r w:rsidRPr="00D808EB">
        <w:t>Committee on Budgets</w:t>
      </w:r>
      <w:r w:rsidRPr="00D808EB">
        <w:rPr>
          <w:rStyle w:val="HideTWBExt"/>
        </w:rPr>
        <w:t>&lt;/</w:t>
      </w:r>
      <w:r w:rsidRPr="00D808EB">
        <w:rPr>
          <w:rStyle w:val="HideTWBExt"/>
          <w:i w:val="0"/>
        </w:rPr>
        <w:t>Commission</w:t>
      </w:r>
      <w:r w:rsidRPr="00D808EB">
        <w:rPr>
          <w:rStyle w:val="HideTWBExt"/>
        </w:rPr>
        <w:t>&gt;</w:t>
      </w:r>
    </w:p>
    <w:p w14:paraId="679C6559" w14:textId="77777777" w:rsidR="00DB659A" w:rsidRPr="00D808EB" w:rsidRDefault="00DB659A" w:rsidP="00DB659A">
      <w:pPr>
        <w:pStyle w:val="LineBottom"/>
      </w:pPr>
    </w:p>
    <w:p w14:paraId="75E8F8B2" w14:textId="77777777" w:rsidR="00DB659A" w:rsidRPr="00D808EB" w:rsidRDefault="00DB659A" w:rsidP="00DB659A">
      <w:pPr>
        <w:pStyle w:val="CoverReference"/>
      </w:pPr>
      <w:r w:rsidRPr="00D808EB">
        <w:rPr>
          <w:rStyle w:val="HideTWBExt"/>
          <w:b w:val="0"/>
        </w:rPr>
        <w:t>&lt;RefProc&gt;</w:t>
      </w:r>
      <w:r w:rsidRPr="00D808EB">
        <w:t>2025/0571R</w:t>
      </w:r>
      <w:r w:rsidRPr="00D808EB">
        <w:rPr>
          <w:rStyle w:val="HideTWBExt"/>
          <w:b w:val="0"/>
        </w:rPr>
        <w:t>&lt;/RefProc&gt;&lt;RefTypeProc&gt;</w:t>
      </w:r>
      <w:r w:rsidRPr="00D808EB">
        <w:t>(APP)</w:t>
      </w:r>
      <w:r w:rsidRPr="00D808EB">
        <w:rPr>
          <w:rStyle w:val="HideTWBExt"/>
          <w:b w:val="0"/>
        </w:rPr>
        <w:t>&lt;/RefTypeProc&gt;</w:t>
      </w:r>
    </w:p>
    <w:p w14:paraId="0599BE0D" w14:textId="77777777" w:rsidR="00DB659A" w:rsidRPr="00D808EB" w:rsidRDefault="00DB659A" w:rsidP="00DB659A">
      <w:pPr>
        <w:pStyle w:val="CoverDate"/>
      </w:pPr>
      <w:r w:rsidRPr="00D808EB">
        <w:rPr>
          <w:rStyle w:val="HideTWBExt"/>
        </w:rPr>
        <w:t>&lt;Date&gt;</w:t>
      </w:r>
      <w:r w:rsidRPr="00D808EB">
        <w:rPr>
          <w:rStyle w:val="HideTWBInt"/>
        </w:rPr>
        <w:t>{23/10/2025}</w:t>
      </w:r>
      <w:r w:rsidRPr="00D808EB">
        <w:t>23.10.2025</w:t>
      </w:r>
      <w:r w:rsidRPr="00D808EB">
        <w:rPr>
          <w:rStyle w:val="HideTWBExt"/>
        </w:rPr>
        <w:t>&lt;/Date&gt;</w:t>
      </w:r>
    </w:p>
    <w:p w14:paraId="761CB616" w14:textId="77777777" w:rsidR="00DB659A" w:rsidRPr="00D808EB" w:rsidRDefault="00DB659A" w:rsidP="00DB659A">
      <w:pPr>
        <w:pStyle w:val="CoverDocType24a"/>
      </w:pPr>
      <w:r w:rsidRPr="00D808EB">
        <w:rPr>
          <w:rStyle w:val="HideTWBExt"/>
          <w:b w:val="0"/>
        </w:rPr>
        <w:t>&lt;TitreType&gt;</w:t>
      </w:r>
      <w:r w:rsidRPr="00D808EB">
        <w:t>DRAFT INTERIM REPORT</w:t>
      </w:r>
      <w:r w:rsidRPr="00D808EB">
        <w:rPr>
          <w:rStyle w:val="HideTWBExt"/>
          <w:b w:val="0"/>
        </w:rPr>
        <w:t>&lt;/TitreType&gt;</w:t>
      </w:r>
    </w:p>
    <w:p w14:paraId="46826121" w14:textId="0162A375" w:rsidR="00DB659A" w:rsidRPr="00D808EB" w:rsidRDefault="00DB659A" w:rsidP="00DB659A">
      <w:pPr>
        <w:pStyle w:val="CoverNormal"/>
      </w:pPr>
      <w:r w:rsidRPr="00D808EB">
        <w:rPr>
          <w:rStyle w:val="HideTWBExt"/>
        </w:rPr>
        <w:t>&lt;Titre&gt;</w:t>
      </w:r>
      <w:r w:rsidRPr="00D808EB">
        <w:t>on the proposal for a Council regulation laying down the Multiannual Financial Framework for the years 2028 to 2034</w:t>
      </w:r>
      <w:r w:rsidRPr="00D808EB">
        <w:rPr>
          <w:rStyle w:val="HideTWBExt"/>
        </w:rPr>
        <w:t>&lt;/Titre&gt;</w:t>
      </w:r>
    </w:p>
    <w:p w14:paraId="12D501A3" w14:textId="77777777" w:rsidR="00DB659A" w:rsidRPr="00D808EB" w:rsidRDefault="00DB659A" w:rsidP="00DB659A">
      <w:pPr>
        <w:pStyle w:val="CoverNormal24a"/>
      </w:pPr>
      <w:r w:rsidRPr="00D808EB">
        <w:rPr>
          <w:rStyle w:val="HideTWBExt"/>
        </w:rPr>
        <w:t>&lt;DocRef&gt;</w:t>
      </w:r>
      <w:r w:rsidRPr="00D808EB">
        <w:t>(COM(2025)0571 – C10-0000/2025 – 2025/0571R(APP))</w:t>
      </w:r>
      <w:r w:rsidRPr="00D808EB">
        <w:rPr>
          <w:rStyle w:val="HideTWBExt"/>
        </w:rPr>
        <w:t>&lt;/DocRef&gt;</w:t>
      </w:r>
    </w:p>
    <w:p w14:paraId="10AC8B1B" w14:textId="77777777" w:rsidR="00DB659A" w:rsidRPr="00D808EB" w:rsidRDefault="00DB659A" w:rsidP="00DB659A">
      <w:pPr>
        <w:pStyle w:val="CoverNormal24a"/>
      </w:pPr>
      <w:r w:rsidRPr="00D808EB">
        <w:rPr>
          <w:rStyle w:val="HideTWBExt"/>
        </w:rPr>
        <w:t>&lt;Commission&gt;</w:t>
      </w:r>
      <w:r w:rsidRPr="00D808EB">
        <w:rPr>
          <w:rStyle w:val="HideTWBInt"/>
        </w:rPr>
        <w:t>{BUDG}</w:t>
      </w:r>
      <w:r w:rsidRPr="00D808EB">
        <w:t>Committee on Budgets</w:t>
      </w:r>
      <w:r w:rsidRPr="00D808EB">
        <w:rPr>
          <w:rStyle w:val="HideTWBExt"/>
        </w:rPr>
        <w:t>&lt;/Commission&gt;</w:t>
      </w:r>
    </w:p>
    <w:p w14:paraId="466149D3" w14:textId="77777777" w:rsidR="00DB659A" w:rsidRPr="00D808EB" w:rsidRDefault="00DB659A" w:rsidP="00DB659A">
      <w:pPr>
        <w:pStyle w:val="CoverNormal24a"/>
        <w:rPr>
          <w:lang w:val="fr-BE"/>
        </w:rPr>
      </w:pPr>
      <w:r w:rsidRPr="00D808EB">
        <w:rPr>
          <w:lang w:val="fr-BE"/>
        </w:rPr>
        <w:t xml:space="preserve">Co-Rapporteurs: </w:t>
      </w:r>
      <w:r w:rsidRPr="00D808EB">
        <w:rPr>
          <w:rStyle w:val="HideTWBExt"/>
          <w:lang w:val="fr-BE"/>
        </w:rPr>
        <w:t>&lt;Depute&gt;</w:t>
      </w:r>
      <w:r w:rsidRPr="00D808EB">
        <w:rPr>
          <w:lang w:val="fr-BE"/>
        </w:rPr>
        <w:t>Siegfried Mureşan, Carla Tavares</w:t>
      </w:r>
      <w:r w:rsidRPr="00D808EB">
        <w:rPr>
          <w:rStyle w:val="HideTWBExt"/>
          <w:lang w:val="fr-BE"/>
        </w:rPr>
        <w:t>&lt;/Depute&gt;</w:t>
      </w:r>
    </w:p>
    <w:p w14:paraId="1D59F447" w14:textId="77777777" w:rsidR="00DB659A" w:rsidRPr="00D808EB" w:rsidRDefault="00DB659A" w:rsidP="00DB659A">
      <w:pPr>
        <w:pStyle w:val="CoverNormal"/>
        <w:rPr>
          <w:lang w:val="fr-BE"/>
        </w:rPr>
      </w:pPr>
    </w:p>
    <w:p w14:paraId="1EFD0C5B" w14:textId="77777777" w:rsidR="00DB659A" w:rsidRPr="00D808EB" w:rsidRDefault="00DB659A" w:rsidP="00DB659A">
      <w:pPr>
        <w:rPr>
          <w:lang w:val="fr-BE"/>
        </w:rPr>
      </w:pPr>
      <w:r w:rsidRPr="00D808EB">
        <w:rPr>
          <w:lang w:val="fr-BE"/>
        </w:rPr>
        <w:br w:type="page"/>
      </w:r>
      <w:r w:rsidRPr="00D808EB">
        <w:rPr>
          <w:lang w:val="fr-BE"/>
        </w:rPr>
        <w:lastRenderedPageBreak/>
        <w:t>PR_Consent_InterimMod</w:t>
      </w:r>
    </w:p>
    <w:p w14:paraId="6CCFBA40" w14:textId="77777777" w:rsidR="00DB659A" w:rsidRPr="00D808EB" w:rsidRDefault="00DB659A" w:rsidP="00DB659A">
      <w:pPr>
        <w:pStyle w:val="TOCHeading"/>
      </w:pPr>
      <w:r w:rsidRPr="00D808EB">
        <w:t>CONTENTS</w:t>
      </w:r>
    </w:p>
    <w:p w14:paraId="7829161E" w14:textId="77777777" w:rsidR="00DB659A" w:rsidRPr="00D808EB" w:rsidRDefault="00DB659A" w:rsidP="00DB659A">
      <w:pPr>
        <w:pStyle w:val="TOCPage"/>
      </w:pPr>
      <w:r w:rsidRPr="00D808EB">
        <w:t>Page</w:t>
      </w:r>
    </w:p>
    <w:p w14:paraId="38F8D53A" w14:textId="2CC66D22" w:rsidR="00C728B7" w:rsidRDefault="00DB659A">
      <w:pPr>
        <w:pStyle w:val="TOC1"/>
        <w:tabs>
          <w:tab w:val="right" w:leader="dot" w:pos="9060"/>
        </w:tabs>
        <w:rPr>
          <w:rFonts w:asciiTheme="minorHAnsi" w:eastAsiaTheme="minorEastAsia" w:hAnsiTheme="minorHAnsi" w:cstheme="minorBidi"/>
          <w:noProof/>
          <w:kern w:val="2"/>
          <w:szCs w:val="24"/>
          <w14:ligatures w14:val="standardContextual"/>
        </w:rPr>
      </w:pPr>
      <w:r w:rsidRPr="00D808EB">
        <w:rPr>
          <w:b/>
        </w:rPr>
        <w:fldChar w:fldCharType="begin"/>
      </w:r>
      <w:r w:rsidRPr="00D808EB">
        <w:rPr>
          <w:b/>
        </w:rPr>
        <w:instrText xml:space="preserve"> TOC \t "PageHeading</w:instrText>
      </w:r>
      <w:r w:rsidR="00C728B7">
        <w:rPr>
          <w:b/>
        </w:rPr>
        <w:instrText>;</w:instrText>
      </w:r>
      <w:r w:rsidRPr="00D808EB">
        <w:rPr>
          <w:b/>
        </w:rPr>
        <w:instrText xml:space="preserve">1" </w:instrText>
      </w:r>
      <w:r w:rsidRPr="00D808EB">
        <w:rPr>
          <w:b/>
        </w:rPr>
        <w:fldChar w:fldCharType="separate"/>
      </w:r>
      <w:r w:rsidR="00C728B7">
        <w:rPr>
          <w:noProof/>
        </w:rPr>
        <w:t>MOTION FOR A EUROPEAN PARLIAMENT RESOLUTION</w:t>
      </w:r>
      <w:r w:rsidR="00C728B7">
        <w:rPr>
          <w:noProof/>
        </w:rPr>
        <w:tab/>
      </w:r>
      <w:r w:rsidR="00C728B7">
        <w:rPr>
          <w:noProof/>
        </w:rPr>
        <w:fldChar w:fldCharType="begin"/>
      </w:r>
      <w:r w:rsidR="00C728B7">
        <w:rPr>
          <w:noProof/>
        </w:rPr>
        <w:instrText xml:space="preserve"> PAGEREF _Toc215563280 \h </w:instrText>
      </w:r>
      <w:r w:rsidR="00C728B7">
        <w:rPr>
          <w:noProof/>
        </w:rPr>
      </w:r>
      <w:r w:rsidR="00C728B7">
        <w:rPr>
          <w:noProof/>
        </w:rPr>
        <w:fldChar w:fldCharType="separate"/>
      </w:r>
      <w:r w:rsidR="00C728B7">
        <w:rPr>
          <w:noProof/>
        </w:rPr>
        <w:t>3</w:t>
      </w:r>
      <w:r w:rsidR="00C728B7">
        <w:rPr>
          <w:noProof/>
        </w:rPr>
        <w:fldChar w:fldCharType="end"/>
      </w:r>
    </w:p>
    <w:p w14:paraId="2058E51C" w14:textId="3D18E04C" w:rsidR="00DB659A" w:rsidRPr="00D808EB" w:rsidRDefault="00DB659A" w:rsidP="00DB659A">
      <w:r w:rsidRPr="00D808EB">
        <w:rPr>
          <w:b/>
        </w:rPr>
        <w:fldChar w:fldCharType="end"/>
      </w:r>
    </w:p>
    <w:p w14:paraId="0D5A2051" w14:textId="77777777" w:rsidR="00DB659A" w:rsidRPr="00D808EB" w:rsidRDefault="00DB659A" w:rsidP="00DB659A">
      <w:pPr>
        <w:pStyle w:val="PageHeading"/>
      </w:pPr>
      <w:r w:rsidRPr="00D808EB">
        <w:br w:type="page"/>
      </w:r>
      <w:bookmarkStart w:id="0" w:name="_Toc215563280"/>
      <w:r w:rsidRPr="00D808EB">
        <w:lastRenderedPageBreak/>
        <w:t>MOTION FOR A EUROPEAN PARLIAMENT RESOLUTION</w:t>
      </w:r>
      <w:bookmarkEnd w:id="0"/>
    </w:p>
    <w:p w14:paraId="55967F4B" w14:textId="7F6545A9" w:rsidR="00DB659A" w:rsidRPr="00D808EB" w:rsidRDefault="00DB659A" w:rsidP="00DB659A">
      <w:pPr>
        <w:pStyle w:val="NormalBold"/>
      </w:pPr>
      <w:r w:rsidRPr="00D808EB">
        <w:t>on the proposal for a Council regulation laying down the Multiannual Financial Framework for the years 2028 to 2034</w:t>
      </w:r>
    </w:p>
    <w:p w14:paraId="099E3F1C" w14:textId="6B2E6F16" w:rsidR="00DB659A" w:rsidRPr="00D808EB" w:rsidRDefault="00DB659A" w:rsidP="00DB659A">
      <w:pPr>
        <w:pStyle w:val="NormalBold"/>
      </w:pPr>
      <w:r w:rsidRPr="00D808EB">
        <w:t>(COM(2025)0571 – C10-0000/2025 – 2025/0571R(APP))</w:t>
      </w:r>
    </w:p>
    <w:p w14:paraId="16E7C701" w14:textId="77777777" w:rsidR="00DB659A" w:rsidRPr="00D808EB" w:rsidRDefault="00DB659A" w:rsidP="00DB659A">
      <w:pPr>
        <w:pStyle w:val="EPComma"/>
      </w:pPr>
      <w:r w:rsidRPr="00D808EB">
        <w:rPr>
          <w:i/>
        </w:rPr>
        <w:t>The European Parliament</w:t>
      </w:r>
      <w:r w:rsidRPr="00D808EB">
        <w:t>,</w:t>
      </w:r>
    </w:p>
    <w:p w14:paraId="68C08B9D" w14:textId="14D9603C" w:rsidR="00DB659A" w:rsidRPr="00D808EB" w:rsidRDefault="00DB659A" w:rsidP="00DB659A">
      <w:pPr>
        <w:pStyle w:val="NormalHanging12a"/>
      </w:pPr>
      <w:r w:rsidRPr="00D808EB">
        <w:t>–</w:t>
      </w:r>
      <w:r w:rsidRPr="00D808EB">
        <w:tab/>
        <w:t>having regard to Articles 311, 312 and 323 of the Treaty on the Functioning of the European Union (TFEU),</w:t>
      </w:r>
    </w:p>
    <w:p w14:paraId="3DB8F262" w14:textId="2328F9F2" w:rsidR="00DB659A" w:rsidRPr="00D808EB" w:rsidRDefault="00DB659A" w:rsidP="00DB659A">
      <w:pPr>
        <w:pStyle w:val="NormalHanging12a"/>
      </w:pPr>
      <w:r w:rsidRPr="00D808EB">
        <w:t>–</w:t>
      </w:r>
      <w:r w:rsidRPr="00D808EB">
        <w:tab/>
        <w:t xml:space="preserve">having regard to the Commission communication of 16 July 2025 entitled </w:t>
      </w:r>
      <w:r w:rsidR="00C728B7">
        <w:t>‘</w:t>
      </w:r>
      <w:r w:rsidRPr="00D808EB">
        <w:t>A dynamic EU budget for the priorities of the future – The Multiannual Financial Framework 2028-2034</w:t>
      </w:r>
      <w:r w:rsidR="00C728B7">
        <w:t>’</w:t>
      </w:r>
      <w:r w:rsidRPr="00D808EB">
        <w:t xml:space="preserve"> (COM(2025)0570),</w:t>
      </w:r>
    </w:p>
    <w:p w14:paraId="7B37661A" w14:textId="4A56F37C" w:rsidR="00DB659A" w:rsidRPr="00D808EB" w:rsidRDefault="00DB659A" w:rsidP="00DB659A">
      <w:pPr>
        <w:pStyle w:val="NormalHanging12a"/>
      </w:pPr>
      <w:r w:rsidRPr="00D808EB">
        <w:t>–</w:t>
      </w:r>
      <w:r w:rsidRPr="00D808EB">
        <w:tab/>
        <w:t>having regard to the Commission proposals of 16 July 2025 for a Council regulation laying down the multiannual financial framework for the years 2028 to 2034 (COM(2025)0571)</w:t>
      </w:r>
      <w:r w:rsidR="003F2D82" w:rsidRPr="00D808EB">
        <w:t xml:space="preserve"> and for a Council decision on the system of own resources of the European Union and repealing Decision (EU, Euratom) 2020/2053 (COM(2025)0574)</w:t>
      </w:r>
      <w:r w:rsidRPr="00D808EB">
        <w:t>,</w:t>
      </w:r>
    </w:p>
    <w:p w14:paraId="1754DEBF" w14:textId="7161BA81" w:rsidR="00DB659A" w:rsidRPr="00D808EB" w:rsidRDefault="00DB659A" w:rsidP="00DB659A">
      <w:pPr>
        <w:pStyle w:val="NormalHanging12a"/>
      </w:pPr>
      <w:r w:rsidRPr="00D808EB">
        <w:t>–</w:t>
      </w:r>
      <w:r w:rsidRPr="00D808EB">
        <w:tab/>
        <w:t>having regard to its resolution of 7 May 2025 on a revamped long-term budget for the Union in a changing world</w:t>
      </w:r>
      <w:r w:rsidRPr="00D808EB">
        <w:rPr>
          <w:rStyle w:val="FootnoteReference"/>
        </w:rPr>
        <w:footnoteReference w:id="1"/>
      </w:r>
      <w:r w:rsidRPr="00D808EB">
        <w:t>,</w:t>
      </w:r>
    </w:p>
    <w:p w14:paraId="378600B7" w14:textId="6D8BD70B" w:rsidR="00DB659A" w:rsidRPr="00D808EB" w:rsidRDefault="00DB659A" w:rsidP="00DB659A">
      <w:pPr>
        <w:pStyle w:val="NormalHanging12a"/>
      </w:pPr>
      <w:r w:rsidRPr="00D808EB">
        <w:t>–</w:t>
      </w:r>
      <w:r w:rsidRPr="00D808EB">
        <w:tab/>
        <w:t xml:space="preserve">having regard to the report of 9 September 2024 by Mario Draghi entitled </w:t>
      </w:r>
      <w:r w:rsidR="00C728B7">
        <w:t>‘</w:t>
      </w:r>
      <w:r w:rsidRPr="00D808EB">
        <w:t>The future of European competitiveness</w:t>
      </w:r>
      <w:r w:rsidR="00C728B7">
        <w:t>’</w:t>
      </w:r>
      <w:r w:rsidRPr="00D808EB">
        <w:t xml:space="preserve"> (the Draghi report),</w:t>
      </w:r>
    </w:p>
    <w:p w14:paraId="2AD64546" w14:textId="763EDCC3" w:rsidR="00DB659A" w:rsidRPr="00D808EB" w:rsidRDefault="00DB659A" w:rsidP="00DB659A">
      <w:pPr>
        <w:pStyle w:val="NormalHanging12a"/>
      </w:pPr>
      <w:r w:rsidRPr="00D808EB">
        <w:t>–</w:t>
      </w:r>
      <w:r w:rsidRPr="00D808EB">
        <w:tab/>
        <w:t xml:space="preserve">having regard to the report of 30 October 2024 by Sauli Niinistö entitled </w:t>
      </w:r>
      <w:r w:rsidR="00C728B7">
        <w:t>‘</w:t>
      </w:r>
      <w:r w:rsidRPr="00D808EB">
        <w:t>Safer together – strengthening Europe</w:t>
      </w:r>
      <w:r w:rsidR="00C728B7">
        <w:t>’</w:t>
      </w:r>
      <w:r w:rsidRPr="00D808EB">
        <w:t>s civilian and military preparedness and readiness</w:t>
      </w:r>
      <w:r w:rsidR="00C728B7">
        <w:t>’</w:t>
      </w:r>
      <w:r w:rsidRPr="00D808EB">
        <w:t xml:space="preserve"> (the Niinistö report),</w:t>
      </w:r>
    </w:p>
    <w:p w14:paraId="792C4B45" w14:textId="6000BE07" w:rsidR="00DB659A" w:rsidRPr="00D808EB" w:rsidRDefault="00DB659A" w:rsidP="00DB659A">
      <w:pPr>
        <w:pStyle w:val="NormalHanging12a"/>
      </w:pPr>
      <w:r w:rsidRPr="00D808EB">
        <w:t>–</w:t>
      </w:r>
      <w:r w:rsidRPr="00D808EB">
        <w:tab/>
        <w:t>having regard to the meeting(s) between the Presidents under Article 324 TFEU,</w:t>
      </w:r>
    </w:p>
    <w:p w14:paraId="335082CA" w14:textId="77777777" w:rsidR="00DB659A" w:rsidRPr="00D808EB" w:rsidRDefault="00DB659A" w:rsidP="00DB659A">
      <w:pPr>
        <w:pStyle w:val="NormalHanging12a"/>
      </w:pPr>
      <w:r w:rsidRPr="00D808EB">
        <w:t>–</w:t>
      </w:r>
      <w:r w:rsidRPr="00D808EB">
        <w:tab/>
        <w:t>having regard to Rule 107(5) of its Rules of Procedure,</w:t>
      </w:r>
    </w:p>
    <w:p w14:paraId="32B64870" w14:textId="77777777" w:rsidR="00DB659A" w:rsidRPr="00D808EB" w:rsidRDefault="00DB659A" w:rsidP="00DB659A">
      <w:pPr>
        <w:pStyle w:val="NormalHanging12a"/>
      </w:pPr>
      <w:r w:rsidRPr="00D808EB">
        <w:t>–</w:t>
      </w:r>
      <w:r w:rsidRPr="00D808EB">
        <w:tab/>
        <w:t>having regard to the interim report of the Committee on Budgets (A10-0000/2025),</w:t>
      </w:r>
    </w:p>
    <w:p w14:paraId="1605CE5A" w14:textId="77777777" w:rsidR="00DB659A" w:rsidRPr="00D808EB" w:rsidRDefault="00DB659A" w:rsidP="00DB659A">
      <w:pPr>
        <w:pStyle w:val="NormalHanging12a"/>
      </w:pPr>
      <w:r w:rsidRPr="00D808EB">
        <w:t>A.</w:t>
      </w:r>
      <w:r w:rsidRPr="00D808EB">
        <w:tab/>
        <w:t>whereas, pursuant to Article 311 TFEU, the Union must provide itself with the necessary means to attain its objectives and carry through its policies;</w:t>
      </w:r>
    </w:p>
    <w:p w14:paraId="77CA081E" w14:textId="77777777" w:rsidR="00DB659A" w:rsidRPr="00D808EB" w:rsidRDefault="00DB659A" w:rsidP="00DB659A">
      <w:pPr>
        <w:pStyle w:val="NormalHanging12a"/>
      </w:pPr>
      <w:r w:rsidRPr="00D808EB">
        <w:t>B.</w:t>
      </w:r>
      <w:r w:rsidRPr="00D808EB">
        <w:tab/>
        <w:t>whereas the current MFF quickly proved its inadequacy in responding to a series of crises and new political challenges that were not anticipated at the time of its adoption; whereas, for the purpose of securing the necessary funding, the MFF was pushed to its limits including an unprecedented recourse to the flexibility provisions and special instruments, after exhausting the available margins;</w:t>
      </w:r>
    </w:p>
    <w:p w14:paraId="1CA6544C" w14:textId="77777777" w:rsidR="00DB659A" w:rsidRPr="00D808EB" w:rsidRDefault="00DB659A" w:rsidP="00DB659A">
      <w:pPr>
        <w:pStyle w:val="NormalHanging12a"/>
      </w:pPr>
      <w:r w:rsidRPr="00D808EB">
        <w:lastRenderedPageBreak/>
        <w:t>C.</w:t>
      </w:r>
      <w:r w:rsidRPr="00D808EB">
        <w:tab/>
        <w:t>whereas the MFF mid-term revision agreed in 2024 proved to be imperative due to the lack of resources that continue to undermine the current MFF to this day;</w:t>
      </w:r>
    </w:p>
    <w:p w14:paraId="33FCA294" w14:textId="77777777" w:rsidR="00DB659A" w:rsidRPr="00D808EB" w:rsidRDefault="00DB659A" w:rsidP="00DB659A">
      <w:pPr>
        <w:pStyle w:val="NormalHanging12a"/>
      </w:pPr>
      <w:r w:rsidRPr="00D808EB">
        <w:t>D.</w:t>
      </w:r>
      <w:r w:rsidRPr="00D808EB">
        <w:tab/>
        <w:t>whereas the establishment of the new MFF will be a critical moment for the Union, as it will provide for the possibility to endorse a common vision and decide on the future political priorities as well as the ability of the Union to deliver them;</w:t>
      </w:r>
    </w:p>
    <w:p w14:paraId="7DF5DFBA" w14:textId="1786FC0B" w:rsidR="00DB659A" w:rsidRPr="00D808EB" w:rsidRDefault="00DB659A" w:rsidP="00DB659A">
      <w:pPr>
        <w:pStyle w:val="NormalHanging12a"/>
      </w:pPr>
      <w:r w:rsidRPr="00D808EB">
        <w:t>E.</w:t>
      </w:r>
      <w:r w:rsidRPr="00D808EB">
        <w:tab/>
        <w:t>whereas on 16 July 2025, the Commission presented a set of proposals on the 2028-2034 MFF Regulation and the EU Own Resources Decision, followed by legislative proposals for the setting up of new EU programmes, funds and instruments;</w:t>
      </w:r>
    </w:p>
    <w:p w14:paraId="5C94EC36" w14:textId="698720FF" w:rsidR="00DB659A" w:rsidRPr="00D808EB" w:rsidRDefault="00DB659A" w:rsidP="00DB659A">
      <w:pPr>
        <w:pStyle w:val="NormalHanging12a"/>
      </w:pPr>
      <w:r w:rsidRPr="00D808EB">
        <w:t>1.</w:t>
      </w:r>
      <w:r w:rsidRPr="00D808EB">
        <w:tab/>
      </w:r>
      <w:bookmarkStart w:id="1" w:name="_Hlk215483184"/>
      <w:r w:rsidRPr="00D808EB">
        <w:t>Calls for the 2028-2034 MFF to be set at 1.27 % of EU gross national income (GNI), excluding NextGenerationEU (NGEU) repayments, to ensure the Union</w:t>
      </w:r>
      <w:r w:rsidR="00C728B7">
        <w:t>’</w:t>
      </w:r>
      <w:r w:rsidRPr="00D808EB">
        <w:t>s capacity to achieve its political priorities and strategic objectives, as well as respond to emerging needs; considers that NGEU debt servicing, representing an additional 0.11 % of GNI, should be treated separately from funding for EU programmes within the future MFF architecture so as to ensure that available resources for these programmes remain unaffected, bringing the total to 1.38 % of EU GNI; stresses that this level is the absolute minimum to enable the Union to address major challenges, including the return of large-scale warfare in the Union</w:t>
      </w:r>
      <w:r w:rsidR="00C728B7">
        <w:t>’</w:t>
      </w:r>
      <w:r w:rsidRPr="00D808EB">
        <w:t>s immediate neighbourhood, a highly challenging economic and social backdrop, a competitiveness gap and the worsening climate and biodiversity crises;</w:t>
      </w:r>
      <w:bookmarkEnd w:id="1"/>
    </w:p>
    <w:p w14:paraId="5836C761" w14:textId="2175C976" w:rsidR="00DB659A" w:rsidRPr="00D808EB" w:rsidRDefault="00DB659A" w:rsidP="00DB659A">
      <w:pPr>
        <w:pStyle w:val="NormalHanging12a"/>
      </w:pPr>
      <w:r w:rsidRPr="00D808EB">
        <w:t>2.</w:t>
      </w:r>
      <w:r w:rsidRPr="00D808EB">
        <w:tab/>
        <w:t xml:space="preserve">Underscores that the next MFF must focus on financing European public goods with discernible added value compared to national spending; rejects any move towards an </w:t>
      </w:r>
      <w:r w:rsidR="00C728B7">
        <w:t>‘</w:t>
      </w:r>
      <w:r w:rsidRPr="00D808EB">
        <w:t>à la carte</w:t>
      </w:r>
      <w:r w:rsidR="00C728B7">
        <w:t>’</w:t>
      </w:r>
      <w:r w:rsidRPr="00D808EB">
        <w:t xml:space="preserve"> Europe where differentiated participation undermines the unity and coherence of EU policies and programmes; warns that such an approach would fragment the single market, create unfair competitive advantages, and erode the principle of solidarity that underpins European integration;</w:t>
      </w:r>
    </w:p>
    <w:p w14:paraId="488BC66E" w14:textId="29C8EA0E" w:rsidR="00DB659A" w:rsidRPr="00D808EB" w:rsidRDefault="00DB659A" w:rsidP="00DB659A">
      <w:pPr>
        <w:pStyle w:val="NormalHanging12a"/>
      </w:pPr>
      <w:r w:rsidRPr="00D808EB">
        <w:t>3.</w:t>
      </w:r>
      <w:r w:rsidRPr="00D808EB">
        <w:tab/>
        <w:t>Opposes the merging of different policies in one plan per Member State, which generates significant uncertainty regarding funding predictability for final beneficiaries; warns that the significant reduction in funding in Heading 1 threatens to undermine EU policies enshrined in the Treaties and the Union</w:t>
      </w:r>
      <w:r w:rsidR="00C728B7">
        <w:t>’</w:t>
      </w:r>
      <w:r w:rsidRPr="00D808EB">
        <w:t>s objectives of strengthening its economic, social and territorial cohesion, safeguarding social rights and ensuring food security and a fair standard of living for farmers and fishers;</w:t>
      </w:r>
    </w:p>
    <w:p w14:paraId="35483CE8" w14:textId="05537B9B" w:rsidR="00DB659A" w:rsidRPr="00D808EB" w:rsidRDefault="00DB659A" w:rsidP="00DB659A">
      <w:pPr>
        <w:pStyle w:val="NormalHanging12a"/>
      </w:pPr>
      <w:r w:rsidRPr="00D808EB">
        <w:t>4.</w:t>
      </w:r>
      <w:r w:rsidRPr="00D808EB">
        <w:tab/>
        <w:t>Welcomes the substantial increase proposed responding to Parliament</w:t>
      </w:r>
      <w:r w:rsidR="00C728B7">
        <w:t>’</w:t>
      </w:r>
      <w:r w:rsidRPr="00D808EB">
        <w:t>s long-standing calls for greater investment in research, strategic autonomy, the clean transition, defence, technological sovereignty and economic resilience; stresses, however, that the consolidation of programmes in the Competitiveness Fund reduces transparency and limits Parliament</w:t>
      </w:r>
      <w:r w:rsidR="00C728B7">
        <w:t>’</w:t>
      </w:r>
      <w:r w:rsidRPr="00D808EB">
        <w:t>s ability to ensure appropriate funding for specific policy objectives; insists that, even where programme mergers occur, budget lines must remain sufficiently detailed to enable meaningful parliamentary oversight and maintain the visibility of funding for individual priorities;</w:t>
      </w:r>
    </w:p>
    <w:p w14:paraId="2F556D0B" w14:textId="36670427" w:rsidR="00DB659A" w:rsidRPr="00D808EB" w:rsidRDefault="00DB659A" w:rsidP="00DB659A">
      <w:pPr>
        <w:pStyle w:val="NormalHanging12a"/>
      </w:pPr>
      <w:r w:rsidRPr="00D808EB">
        <w:t>5.</w:t>
      </w:r>
      <w:r w:rsidRPr="00D808EB">
        <w:tab/>
        <w:t>Welcomes the reinforcement of the Neighbourhood, Development and International Cooperation Instrument (NDICI) – Global Europe as it demonstrates the Union</w:t>
      </w:r>
      <w:r w:rsidR="00C728B7">
        <w:t>’</w:t>
      </w:r>
      <w:r w:rsidRPr="00D808EB">
        <w:t>s commitment to strengthening its role as a global actor in an increasingly complex geopolitical environment; expresses concern, however, that this level of funding remains insufficient given the scale of global challenges including the United States</w:t>
      </w:r>
      <w:r w:rsidR="00C728B7">
        <w:t>’</w:t>
      </w:r>
      <w:r w:rsidRPr="00D808EB">
        <w:t xml:space="preserve"> retreat from its role as a global guarantor of peace and security, enlargement and development needs, humanitarian crises, and the need to support Ukraine and other partners; opposes the weakened parliamentary oversight and involvement, as well as the reduced funding visibility for specific priorities inherent in the design of Global Europe as proposed by the Commission;</w:t>
      </w:r>
    </w:p>
    <w:p w14:paraId="7B4513E3" w14:textId="1E04F57B" w:rsidR="00DB659A" w:rsidRPr="00D808EB" w:rsidRDefault="00DB659A" w:rsidP="00DB659A">
      <w:pPr>
        <w:pStyle w:val="NormalHanging12a"/>
      </w:pPr>
      <w:r w:rsidRPr="00D808EB">
        <w:t>6.</w:t>
      </w:r>
      <w:r w:rsidRPr="00D808EB">
        <w:tab/>
        <w:t xml:space="preserve">Recalls its position that </w:t>
      </w:r>
      <w:r w:rsidR="00C728B7">
        <w:t>‘</w:t>
      </w:r>
      <w:r w:rsidRPr="00D808EB">
        <w:t>simplification cannot mean more leeway for the Commission without the necessary checks and balances and must therefore be achieved with full respect for the institutional balance provided for in the Treaties</w:t>
      </w:r>
      <w:r w:rsidR="00C728B7">
        <w:t>’</w:t>
      </w:r>
      <w:r w:rsidRPr="00D808EB">
        <w:t>; opposes, therefore, the proposed approach that sacrifices transparency and controls under the guise of efficiency, compromising programme quality and democratic accountability, and undermining Parliament</w:t>
      </w:r>
      <w:r w:rsidR="00C728B7">
        <w:t>’</w:t>
      </w:r>
      <w:r w:rsidRPr="00D808EB">
        <w:t>s role as the budgetary and discharge authority; underlines Parliament</w:t>
      </w:r>
      <w:r w:rsidR="00C728B7">
        <w:t>’</w:t>
      </w:r>
      <w:r w:rsidRPr="00D808EB">
        <w:t>s commitment to securing the necessary transparency mechanisms to fulfil its role as the guardian of citizens</w:t>
      </w:r>
      <w:r w:rsidR="00C728B7">
        <w:t>’</w:t>
      </w:r>
      <w:r w:rsidRPr="00D808EB">
        <w:t xml:space="preserve"> interests, which is vital to safeguard public trust in the EU;</w:t>
      </w:r>
    </w:p>
    <w:p w14:paraId="2418E3F4" w14:textId="1DC2E493" w:rsidR="00DB659A" w:rsidRPr="00D808EB" w:rsidRDefault="00DB659A" w:rsidP="00DB659A">
      <w:pPr>
        <w:pStyle w:val="NormalHanging12a"/>
      </w:pPr>
      <w:r w:rsidRPr="00D808EB">
        <w:t>7.</w:t>
      </w:r>
      <w:r w:rsidRPr="00D808EB">
        <w:tab/>
        <w:t>Recognises the need for enhanced flexibility in allocating resources within certain programmes, but stresses that this must not compromise long-term policy objectives, funding predictability or Parliament</w:t>
      </w:r>
      <w:r w:rsidR="00C728B7">
        <w:t>’</w:t>
      </w:r>
      <w:r w:rsidRPr="00D808EB">
        <w:t>s prerogatives; underscores that the allocation of funds to specific policy objectives is to be decided jointly by Parliament and the Council; deplores the fact that the indicative nomenclature proposed in the programme legislation is woefully insufficient; reiterates its call for the post-2027 MFF to include two special instruments – one dedicated to ensuring solidarity in the event of natural disasters and one for general-purpose crisis response;</w:t>
      </w:r>
    </w:p>
    <w:p w14:paraId="69EDBE1C" w14:textId="7A6243AD" w:rsidR="00DB659A" w:rsidRPr="00D808EB" w:rsidRDefault="00DB659A" w:rsidP="00DB659A">
      <w:pPr>
        <w:pStyle w:val="NormalHanging12a"/>
      </w:pPr>
      <w:r w:rsidRPr="00D808EB">
        <w:t>8.</w:t>
      </w:r>
      <w:r w:rsidRPr="00D808EB">
        <w:tab/>
        <w:t>Underlines that compliance with Union values and fundamental rights is an essential prerequisite to access EU funds and believes that the protection of the Union</w:t>
      </w:r>
      <w:r w:rsidR="00C728B7">
        <w:t>’</w:t>
      </w:r>
      <w:r w:rsidRPr="00D808EB">
        <w:t>s financial interests depends on respect for the rule of law at national level; calls for any duplication or overlaps between existing and future legislation to be avoided, in particular for the proposal on the NRPPs where such overlaps are observed, and to ensure a unified, coherent and comprehensive framework across all EU funding programmes, under the umbrella of the Rule of Law Conditionality Regulation</w:t>
      </w:r>
      <w:r w:rsidRPr="00D808EB">
        <w:rPr>
          <w:rStyle w:val="FootnoteReference"/>
        </w:rPr>
        <w:footnoteReference w:id="2"/>
      </w:r>
      <w:r w:rsidRPr="00D808EB">
        <w:t>;</w:t>
      </w:r>
    </w:p>
    <w:p w14:paraId="60A33A65" w14:textId="03C7D766" w:rsidR="00DB659A" w:rsidRPr="00D808EB" w:rsidRDefault="00DB659A" w:rsidP="00DB659A">
      <w:pPr>
        <w:pStyle w:val="NormalHanging12a"/>
        <w:widowControl w:val="0"/>
      </w:pPr>
      <w:r w:rsidRPr="00D808EB">
        <w:t>9.</w:t>
      </w:r>
      <w:r w:rsidRPr="00D808EB">
        <w:tab/>
        <w:t>Reiterates the need for sustainable and resilient revenue for the Union budget that should match the expenditure side; welcomes the Commission</w:t>
      </w:r>
      <w:r w:rsidR="00C728B7">
        <w:t>’</w:t>
      </w:r>
      <w:r w:rsidRPr="00D808EB">
        <w:t>s efforts to identify new own resources, as well as to put forward certain calibrations to traditional own resources; supports the broader basket approach proposed by the Commission and calls on the Council to swiftly reach an agreement on new own resources in order to provide long-term budgetary certainty; considers that the revenue potential of a digital services tax should be explored as a possible solution, should other proposed own resources not gain support among Member States; notes the Commission</w:t>
      </w:r>
      <w:r w:rsidR="00C728B7">
        <w:t>’</w:t>
      </w:r>
      <w:r w:rsidRPr="00D808EB">
        <w:t>s proposal for a novel type of crisis mechanism based on extraordinary borrowing that offers the Union the ability to respond swiftly to unexpected developments;</w:t>
      </w:r>
    </w:p>
    <w:p w14:paraId="7104290D" w14:textId="7947A44E" w:rsidR="00DB659A" w:rsidRPr="00D808EB" w:rsidRDefault="00DB659A" w:rsidP="00DB659A">
      <w:pPr>
        <w:pStyle w:val="NormalHanging12a"/>
      </w:pPr>
      <w:r w:rsidRPr="00D808EB">
        <w:t>10.</w:t>
      </w:r>
      <w:r w:rsidRPr="00D808EB">
        <w:tab/>
        <w:t>Stands ready to work constructively and engage in meaningful negotiations with the Council and Commission to deliver a long-term budget that addresses the Union</w:t>
      </w:r>
      <w:r w:rsidR="00C728B7">
        <w:t>’</w:t>
      </w:r>
      <w:r w:rsidRPr="00D808EB">
        <w:t xml:space="preserve">s needs; highlights that the post-2027 MFF is being constructed in a far from </w:t>
      </w:r>
      <w:r w:rsidR="00C728B7">
        <w:t>‘</w:t>
      </w:r>
      <w:r w:rsidRPr="00D808EB">
        <w:t>business as usual</w:t>
      </w:r>
      <w:r w:rsidR="00C728B7">
        <w:t>’</w:t>
      </w:r>
      <w:r w:rsidRPr="00D808EB">
        <w:t xml:space="preserve"> context and takes seriously its institutional role as enshrined in the Treaties; underlines that it will only approve a long-term budget that is fit for purpose for the Union in a changing world; calls for an agreement to be reached between the institutions by the end of 2026 and for the swift adoption of the MFF to enable timely implementation of spending programmes from 1 January 2028;</w:t>
      </w:r>
    </w:p>
    <w:p w14:paraId="47A7DB4C" w14:textId="13E6D267" w:rsidR="00DB659A" w:rsidRPr="00D808EB" w:rsidRDefault="00DB659A" w:rsidP="00DB659A">
      <w:pPr>
        <w:pStyle w:val="NormalHanging12a"/>
      </w:pPr>
      <w:r w:rsidRPr="00D808EB">
        <w:t>11.</w:t>
      </w:r>
      <w:r w:rsidRPr="00D808EB">
        <w:tab/>
        <w:t>Adopts this resolution to set out its negotiating mandate on each and every aspect of the Commission proposals, including specific amendments to both the proposed MFF Regulation and the Interinstitutional Agreement (IIA); presents a table detailing figures for each EU policy and programme; emphasises that these figures form part of Parliament</w:t>
      </w:r>
      <w:r w:rsidR="00C728B7">
        <w:t>’</w:t>
      </w:r>
      <w:r w:rsidRPr="00D808EB">
        <w:t>s mandate for the forthcoming budgetary and legislative negotiations on the adoption of EU programmes for the 2028-2034 period;</w:t>
      </w:r>
    </w:p>
    <w:p w14:paraId="0D94CAF4" w14:textId="426B81CA" w:rsidR="00DB659A" w:rsidRPr="00D808EB" w:rsidRDefault="00DB659A" w:rsidP="00DB659A">
      <w:pPr>
        <w:pStyle w:val="NormalHanging12a"/>
        <w:rPr>
          <w:b/>
          <w:i/>
          <w:iCs/>
        </w:rPr>
      </w:pPr>
      <w:r w:rsidRPr="00D808EB">
        <w:rPr>
          <w:b/>
          <w:i/>
          <w:iCs/>
        </w:rPr>
        <w:t>MFF related matters</w:t>
      </w:r>
    </w:p>
    <w:p w14:paraId="203AAC0A" w14:textId="2642EA37" w:rsidR="00DB659A" w:rsidRPr="00D808EB" w:rsidRDefault="00DB659A" w:rsidP="00DB659A">
      <w:pPr>
        <w:pStyle w:val="NormalHanging12a"/>
        <w:widowControl w:val="0"/>
      </w:pPr>
      <w:bookmarkStart w:id="2" w:name="_Hlk213948705"/>
      <w:r w:rsidRPr="00D808EB">
        <w:t>12.</w:t>
      </w:r>
      <w:r w:rsidRPr="00D808EB">
        <w:tab/>
        <w:t>Demands that the European Parliament be involved in all the stages of the MFF process, as required by Article 312(5) TFEU; considers that the Council must take due account of Parliament</w:t>
      </w:r>
      <w:r w:rsidR="00C728B7">
        <w:t>’</w:t>
      </w:r>
      <w:r w:rsidRPr="00D808EB">
        <w:t xml:space="preserve">s position </w:t>
      </w:r>
      <w:r w:rsidR="003F2D82" w:rsidRPr="00D808EB">
        <w:t xml:space="preserve">set out here </w:t>
      </w:r>
      <w:r w:rsidRPr="00D808EB">
        <w:t>to secure Parliament</w:t>
      </w:r>
      <w:r w:rsidR="00C728B7">
        <w:t>’</w:t>
      </w:r>
      <w:r w:rsidRPr="00D808EB">
        <w:t>s consent in accordance with Article 312 TFEU;</w:t>
      </w:r>
    </w:p>
    <w:bookmarkEnd w:id="2"/>
    <w:p w14:paraId="05E6B45B" w14:textId="77777777" w:rsidR="00DB659A" w:rsidRPr="00D808EB" w:rsidRDefault="00DB659A" w:rsidP="00D808EB">
      <w:pPr>
        <w:pStyle w:val="NormalHanging12a"/>
        <w:widowControl w:val="0"/>
        <w:ind w:left="0" w:firstLine="0"/>
        <w:jc w:val="both"/>
        <w:rPr>
          <w:i/>
          <w:iCs/>
        </w:rPr>
      </w:pPr>
      <w:r w:rsidRPr="00D808EB">
        <w:rPr>
          <w:i/>
          <w:iCs/>
        </w:rPr>
        <w:t>Overall size</w:t>
      </w:r>
    </w:p>
    <w:p w14:paraId="7EA1CDCA" w14:textId="22E247A8" w:rsidR="00DB659A" w:rsidRPr="00D808EB" w:rsidRDefault="00DB659A" w:rsidP="00DB659A">
      <w:pPr>
        <w:pStyle w:val="NormalHanging12a"/>
      </w:pPr>
      <w:r w:rsidRPr="00D808EB">
        <w:t>13.</w:t>
      </w:r>
      <w:r w:rsidRPr="00D808EB">
        <w:tab/>
        <w:t xml:space="preserve">Recalls its position that, </w:t>
      </w:r>
      <w:r w:rsidR="00C728B7">
        <w:t>‘</w:t>
      </w:r>
      <w:r w:rsidRPr="00D808EB">
        <w:t>in a fast changing world where people rightly expect more from the Union and where the Union is confronted with a growing number of crises, the next MFF must be endowed with increased resources compared to the 2021-2027 period, moving away from the historically restrictive, self-imposed level of 1 % of GNI</w:t>
      </w:r>
      <w:r w:rsidR="00C728B7">
        <w:t>’</w:t>
      </w:r>
      <w:r w:rsidRPr="00D808EB">
        <w:t>; regrets that the Commission, instead of presenting a genuinely ambitious proposal, hides behind a headline figure of EUR 2 trillion in current prices, which in reality amounts to only EUR 1.763 trillion in 2025 constant prices, equal to 1.26 % of EU GNI, with 0.11 % being allocated to NGEU repayments; deplores that this results in a token increase for EU programmes of less than 0.0</w:t>
      </w:r>
      <w:r w:rsidR="005A1311" w:rsidRPr="00D808EB">
        <w:t>1</w:t>
      </w:r>
      <w:r w:rsidRPr="00D808EB">
        <w:t xml:space="preserve"> percentage points of GNI, effectively freezing the budget in real terms; highlights that the phasing-out of the Recovery and Resilience Facility (RRF) will further substantially reduce the Union</w:t>
      </w:r>
      <w:r w:rsidR="00C728B7">
        <w:t>’</w:t>
      </w:r>
      <w:r w:rsidRPr="00D808EB">
        <w:t>s overall spending power; considers that this proposed level will not enable the Union to deliver on its commitments or respond to the significant geopolitical challenges ahead;</w:t>
      </w:r>
    </w:p>
    <w:p w14:paraId="2060AA35" w14:textId="2188577E" w:rsidR="00DB659A" w:rsidRPr="00D808EB" w:rsidRDefault="00DB659A" w:rsidP="00DB659A">
      <w:pPr>
        <w:pStyle w:val="NormalHanging12a"/>
      </w:pPr>
      <w:r w:rsidRPr="00D808EB">
        <w:t>14.</w:t>
      </w:r>
      <w:r w:rsidRPr="00D808EB">
        <w:tab/>
        <w:t>Calls for the 2028-2034 MFF to be set at 1.27 % of EU GNI, excluding NGEU repayments; considers that NGEU debt servicing should be treated separately from appropriations for EU programmes within the future MFF architecture bringing the total amount to 1.38 % of GNI; stresses that this level is the absolute minimum to enable the Union to deliver on its commitments, respond to geopolitical challenges and achieve its strategic objectives;</w:t>
      </w:r>
    </w:p>
    <w:p w14:paraId="376E756B" w14:textId="77777777" w:rsidR="00DB659A" w:rsidRPr="00D808EB" w:rsidRDefault="00DB659A" w:rsidP="00DB659A">
      <w:pPr>
        <w:pStyle w:val="NormalHanging12a"/>
        <w:widowControl w:val="0"/>
      </w:pPr>
      <w:r w:rsidRPr="00D808EB">
        <w:t>15.</w:t>
      </w:r>
      <w:r w:rsidRPr="00D808EB">
        <w:tab/>
        <w:t>Calls, in this context, for the level of funding to be secured for EU programmes and policies, as set out in Annexes I and II to the present resolution; calls for the relevant commitment and payment ceilings to be adjusted accordingly;</w:t>
      </w:r>
    </w:p>
    <w:p w14:paraId="239B4C42" w14:textId="77777777" w:rsidR="00DB659A" w:rsidRPr="00D808EB" w:rsidRDefault="00DB659A" w:rsidP="00D808EB">
      <w:pPr>
        <w:pStyle w:val="NormalHanging12a"/>
        <w:widowControl w:val="0"/>
        <w:rPr>
          <w:i/>
          <w:iCs/>
        </w:rPr>
      </w:pPr>
      <w:r w:rsidRPr="00D808EB">
        <w:rPr>
          <w:i/>
          <w:iCs/>
        </w:rPr>
        <w:t>Heading 1</w:t>
      </w:r>
    </w:p>
    <w:p w14:paraId="17C95745" w14:textId="4075E3D8" w:rsidR="00DB659A" w:rsidRPr="00D808EB" w:rsidRDefault="00DB659A" w:rsidP="00DB659A">
      <w:pPr>
        <w:pStyle w:val="NormalHanging12a"/>
      </w:pPr>
      <w:r w:rsidRPr="00D808EB">
        <w:t>16.</w:t>
      </w:r>
      <w:r w:rsidRPr="00D808EB">
        <w:tab/>
        <w:t xml:space="preserve">Notes that Heading 1 on </w:t>
      </w:r>
      <w:r w:rsidR="00C728B7">
        <w:t>‘</w:t>
      </w:r>
      <w:r w:rsidRPr="00D808EB">
        <w:t>Europe</w:t>
      </w:r>
      <w:r w:rsidR="00C728B7">
        <w:t>’</w:t>
      </w:r>
      <w:r w:rsidRPr="00D808EB">
        <w:t>s social model and quality of life</w:t>
      </w:r>
      <w:r w:rsidR="00C728B7">
        <w:t>’</w:t>
      </w:r>
      <w:r w:rsidRPr="00D808EB">
        <w:t xml:space="preserve"> is allocated EUR 797.2 billion in 2025 prices, representing 45 % of the total 2028-2034 MFF; expresses deep concern that this is a decrease compared to the EUR 810.1 billion allocated in the 2021-2027 MFF, which amounted to 65 % of the total; considers this substantial cut unacceptable given the critical importance of maintaining the Union</w:t>
      </w:r>
      <w:r w:rsidR="00C728B7">
        <w:t>’</w:t>
      </w:r>
      <w:r w:rsidRPr="00D808EB">
        <w:t>s long-standing policies;</w:t>
      </w:r>
    </w:p>
    <w:p w14:paraId="2225BCFF" w14:textId="3460AB56" w:rsidR="00DB659A" w:rsidRPr="00D808EB" w:rsidRDefault="00DB659A" w:rsidP="00DB659A">
      <w:pPr>
        <w:pStyle w:val="NormalHanging12a"/>
      </w:pPr>
      <w:r w:rsidRPr="00D808EB">
        <w:t>17.</w:t>
      </w:r>
      <w:r w:rsidRPr="00D808EB">
        <w:tab/>
        <w:t>Regrets that the proposed NRPP Regulation (COM(2025)0558), which merges different policies into one plan per Member State, generates significant uncertainty regarding funding predictability for final beneficiaries; warns, in addition, that the significant reduction in funding for Heading 1 also threatens to undermine EU policies enshrined in the Treaties and the Union</w:t>
      </w:r>
      <w:r w:rsidR="00C728B7">
        <w:t>’</w:t>
      </w:r>
      <w:r w:rsidRPr="00D808EB">
        <w:t>s objectives of strengthening its economic, social and territorial cohesion, safeguarding social rights, and ensuring food security and a fair standard of living for farmers and fishers;</w:t>
      </w:r>
    </w:p>
    <w:p w14:paraId="1CD04EB1" w14:textId="77777777" w:rsidR="00DB659A" w:rsidRPr="00D808EB" w:rsidRDefault="00DB659A" w:rsidP="00DB659A">
      <w:pPr>
        <w:pStyle w:val="NormalHanging12a"/>
      </w:pPr>
      <w:r w:rsidRPr="00D808EB">
        <w:t>18.</w:t>
      </w:r>
      <w:r w:rsidRPr="00D808EB">
        <w:tab/>
        <w:t>Stresses that it is imperative to maintain the European dimension of the EU budget as a fundamental instrument for achieving common objectives, expressing Union solidarity and providing European public goods; underlines that the EU budget must remain the financial backbone supporting the deepening of Union integration, ensuring fair competition and equal opportunities across all Member States;</w:t>
      </w:r>
    </w:p>
    <w:p w14:paraId="7E679DC9" w14:textId="24C0AD8B" w:rsidR="00DB659A" w:rsidRPr="00D808EB" w:rsidRDefault="00DB659A" w:rsidP="00DB659A">
      <w:pPr>
        <w:pStyle w:val="NormalHanging12a"/>
        <w:widowControl w:val="0"/>
      </w:pPr>
      <w:r w:rsidRPr="00D808EB">
        <w:t>19.</w:t>
      </w:r>
      <w:r w:rsidRPr="00D808EB">
        <w:tab/>
        <w:t xml:space="preserve">Rejects any move towards an </w:t>
      </w:r>
      <w:r w:rsidR="00C728B7">
        <w:t>‘</w:t>
      </w:r>
      <w:r w:rsidRPr="00D808EB">
        <w:t>à la carte</w:t>
      </w:r>
      <w:r w:rsidR="00C728B7">
        <w:t>’</w:t>
      </w:r>
      <w:r w:rsidRPr="00D808EB">
        <w:t xml:space="preserve"> Europe where differentiated participation undermines the unity and coherence of EU policies and programmes; warns that such an approach would fragment the single market, create unfair competitive advantages, and erode the principle of solidarity that underpins European integration;</w:t>
      </w:r>
    </w:p>
    <w:p w14:paraId="681D1EC7" w14:textId="77777777" w:rsidR="00DB659A" w:rsidRPr="00D808EB" w:rsidRDefault="00DB659A" w:rsidP="00D808EB">
      <w:pPr>
        <w:pStyle w:val="NormalHanging12a"/>
        <w:widowControl w:val="0"/>
        <w:rPr>
          <w:i/>
          <w:iCs/>
        </w:rPr>
      </w:pPr>
      <w:r w:rsidRPr="00D808EB">
        <w:rPr>
          <w:i/>
          <w:iCs/>
        </w:rPr>
        <w:t>Heading 2</w:t>
      </w:r>
    </w:p>
    <w:p w14:paraId="4032B4C0" w14:textId="5FA9F842" w:rsidR="00DB659A" w:rsidRPr="00D808EB" w:rsidRDefault="00DB659A" w:rsidP="00DB659A">
      <w:pPr>
        <w:pStyle w:val="NormalHanging12a"/>
        <w:widowControl w:val="0"/>
      </w:pPr>
      <w:r w:rsidRPr="00D808EB">
        <w:t>20.</w:t>
      </w:r>
      <w:r w:rsidRPr="00D808EB">
        <w:tab/>
        <w:t xml:space="preserve">Welcomes the significant reinforcement of Heading 2 on </w:t>
      </w:r>
      <w:r w:rsidR="00C728B7">
        <w:t>‘</w:t>
      </w:r>
      <w:r w:rsidRPr="00D808EB">
        <w:t>Competitiveness, prosperity and security</w:t>
      </w:r>
      <w:r w:rsidR="00C728B7">
        <w:t>’</w:t>
      </w:r>
      <w:r w:rsidRPr="00D808EB">
        <w:t>, which is allocated EUR 522.2 billion in 2025 prices in the 2028-2034 MFF, representing 30 % of the total MFF compared to EUR 224.8 billion or 17 % in the current period; notes that this more than doubling of resources reflects the Union</w:t>
      </w:r>
      <w:r w:rsidR="00C728B7">
        <w:t>’</w:t>
      </w:r>
      <w:r w:rsidRPr="00D808EB">
        <w:t>s commitment to research, strategic autonomy, the clean transition, defence, technological sovereignty and economic resilience; acknowledges that this substantial increase responds to Parliament</w:t>
      </w:r>
      <w:r w:rsidR="00C728B7">
        <w:t>’</w:t>
      </w:r>
      <w:r w:rsidRPr="00D808EB">
        <w:t>s long-standing calls for greater investment in these areas; stresses, however, that the consolidation of programmes must not reduce transparency or limit Parliament</w:t>
      </w:r>
      <w:r w:rsidR="00C728B7">
        <w:t>’</w:t>
      </w:r>
      <w:r w:rsidRPr="00D808EB">
        <w:t>s ability to ensure appropriate funding for specific policy objectives; insists that despite programme mergers, budget lines must remain sufficiently detailed to enable meaningful parliamentary oversight and maintain visibility of funding for individual priorities; recalls its position that competitiveness must foster economic growth, as well as promote quality, stable and well-paid jobs as underlined in both the Draghi and Letta reports;</w:t>
      </w:r>
    </w:p>
    <w:p w14:paraId="744CF846" w14:textId="77777777" w:rsidR="00DB659A" w:rsidRPr="00D808EB" w:rsidRDefault="00DB659A" w:rsidP="00D808EB">
      <w:pPr>
        <w:pStyle w:val="NormalHanging12a"/>
        <w:widowControl w:val="0"/>
        <w:rPr>
          <w:i/>
          <w:iCs/>
        </w:rPr>
      </w:pPr>
      <w:r w:rsidRPr="00D808EB">
        <w:rPr>
          <w:i/>
          <w:iCs/>
        </w:rPr>
        <w:t xml:space="preserve">Heading 3 </w:t>
      </w:r>
    </w:p>
    <w:p w14:paraId="47DD7D0E" w14:textId="5607F043" w:rsidR="00DB659A" w:rsidRPr="00D808EB" w:rsidRDefault="00DB659A" w:rsidP="00DB659A">
      <w:pPr>
        <w:pStyle w:val="NormalHanging12a"/>
        <w:widowControl w:val="0"/>
      </w:pPr>
      <w:r w:rsidRPr="00D808EB">
        <w:t>21.</w:t>
      </w:r>
      <w:r w:rsidRPr="00D808EB">
        <w:tab/>
        <w:t xml:space="preserve">Notes that Heading 3 </w:t>
      </w:r>
      <w:r w:rsidR="00C728B7">
        <w:t>‘</w:t>
      </w:r>
      <w:r w:rsidRPr="00D808EB">
        <w:t>Global Europe</w:t>
      </w:r>
      <w:r w:rsidR="00C728B7">
        <w:t>’</w:t>
      </w:r>
      <w:r w:rsidRPr="00D808EB">
        <w:t xml:space="preserve"> is allocated EUR 190 billion in 2025 prices in the 2028-2034 MFF, representing a significant increase from EUR 121.5 billion in the current period while maintaining its 10 % share of the total MFF; considers that this reinforcement of EUR 68.5 billion is positive, as it demonstrates the Union</w:t>
      </w:r>
      <w:r w:rsidR="00C728B7">
        <w:t>’</w:t>
      </w:r>
      <w:r w:rsidRPr="00D808EB">
        <w:t>s commitment to strengthening its role as a global actor in an increasingly complex geopolitical environment; expresses concern, however, that this level of funding remains insufficient given the scale of global challenges including development needs, humanitarian crises and the need to support Ukraine and other partners; calls for the necessary funds to support enlargement and accession processes; warns that the merger of programmes could lead, once again, to weakened parliamentary oversight and involvement and reduced funding visibility for specific priorities, as occurred with NDICI-Global Europe; insists that the pillars maintain clear and separate budget lines to ensure transparency in allocations; recalls its position that the needs-based nature of humanitarian aid requires ring-fenced funding delivered through a stand-alone spending programme and dedicated nomenclature and underlines that effective humanitarian aid provision is contingent on predictability through a sufficient annual baseline allocation;</w:t>
      </w:r>
    </w:p>
    <w:p w14:paraId="17136405" w14:textId="77777777" w:rsidR="00DB659A" w:rsidRPr="00D808EB" w:rsidRDefault="00DB659A" w:rsidP="00D808EB">
      <w:pPr>
        <w:pStyle w:val="NormalHanging12a"/>
        <w:widowControl w:val="0"/>
        <w:rPr>
          <w:i/>
          <w:iCs/>
        </w:rPr>
      </w:pPr>
      <w:r w:rsidRPr="00D808EB">
        <w:rPr>
          <w:i/>
          <w:iCs/>
        </w:rPr>
        <w:t xml:space="preserve">Heading 4, and other administrative expenditure </w:t>
      </w:r>
    </w:p>
    <w:p w14:paraId="5DF0D6CD" w14:textId="4F6328FF" w:rsidR="00DB659A" w:rsidRPr="00D808EB" w:rsidRDefault="00DB659A" w:rsidP="00DB659A">
      <w:pPr>
        <w:pStyle w:val="NormalHanging12a"/>
      </w:pPr>
      <w:r w:rsidRPr="00D808EB">
        <w:t>22.</w:t>
      </w:r>
      <w:r w:rsidRPr="00D808EB">
        <w:tab/>
        <w:t>Underlines the need for Union policies to be underpinned by a well-functioning administration; insists that, post-2027, sufficient financial and staff resources be allocated from the outset and throughout the MFF period so that Union institutions, bodies, decentralised agencies and the European Public Prosecutor</w:t>
      </w:r>
      <w:r w:rsidR="00C728B7">
        <w:t>’</w:t>
      </w:r>
      <w:r w:rsidRPr="00D808EB">
        <w:t>s Office can ensure effective and efficient policy design and high-quality delivery and enforcement, provide technical assistance, continue to attract the best people from all Member States, thus ensuring geographical balance, and have leeway to adjust to changing circumstances;</w:t>
      </w:r>
    </w:p>
    <w:p w14:paraId="7B6D5F25" w14:textId="73292995" w:rsidR="00DB659A" w:rsidRPr="00D808EB" w:rsidRDefault="00DB659A" w:rsidP="00DB659A">
      <w:pPr>
        <w:pStyle w:val="NormalHanging12a"/>
        <w:widowControl w:val="0"/>
      </w:pPr>
      <w:r w:rsidRPr="00D808EB">
        <w:t>23.</w:t>
      </w:r>
      <w:r w:rsidRPr="00D808EB">
        <w:tab/>
        <w:t>Notes with concern that the Commission</w:t>
      </w:r>
      <w:r w:rsidR="00C728B7">
        <w:t>’</w:t>
      </w:r>
      <w:r w:rsidRPr="00D808EB">
        <w:t>s self-imposed stable staffing has proven inadequate to meet operational requirements; acknowledges that, for the 2028-2034 MFF, the Commission has requested additional posts; insists that the staffing needs of all institutions and bodies have to be taken into account when establishing additional posts; highlights the particularly alarming situation whereby some EU agencies receive inadequate operational funding, severely limiting their capacity to fulfil their mandates and deliver on policy objectives;</w:t>
      </w:r>
    </w:p>
    <w:p w14:paraId="2DE80521" w14:textId="77777777" w:rsidR="00DB659A" w:rsidRPr="00D808EB" w:rsidRDefault="00DB659A" w:rsidP="00D808EB">
      <w:pPr>
        <w:pStyle w:val="NormalHanging12a"/>
        <w:widowControl w:val="0"/>
        <w:rPr>
          <w:i/>
          <w:iCs/>
        </w:rPr>
      </w:pPr>
      <w:r w:rsidRPr="00D808EB">
        <w:rPr>
          <w:i/>
          <w:iCs/>
        </w:rPr>
        <w:t>Special instruments</w:t>
      </w:r>
    </w:p>
    <w:p w14:paraId="3919920A" w14:textId="1B05E351" w:rsidR="00DB659A" w:rsidRPr="00D808EB" w:rsidRDefault="00DB659A" w:rsidP="00DB659A">
      <w:pPr>
        <w:pStyle w:val="NormalHanging12a"/>
      </w:pPr>
      <w:r w:rsidRPr="00D808EB">
        <w:t>24.</w:t>
      </w:r>
      <w:r w:rsidRPr="00D808EB">
        <w:tab/>
        <w:t>Welcomes the Commission</w:t>
      </w:r>
      <w:r w:rsidR="00C728B7">
        <w:t>’</w:t>
      </w:r>
      <w:r w:rsidRPr="00D808EB">
        <w:t>s proposal for a Flexibility Instrument to be constituted not only of a fixed amount but also of additional funds from revenue relating to fines and decommitments; considers, in the light of its position of 7 May 2025, that the Flexibility Instrument should receive funds from additional sources, namely unspent margins from previous years, the annual surplus from the previous year and reflows from financial instruments, together with current and future margins as a last resort; considers also that it should be heavily frontloaded; considers that external assigned revenue and amounts made available again under specific revenue and decommitment rules in programme-specific provisions could be exempted from this general rule;</w:t>
      </w:r>
    </w:p>
    <w:p w14:paraId="25045550" w14:textId="77777777" w:rsidR="00DB659A" w:rsidRPr="00D808EB" w:rsidRDefault="00DB659A" w:rsidP="00DB659A">
      <w:pPr>
        <w:pStyle w:val="NormalHanging12a"/>
      </w:pPr>
      <w:r w:rsidRPr="00D808EB">
        <w:t>25.</w:t>
      </w:r>
      <w:r w:rsidRPr="00D808EB">
        <w:tab/>
        <w:t xml:space="preserve">Restates also its view that there should be a second special instrument, </w:t>
      </w:r>
      <w:bookmarkStart w:id="3" w:name="_Hlk214989359"/>
      <w:r w:rsidRPr="00D808EB">
        <w:t>the Solidarity Reserve for Natural Disasters</w:t>
      </w:r>
      <w:bookmarkEnd w:id="3"/>
      <w:r w:rsidRPr="00D808EB">
        <w:t>, dedicated to ensuring solidarity in the event of natural disasters; considers that both special instruments should be able to carry over unspent amounts throughout the MFF period, to guarantee flexibility;</w:t>
      </w:r>
    </w:p>
    <w:p w14:paraId="3249A313" w14:textId="105A86A7" w:rsidR="00DB659A" w:rsidRPr="00D808EB" w:rsidRDefault="00DB659A" w:rsidP="00DB659A">
      <w:pPr>
        <w:pStyle w:val="NormalHanging12a"/>
        <w:widowControl w:val="0"/>
      </w:pPr>
      <w:r w:rsidRPr="00D808EB">
        <w:t>26.</w:t>
      </w:r>
      <w:r w:rsidRPr="00D808EB">
        <w:tab/>
        <w:t>Notes that the Commission proposes EUR 88 billion for the Ukraine Reserve within the MFF regulation to finance pre-accession assistance, recovery and reconstruction efforts; considers that this amount could provide substantial support; observes, however, that should the conflict continue, this allocation would be insufficient to meet Ukraine</w:t>
      </w:r>
      <w:r w:rsidR="00C728B7">
        <w:t>’</w:t>
      </w:r>
      <w:r w:rsidRPr="00D808EB">
        <w:t>s needs; calls for an increase and frontloading of the Reserve, with a view to providing additional support to Ukraine;</w:t>
      </w:r>
    </w:p>
    <w:p w14:paraId="4E01CE8B" w14:textId="77777777" w:rsidR="00DB659A" w:rsidRPr="00D808EB" w:rsidRDefault="00DB659A" w:rsidP="00D808EB">
      <w:pPr>
        <w:pStyle w:val="NormalHanging12a"/>
        <w:widowControl w:val="0"/>
        <w:rPr>
          <w:i/>
          <w:iCs/>
        </w:rPr>
      </w:pPr>
      <w:r w:rsidRPr="00D808EB">
        <w:rPr>
          <w:i/>
          <w:iCs/>
        </w:rPr>
        <w:t>Specific provisions</w:t>
      </w:r>
    </w:p>
    <w:p w14:paraId="365D7EA4" w14:textId="77777777" w:rsidR="00DB659A" w:rsidRPr="00D808EB" w:rsidRDefault="00DB659A" w:rsidP="00DB659A">
      <w:pPr>
        <w:pStyle w:val="NormalHanging12a"/>
      </w:pPr>
      <w:r w:rsidRPr="00D808EB">
        <w:t>27.</w:t>
      </w:r>
      <w:r w:rsidRPr="00D808EB">
        <w:tab/>
        <w:t>Recalls that the current MFF has been underfunded, which required an MFF revision in 2024; notes that while there is increased flexibility in the 2028-2034 MFF proposal, the overall amounts in the Commission proposal are still not sufficient;</w:t>
      </w:r>
    </w:p>
    <w:p w14:paraId="3BD032BE" w14:textId="77777777" w:rsidR="00DB659A" w:rsidRPr="00D808EB" w:rsidRDefault="00DB659A" w:rsidP="00DB659A">
      <w:pPr>
        <w:pStyle w:val="NormalHanging12a"/>
      </w:pPr>
      <w:r w:rsidRPr="00D808EB">
        <w:t>28.</w:t>
      </w:r>
      <w:r w:rsidRPr="00D808EB">
        <w:tab/>
        <w:t>Insists that the MFF regulation must require the Commission to present a review of the functioning of the MFF, by July 2031 at the latest, taking full account of the economic situation at that time, as well as the latest macroeconomic projections; is also of the view that such a compulsory review should, as appropriate, be accompanied by a legislative proposal for the revision of this Regulation in accordance with the procedures set out in the TFEU; stresses that any such revision should not reduce pre-allocated national envelopes, as set out in the NRPP Regulation;</w:t>
      </w:r>
    </w:p>
    <w:p w14:paraId="3D3782B5" w14:textId="768EE871" w:rsidR="00DB659A" w:rsidRPr="00D808EB" w:rsidRDefault="00DB659A" w:rsidP="00DB659A">
      <w:pPr>
        <w:pStyle w:val="NormalHanging12a"/>
        <w:widowControl w:val="0"/>
      </w:pPr>
      <w:r w:rsidRPr="00D808EB">
        <w:t>29.</w:t>
      </w:r>
      <w:r w:rsidRPr="00D808EB">
        <w:tab/>
        <w:t>Recalls that European elections will take place in 2034; considers that the date of publication of the proposal for the following MFF Regulation, i.e. 1 July 2033, is significantly later than usual in the MFF life cycle; calls for the proposal for the post-2034 MFF to be published by July 2032;</w:t>
      </w:r>
    </w:p>
    <w:p w14:paraId="159E31DF" w14:textId="63783D8C" w:rsidR="00DB659A" w:rsidRPr="00D808EB" w:rsidRDefault="00DB659A" w:rsidP="00D808EB">
      <w:pPr>
        <w:pStyle w:val="NormalHanging12a"/>
        <w:widowControl w:val="0"/>
        <w:rPr>
          <w:b/>
          <w:bCs/>
          <w:i/>
          <w:iCs/>
        </w:rPr>
      </w:pPr>
      <w:r w:rsidRPr="00D808EB">
        <w:rPr>
          <w:b/>
          <w:bCs/>
          <w:i/>
          <w:iCs/>
        </w:rPr>
        <w:t>Governance</w:t>
      </w:r>
    </w:p>
    <w:p w14:paraId="70EC02DD" w14:textId="7A3E4C67" w:rsidR="00DB659A" w:rsidRPr="00D808EB" w:rsidRDefault="00DB659A" w:rsidP="00DB659A">
      <w:pPr>
        <w:pStyle w:val="NormalHanging12a"/>
        <w:widowControl w:val="0"/>
        <w:jc w:val="both"/>
      </w:pPr>
      <w:r w:rsidRPr="00D808EB">
        <w:t>30.</w:t>
      </w:r>
      <w:r w:rsidRPr="00D808EB">
        <w:tab/>
        <w:t>Takes note of the Commission</w:t>
      </w:r>
      <w:r w:rsidR="00C728B7">
        <w:t>’</w:t>
      </w:r>
      <w:r w:rsidRPr="00D808EB">
        <w:t>s narrative that its proposals seek to increase flexibility and simplification in the next MFF; recalls that Parliament has consistently argued for simplification for final beneficiaries; acknowledges the need for flexibility but firmly rejects any approach that sacrifices transparency under the guise of efficiency; regrets that the Commission</w:t>
      </w:r>
      <w:r w:rsidR="00C728B7">
        <w:t>’</w:t>
      </w:r>
      <w:r w:rsidRPr="00D808EB">
        <w:t>s simplification proposals primarily benefit its own processes rather than final beneficiaries, thereby exacerbating the democratic deficit in the Union; insists that simplification must not compromise programme quality, or democratic accountability; stresses that Parliament will put forward all the transparency mechanisms necessary to fulfil its role as the guardian of citizens</w:t>
      </w:r>
      <w:r w:rsidR="00C728B7">
        <w:t>’</w:t>
      </w:r>
      <w:r w:rsidRPr="00D808EB">
        <w:t xml:space="preserve"> interests; warns that flexibility without transparency would widen the democratic accountability gap and undermine public trust in the EU;</w:t>
      </w:r>
    </w:p>
    <w:p w14:paraId="2936C3BC" w14:textId="3B6F8D7A" w:rsidR="00DB659A" w:rsidRPr="00D808EB" w:rsidRDefault="00DB659A" w:rsidP="00DB659A">
      <w:pPr>
        <w:pStyle w:val="NormalHanging12a"/>
        <w:widowControl w:val="0"/>
        <w:jc w:val="both"/>
      </w:pPr>
      <w:r w:rsidRPr="00D808EB">
        <w:t>31.</w:t>
      </w:r>
      <w:r w:rsidRPr="00D808EB">
        <w:tab/>
        <w:t xml:space="preserve">Notes with concern that the MFF proposals include widespread use of financing not linked to costs for a substantial portion of the instruments under the next MFF; draws attention to the fact that without adequate safeguards to ensure sound financial management in the implementation of Union funding or clear steps to address the shortcomings identified in previous or existing performance-based instruments, this approach entails substantial risks; considers that any possible increase in efficiencies cannot come at the expense of the protection of the financial interests of the Union; calls for appropriate oversight and accountability mechanisms to be established in all relevant legal acts; </w:t>
      </w:r>
    </w:p>
    <w:p w14:paraId="34FFC90E" w14:textId="77777777" w:rsidR="00DB659A" w:rsidRPr="00D808EB" w:rsidRDefault="00DB659A" w:rsidP="00DB659A">
      <w:pPr>
        <w:pStyle w:val="NormalHanging12a"/>
        <w:widowControl w:val="0"/>
        <w:jc w:val="both"/>
      </w:pPr>
      <w:r w:rsidRPr="00D808EB">
        <w:t>32.</w:t>
      </w:r>
      <w:r w:rsidRPr="00D808EB">
        <w:tab/>
        <w:t>Acknowledges the proposal for a Performance Regulation as a first step in putting in place a horizontal expenditure tracking and performance monitoring framework for the budget; considers that this approach can lead to greater coherence in the monitoring and implementation of EU spending programmes and in the mainstreaming of important EU objectives; stresses that the inclusion of horizontal principles in a single framework must enable more effective tracking methodologies and parliamentary scrutiny without creating additional burdens;</w:t>
      </w:r>
    </w:p>
    <w:p w14:paraId="53D0FC0C" w14:textId="77777777" w:rsidR="00DB659A" w:rsidRPr="00D808EB" w:rsidRDefault="00DB659A" w:rsidP="00D808EB">
      <w:pPr>
        <w:pStyle w:val="NormalHanging12a"/>
        <w:widowControl w:val="0"/>
        <w:rPr>
          <w:i/>
          <w:iCs/>
        </w:rPr>
      </w:pPr>
      <w:r w:rsidRPr="00D808EB">
        <w:rPr>
          <w:i/>
          <w:iCs/>
        </w:rPr>
        <w:t>Budgetary governance</w:t>
      </w:r>
    </w:p>
    <w:p w14:paraId="136229A9" w14:textId="5AA23CF4" w:rsidR="00DB659A" w:rsidRPr="00D808EB" w:rsidRDefault="00DB659A" w:rsidP="00DB659A">
      <w:pPr>
        <w:pStyle w:val="NormalHanging12a"/>
      </w:pPr>
      <w:r w:rsidRPr="00D808EB">
        <w:t>33.</w:t>
      </w:r>
      <w:r w:rsidRPr="00D808EB">
        <w:tab/>
        <w:t>Notes the overall structure of four MFF headings, as proposed by the Commission, down from seven headings in the current MFF; notes with concern that the Commission proposes to reduce the number of EU programmes from 60 to 19, introducing a lack of clarity regarding objectives and budgetary nomenclature; stresses that Parliament</w:t>
      </w:r>
      <w:r w:rsidR="00C728B7">
        <w:t>’</w:t>
      </w:r>
      <w:r w:rsidRPr="00D808EB">
        <w:t>s position on the structure of these new MFF programmes will be determined during the co-decision procedure for the relevant sectoral legislative acts; insists that the proposed budget nomenclature must reflect the specific objectives of each programme, with a view to ensuring transparency and accountability and providing the budgetary authority with the information necessary to establish the annual budget and oversee its implementation;</w:t>
      </w:r>
    </w:p>
    <w:p w14:paraId="37E4EEF1" w14:textId="4968703E" w:rsidR="00DB659A" w:rsidRPr="00D808EB" w:rsidRDefault="00DB659A" w:rsidP="00DB659A">
      <w:pPr>
        <w:pStyle w:val="NormalHanging12a"/>
      </w:pPr>
      <w:r w:rsidRPr="00D808EB">
        <w:t>34.</w:t>
      </w:r>
      <w:r w:rsidRPr="00D808EB">
        <w:tab/>
      </w:r>
      <w:bookmarkStart w:id="4" w:name="_Hlk214967133"/>
      <w:r w:rsidRPr="00D808EB">
        <w:t xml:space="preserve">Deplores, in this regard, the fact that the budgetary nomenclature proposed in the sectoral legislation is woefully </w:t>
      </w:r>
      <w:bookmarkEnd w:id="4"/>
      <w:r w:rsidRPr="00D808EB">
        <w:t>inadequate; calls on the Commission to take note of the detailed nomenclature for the four headings accompanying this report to be used as a basis for further discussions, without pre-empting the outcome of the respective ordinary legislative procedures;</w:t>
      </w:r>
    </w:p>
    <w:p w14:paraId="64AF7661" w14:textId="77777777" w:rsidR="00DB659A" w:rsidRPr="00D808EB" w:rsidRDefault="00DB659A" w:rsidP="00DB659A">
      <w:pPr>
        <w:pStyle w:val="NormalHanging12a"/>
      </w:pPr>
      <w:r w:rsidRPr="00D808EB">
        <w:t>35.</w:t>
      </w:r>
      <w:r w:rsidRPr="00D808EB">
        <w:tab/>
        <w:t>Notes that budgetary transfers under the Financial Regulation</w:t>
      </w:r>
      <w:r w:rsidRPr="00D808EB">
        <w:rPr>
          <w:rStyle w:val="FootnoteReference"/>
        </w:rPr>
        <w:footnoteReference w:id="3"/>
      </w:r>
      <w:r w:rsidRPr="00D808EB">
        <w:t xml:space="preserve"> already provide flexibility during budget implementation; stresses that the Commission can currently transfer considerable amounts between policy areas without budgetary authority approval, limiting oversight; in the absence of a sufficiently detailed budget structure, calls for new rules setting both a maximum amount and percentage per budget line for transfers without approval; considers that transfers from other Union institutions below a certain threshold could be exempted from the objection procedure as a simplification measure;</w:t>
      </w:r>
    </w:p>
    <w:p w14:paraId="3A5D577B" w14:textId="5C62956C" w:rsidR="00DB659A" w:rsidRPr="00D808EB" w:rsidRDefault="00DB659A" w:rsidP="00DB659A">
      <w:pPr>
        <w:pStyle w:val="NormalHanging12a"/>
      </w:pPr>
      <w:r w:rsidRPr="00D808EB">
        <w:t>36.</w:t>
      </w:r>
      <w:r w:rsidRPr="00D808EB">
        <w:tab/>
        <w:t xml:space="preserve">Emphasises the need for robust governance ensuring parliamentary accountability, oversight and control, alongside an effective anti-fraud architecture; rejects any approach that limits Parliament to a consultative or information-only role in the mobilisation of any instrument or fund under the next MFF; </w:t>
      </w:r>
      <w:bookmarkStart w:id="5" w:name="_Hlk214967206"/>
      <w:r w:rsidRPr="00D808EB">
        <w:t xml:space="preserve">stresses that budgetary flexibility must not circumvent the prerogatives of the budgetary authority </w:t>
      </w:r>
      <w:bookmarkEnd w:id="5"/>
      <w:r w:rsidRPr="00D808EB">
        <w:t>and that all redeployments, reprogramming and mobilisation of cushions or other reserves must be subject to Parliament</w:t>
      </w:r>
      <w:r w:rsidR="00C728B7">
        <w:t>’</w:t>
      </w:r>
      <w:r w:rsidRPr="00D808EB">
        <w:t>s approval; considers that genuine flexibility requires both rapid response capacity and democratic legitimacy, which can only be achieved through Parliament</w:t>
      </w:r>
      <w:r w:rsidR="00C728B7">
        <w:t>’</w:t>
      </w:r>
      <w:r w:rsidRPr="00D808EB">
        <w:t>s full participation in decisions on the allocation and use of resources;</w:t>
      </w:r>
    </w:p>
    <w:p w14:paraId="29F1E745" w14:textId="404E6D17" w:rsidR="00DB659A" w:rsidRPr="00D808EB" w:rsidRDefault="00DB659A" w:rsidP="00DB659A">
      <w:pPr>
        <w:pStyle w:val="NormalHanging12a"/>
      </w:pPr>
      <w:r w:rsidRPr="00D808EB">
        <w:t>37.</w:t>
      </w:r>
      <w:r w:rsidRPr="00D808EB">
        <w:tab/>
        <w:t>Expresses its concern about the lack of predictability in EU funding that might result from excessive flexibility mechanisms and recurrent redeployments; recognises the need for enhanced flexibility in allocating resources within certain programmes, but stresses that this must not compromise long-term policy objectives, funding predictability or Parliament</w:t>
      </w:r>
      <w:r w:rsidR="00C728B7">
        <w:t>’</w:t>
      </w:r>
      <w:r w:rsidRPr="00D808EB">
        <w:t>s prerogatives; underlines that while the current MFF has suffered from insufficient flexibility to adjust to evolving priorities, the next MFF must strike a better balance between investment predictability and adaptability; emphasises that certain policy areas require greater funding stability than others; firmly rejects recurrent redeployments as a means to finance Union priorities, as they undermine programme implementation and jeopardise the delivery of agreed policy objectives;</w:t>
      </w:r>
    </w:p>
    <w:p w14:paraId="404216E3" w14:textId="77777777" w:rsidR="00DB659A" w:rsidRPr="00D808EB" w:rsidRDefault="00DB659A" w:rsidP="00DB659A">
      <w:pPr>
        <w:pStyle w:val="NormalHanging12a"/>
        <w:rPr>
          <w:i/>
          <w:iCs/>
        </w:rPr>
      </w:pPr>
      <w:r w:rsidRPr="00D808EB">
        <w:t>38.</w:t>
      </w:r>
      <w:r w:rsidRPr="00D808EB">
        <w:tab/>
        <w:t>Notes the proposed increase in borrowing and lending under the next MFF; considers that the budgetary authority must carefully monitor the impact of this approach on the MFF headroom or other guarantees; demands that borrowing and lending operations respect the powers of the co-legislators and the budgetary authority;</w:t>
      </w:r>
    </w:p>
    <w:p w14:paraId="4274CD9E" w14:textId="77777777" w:rsidR="00DB659A" w:rsidRPr="00D808EB" w:rsidRDefault="00DB659A" w:rsidP="00DB659A">
      <w:pPr>
        <w:pStyle w:val="NormalHanging12a"/>
        <w:widowControl w:val="0"/>
      </w:pPr>
      <w:r w:rsidRPr="00D808EB">
        <w:t>39.</w:t>
      </w:r>
      <w:r w:rsidRPr="00D808EB">
        <w:tab/>
        <w:t>Reiterates its call for a reinforced investment partnership with the EIB Group to leverage the EU budget, mobilise private investment and de-risk important policy areas such as climate, competitiveness, and innovation, defence and the external dimension;</w:t>
      </w:r>
    </w:p>
    <w:p w14:paraId="1601075C" w14:textId="77777777" w:rsidR="00DB659A" w:rsidRPr="00D808EB" w:rsidRDefault="00DB659A" w:rsidP="00D808EB">
      <w:pPr>
        <w:pStyle w:val="NormalHanging12a"/>
        <w:widowControl w:val="0"/>
        <w:jc w:val="both"/>
        <w:rPr>
          <w:i/>
          <w:iCs/>
        </w:rPr>
      </w:pPr>
      <w:r w:rsidRPr="00D808EB">
        <w:rPr>
          <w:i/>
          <w:iCs/>
        </w:rPr>
        <w:t>Legislative governance</w:t>
      </w:r>
    </w:p>
    <w:p w14:paraId="4084098C" w14:textId="061D8A04" w:rsidR="00DB659A" w:rsidRPr="00D808EB" w:rsidRDefault="00DB659A" w:rsidP="00DB659A">
      <w:pPr>
        <w:pStyle w:val="NormalHanging12a"/>
      </w:pPr>
      <w:r w:rsidRPr="00D808EB">
        <w:t>40.</w:t>
      </w:r>
      <w:r w:rsidRPr="00D808EB">
        <w:tab/>
        <w:t>Emphasises that, in the interest of securing Parliament</w:t>
      </w:r>
      <w:r w:rsidR="00C728B7">
        <w:t>’</w:t>
      </w:r>
      <w:r w:rsidRPr="00D808EB">
        <w:t xml:space="preserve">s consent, every aspect of the MFF, especially budgetary elements, are to be considered as a package and subject to genuine negotiations; reiterates its objection to how current and previous MFF Regulations were adopted, with the European Council overstepping its role by predetermining multiple elements such as financial envelopes and policy-specific provisions, thereby violating Treaty provisions in both substance and intent; expresses serious concern that preliminary </w:t>
      </w:r>
      <w:r w:rsidR="00C728B7">
        <w:t>‘</w:t>
      </w:r>
      <w:r w:rsidRPr="00D808EB">
        <w:t>negotiating boxes</w:t>
      </w:r>
      <w:r w:rsidR="00C728B7">
        <w:t>’</w:t>
      </w:r>
      <w:r w:rsidRPr="00D808EB">
        <w:t xml:space="preserve"> prepared by the Council presidency replicate this flawed methodology, incorporating issues that belong to the co-decision procedure when establishing new EU programme legislation;</w:t>
      </w:r>
    </w:p>
    <w:p w14:paraId="246F1162" w14:textId="7CC79674" w:rsidR="00DB659A" w:rsidRPr="00D808EB" w:rsidRDefault="00DB659A" w:rsidP="00DB659A">
      <w:pPr>
        <w:pStyle w:val="NormalHanging12a"/>
      </w:pPr>
      <w:r w:rsidRPr="00D808EB">
        <w:t>41.</w:t>
      </w:r>
      <w:r w:rsidRPr="00D808EB">
        <w:tab/>
        <w:t>Expresses serious concern about the broader programme design features and sectoral proposals that shift essential policy and budgetary decisions from the basic act to work programmes, significantly weakening Parliament</w:t>
      </w:r>
      <w:r w:rsidR="00C728B7">
        <w:t>’</w:t>
      </w:r>
      <w:r w:rsidRPr="00D808EB">
        <w:t>s legislative role; strongly objects to the transfer of legislative elements away from sectoral regulations, excluding Parliament from decisions that are currently taken under the ordinary legislative procedure;</w:t>
      </w:r>
    </w:p>
    <w:p w14:paraId="53FAA80E" w14:textId="23B3C736" w:rsidR="00DB659A" w:rsidRPr="00D808EB" w:rsidRDefault="00DB659A" w:rsidP="00DB659A">
      <w:pPr>
        <w:pStyle w:val="NormalHanging12a"/>
      </w:pPr>
      <w:r w:rsidRPr="00D808EB">
        <w:t>42.</w:t>
      </w:r>
      <w:r w:rsidRPr="00D808EB">
        <w:tab/>
        <w:t>Insists that all substantive policy choices such as programme objectives, spending priorities, financial allocations, eligibility, selection and award criteria, conditions, definitions and calculation methods must be determined in the relevant legislation, with full respect for Parliament</w:t>
      </w:r>
      <w:r w:rsidR="00C728B7">
        <w:t>’</w:t>
      </w:r>
      <w:r w:rsidRPr="00D808EB">
        <w:t>s prerogatives as co-legislator and budgetary authority and not in the work programme; demands that any elements entailing policy choices that are not included in the basic act be adopted exclusively through delegated acts, rejecting any use of implementing acts or other procedures that would bypass parliamentary scrutiny; in this respect, requires that all multiannual and annual work programmes be adopted through delegated acts to ensure Parliament</w:t>
      </w:r>
      <w:r w:rsidR="00C728B7">
        <w:t>’</w:t>
      </w:r>
      <w:r w:rsidRPr="00D808EB">
        <w:t>s systematic involvement in policy decision-making; categorically rejects any attempt to relegate strategic decisions to comitology procedures or other arrangements; warns that Parliament will not accept any proposal that fails to guarantee its full legislative and oversight powers;</w:t>
      </w:r>
    </w:p>
    <w:p w14:paraId="520DF78D" w14:textId="38F17CC8" w:rsidR="00DB659A" w:rsidRPr="00D808EB" w:rsidRDefault="00DB659A" w:rsidP="00DB659A">
      <w:pPr>
        <w:pStyle w:val="NormalHanging12a"/>
        <w:widowControl w:val="0"/>
      </w:pPr>
      <w:r w:rsidRPr="00D808EB">
        <w:t>43.</w:t>
      </w:r>
      <w:r w:rsidRPr="00D808EB">
        <w:tab/>
        <w:t>Stresses that the broad scope of objectives in the proposed sectoral regulations requires a revised assessment procedure for pilot projects and preparatory actions to safeguard Parliament</w:t>
      </w:r>
      <w:r w:rsidR="00C728B7">
        <w:t>’</w:t>
      </w:r>
      <w:r w:rsidRPr="00D808EB">
        <w:t>s already limited right of initiative; considers that clearer criteria and streamlined procedures are essential to ensure that Parliament can continue to launch innovative actions and test new policy approaches; insists that broadening the scope of programmes must not reduce Parliament</w:t>
      </w:r>
      <w:r w:rsidR="00C728B7">
        <w:t>’</w:t>
      </w:r>
      <w:r w:rsidRPr="00D808EB">
        <w:t>s capacity to propose pilot projects and preparatory actions in specific policy areas;</w:t>
      </w:r>
    </w:p>
    <w:p w14:paraId="7CDECD96" w14:textId="55DD45FA" w:rsidR="00DB659A" w:rsidRPr="00D808EB" w:rsidRDefault="00DB659A" w:rsidP="00D808EB">
      <w:pPr>
        <w:pStyle w:val="NormalHanging12a"/>
        <w:widowControl w:val="0"/>
        <w:rPr>
          <w:i/>
          <w:iCs/>
        </w:rPr>
      </w:pPr>
      <w:r w:rsidRPr="00D808EB">
        <w:rPr>
          <w:i/>
          <w:iCs/>
        </w:rPr>
        <w:t>Respect for the rule of law and fundamental values</w:t>
      </w:r>
    </w:p>
    <w:p w14:paraId="0A81ECE1" w14:textId="2B6EA114" w:rsidR="00DB659A" w:rsidRPr="00D808EB" w:rsidRDefault="00DB659A" w:rsidP="00DB659A">
      <w:pPr>
        <w:pStyle w:val="NormalHanging12a"/>
      </w:pPr>
      <w:r w:rsidRPr="00D808EB">
        <w:t>44.</w:t>
      </w:r>
      <w:r w:rsidRPr="00D808EB">
        <w:tab/>
        <w:t>Underlines that compliance with Union values and fundamental rights is an essential prerequisite to access EU funds; highlights the importance of strong links between respect for the rule of law and access to EU funds under the 2021-2027 MFF; believes that the protection of the Union</w:t>
      </w:r>
      <w:r w:rsidR="00C728B7">
        <w:t>’</w:t>
      </w:r>
      <w:r w:rsidRPr="00D808EB">
        <w:t>s financial interests depends on respect for the rule of law and Union values at national level; welcomes, in particular, the positive impact of the Rule of Law Conditionality Regulation in protecting the Union</w:t>
      </w:r>
      <w:r w:rsidR="00C728B7">
        <w:t>’</w:t>
      </w:r>
      <w:r w:rsidRPr="00D808EB">
        <w:t>s financial interests in cases of systemic and persistent breaches of the rule of law; calls on the Commission and the Council to apply the regulation strictly, consistently and without undue delay wherever necessary;</w:t>
      </w:r>
    </w:p>
    <w:p w14:paraId="3569311B" w14:textId="389CE3AD" w:rsidR="00DB659A" w:rsidRPr="00D808EB" w:rsidRDefault="00DB659A" w:rsidP="00DB659A">
      <w:pPr>
        <w:pStyle w:val="NormalHanging12a"/>
      </w:pPr>
      <w:r w:rsidRPr="00D808EB">
        <w:t>45.</w:t>
      </w:r>
      <w:r w:rsidRPr="00D808EB">
        <w:tab/>
        <w:t>Calls for any duplications or overlaps between existing and future legislation to be avoided, in particular in the NRPPs, and calls for a unified, coherent and comprehensive framework across all EU funding programmes, under the umbrella of the Conditionality Regulation, covering both enabling conditions that must be fulfilled in order to access EU funding, and measures to withhold funds when relevant conditions are no longer met; requests the Commission to consolidate all rule of law tools into a unified and comprehensive framework that provides clear, objective and transparent criteria for application and the way in which the Commission will ensure coordination among these tools;</w:t>
      </w:r>
    </w:p>
    <w:p w14:paraId="1F8DA995" w14:textId="77777777" w:rsidR="00DB659A" w:rsidRPr="00D808EB" w:rsidRDefault="00DB659A" w:rsidP="00DB659A">
      <w:pPr>
        <w:pStyle w:val="NormalHanging12a"/>
      </w:pPr>
      <w:r w:rsidRPr="00D808EB">
        <w:t>46.</w:t>
      </w:r>
      <w:r w:rsidRPr="00D808EB">
        <w:tab/>
        <w:t>Demands that Union funds be withheld where essential requirements are not fulfilled and that frozen funds only be released to the Member States concerned once they have fully implemented meaningful reforms and verifiably demonstrated compliance with the rule of law in practice;</w:t>
      </w:r>
    </w:p>
    <w:p w14:paraId="18AF8BA1" w14:textId="77777777" w:rsidR="00DB659A" w:rsidRPr="00D808EB" w:rsidRDefault="00DB659A" w:rsidP="00DB659A">
      <w:pPr>
        <w:pStyle w:val="NormalHanging12a"/>
        <w:widowControl w:val="0"/>
        <w:rPr>
          <w:bCs/>
          <w:iCs/>
        </w:rPr>
      </w:pPr>
      <w:r w:rsidRPr="00D808EB">
        <w:rPr>
          <w:bCs/>
          <w:iCs/>
        </w:rPr>
        <w:t>47.</w:t>
      </w:r>
      <w:r w:rsidRPr="00D808EB">
        <w:rPr>
          <w:bCs/>
          <w:iCs/>
        </w:rPr>
        <w:tab/>
        <w:t>Acknowledges that the Commission proposes, in the context of the NRPPs, the possibility to make funding that is decommitted because of a lack of remedial measures in response to an identified breach of the rule of law under the Conditionality Regulation available again to programmes in direct or indirect management; demands clarification as to how such decommitted amounts could be channelled to other programmes and calls for the prohibition of reshuffling of frozen funds; insists that the decision to use de-committed funds is a prerogative of the budgetary authority in the framework of the annual budgetary procedure and should not be left to the discretion of the Commission;</w:t>
      </w:r>
    </w:p>
    <w:p w14:paraId="218C5271" w14:textId="75D733DE" w:rsidR="00DB659A" w:rsidRPr="00D808EB" w:rsidRDefault="00DB659A" w:rsidP="00D808EB">
      <w:pPr>
        <w:pStyle w:val="NormalHanging12a"/>
        <w:widowControl w:val="0"/>
        <w:rPr>
          <w:b/>
          <w:bCs/>
          <w:i/>
          <w:iCs/>
        </w:rPr>
      </w:pPr>
      <w:r w:rsidRPr="00D808EB">
        <w:rPr>
          <w:b/>
          <w:bCs/>
          <w:i/>
          <w:iCs/>
        </w:rPr>
        <w:t xml:space="preserve">IIA-related matters </w:t>
      </w:r>
    </w:p>
    <w:p w14:paraId="1F43804F" w14:textId="2C0206AD" w:rsidR="00DB659A" w:rsidRPr="00D808EB" w:rsidRDefault="00DB659A" w:rsidP="00DB659A">
      <w:pPr>
        <w:pStyle w:val="NormalHanging12a"/>
      </w:pPr>
      <w:r w:rsidRPr="00D808EB">
        <w:t>48.</w:t>
      </w:r>
      <w:r w:rsidRPr="00D808EB">
        <w:tab/>
        <w:t>Emphasises that a steering mechanism will not compensate for any loss of Parliament</w:t>
      </w:r>
      <w:r w:rsidR="00C728B7">
        <w:t>’</w:t>
      </w:r>
      <w:r w:rsidRPr="00D808EB">
        <w:t>s legislative or budgetary powers; insists that getting budgetary governance right and preserving the prerogatives of the budgetary authority are essential prerequisites to making the annual budgetary procedure more meaningful and that any steering mechanism can only function if the basic foundations are in place;</w:t>
      </w:r>
    </w:p>
    <w:p w14:paraId="7B9E2692" w14:textId="77777777" w:rsidR="00DB659A" w:rsidRPr="00D808EB" w:rsidRDefault="00DB659A" w:rsidP="00DB659A">
      <w:pPr>
        <w:pStyle w:val="NormalHanging12a"/>
      </w:pPr>
      <w:r w:rsidRPr="00D808EB">
        <w:t>49.</w:t>
      </w:r>
      <w:r w:rsidRPr="00D808EB">
        <w:tab/>
        <w:t>Rejects any arrangement that would constrain the freedom of the budgetary authority to make autonomous decisions on budget priorities and allocations; firmly opposes any mechanism that would enable the Commission to predetermine budgetary choices through technical assessments; categorically rejects any possibility for the European Council to influence the annual budgetary procedure through European Council Conclusions, as this would constitute a clear breach of Treaty provisions and undermine the institutional balance established for budgetary decision-making; recalls that the Financial Regulation already provides for the possibility to lift budgetary reserves; calls for systematic coordination by the Commission with the budgetary authority before making any voluntary commitments on the use of in-built flexibility, and for any mobilisation to be approved by decision of the budgetary authority;</w:t>
      </w:r>
    </w:p>
    <w:p w14:paraId="7D3AA100" w14:textId="3EE25E67" w:rsidR="00DB659A" w:rsidRPr="00D808EB" w:rsidRDefault="00DB659A" w:rsidP="00DB659A">
      <w:pPr>
        <w:pStyle w:val="NormalHanging12a"/>
        <w:widowControl w:val="0"/>
        <w:rPr>
          <w:bCs/>
          <w:u w:val="single"/>
        </w:rPr>
      </w:pPr>
      <w:r w:rsidRPr="00D808EB">
        <w:t>50.</w:t>
      </w:r>
      <w:r w:rsidRPr="00D808EB">
        <w:tab/>
        <w:t>Notes with concern that the Commission proposes to increase the deviation from indicative amounts in sectoral legislation from the current 15 % to 20 %; underlines that this proposed increase, combined with the merging of programmes and substantially larger budgets per programme, would create significant potential for modifications without the involvement of co-legislators; expresses serious reservations about the cumulative effect of these changes on democratic oversight and the balance of institutional powers; considers that such an expansion of executive flexibility undermines the prerogatives of the budgetary authority; calls, therefore, for the maximum deviation from indicative amounts to be limited to 5 % over the entire duration of the programmes, ensuring that any substantial budgetary reallocations remain subject to proper democratic scrutiny and co-legislative decision-making; insists that this reduced threshold would maintain necessary operational flexibility while preserving Parliament</w:t>
      </w:r>
      <w:r w:rsidR="00C728B7">
        <w:t>’</w:t>
      </w:r>
      <w:r w:rsidRPr="00D808EB">
        <w:t>s essential role in budgetary oversight;</w:t>
      </w:r>
    </w:p>
    <w:p w14:paraId="4D3F87D7" w14:textId="1B856467" w:rsidR="00DB659A" w:rsidRPr="00D808EB" w:rsidRDefault="00DB659A" w:rsidP="00D808EB">
      <w:pPr>
        <w:pStyle w:val="NormalHanging12a"/>
        <w:widowControl w:val="0"/>
        <w:rPr>
          <w:b/>
          <w:bCs/>
          <w:i/>
          <w:iCs/>
        </w:rPr>
      </w:pPr>
      <w:r w:rsidRPr="00D808EB">
        <w:rPr>
          <w:b/>
          <w:bCs/>
          <w:i/>
          <w:iCs/>
        </w:rPr>
        <w:t>Own resources</w:t>
      </w:r>
    </w:p>
    <w:p w14:paraId="194B3347" w14:textId="4A043540" w:rsidR="00DB659A" w:rsidRPr="00D808EB" w:rsidRDefault="00DB659A" w:rsidP="00DB659A">
      <w:pPr>
        <w:pStyle w:val="NormalHanging12a"/>
      </w:pPr>
      <w:r w:rsidRPr="00D808EB">
        <w:t>51.</w:t>
      </w:r>
      <w:r w:rsidRPr="00D808EB">
        <w:tab/>
        <w:t>Reiterates the need for sustainable and resilient revenue for the Union budget that should match the expenditure side; expresses its continued conviction that without the introduction of new genuine own resources to finance the Union</w:t>
      </w:r>
      <w:r w:rsidR="00C728B7">
        <w:t>’</w:t>
      </w:r>
      <w:r w:rsidRPr="00D808EB">
        <w:t>s budget, the financial burden will inevitably fall on Member States through increased GNI-based contributions; considers, therefore, that the introduction of new revenue streams is an essential condition for an ambitious MFF 2028-2034;</w:t>
      </w:r>
    </w:p>
    <w:p w14:paraId="74FADB0B" w14:textId="7B100204" w:rsidR="00DB659A" w:rsidRPr="00D808EB" w:rsidRDefault="00DB659A" w:rsidP="00DB659A">
      <w:pPr>
        <w:pStyle w:val="NormalHanging12a"/>
      </w:pPr>
      <w:r w:rsidRPr="00D808EB">
        <w:t>52.</w:t>
      </w:r>
      <w:r w:rsidRPr="00D808EB">
        <w:tab/>
        <w:t>Considers that, in the face of unprecedented challenges requiring substantial increases in investment across multiple policy areas in the next MFF period, the revenue base of the EU budget must be broadened, strengthened, diversified and modernised; insists that, to this end, the existing own resources should be adjusted and upgraded, new own resources should be introduced without further delay, revenue other than own resources should be an essential ingredient to the mix of income sources, and well-defined borrowing and lending operations whose ensuing contingent liabilities are safely covered by the headroom under the own resources ceilings should remain an actionable fall-back option, at least in times of unforeseen crises;</w:t>
      </w:r>
    </w:p>
    <w:p w14:paraId="56B2344C" w14:textId="35B9FE49" w:rsidR="00DB659A" w:rsidRPr="00D808EB" w:rsidRDefault="00DB659A" w:rsidP="00DB659A">
      <w:pPr>
        <w:pStyle w:val="NormalHanging12a"/>
      </w:pPr>
      <w:bookmarkStart w:id="6" w:name="_Hlk214625989"/>
      <w:bookmarkStart w:id="7" w:name="_Hlk214976904"/>
      <w:r w:rsidRPr="00D808EB">
        <w:t>53.</w:t>
      </w:r>
      <w:r w:rsidRPr="00D808EB">
        <w:tab/>
        <w:t>Welcomes the Commission</w:t>
      </w:r>
      <w:r w:rsidR="00C728B7">
        <w:t>’</w:t>
      </w:r>
      <w:r w:rsidRPr="00D808EB">
        <w:t>s efforts to identify new own resources, as well as putting forward certain calibrations to traditional own resources, with a view to strengthening the Union</w:t>
      </w:r>
      <w:r w:rsidR="00C728B7">
        <w:t>’</w:t>
      </w:r>
      <w:r w:rsidRPr="00D808EB">
        <w:t>s financial autonomy and reducing reliance on national contributions; supports the broader basket approach proposed by the Commission as this represents a realistic pathway to securing the necessary support in the Council; takes note of the various types of own resources proposed; underlines, however, that any basket of new own resources must imperatively be adopted at the same time as the next multiannual financial framework and must generate a stable and sufficient flow of revenues of at least roughly EUR 60 billion per year, as this level is essential to ensure steady repayment of borrowing undertaken under NGEU, meet the Union</w:t>
      </w:r>
      <w:r w:rsidR="00C728B7">
        <w:t>’</w:t>
      </w:r>
      <w:r w:rsidRPr="00D808EB">
        <w:t>s commitments and finance joint investment in European public goods; calls on the Council to swiftly reach agreement on new own resources in order to provide long-term budgetary certainty;</w:t>
      </w:r>
      <w:bookmarkEnd w:id="6"/>
    </w:p>
    <w:p w14:paraId="0D8D38D4" w14:textId="5C998597" w:rsidR="00DB659A" w:rsidRPr="00D808EB" w:rsidRDefault="00DB659A" w:rsidP="00DB659A">
      <w:pPr>
        <w:pStyle w:val="NormalHanging12a"/>
      </w:pPr>
      <w:r w:rsidRPr="00D808EB">
        <w:t>54.</w:t>
      </w:r>
      <w:r w:rsidRPr="00D808EB">
        <w:tab/>
        <w:t>Demands that, should the Council eliminate certain elements of the basket, it should replace the ensuing gap by increased call-rates for other sources or by replacing them with another source, while the new source should not harm the competitiveness of small and medium-sized enterprises; considers in this sense that the revenue potential of a digital services tax aimed at major digital platforms should be explored as a possible solution should other proposed own resources not gain support among Member States, in order to ensure tax fairness and a revenue level that is commensurate with needs;</w:t>
      </w:r>
      <w:bookmarkEnd w:id="7"/>
    </w:p>
    <w:p w14:paraId="7DC9E219" w14:textId="4354C892" w:rsidR="00DB659A" w:rsidRPr="00D808EB" w:rsidRDefault="00DB659A" w:rsidP="00DB659A">
      <w:pPr>
        <w:pStyle w:val="NormalHanging12a"/>
        <w:widowControl w:val="0"/>
      </w:pPr>
      <w:r w:rsidRPr="00D808EB">
        <w:t>55.</w:t>
      </w:r>
      <w:r w:rsidRPr="00D808EB">
        <w:tab/>
        <w:t>Takes note of the Commission</w:t>
      </w:r>
      <w:r w:rsidR="00C728B7">
        <w:t>’</w:t>
      </w:r>
      <w:r w:rsidRPr="00D808EB">
        <w:t>s proposal for a novel type of crisis mechanism based on extraordinary borrowing backed by additional headroom under the own resources ceiling and anchored in the EU budget</w:t>
      </w:r>
      <w:r w:rsidR="00C728B7">
        <w:t>’</w:t>
      </w:r>
      <w:r w:rsidRPr="00D808EB">
        <w:t>s consistently excellent credit rating; notes that this instrument is time-bound, subject to pre-defined criteria and limitations on its purpose, scope and size delimited by the extra available dedicated headroom compartment; considers that joint borrowing presents a viable option that offers the Union the ability to respond swiftly to unexpected developments; expresses satisfaction that the proposed mechanism would not be based on Article 122 TFEU, which sidelines Parliament as in previous cases, but on a Council regulation under Article 311(4) TFEU, which entails a consent procedure, thus ensuring institutional balance and procedural accountability;</w:t>
      </w:r>
    </w:p>
    <w:p w14:paraId="44F3C50E" w14:textId="77777777" w:rsidR="00DB659A" w:rsidRPr="00D808EB" w:rsidRDefault="00DB659A" w:rsidP="00DB659A">
      <w:pPr>
        <w:pStyle w:val="NormalHanging12a"/>
      </w:pPr>
    </w:p>
    <w:p w14:paraId="56DB7A2F" w14:textId="77777777" w:rsidR="00DB659A" w:rsidRPr="00D808EB" w:rsidRDefault="00DB659A" w:rsidP="00DB659A">
      <w:r w:rsidRPr="00D808EB">
        <w:br w:type="page"/>
      </w:r>
    </w:p>
    <w:p w14:paraId="7E1F57A9" w14:textId="77777777" w:rsidR="008B2D19" w:rsidRPr="00D808EB" w:rsidRDefault="008B2D19" w:rsidP="008B2D19">
      <w:pPr>
        <w:pStyle w:val="NormalHanging12a"/>
        <w:ind w:left="1080" w:hanging="360"/>
        <w:rPr>
          <w:b/>
          <w:bCs/>
          <w:u w:val="single"/>
        </w:rPr>
      </w:pPr>
      <w:bookmarkStart w:id="8" w:name="_Hlk215128664"/>
      <w:r w:rsidRPr="00D808EB">
        <w:rPr>
          <w:b/>
          <w:bCs/>
        </w:rPr>
        <w:t>5.</w:t>
      </w:r>
      <w:r w:rsidRPr="00D808EB">
        <w:rPr>
          <w:b/>
          <w:bCs/>
        </w:rPr>
        <w:tab/>
      </w:r>
      <w:r w:rsidRPr="00D808EB">
        <w:rPr>
          <w:b/>
          <w:bCs/>
          <w:u w:val="single"/>
        </w:rPr>
        <w:t xml:space="preserve">Amendments to the MFF regulation </w:t>
      </w:r>
    </w:p>
    <w:p w14:paraId="1372DFD7" w14:textId="77777777" w:rsidR="008B2D19" w:rsidRPr="00D808EB" w:rsidRDefault="008B2D19" w:rsidP="008B2D19">
      <w:pPr>
        <w:pStyle w:val="NormalHanging12a"/>
        <w:jc w:val="both"/>
      </w:pPr>
      <w:r w:rsidRPr="00D808EB">
        <w:t>56.</w:t>
      </w:r>
      <w:r w:rsidRPr="00D808EB">
        <w:tab/>
        <w:t>Asks the Commission to take into account the following modifications:</w:t>
      </w:r>
    </w:p>
    <w:p w14:paraId="3901EEE2" w14:textId="13B9CBAF" w:rsidR="008B2D19" w:rsidRPr="00D808EB" w:rsidRDefault="008B2D19" w:rsidP="00D808EB">
      <w:pPr>
        <w:pStyle w:val="NormalHanging12a"/>
        <w:ind w:firstLine="0"/>
        <w:jc w:val="both"/>
        <w:rPr>
          <w:b/>
          <w:bCs/>
          <w:u w:val="single"/>
        </w:rPr>
      </w:pPr>
      <w:r w:rsidRPr="00D808EB">
        <w:t>(iii)</w:t>
      </w:r>
      <w:r w:rsidRPr="00D808EB">
        <w:tab/>
        <w:t>The proposal for a Council Regulation should be modified as follows:</w:t>
      </w:r>
      <w:bookmarkEnd w:id="8"/>
    </w:p>
    <w:p w14:paraId="1A361B49" w14:textId="77777777" w:rsidR="008B2D19" w:rsidRPr="00D808EB" w:rsidRDefault="008B2D19" w:rsidP="008B2D19">
      <w:pPr>
        <w:rPr>
          <w:rStyle w:val="HideTWBExt"/>
          <w:noProof w:val="0"/>
        </w:rPr>
      </w:pPr>
      <w:r w:rsidRPr="00D808EB">
        <w:rPr>
          <w:rStyle w:val="HideTWBExt"/>
          <w:b/>
          <w:noProof w:val="0"/>
        </w:rPr>
        <w:br w:type="page"/>
      </w:r>
    </w:p>
    <w:p w14:paraId="28C1886D" w14:textId="77777777" w:rsidR="008B2D19" w:rsidRPr="00D808EB" w:rsidRDefault="008B2D19" w:rsidP="008B2D19">
      <w:pPr>
        <w:pStyle w:val="AmNumberTabs"/>
        <w:keepNext/>
      </w:pPr>
      <w:r w:rsidRPr="00D808EB">
        <w:rPr>
          <w:rStyle w:val="HideTWBExt"/>
          <w:b w:val="0"/>
          <w:noProof w:val="0"/>
        </w:rPr>
        <w:t>&lt;RepeatBlock-Amend&gt;</w:t>
      </w:r>
      <w:bookmarkStart w:id="9" w:name="restart"/>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1</w:t>
      </w:r>
      <w:r w:rsidRPr="00D808EB">
        <w:rPr>
          <w:rStyle w:val="HideTWBExt"/>
          <w:b w:val="0"/>
          <w:noProof w:val="0"/>
        </w:rPr>
        <w:t>&lt;/NumAm&gt;</w:t>
      </w:r>
    </w:p>
    <w:bookmarkEnd w:id="9"/>
    <w:p w14:paraId="239B8D53"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a regulation</w:t>
      </w:r>
      <w:r w:rsidRPr="00D808EB">
        <w:rPr>
          <w:rStyle w:val="HideTWBExt"/>
          <w:b w:val="0"/>
          <w:noProof w:val="0"/>
        </w:rPr>
        <w:t>&lt;/DocAmend&gt;</w:t>
      </w:r>
    </w:p>
    <w:p w14:paraId="218966D2" w14:textId="77777777" w:rsidR="008B2D19" w:rsidRPr="00D808EB" w:rsidRDefault="008B2D19" w:rsidP="008B2D19">
      <w:pPr>
        <w:pStyle w:val="NormalBold"/>
        <w:rPr>
          <w:rStyle w:val="HideTWBExt"/>
          <w:b w:val="0"/>
          <w:noProof w:val="0"/>
        </w:rPr>
      </w:pPr>
      <w:r w:rsidRPr="00D808EB">
        <w:rPr>
          <w:rStyle w:val="HideTWBExt"/>
          <w:b w:val="0"/>
          <w:noProof w:val="0"/>
        </w:rPr>
        <w:t>&lt;Article&gt;</w:t>
      </w:r>
      <w:r w:rsidRPr="00D808EB">
        <w:t xml:space="preserve"> Recital 13</w:t>
      </w:r>
      <w:r w:rsidRPr="00D808EB">
        <w:rPr>
          <w:rStyle w:val="HideTWBExt"/>
          <w:b w:val="0"/>
          <w:noProof w:val="0"/>
        </w:rPr>
        <w:t>&lt;/Article&gt;</w:t>
      </w:r>
    </w:p>
    <w:p w14:paraId="2F3A4C93" w14:textId="77777777" w:rsidR="008B2D19" w:rsidRPr="00D808EB" w:rsidRDefault="008B2D19" w:rsidP="008B2D19">
      <w:pPr>
        <w:pStyle w:val="NormalBold"/>
        <w:rPr>
          <w:rStyle w:val="HideTWBExt"/>
          <w:b w:val="0"/>
          <w:noProof w:val="0"/>
        </w:rPr>
      </w:pP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73776E51" w14:textId="77777777" w:rsidTr="00803DA5">
        <w:trPr>
          <w:jc w:val="center"/>
        </w:trPr>
        <w:tc>
          <w:tcPr>
            <w:tcW w:w="9752" w:type="dxa"/>
            <w:gridSpan w:val="2"/>
          </w:tcPr>
          <w:p w14:paraId="6A986569" w14:textId="77777777" w:rsidR="008B2D19" w:rsidRPr="00D808EB" w:rsidRDefault="008B2D19" w:rsidP="00803DA5">
            <w:pPr>
              <w:keepNext/>
            </w:pPr>
          </w:p>
        </w:tc>
      </w:tr>
      <w:tr w:rsidR="008B2D19" w:rsidRPr="00D808EB" w14:paraId="5C2DD8D8" w14:textId="77777777" w:rsidTr="00803DA5">
        <w:trPr>
          <w:jc w:val="center"/>
        </w:trPr>
        <w:tc>
          <w:tcPr>
            <w:tcW w:w="4876" w:type="dxa"/>
          </w:tcPr>
          <w:p w14:paraId="47D01F53" w14:textId="77777777" w:rsidR="008B2D19" w:rsidRPr="00D808EB" w:rsidRDefault="008B2D19" w:rsidP="00803DA5">
            <w:pPr>
              <w:pStyle w:val="AmColumnHeading"/>
              <w:keepNext/>
            </w:pPr>
            <w:r w:rsidRPr="00D808EB">
              <w:t>Text proposed by the Commission</w:t>
            </w:r>
          </w:p>
        </w:tc>
        <w:tc>
          <w:tcPr>
            <w:tcW w:w="4876" w:type="dxa"/>
          </w:tcPr>
          <w:p w14:paraId="164E7D69" w14:textId="77777777" w:rsidR="008B2D19" w:rsidRPr="00D808EB" w:rsidRDefault="008B2D19" w:rsidP="00803DA5">
            <w:pPr>
              <w:pStyle w:val="AmColumnHeading"/>
              <w:keepNext/>
            </w:pPr>
            <w:r w:rsidRPr="00D808EB">
              <w:t>Modification</w:t>
            </w:r>
          </w:p>
        </w:tc>
      </w:tr>
      <w:tr w:rsidR="008B2D19" w:rsidRPr="00D808EB" w14:paraId="7D409F4F" w14:textId="77777777" w:rsidTr="00803DA5">
        <w:trPr>
          <w:jc w:val="center"/>
        </w:trPr>
        <w:tc>
          <w:tcPr>
            <w:tcW w:w="4876" w:type="dxa"/>
          </w:tcPr>
          <w:p w14:paraId="65E4BD0B" w14:textId="77777777" w:rsidR="008B2D19" w:rsidRPr="00D808EB" w:rsidRDefault="008B2D19" w:rsidP="00803DA5">
            <w:pPr>
              <w:pStyle w:val="Normal6a"/>
            </w:pPr>
            <w:r w:rsidRPr="00D808EB">
              <w:rPr>
                <w:b/>
                <w:bCs/>
                <w:i/>
                <w:iCs/>
              </w:rPr>
              <w:t>(13)</w:t>
            </w:r>
            <w:r w:rsidRPr="00D808EB">
              <w:rPr>
                <w:b/>
                <w:bCs/>
                <w:i/>
                <w:iCs/>
              </w:rPr>
              <w:tab/>
              <w:t>Non-thematic special instruments are necessary to provide flexibility in favour of any MFF heading according to needs, and to facilitate the budgetary procedure. The Single Margin Instrument should enable shifting margins available below the ceilings for commitment and payment appropriations, respectively, between financial years and, for commitment appropriations, between MFF headings, without exceeding the total amounts of the MFF ceilings for commitment and payment appropriations for the entire period of the MFF. In line with sound financial management and prudent budgeting, the mobilisation of amounts of margins from the current and future financial years should be a last resort.</w:t>
            </w:r>
          </w:p>
        </w:tc>
        <w:tc>
          <w:tcPr>
            <w:tcW w:w="4876" w:type="dxa"/>
          </w:tcPr>
          <w:p w14:paraId="13354264" w14:textId="77777777" w:rsidR="008B2D19" w:rsidRPr="00D808EB" w:rsidRDefault="008B2D19" w:rsidP="00803DA5">
            <w:pPr>
              <w:pStyle w:val="Normal6a"/>
              <w:rPr>
                <w:iCs/>
              </w:rPr>
            </w:pPr>
            <w:r w:rsidRPr="00D808EB">
              <w:rPr>
                <w:b/>
                <w:bCs/>
                <w:i/>
                <w:iCs/>
              </w:rPr>
              <w:t>deleted</w:t>
            </w:r>
            <w:r w:rsidRPr="00D808EB">
              <w:rPr>
                <w:iCs/>
              </w:rPr>
              <w:t xml:space="preserve"> </w:t>
            </w:r>
          </w:p>
        </w:tc>
      </w:tr>
    </w:tbl>
    <w:p w14:paraId="332CA79D"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53270D12" w14:textId="77777777" w:rsidR="008B2D19" w:rsidRPr="00D808EB" w:rsidRDefault="008B2D19" w:rsidP="008B2D19">
      <w:r w:rsidRPr="00D808EB">
        <w:rPr>
          <w:rStyle w:val="HideTWBExt"/>
          <w:noProof w:val="0"/>
        </w:rPr>
        <w:t>&lt;/Amend&gt;</w:t>
      </w:r>
    </w:p>
    <w:p w14:paraId="1C2D5FFB"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w:t>
      </w:r>
      <w:r w:rsidRPr="00D808EB">
        <w:rPr>
          <w:rStyle w:val="HideTWBExt"/>
          <w:b w:val="0"/>
          <w:noProof w:val="0"/>
        </w:rPr>
        <w:t>&lt;/NumAm&gt;</w:t>
      </w:r>
    </w:p>
    <w:p w14:paraId="13C7DE01"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a regulation</w:t>
      </w:r>
      <w:r w:rsidRPr="00D808EB">
        <w:rPr>
          <w:rStyle w:val="HideTWBExt"/>
          <w:b w:val="0"/>
          <w:noProof w:val="0"/>
        </w:rPr>
        <w:t>&lt;/DocAmend&gt;</w:t>
      </w:r>
    </w:p>
    <w:p w14:paraId="759C7A37" w14:textId="77777777" w:rsidR="008B2D19" w:rsidRPr="00D808EB" w:rsidRDefault="008B2D19" w:rsidP="008B2D19">
      <w:pPr>
        <w:pStyle w:val="NormalBold"/>
        <w:rPr>
          <w:rStyle w:val="HideTWBExt"/>
          <w:b w:val="0"/>
          <w:noProof w:val="0"/>
        </w:rPr>
      </w:pPr>
      <w:r w:rsidRPr="00D808EB">
        <w:rPr>
          <w:rStyle w:val="HideTWBExt"/>
          <w:b w:val="0"/>
          <w:noProof w:val="0"/>
        </w:rPr>
        <w:t>&lt;Article&gt;</w:t>
      </w:r>
      <w:r w:rsidRPr="00D808EB">
        <w:t xml:space="preserve"> Recital 14</w:t>
      </w:r>
      <w:r w:rsidRPr="00D808EB">
        <w:rPr>
          <w:rStyle w:val="HideTWBExt"/>
          <w:b w:val="0"/>
          <w:noProof w:val="0"/>
        </w:rPr>
        <w:t>&lt;/Article&gt;</w:t>
      </w:r>
    </w:p>
    <w:p w14:paraId="0F09967B" w14:textId="77777777" w:rsidR="008B2D19" w:rsidRPr="00D808EB" w:rsidRDefault="008B2D19" w:rsidP="008B2D19">
      <w:pPr>
        <w:pStyle w:val="NormalBold"/>
        <w:rPr>
          <w:rStyle w:val="HideTWBExt"/>
          <w:b w:val="0"/>
          <w:noProof w:val="0"/>
        </w:rPr>
      </w:pP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60F81376" w14:textId="77777777" w:rsidTr="00803DA5">
        <w:trPr>
          <w:jc w:val="center"/>
        </w:trPr>
        <w:tc>
          <w:tcPr>
            <w:tcW w:w="9752" w:type="dxa"/>
            <w:gridSpan w:val="2"/>
          </w:tcPr>
          <w:p w14:paraId="7DDEA1F4" w14:textId="77777777" w:rsidR="008B2D19" w:rsidRPr="00D808EB" w:rsidRDefault="008B2D19" w:rsidP="00803DA5">
            <w:pPr>
              <w:keepNext/>
            </w:pPr>
          </w:p>
        </w:tc>
      </w:tr>
      <w:tr w:rsidR="008B2D19" w:rsidRPr="00D808EB" w14:paraId="62C693CE" w14:textId="77777777" w:rsidTr="00803DA5">
        <w:trPr>
          <w:jc w:val="center"/>
        </w:trPr>
        <w:tc>
          <w:tcPr>
            <w:tcW w:w="4876" w:type="dxa"/>
          </w:tcPr>
          <w:p w14:paraId="280F7F98" w14:textId="77777777" w:rsidR="008B2D19" w:rsidRPr="00D808EB" w:rsidRDefault="008B2D19" w:rsidP="00803DA5">
            <w:pPr>
              <w:pStyle w:val="AmColumnHeading"/>
              <w:keepNext/>
            </w:pPr>
            <w:r w:rsidRPr="00D808EB">
              <w:t>Text proposed by the Commission</w:t>
            </w:r>
          </w:p>
        </w:tc>
        <w:tc>
          <w:tcPr>
            <w:tcW w:w="4876" w:type="dxa"/>
          </w:tcPr>
          <w:p w14:paraId="759EA901" w14:textId="77777777" w:rsidR="008B2D19" w:rsidRPr="00D808EB" w:rsidRDefault="008B2D19" w:rsidP="00803DA5">
            <w:pPr>
              <w:pStyle w:val="AmColumnHeading"/>
              <w:keepNext/>
            </w:pPr>
            <w:r w:rsidRPr="00D808EB">
              <w:t>Modification</w:t>
            </w:r>
          </w:p>
        </w:tc>
      </w:tr>
      <w:tr w:rsidR="008B2D19" w:rsidRPr="00D808EB" w14:paraId="559C71DE" w14:textId="77777777" w:rsidTr="00803DA5">
        <w:trPr>
          <w:jc w:val="center"/>
        </w:trPr>
        <w:tc>
          <w:tcPr>
            <w:tcW w:w="4876" w:type="dxa"/>
          </w:tcPr>
          <w:p w14:paraId="77213D32" w14:textId="77777777" w:rsidR="008B2D19" w:rsidRPr="00D808EB" w:rsidRDefault="008B2D19" w:rsidP="00803DA5">
            <w:pPr>
              <w:pStyle w:val="Normal6a"/>
            </w:pPr>
            <w:r w:rsidRPr="00D808EB">
              <w:rPr>
                <w:iCs/>
              </w:rPr>
              <w:t>(14)</w:t>
            </w:r>
            <w:r w:rsidRPr="00D808EB">
              <w:rPr>
                <w:iCs/>
              </w:rPr>
              <w:tab/>
              <w:t xml:space="preserve">The Flexibility Instrument should be available to allow the financing of specific unforeseen expenditure for a given financial year. The Flexibility Instrument should be constituted of a fixed amount, as well as of amounts equivalent to revenue collected pursuant to the implementation of Union policies, such as fines, other penalties, sanctions and any accrued interest or other income generated by them imposed by Union institutions, </w:t>
            </w:r>
            <w:r w:rsidRPr="00D808EB">
              <w:rPr>
                <w:b/>
                <w:bCs/>
                <w:i/>
              </w:rPr>
              <w:t xml:space="preserve">and </w:t>
            </w:r>
            <w:r w:rsidRPr="00D808EB">
              <w:rPr>
                <w:iCs/>
              </w:rPr>
              <w:t>amounts equivalent to decommitments of appropriations, other than external assigned revenue, with the exclusion of amounts made available again in accordance with specific rules on making appropriations corresponding to decommitments available again.</w:t>
            </w:r>
          </w:p>
        </w:tc>
        <w:tc>
          <w:tcPr>
            <w:tcW w:w="4876" w:type="dxa"/>
          </w:tcPr>
          <w:p w14:paraId="51358E90" w14:textId="77777777" w:rsidR="008B2D19" w:rsidRPr="00D808EB" w:rsidRDefault="008B2D19" w:rsidP="00803DA5">
            <w:pPr>
              <w:pStyle w:val="AmColumnHeading"/>
              <w:keepNext/>
              <w:jc w:val="left"/>
              <w:rPr>
                <w:b/>
                <w:bCs/>
              </w:rPr>
            </w:pPr>
            <w:r w:rsidRPr="00D808EB">
              <w:rPr>
                <w:i w:val="0"/>
                <w:iCs/>
              </w:rPr>
              <w:t>(14)</w:t>
            </w:r>
            <w:r w:rsidRPr="00D808EB">
              <w:rPr>
                <w:i w:val="0"/>
                <w:iCs/>
              </w:rPr>
              <w:tab/>
              <w:t>The Flexibility Instrument should be available to allow the financing of specific unforeseen expenditure for a given financial year. The Flexibility Instrument should be constituted of a fixed amount, as well as of amounts equivalent to revenue collected pursuant to the implementation of Union policies, such as fines, other penalties, sanctions and any accrued interest or other income generated by them imposed by Union institutions, amounts equivalent to decommitments of appropriations, other than external assigned revenue, with the exclusion of amounts made available again in accordance with specific rules on making appropriations corresponding to decommitments available again</w:t>
            </w:r>
            <w:r w:rsidRPr="00D808EB">
              <w:rPr>
                <w:b/>
                <w:bCs/>
              </w:rPr>
              <w:t xml:space="preserve">, margins left available from previous years and the annual surplus. Where necessary and as a last resort, it should be possible, in the annual budget procedure, to increase the amount of the Flexibility Instrument by an amount that would be fully offset against the margin of commitment or payment appropriations in one or more MFF headings for the financial year in question or future financial years. </w:t>
            </w:r>
          </w:p>
          <w:p w14:paraId="0EAB1DA1" w14:textId="77777777" w:rsidR="008B2D19" w:rsidRPr="00D808EB" w:rsidRDefault="008B2D19" w:rsidP="00803DA5">
            <w:pPr>
              <w:pStyle w:val="Normal6a"/>
              <w:rPr>
                <w:iCs/>
              </w:rPr>
            </w:pPr>
          </w:p>
        </w:tc>
      </w:tr>
    </w:tbl>
    <w:p w14:paraId="6DC93D51"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5C424D4D" w14:textId="77777777" w:rsidR="008B2D19" w:rsidRPr="00D808EB" w:rsidRDefault="008B2D19" w:rsidP="008B2D19">
      <w:pPr>
        <w:rPr>
          <w:rStyle w:val="HideTWBExt"/>
          <w:noProof w:val="0"/>
        </w:rPr>
      </w:pPr>
      <w:r w:rsidRPr="00D808EB">
        <w:rPr>
          <w:rStyle w:val="HideTWBExt"/>
          <w:noProof w:val="0"/>
        </w:rPr>
        <w:t>&lt;/Amend&gt;</w:t>
      </w:r>
    </w:p>
    <w:p w14:paraId="769C6CFE" w14:textId="77777777" w:rsidR="008B2D19" w:rsidRPr="00D808EB" w:rsidRDefault="008B2D19" w:rsidP="008B2D19">
      <w:pPr>
        <w:rPr>
          <w:rStyle w:val="HideTWBExt"/>
          <w:noProof w:val="0"/>
        </w:rPr>
      </w:pPr>
    </w:p>
    <w:p w14:paraId="6A0E4D4C"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w:t>
      </w:r>
      <w:r w:rsidRPr="00D808EB">
        <w:rPr>
          <w:rStyle w:val="HideTWBExt"/>
          <w:b w:val="0"/>
          <w:noProof w:val="0"/>
        </w:rPr>
        <w:t>&lt;/NumAm&gt;</w:t>
      </w:r>
    </w:p>
    <w:p w14:paraId="41B854B8"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a regulation</w:t>
      </w:r>
      <w:r w:rsidRPr="00D808EB">
        <w:rPr>
          <w:rStyle w:val="HideTWBExt"/>
          <w:b w:val="0"/>
          <w:noProof w:val="0"/>
        </w:rPr>
        <w:t>&lt;/DocAmend&gt;</w:t>
      </w:r>
    </w:p>
    <w:p w14:paraId="5796F733" w14:textId="77777777" w:rsidR="008B2D19" w:rsidRPr="00D808EB" w:rsidRDefault="008B2D19" w:rsidP="008B2D19">
      <w:pPr>
        <w:pStyle w:val="NormalBold"/>
        <w:rPr>
          <w:rStyle w:val="HideTWBExt"/>
          <w:b w:val="0"/>
          <w:noProof w:val="0"/>
        </w:rPr>
      </w:pPr>
      <w:r w:rsidRPr="00D808EB">
        <w:rPr>
          <w:rStyle w:val="HideTWBExt"/>
          <w:b w:val="0"/>
          <w:noProof w:val="0"/>
        </w:rPr>
        <w:t>&lt;Article&gt;</w:t>
      </w:r>
      <w:r w:rsidRPr="00D808EB">
        <w:t xml:space="preserve"> Chapter 1 - Article 2 – paragraph 2</w:t>
      </w:r>
      <w:r w:rsidRPr="00D808EB">
        <w:rPr>
          <w:rStyle w:val="HideTWBExt"/>
          <w:b w:val="0"/>
          <w:noProof w:val="0"/>
        </w:rPr>
        <w:t>&lt;/Article&gt;</w:t>
      </w:r>
    </w:p>
    <w:p w14:paraId="55964FFE"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2B54E8A9" w14:textId="77777777" w:rsidTr="00803DA5">
        <w:trPr>
          <w:jc w:val="center"/>
        </w:trPr>
        <w:tc>
          <w:tcPr>
            <w:tcW w:w="9752" w:type="dxa"/>
            <w:gridSpan w:val="2"/>
          </w:tcPr>
          <w:p w14:paraId="0287B5C5" w14:textId="77777777" w:rsidR="008B2D19" w:rsidRPr="00D808EB" w:rsidRDefault="008B2D19" w:rsidP="00803DA5">
            <w:pPr>
              <w:keepNext/>
            </w:pPr>
          </w:p>
        </w:tc>
      </w:tr>
      <w:tr w:rsidR="008B2D19" w:rsidRPr="00D808EB" w14:paraId="33897F12" w14:textId="77777777" w:rsidTr="00803DA5">
        <w:trPr>
          <w:jc w:val="center"/>
        </w:trPr>
        <w:tc>
          <w:tcPr>
            <w:tcW w:w="4876" w:type="dxa"/>
          </w:tcPr>
          <w:p w14:paraId="736E67AC" w14:textId="77777777" w:rsidR="008B2D19" w:rsidRPr="00D808EB" w:rsidRDefault="008B2D19" w:rsidP="00803DA5">
            <w:pPr>
              <w:pStyle w:val="AmColumnHeading"/>
              <w:keepNext/>
            </w:pPr>
            <w:r w:rsidRPr="00D808EB">
              <w:t>Text proposed by the Commission</w:t>
            </w:r>
          </w:p>
        </w:tc>
        <w:tc>
          <w:tcPr>
            <w:tcW w:w="4876" w:type="dxa"/>
          </w:tcPr>
          <w:p w14:paraId="6D8C1EE1" w14:textId="77777777" w:rsidR="008B2D19" w:rsidRPr="00D808EB" w:rsidRDefault="008B2D19" w:rsidP="00803DA5">
            <w:pPr>
              <w:pStyle w:val="AmColumnHeading"/>
              <w:keepNext/>
            </w:pPr>
            <w:r w:rsidRPr="00D808EB">
              <w:t>Modification</w:t>
            </w:r>
          </w:p>
        </w:tc>
      </w:tr>
      <w:tr w:rsidR="008B2D19" w:rsidRPr="00D808EB" w14:paraId="309E32FB" w14:textId="77777777" w:rsidTr="00803DA5">
        <w:trPr>
          <w:jc w:val="center"/>
        </w:trPr>
        <w:tc>
          <w:tcPr>
            <w:tcW w:w="4876" w:type="dxa"/>
          </w:tcPr>
          <w:p w14:paraId="3CDCAD95" w14:textId="77777777" w:rsidR="008B2D19" w:rsidRPr="00D808EB" w:rsidRDefault="008B2D19" w:rsidP="00803DA5">
            <w:pPr>
              <w:pStyle w:val="ManualNumPar1"/>
              <w:ind w:left="0" w:firstLine="0"/>
            </w:pPr>
            <w:r w:rsidRPr="00D808EB">
              <w:t>2.</w:t>
            </w:r>
            <w:r w:rsidRPr="00D808EB">
              <w:tab/>
              <w:t xml:space="preserve">Where it is necessary to use the resources from the special instruments provided for in Articles 6 </w:t>
            </w:r>
            <w:r w:rsidRPr="00D808EB">
              <w:rPr>
                <w:b/>
                <w:bCs/>
                <w:i/>
                <w:iCs/>
              </w:rPr>
              <w:t>and</w:t>
            </w:r>
            <w:r w:rsidRPr="00D808EB">
              <w:t xml:space="preserve"> 8, commitment and corresponding payment appropriations shall be entered in the budget over and above the relevant MFF ceilings.</w:t>
            </w:r>
          </w:p>
          <w:p w14:paraId="78FBF103" w14:textId="77777777" w:rsidR="008B2D19" w:rsidRPr="00D808EB" w:rsidRDefault="008B2D19" w:rsidP="00803DA5">
            <w:pPr>
              <w:pStyle w:val="Normal6a"/>
              <w:rPr>
                <w:b/>
                <w:bCs/>
                <w:i/>
              </w:rPr>
            </w:pPr>
            <w:r w:rsidRPr="00D808EB">
              <w:rPr>
                <w:b/>
                <w:bCs/>
                <w:i/>
              </w:rPr>
              <w:t>Where it is necessary to use the resources from the Single Margin Instrument as laid down in Article 7, commitment and corresponding payment appropriations shall be entered in the budget over and above the relevant MFF ceilings for a given year.</w:t>
            </w:r>
          </w:p>
          <w:p w14:paraId="7459EFA8" w14:textId="77777777" w:rsidR="008B2D19" w:rsidRPr="00D808EB" w:rsidRDefault="008B2D19" w:rsidP="00803DA5">
            <w:pPr>
              <w:pStyle w:val="Normal6a"/>
            </w:pPr>
          </w:p>
        </w:tc>
        <w:tc>
          <w:tcPr>
            <w:tcW w:w="4876" w:type="dxa"/>
          </w:tcPr>
          <w:p w14:paraId="394BEBB4" w14:textId="77777777" w:rsidR="008B2D19" w:rsidRPr="00D808EB" w:rsidRDefault="008B2D19" w:rsidP="00803DA5">
            <w:pPr>
              <w:pStyle w:val="ManualNumPar1"/>
              <w:ind w:left="0" w:firstLine="0"/>
            </w:pPr>
            <w:r w:rsidRPr="00D808EB">
              <w:t>2.</w:t>
            </w:r>
            <w:r w:rsidRPr="00D808EB">
              <w:tab/>
            </w:r>
            <w:r w:rsidRPr="00D808EB">
              <w:rPr>
                <w:rFonts w:eastAsia="Times New Roman"/>
                <w:szCs w:val="20"/>
                <w:lang w:eastAsia="en-GB"/>
              </w:rPr>
              <w:t>Where it is necessary to use the resources from the special instruments provided for in Articles 6</w:t>
            </w:r>
            <w:r w:rsidRPr="00D808EB">
              <w:rPr>
                <w:rFonts w:eastAsia="Times New Roman"/>
                <w:b/>
                <w:bCs/>
                <w:i/>
                <w:iCs/>
                <w:szCs w:val="20"/>
                <w:lang w:eastAsia="en-GB"/>
              </w:rPr>
              <w:t>,</w:t>
            </w:r>
            <w:r w:rsidRPr="00D808EB">
              <w:rPr>
                <w:rFonts w:eastAsia="Times New Roman"/>
                <w:szCs w:val="20"/>
                <w:lang w:eastAsia="en-GB"/>
              </w:rPr>
              <w:t xml:space="preserve"> 8 and </w:t>
            </w:r>
            <w:r w:rsidRPr="00D808EB">
              <w:rPr>
                <w:rFonts w:eastAsia="Times New Roman"/>
                <w:b/>
                <w:bCs/>
                <w:i/>
                <w:iCs/>
                <w:szCs w:val="20"/>
                <w:lang w:eastAsia="en-GB"/>
              </w:rPr>
              <w:t>8a</w:t>
            </w:r>
            <w:r w:rsidRPr="00D808EB">
              <w:rPr>
                <w:rFonts w:eastAsia="Times New Roman"/>
                <w:szCs w:val="20"/>
                <w:lang w:eastAsia="en-GB"/>
              </w:rPr>
              <w:t>, commitment and corresponding payment appropriations shall be entered in the budget over and above the relevant MFF ceilings.</w:t>
            </w:r>
          </w:p>
        </w:tc>
      </w:tr>
    </w:tbl>
    <w:p w14:paraId="401691D0"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3CE4AF1B" w14:textId="77777777" w:rsidR="008B2D19" w:rsidRPr="00D808EB" w:rsidRDefault="008B2D19" w:rsidP="008B2D19">
      <w:r w:rsidRPr="00D808EB">
        <w:rPr>
          <w:rStyle w:val="HideTWBExt"/>
          <w:noProof w:val="0"/>
        </w:rPr>
        <w:t>&lt;/Amend&gt;</w:t>
      </w:r>
    </w:p>
    <w:p w14:paraId="2C1E70C8"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4</w:t>
      </w:r>
      <w:r w:rsidRPr="00D808EB">
        <w:rPr>
          <w:rStyle w:val="HideTWBExt"/>
          <w:b w:val="0"/>
          <w:noProof w:val="0"/>
        </w:rPr>
        <w:t>&lt;/NumAm&gt;</w:t>
      </w:r>
    </w:p>
    <w:p w14:paraId="26D9778F"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a regulation</w:t>
      </w:r>
      <w:r w:rsidRPr="00D808EB">
        <w:rPr>
          <w:rStyle w:val="HideTWBExt"/>
          <w:b w:val="0"/>
          <w:noProof w:val="0"/>
        </w:rPr>
        <w:t>&lt;/DocAmend&gt;</w:t>
      </w:r>
    </w:p>
    <w:p w14:paraId="7FCC66B0" w14:textId="77777777" w:rsidR="008B2D19" w:rsidRPr="00D808EB" w:rsidRDefault="008B2D19" w:rsidP="008B2D19">
      <w:pPr>
        <w:pStyle w:val="NormalBold"/>
        <w:rPr>
          <w:rStyle w:val="HideTWBExt"/>
          <w:b w:val="0"/>
          <w:noProof w:val="0"/>
        </w:rPr>
      </w:pPr>
      <w:r w:rsidRPr="00D808EB">
        <w:rPr>
          <w:rStyle w:val="HideTWBExt"/>
          <w:b w:val="0"/>
          <w:noProof w:val="0"/>
        </w:rPr>
        <w:t>&lt;Article&gt;</w:t>
      </w:r>
      <w:r w:rsidRPr="00D808EB">
        <w:t xml:space="preserve"> Chapter 2 - Article 3a (new)</w:t>
      </w:r>
      <w:r w:rsidRPr="00D808EB">
        <w:rPr>
          <w:rStyle w:val="HideTWBExt"/>
          <w:b w:val="0"/>
          <w:noProof w:val="0"/>
        </w:rPr>
        <w:t>&lt;/Article&gt;</w:t>
      </w:r>
    </w:p>
    <w:p w14:paraId="5F8C618D"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0B10FD62" w14:textId="77777777" w:rsidTr="00803DA5">
        <w:trPr>
          <w:jc w:val="center"/>
        </w:trPr>
        <w:tc>
          <w:tcPr>
            <w:tcW w:w="9752" w:type="dxa"/>
            <w:gridSpan w:val="2"/>
          </w:tcPr>
          <w:p w14:paraId="2787428E" w14:textId="77777777" w:rsidR="008B2D19" w:rsidRPr="00D808EB" w:rsidRDefault="008B2D19" w:rsidP="00803DA5">
            <w:pPr>
              <w:keepNext/>
            </w:pPr>
          </w:p>
        </w:tc>
      </w:tr>
      <w:tr w:rsidR="008B2D19" w:rsidRPr="00D808EB" w14:paraId="773D4B6B" w14:textId="77777777" w:rsidTr="00803DA5">
        <w:trPr>
          <w:jc w:val="center"/>
        </w:trPr>
        <w:tc>
          <w:tcPr>
            <w:tcW w:w="4876" w:type="dxa"/>
          </w:tcPr>
          <w:p w14:paraId="25D54A22" w14:textId="77777777" w:rsidR="008B2D19" w:rsidRPr="00D808EB" w:rsidRDefault="008B2D19" w:rsidP="00803DA5">
            <w:pPr>
              <w:pStyle w:val="AmColumnHeading"/>
              <w:keepNext/>
            </w:pPr>
            <w:r w:rsidRPr="00D808EB">
              <w:t>Text proposed by the Commission</w:t>
            </w:r>
          </w:p>
        </w:tc>
        <w:tc>
          <w:tcPr>
            <w:tcW w:w="4876" w:type="dxa"/>
          </w:tcPr>
          <w:p w14:paraId="0289B04E" w14:textId="77777777" w:rsidR="008B2D19" w:rsidRPr="00D808EB" w:rsidRDefault="008B2D19" w:rsidP="00803DA5">
            <w:pPr>
              <w:pStyle w:val="AmColumnHeading"/>
              <w:keepNext/>
            </w:pPr>
            <w:r w:rsidRPr="00D808EB">
              <w:t>Modification</w:t>
            </w:r>
          </w:p>
        </w:tc>
      </w:tr>
      <w:tr w:rsidR="008B2D19" w:rsidRPr="00D808EB" w14:paraId="106B23C9" w14:textId="77777777" w:rsidTr="00803DA5">
        <w:trPr>
          <w:jc w:val="center"/>
        </w:trPr>
        <w:tc>
          <w:tcPr>
            <w:tcW w:w="4876" w:type="dxa"/>
          </w:tcPr>
          <w:p w14:paraId="058332BA" w14:textId="77777777" w:rsidR="008B2D19" w:rsidRPr="00D808EB" w:rsidRDefault="008B2D19" w:rsidP="00803DA5">
            <w:pPr>
              <w:pStyle w:val="Normal6a"/>
            </w:pPr>
          </w:p>
        </w:tc>
        <w:tc>
          <w:tcPr>
            <w:tcW w:w="4876" w:type="dxa"/>
          </w:tcPr>
          <w:p w14:paraId="153DAE83" w14:textId="77777777" w:rsidR="008B2D19" w:rsidRPr="00D808EB" w:rsidRDefault="008B2D19" w:rsidP="00803DA5">
            <w:pPr>
              <w:pStyle w:val="Normal6a"/>
              <w:jc w:val="center"/>
              <w:rPr>
                <w:b/>
                <w:bCs/>
                <w:i/>
                <w:iCs/>
              </w:rPr>
            </w:pPr>
            <w:r w:rsidRPr="00D808EB">
              <w:rPr>
                <w:b/>
                <w:bCs/>
                <w:i/>
                <w:iCs/>
              </w:rPr>
              <w:t>Article 3a</w:t>
            </w:r>
          </w:p>
          <w:p w14:paraId="7A5CA01E" w14:textId="77777777" w:rsidR="008B2D19" w:rsidRPr="00D808EB" w:rsidRDefault="008B2D19" w:rsidP="00803DA5">
            <w:pPr>
              <w:pStyle w:val="Normal6a"/>
              <w:jc w:val="center"/>
              <w:rPr>
                <w:b/>
                <w:bCs/>
                <w:i/>
                <w:iCs/>
              </w:rPr>
            </w:pPr>
            <w:r w:rsidRPr="00D808EB">
              <w:rPr>
                <w:b/>
                <w:bCs/>
                <w:i/>
                <w:iCs/>
              </w:rPr>
              <w:t>Global margin for payments</w:t>
            </w:r>
          </w:p>
          <w:p w14:paraId="4E779882" w14:textId="77777777" w:rsidR="008B2D19" w:rsidRPr="00D808EB" w:rsidRDefault="008B2D19" w:rsidP="00803DA5">
            <w:pPr>
              <w:pStyle w:val="Normal6a"/>
              <w:jc w:val="both"/>
              <w:rPr>
                <w:b/>
                <w:bCs/>
                <w:i/>
                <w:iCs/>
              </w:rPr>
            </w:pPr>
            <w:r w:rsidRPr="00D808EB">
              <w:rPr>
                <w:b/>
                <w:bCs/>
                <w:i/>
                <w:iCs/>
              </w:rPr>
              <w:t>1.</w:t>
            </w:r>
            <w:r w:rsidRPr="00D808EB">
              <w:rPr>
                <w:b/>
                <w:bCs/>
                <w:i/>
                <w:iCs/>
              </w:rPr>
              <w:tab/>
              <w:t>Every year, starting in 2029, as part of the technical adjustment referred to in Article 4, the Commission shall adjust the payment ceiling for the years 2029 to 2034 upwards by an amount equivalent to the difference between the executed payments and the MFF payment ceiling of year n-1.</w:t>
            </w:r>
          </w:p>
          <w:p w14:paraId="5D228592" w14:textId="77777777" w:rsidR="008B2D19" w:rsidRPr="00D808EB" w:rsidRDefault="008B2D19" w:rsidP="00803DA5">
            <w:pPr>
              <w:pStyle w:val="Normal6a"/>
              <w:rPr>
                <w:iCs/>
              </w:rPr>
            </w:pPr>
            <w:r w:rsidRPr="00D808EB">
              <w:rPr>
                <w:b/>
                <w:bCs/>
                <w:i/>
                <w:iCs/>
              </w:rPr>
              <w:t>2.</w:t>
            </w:r>
            <w:r w:rsidRPr="00D808EB">
              <w:rPr>
                <w:b/>
                <w:bCs/>
                <w:i/>
                <w:iCs/>
              </w:rPr>
              <w:tab/>
              <w:t>Any adjustment made pursuant to paragraph 1 shall be fully offset by a corresponding reduction of the payment ceiling for year n-1.</w:t>
            </w:r>
          </w:p>
        </w:tc>
      </w:tr>
    </w:tbl>
    <w:p w14:paraId="79487F27"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6D42F0A7" w14:textId="77777777" w:rsidR="008B2D19" w:rsidRPr="00D808EB" w:rsidRDefault="008B2D19" w:rsidP="008B2D19">
      <w:r w:rsidRPr="00D808EB">
        <w:rPr>
          <w:rStyle w:val="HideTWBExt"/>
          <w:noProof w:val="0"/>
        </w:rPr>
        <w:t>&lt;/Amend&gt;</w:t>
      </w:r>
    </w:p>
    <w:p w14:paraId="3C172FAD"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5</w:t>
      </w:r>
      <w:r w:rsidRPr="00D808EB">
        <w:rPr>
          <w:rStyle w:val="HideTWBExt"/>
          <w:b w:val="0"/>
          <w:noProof w:val="0"/>
        </w:rPr>
        <w:t>&lt;/NumAm&gt;</w:t>
      </w:r>
    </w:p>
    <w:p w14:paraId="608CE72C"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a regulation</w:t>
      </w:r>
      <w:r w:rsidRPr="00D808EB">
        <w:rPr>
          <w:rStyle w:val="HideTWBExt"/>
          <w:b w:val="0"/>
          <w:noProof w:val="0"/>
        </w:rPr>
        <w:t>&lt;/DocAmend&gt;</w:t>
      </w:r>
    </w:p>
    <w:p w14:paraId="188D6F55" w14:textId="77777777" w:rsidR="008B2D19" w:rsidRPr="00D808EB" w:rsidRDefault="008B2D19" w:rsidP="008B2D19">
      <w:pPr>
        <w:pStyle w:val="NormalBold"/>
        <w:rPr>
          <w:rStyle w:val="HideTWBExt"/>
          <w:b w:val="0"/>
          <w:noProof w:val="0"/>
        </w:rPr>
      </w:pPr>
      <w:r w:rsidRPr="00D808EB">
        <w:rPr>
          <w:rStyle w:val="HideTWBExt"/>
          <w:b w:val="0"/>
          <w:noProof w:val="0"/>
        </w:rPr>
        <w:t>&lt;Article&gt;</w:t>
      </w:r>
      <w:r w:rsidRPr="00D808EB">
        <w:t xml:space="preserve"> Chapter 2 - Article 4 - paragraph 1 </w:t>
      </w:r>
      <w:r w:rsidRPr="00D808EB">
        <w:rPr>
          <w:rStyle w:val="HideTWBExt"/>
          <w:b w:val="0"/>
          <w:noProof w:val="0"/>
        </w:rPr>
        <w:t>&lt;/Article&gt;</w:t>
      </w:r>
    </w:p>
    <w:p w14:paraId="04F4DC62"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55FF45CE" w14:textId="77777777" w:rsidTr="00803DA5">
        <w:trPr>
          <w:jc w:val="center"/>
        </w:trPr>
        <w:tc>
          <w:tcPr>
            <w:tcW w:w="9752" w:type="dxa"/>
            <w:gridSpan w:val="2"/>
          </w:tcPr>
          <w:p w14:paraId="40B76089" w14:textId="77777777" w:rsidR="008B2D19" w:rsidRPr="00D808EB" w:rsidRDefault="008B2D19" w:rsidP="00803DA5">
            <w:pPr>
              <w:keepNext/>
            </w:pPr>
          </w:p>
        </w:tc>
      </w:tr>
      <w:tr w:rsidR="008B2D19" w:rsidRPr="00D808EB" w14:paraId="0BB0EF01" w14:textId="77777777" w:rsidTr="00803DA5">
        <w:trPr>
          <w:jc w:val="center"/>
        </w:trPr>
        <w:tc>
          <w:tcPr>
            <w:tcW w:w="4876" w:type="dxa"/>
          </w:tcPr>
          <w:p w14:paraId="3D25C81A" w14:textId="77777777" w:rsidR="008B2D19" w:rsidRPr="00D808EB" w:rsidRDefault="008B2D19" w:rsidP="00803DA5">
            <w:pPr>
              <w:pStyle w:val="AmColumnHeading"/>
              <w:keepNext/>
            </w:pPr>
            <w:r w:rsidRPr="00D808EB">
              <w:t>Text proposed by the Commission</w:t>
            </w:r>
          </w:p>
        </w:tc>
        <w:tc>
          <w:tcPr>
            <w:tcW w:w="4876" w:type="dxa"/>
          </w:tcPr>
          <w:p w14:paraId="6D7A663C" w14:textId="77777777" w:rsidR="008B2D19" w:rsidRPr="00D808EB" w:rsidRDefault="008B2D19" w:rsidP="00803DA5">
            <w:pPr>
              <w:pStyle w:val="AmColumnHeading"/>
              <w:keepNext/>
            </w:pPr>
            <w:r w:rsidRPr="00D808EB">
              <w:t>Modification</w:t>
            </w:r>
          </w:p>
        </w:tc>
      </w:tr>
      <w:tr w:rsidR="008B2D19" w:rsidRPr="00D808EB" w14:paraId="49A53921" w14:textId="77777777" w:rsidTr="00803DA5">
        <w:trPr>
          <w:jc w:val="center"/>
        </w:trPr>
        <w:tc>
          <w:tcPr>
            <w:tcW w:w="4876" w:type="dxa"/>
          </w:tcPr>
          <w:p w14:paraId="1DCDBFB9" w14:textId="77777777" w:rsidR="008B2D19" w:rsidRPr="00D808EB" w:rsidRDefault="008B2D19" w:rsidP="00803DA5">
            <w:pPr>
              <w:pStyle w:val="Normal6a"/>
            </w:pPr>
            <w:r w:rsidRPr="00D808EB">
              <w:rPr>
                <w:b/>
                <w:bCs/>
                <w:i/>
                <w:iCs/>
              </w:rPr>
              <w:t xml:space="preserve">(c) </w:t>
            </w:r>
            <w:r w:rsidRPr="00D808EB">
              <w:rPr>
                <w:b/>
                <w:bCs/>
                <w:i/>
                <w:iCs/>
              </w:rPr>
              <w:tab/>
              <w:t>a calculation of the Global Margin for Commitments as referred to in Article 7(1), point (a);</w:t>
            </w:r>
          </w:p>
        </w:tc>
        <w:tc>
          <w:tcPr>
            <w:tcW w:w="4876" w:type="dxa"/>
          </w:tcPr>
          <w:p w14:paraId="7940E52F" w14:textId="77777777" w:rsidR="008B2D19" w:rsidRPr="00D808EB" w:rsidRDefault="008B2D19" w:rsidP="00803DA5">
            <w:pPr>
              <w:pStyle w:val="Normal6a"/>
              <w:rPr>
                <w:iCs/>
              </w:rPr>
            </w:pPr>
            <w:r w:rsidRPr="00D808EB">
              <w:rPr>
                <w:b/>
                <w:bCs/>
                <w:i/>
                <w:iCs/>
              </w:rPr>
              <w:t>deleted</w:t>
            </w:r>
          </w:p>
        </w:tc>
      </w:tr>
    </w:tbl>
    <w:p w14:paraId="628D86F8"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6A7FCC15" w14:textId="77777777" w:rsidR="008B2D19" w:rsidRPr="00D808EB" w:rsidRDefault="008B2D19" w:rsidP="008B2D19">
      <w:r w:rsidRPr="00D808EB">
        <w:rPr>
          <w:rStyle w:val="HideTWBExt"/>
          <w:noProof w:val="0"/>
        </w:rPr>
        <w:t>&lt;/Amend&gt;</w:t>
      </w:r>
    </w:p>
    <w:p w14:paraId="43C5225D" w14:textId="77777777" w:rsidR="008B2D19" w:rsidRPr="00D808EB" w:rsidRDefault="008B2D19" w:rsidP="008B2D19"/>
    <w:p w14:paraId="7CC4105D"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6</w:t>
      </w:r>
      <w:r w:rsidRPr="00D808EB">
        <w:rPr>
          <w:rStyle w:val="HideTWBExt"/>
          <w:b w:val="0"/>
          <w:noProof w:val="0"/>
        </w:rPr>
        <w:t>&lt;/NumAm&gt;</w:t>
      </w:r>
    </w:p>
    <w:p w14:paraId="08B4C40A"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a regulation</w:t>
      </w:r>
      <w:r w:rsidRPr="00D808EB">
        <w:rPr>
          <w:rStyle w:val="HideTWBExt"/>
          <w:b w:val="0"/>
          <w:noProof w:val="0"/>
        </w:rPr>
        <w:t>&lt;/DocAmend&gt;</w:t>
      </w:r>
    </w:p>
    <w:p w14:paraId="19D157AD" w14:textId="77777777" w:rsidR="008B2D19" w:rsidRPr="00D808EB" w:rsidRDefault="008B2D19" w:rsidP="008B2D19">
      <w:pPr>
        <w:pStyle w:val="NormalBold"/>
        <w:rPr>
          <w:rStyle w:val="HideTWBExt"/>
          <w:b w:val="0"/>
          <w:noProof w:val="0"/>
          <w:lang w:val="fr-BE"/>
        </w:rPr>
      </w:pPr>
      <w:r w:rsidRPr="00D808EB">
        <w:rPr>
          <w:rStyle w:val="HideTWBExt"/>
          <w:b w:val="0"/>
          <w:noProof w:val="0"/>
          <w:lang w:val="fr-BE"/>
        </w:rPr>
        <w:t>&lt;Article&gt;</w:t>
      </w:r>
      <w:r w:rsidRPr="00D808EB">
        <w:rPr>
          <w:lang w:val="fr-BE"/>
        </w:rPr>
        <w:t xml:space="preserve"> Chapter 2 - Article 4 - paragraph 1 </w:t>
      </w:r>
      <w:r w:rsidRPr="00D808EB">
        <w:rPr>
          <w:rStyle w:val="HideTWBExt"/>
          <w:b w:val="0"/>
          <w:noProof w:val="0"/>
          <w:lang w:val="fr-BE"/>
        </w:rPr>
        <w:t>&lt;/Article&gt;</w:t>
      </w:r>
    </w:p>
    <w:p w14:paraId="0F1D497D" w14:textId="77777777" w:rsidR="008B2D19" w:rsidRPr="00D808EB" w:rsidRDefault="008B2D19" w:rsidP="008B2D19">
      <w:pPr>
        <w:rPr>
          <w:lang w:val="fr-BE"/>
        </w:rPr>
      </w:pP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147D9561" w14:textId="77777777" w:rsidTr="00803DA5">
        <w:trPr>
          <w:jc w:val="center"/>
        </w:trPr>
        <w:tc>
          <w:tcPr>
            <w:tcW w:w="9752" w:type="dxa"/>
            <w:gridSpan w:val="2"/>
          </w:tcPr>
          <w:p w14:paraId="7198F861" w14:textId="77777777" w:rsidR="008B2D19" w:rsidRPr="00D808EB" w:rsidRDefault="008B2D19" w:rsidP="00803DA5">
            <w:pPr>
              <w:keepNext/>
              <w:rPr>
                <w:lang w:val="fr-BE"/>
              </w:rPr>
            </w:pPr>
          </w:p>
        </w:tc>
      </w:tr>
      <w:tr w:rsidR="008B2D19" w:rsidRPr="00D808EB" w14:paraId="08730DF2" w14:textId="77777777" w:rsidTr="00803DA5">
        <w:trPr>
          <w:jc w:val="center"/>
        </w:trPr>
        <w:tc>
          <w:tcPr>
            <w:tcW w:w="4876" w:type="dxa"/>
          </w:tcPr>
          <w:p w14:paraId="30D872B2" w14:textId="77777777" w:rsidR="008B2D19" w:rsidRPr="00D808EB" w:rsidRDefault="008B2D19" w:rsidP="00803DA5">
            <w:pPr>
              <w:pStyle w:val="AmColumnHeading"/>
              <w:keepNext/>
            </w:pPr>
            <w:r w:rsidRPr="00D808EB">
              <w:t>Text proposed by the Commission</w:t>
            </w:r>
          </w:p>
        </w:tc>
        <w:tc>
          <w:tcPr>
            <w:tcW w:w="4876" w:type="dxa"/>
          </w:tcPr>
          <w:p w14:paraId="7AB4E2F0" w14:textId="77777777" w:rsidR="008B2D19" w:rsidRPr="00D808EB" w:rsidRDefault="008B2D19" w:rsidP="00803DA5">
            <w:pPr>
              <w:pStyle w:val="AmColumnHeading"/>
              <w:keepNext/>
            </w:pPr>
            <w:r w:rsidRPr="00D808EB">
              <w:t>Modification</w:t>
            </w:r>
          </w:p>
        </w:tc>
      </w:tr>
      <w:tr w:rsidR="008B2D19" w:rsidRPr="00D808EB" w14:paraId="41FEB31E" w14:textId="77777777" w:rsidTr="00803DA5">
        <w:trPr>
          <w:jc w:val="center"/>
        </w:trPr>
        <w:tc>
          <w:tcPr>
            <w:tcW w:w="4876" w:type="dxa"/>
          </w:tcPr>
          <w:p w14:paraId="40EAC106" w14:textId="77777777" w:rsidR="008B2D19" w:rsidRPr="00D808EB" w:rsidRDefault="008B2D19" w:rsidP="00803DA5">
            <w:pPr>
              <w:pStyle w:val="Normal6a"/>
            </w:pPr>
            <w:r w:rsidRPr="00D808EB">
              <w:t>(d)</w:t>
            </w:r>
            <w:r w:rsidRPr="00D808EB">
              <w:tab/>
              <w:t xml:space="preserve">a calculation of the adjustment of the ceiling for payment appropriations under the Global Margin for Payments as referred to in Article </w:t>
            </w:r>
            <w:r w:rsidRPr="00D808EB">
              <w:rPr>
                <w:b/>
                <w:bCs/>
                <w:i/>
                <w:iCs/>
              </w:rPr>
              <w:t>7(1), point (b);</w:t>
            </w:r>
          </w:p>
        </w:tc>
        <w:tc>
          <w:tcPr>
            <w:tcW w:w="4876" w:type="dxa"/>
          </w:tcPr>
          <w:p w14:paraId="08FBE14B" w14:textId="77777777" w:rsidR="008B2D19" w:rsidRPr="00D808EB" w:rsidRDefault="008B2D19" w:rsidP="00803DA5">
            <w:pPr>
              <w:pStyle w:val="Normal6a"/>
              <w:rPr>
                <w:iCs/>
              </w:rPr>
            </w:pPr>
            <w:r w:rsidRPr="00D808EB">
              <w:rPr>
                <w:iCs/>
              </w:rPr>
              <w:t>(d)</w:t>
            </w:r>
            <w:r w:rsidRPr="00D808EB">
              <w:rPr>
                <w:iCs/>
              </w:rPr>
              <w:tab/>
              <w:t>a calculation of the adjustment of the ceiling for payment appropriations under the Global Margin for Payments as referred to in</w:t>
            </w:r>
            <w:r w:rsidRPr="00D808EB">
              <w:rPr>
                <w:b/>
                <w:bCs/>
              </w:rPr>
              <w:t xml:space="preserve"> </w:t>
            </w:r>
            <w:r w:rsidRPr="00D808EB">
              <w:rPr>
                <w:b/>
                <w:bCs/>
                <w:i/>
                <w:iCs/>
              </w:rPr>
              <w:t>Article 3a;</w:t>
            </w:r>
          </w:p>
        </w:tc>
      </w:tr>
    </w:tbl>
    <w:p w14:paraId="632A5A91"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6AE15041" w14:textId="77777777" w:rsidR="008B2D19" w:rsidRPr="00D808EB" w:rsidRDefault="008B2D19" w:rsidP="008B2D19">
      <w:pPr>
        <w:rPr>
          <w:rStyle w:val="HideTWBExt"/>
          <w:rFonts w:ascii="Times New Roman" w:hAnsi="Times New Roman"/>
          <w:noProof w:val="0"/>
          <w:vanish w:val="0"/>
          <w:color w:val="auto"/>
          <w:sz w:val="24"/>
        </w:rPr>
      </w:pPr>
      <w:r w:rsidRPr="00D808EB">
        <w:rPr>
          <w:rStyle w:val="HideTWBExt"/>
          <w:noProof w:val="0"/>
        </w:rPr>
        <w:t>&lt;/Amend&gt;</w:t>
      </w:r>
    </w:p>
    <w:p w14:paraId="60D0B6D0" w14:textId="59C7B1D1" w:rsidR="008B2D19" w:rsidRPr="00D808EB" w:rsidRDefault="008B2D19" w:rsidP="008B2D19">
      <w:pPr>
        <w:rPr>
          <w:rStyle w:val="HideTWBExt"/>
          <w:rFonts w:eastAsiaTheme="majorEastAsia"/>
        </w:rPr>
      </w:pPr>
    </w:p>
    <w:p w14:paraId="4202244D"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7</w:t>
      </w:r>
      <w:r w:rsidRPr="00D808EB">
        <w:rPr>
          <w:rStyle w:val="HideTWBExt"/>
          <w:b w:val="0"/>
          <w:noProof w:val="0"/>
        </w:rPr>
        <w:t>&lt;/NumAm&gt;</w:t>
      </w:r>
    </w:p>
    <w:p w14:paraId="67377689"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a regulation</w:t>
      </w:r>
      <w:r w:rsidRPr="00D808EB">
        <w:rPr>
          <w:rStyle w:val="HideTWBExt"/>
          <w:b w:val="0"/>
          <w:noProof w:val="0"/>
        </w:rPr>
        <w:t>&lt;/DocAmend&gt;</w:t>
      </w:r>
    </w:p>
    <w:p w14:paraId="55CB5A6F" w14:textId="77777777" w:rsidR="008B2D19" w:rsidRPr="00D808EB" w:rsidRDefault="008B2D19" w:rsidP="008B2D19">
      <w:pPr>
        <w:pStyle w:val="NormalBold"/>
        <w:rPr>
          <w:rStyle w:val="HideTWBExt"/>
          <w:b w:val="0"/>
          <w:noProof w:val="0"/>
        </w:rPr>
      </w:pPr>
      <w:r w:rsidRPr="00D808EB">
        <w:rPr>
          <w:rStyle w:val="HideTWBExt"/>
          <w:b w:val="0"/>
          <w:noProof w:val="0"/>
        </w:rPr>
        <w:t>&lt;Article&gt;</w:t>
      </w:r>
      <w:r w:rsidRPr="00D808EB">
        <w:t xml:space="preserve"> Chapter 2 - Article 4 – paragraph 1</w:t>
      </w:r>
      <w:r w:rsidRPr="00D808EB">
        <w:rPr>
          <w:rStyle w:val="HideTWBExt"/>
          <w:b w:val="0"/>
          <w:noProof w:val="0"/>
        </w:rPr>
        <w:t>&lt;/Article&gt;</w:t>
      </w:r>
    </w:p>
    <w:p w14:paraId="7559270B"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27238250" w14:textId="77777777" w:rsidTr="00803DA5">
        <w:trPr>
          <w:jc w:val="center"/>
        </w:trPr>
        <w:tc>
          <w:tcPr>
            <w:tcW w:w="9752" w:type="dxa"/>
            <w:gridSpan w:val="2"/>
          </w:tcPr>
          <w:p w14:paraId="783BBF36" w14:textId="77777777" w:rsidR="008B2D19" w:rsidRPr="00D808EB" w:rsidRDefault="008B2D19" w:rsidP="00803DA5">
            <w:pPr>
              <w:keepNext/>
            </w:pPr>
          </w:p>
        </w:tc>
      </w:tr>
      <w:tr w:rsidR="008B2D19" w:rsidRPr="00D808EB" w14:paraId="1CFE6FDF" w14:textId="77777777" w:rsidTr="00803DA5">
        <w:trPr>
          <w:jc w:val="center"/>
        </w:trPr>
        <w:tc>
          <w:tcPr>
            <w:tcW w:w="4876" w:type="dxa"/>
          </w:tcPr>
          <w:p w14:paraId="184B0F1B" w14:textId="77777777" w:rsidR="008B2D19" w:rsidRPr="00D808EB" w:rsidRDefault="008B2D19" w:rsidP="00803DA5">
            <w:pPr>
              <w:pStyle w:val="AmColumnHeading"/>
              <w:keepNext/>
            </w:pPr>
            <w:r w:rsidRPr="00D808EB">
              <w:t>Text proposed by the Commission</w:t>
            </w:r>
          </w:p>
        </w:tc>
        <w:tc>
          <w:tcPr>
            <w:tcW w:w="4876" w:type="dxa"/>
          </w:tcPr>
          <w:p w14:paraId="128F42B2" w14:textId="77777777" w:rsidR="008B2D19" w:rsidRPr="00D808EB" w:rsidRDefault="008B2D19" w:rsidP="00803DA5">
            <w:pPr>
              <w:pStyle w:val="AmColumnHeading"/>
              <w:keepNext/>
            </w:pPr>
            <w:r w:rsidRPr="00D808EB">
              <w:t>Modification</w:t>
            </w:r>
          </w:p>
        </w:tc>
      </w:tr>
      <w:tr w:rsidR="008B2D19" w:rsidRPr="00D808EB" w14:paraId="55AFF91B" w14:textId="77777777" w:rsidTr="00803DA5">
        <w:trPr>
          <w:jc w:val="center"/>
        </w:trPr>
        <w:tc>
          <w:tcPr>
            <w:tcW w:w="4876" w:type="dxa"/>
          </w:tcPr>
          <w:p w14:paraId="6816833E" w14:textId="77777777" w:rsidR="008B2D19" w:rsidRPr="00D808EB" w:rsidRDefault="008B2D19" w:rsidP="00803DA5">
            <w:pPr>
              <w:pStyle w:val="Normal6a"/>
            </w:pPr>
            <w:r w:rsidRPr="00D808EB">
              <w:rPr>
                <w:b/>
                <w:bCs/>
                <w:i/>
              </w:rPr>
              <w:t>(e)</w:t>
            </w:r>
            <w:r w:rsidRPr="00D808EB">
              <w:rPr>
                <w:b/>
                <w:bCs/>
                <w:i/>
              </w:rPr>
              <w:tab/>
              <w:t>a calculation of the maximum amount for the Contingency Margin referred to in Article 7(1), point (c);</w:t>
            </w:r>
          </w:p>
        </w:tc>
        <w:tc>
          <w:tcPr>
            <w:tcW w:w="4876" w:type="dxa"/>
          </w:tcPr>
          <w:p w14:paraId="42B5DB6F" w14:textId="77777777" w:rsidR="008B2D19" w:rsidRPr="00D808EB" w:rsidRDefault="008B2D19" w:rsidP="00803DA5">
            <w:pPr>
              <w:pStyle w:val="Normal6a"/>
              <w:rPr>
                <w:iCs/>
              </w:rPr>
            </w:pPr>
            <w:r w:rsidRPr="00D808EB">
              <w:rPr>
                <w:b/>
                <w:bCs/>
                <w:i/>
                <w:iCs/>
              </w:rPr>
              <w:t>deleted</w:t>
            </w:r>
          </w:p>
        </w:tc>
      </w:tr>
    </w:tbl>
    <w:p w14:paraId="5AF45B19"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6B57A333" w14:textId="77777777" w:rsidR="008B2D19" w:rsidRPr="00D808EB" w:rsidRDefault="008B2D19" w:rsidP="008B2D19">
      <w:r w:rsidRPr="00D808EB">
        <w:rPr>
          <w:rStyle w:val="HideTWBExt"/>
          <w:noProof w:val="0"/>
        </w:rPr>
        <w:t>&lt;/Amend&gt;</w:t>
      </w:r>
    </w:p>
    <w:p w14:paraId="1C1CC28E"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8</w:t>
      </w:r>
      <w:r w:rsidRPr="00D808EB">
        <w:rPr>
          <w:rStyle w:val="HideTWBExt"/>
          <w:b w:val="0"/>
          <w:noProof w:val="0"/>
        </w:rPr>
        <w:t>&lt;/NumAm&gt;</w:t>
      </w:r>
    </w:p>
    <w:p w14:paraId="16609223"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a regulation</w:t>
      </w:r>
      <w:r w:rsidRPr="00D808EB">
        <w:rPr>
          <w:rStyle w:val="HideTWBExt"/>
          <w:b w:val="0"/>
          <w:noProof w:val="0"/>
        </w:rPr>
        <w:t>&lt;/DocAmend&gt;</w:t>
      </w:r>
    </w:p>
    <w:p w14:paraId="11D3064F" w14:textId="77777777" w:rsidR="008B2D19" w:rsidRPr="00D808EB" w:rsidRDefault="008B2D19" w:rsidP="008B2D19">
      <w:pPr>
        <w:pStyle w:val="NormalBold"/>
        <w:rPr>
          <w:rStyle w:val="HideTWBExt"/>
          <w:b w:val="0"/>
          <w:noProof w:val="0"/>
          <w:lang w:val="fr-BE"/>
        </w:rPr>
      </w:pPr>
      <w:r w:rsidRPr="00D808EB">
        <w:rPr>
          <w:rStyle w:val="HideTWBExt"/>
          <w:b w:val="0"/>
          <w:noProof w:val="0"/>
          <w:lang w:val="fr-BE"/>
        </w:rPr>
        <w:t>&lt;Article&gt;</w:t>
      </w:r>
      <w:r w:rsidRPr="00D808EB">
        <w:rPr>
          <w:lang w:val="fr-BE"/>
        </w:rPr>
        <w:t xml:space="preserve"> Chapter 2 - Article 4 – paragraph 1- point f</w:t>
      </w:r>
      <w:r w:rsidRPr="00D808EB">
        <w:rPr>
          <w:rStyle w:val="HideTWBExt"/>
          <w:b w:val="0"/>
          <w:noProof w:val="0"/>
          <w:lang w:val="fr-BE"/>
        </w:rPr>
        <w:t>&lt;/Article&gt;</w:t>
      </w:r>
    </w:p>
    <w:p w14:paraId="67A5C403" w14:textId="77777777" w:rsidR="008B2D19" w:rsidRPr="00D808EB" w:rsidRDefault="008B2D19" w:rsidP="008B2D19">
      <w:pPr>
        <w:rPr>
          <w:lang w:val="fr-BE"/>
        </w:rPr>
      </w:pP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C728B7" w14:paraId="69F3BBEE" w14:textId="77777777" w:rsidTr="00803DA5">
        <w:trPr>
          <w:jc w:val="center"/>
        </w:trPr>
        <w:tc>
          <w:tcPr>
            <w:tcW w:w="9752" w:type="dxa"/>
            <w:gridSpan w:val="2"/>
          </w:tcPr>
          <w:p w14:paraId="5D5D9396" w14:textId="77777777" w:rsidR="008B2D19" w:rsidRPr="00D808EB" w:rsidRDefault="008B2D19" w:rsidP="00803DA5">
            <w:pPr>
              <w:keepNext/>
              <w:rPr>
                <w:lang w:val="fr-BE"/>
              </w:rPr>
            </w:pPr>
          </w:p>
        </w:tc>
      </w:tr>
      <w:tr w:rsidR="008B2D19" w:rsidRPr="00D808EB" w14:paraId="4FBBCDE2" w14:textId="77777777" w:rsidTr="00803DA5">
        <w:trPr>
          <w:jc w:val="center"/>
        </w:trPr>
        <w:tc>
          <w:tcPr>
            <w:tcW w:w="4876" w:type="dxa"/>
          </w:tcPr>
          <w:p w14:paraId="467D7C84" w14:textId="77777777" w:rsidR="008B2D19" w:rsidRPr="00D808EB" w:rsidRDefault="008B2D19" w:rsidP="00803DA5">
            <w:pPr>
              <w:pStyle w:val="AmColumnHeading"/>
              <w:keepNext/>
            </w:pPr>
            <w:r w:rsidRPr="00D808EB">
              <w:t>Text proposed by the Commission</w:t>
            </w:r>
          </w:p>
        </w:tc>
        <w:tc>
          <w:tcPr>
            <w:tcW w:w="4876" w:type="dxa"/>
          </w:tcPr>
          <w:p w14:paraId="571EB2BD" w14:textId="77777777" w:rsidR="008B2D19" w:rsidRPr="00D808EB" w:rsidRDefault="008B2D19" w:rsidP="00803DA5">
            <w:pPr>
              <w:pStyle w:val="AmColumnHeading"/>
              <w:keepNext/>
            </w:pPr>
            <w:r w:rsidRPr="00D808EB">
              <w:t>Modification</w:t>
            </w:r>
          </w:p>
        </w:tc>
      </w:tr>
      <w:tr w:rsidR="008B2D19" w:rsidRPr="00D808EB" w14:paraId="74A464EE" w14:textId="77777777" w:rsidTr="00803DA5">
        <w:trPr>
          <w:jc w:val="center"/>
        </w:trPr>
        <w:tc>
          <w:tcPr>
            <w:tcW w:w="4876" w:type="dxa"/>
          </w:tcPr>
          <w:p w14:paraId="72D62D0B" w14:textId="77777777" w:rsidR="008B2D19" w:rsidRPr="00D808EB" w:rsidRDefault="008B2D19" w:rsidP="00803DA5">
            <w:pPr>
              <w:pStyle w:val="Normal6a"/>
            </w:pPr>
            <w:r w:rsidRPr="00D808EB">
              <w:rPr>
                <w:iCs/>
              </w:rPr>
              <w:t>(f)</w:t>
            </w:r>
            <w:r w:rsidRPr="00D808EB">
              <w:rPr>
                <w:iCs/>
              </w:rPr>
              <w:tab/>
              <w:t>a calculation of the amounts to be made available to the Flexibility Instrument under Article 8(2)</w:t>
            </w:r>
            <w:r w:rsidRPr="00D808EB">
              <w:rPr>
                <w:b/>
                <w:bCs/>
                <w:i/>
                <w:iCs/>
              </w:rPr>
              <w:t>, first subparagraph, points (a) and (b).</w:t>
            </w:r>
          </w:p>
        </w:tc>
        <w:tc>
          <w:tcPr>
            <w:tcW w:w="4876" w:type="dxa"/>
          </w:tcPr>
          <w:p w14:paraId="1D8AE5F3" w14:textId="77777777" w:rsidR="008B2D19" w:rsidRPr="00D808EB" w:rsidRDefault="008B2D19" w:rsidP="00803DA5">
            <w:pPr>
              <w:pStyle w:val="Normal6a"/>
              <w:rPr>
                <w:iCs/>
              </w:rPr>
            </w:pPr>
            <w:r w:rsidRPr="00D808EB">
              <w:rPr>
                <w:iCs/>
              </w:rPr>
              <w:t>(f)</w:t>
            </w:r>
            <w:r w:rsidRPr="00D808EB">
              <w:rPr>
                <w:iCs/>
              </w:rPr>
              <w:tab/>
              <w:t>a calculation of the amounts to be made available to the Flexibility Instrument under Article 8(2).</w:t>
            </w:r>
          </w:p>
        </w:tc>
      </w:tr>
    </w:tbl>
    <w:p w14:paraId="61C0ED81"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&lt;/Original&gt;&lt;/Amend&gt;</w:t>
      </w:r>
    </w:p>
    <w:p w14:paraId="41644F32"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9</w:t>
      </w:r>
      <w:r w:rsidRPr="00D808EB">
        <w:rPr>
          <w:rStyle w:val="HideTWBExt"/>
          <w:b w:val="0"/>
          <w:noProof w:val="0"/>
        </w:rPr>
        <w:t>&lt;/NumAm&gt;</w:t>
      </w:r>
    </w:p>
    <w:p w14:paraId="403F0921"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a regulation</w:t>
      </w:r>
      <w:r w:rsidRPr="00D808EB">
        <w:rPr>
          <w:rStyle w:val="HideTWBExt"/>
          <w:b w:val="0"/>
          <w:noProof w:val="0"/>
        </w:rPr>
        <w:t>&lt;/DocAmend&gt;</w:t>
      </w:r>
    </w:p>
    <w:p w14:paraId="4D4E1A45" w14:textId="77777777" w:rsidR="008B2D19" w:rsidRPr="00D808EB" w:rsidRDefault="008B2D19" w:rsidP="008B2D19">
      <w:pPr>
        <w:pStyle w:val="NormalBold"/>
        <w:rPr>
          <w:rStyle w:val="HideTWBExt"/>
          <w:b w:val="0"/>
          <w:noProof w:val="0"/>
        </w:rPr>
      </w:pPr>
      <w:r w:rsidRPr="00D808EB">
        <w:rPr>
          <w:rStyle w:val="HideTWBExt"/>
          <w:b w:val="0"/>
          <w:noProof w:val="0"/>
        </w:rPr>
        <w:t>&lt;Article&gt;</w:t>
      </w:r>
      <w:r w:rsidRPr="00D808EB">
        <w:t xml:space="preserve"> Chapter 3 – Article 7</w:t>
      </w:r>
      <w:r w:rsidRPr="00D808EB">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2360658D" w14:textId="77777777" w:rsidTr="00803DA5">
        <w:trPr>
          <w:jc w:val="center"/>
        </w:trPr>
        <w:tc>
          <w:tcPr>
            <w:tcW w:w="9752" w:type="dxa"/>
            <w:gridSpan w:val="2"/>
          </w:tcPr>
          <w:p w14:paraId="48529664" w14:textId="77777777" w:rsidR="008B2D19" w:rsidRPr="00D808EB" w:rsidRDefault="008B2D19" w:rsidP="00803DA5">
            <w:pPr>
              <w:keepNext/>
            </w:pPr>
          </w:p>
        </w:tc>
      </w:tr>
      <w:tr w:rsidR="008B2D19" w:rsidRPr="00D808EB" w14:paraId="296A277C" w14:textId="77777777" w:rsidTr="00803DA5">
        <w:trPr>
          <w:jc w:val="center"/>
        </w:trPr>
        <w:tc>
          <w:tcPr>
            <w:tcW w:w="4876" w:type="dxa"/>
          </w:tcPr>
          <w:p w14:paraId="4424A94A" w14:textId="77777777" w:rsidR="008B2D19" w:rsidRPr="00D808EB" w:rsidRDefault="008B2D19" w:rsidP="00803DA5">
            <w:pPr>
              <w:pStyle w:val="AmColumnHeading"/>
              <w:keepNext/>
            </w:pPr>
            <w:r w:rsidRPr="00D808EB">
              <w:t>Text proposed by the Commission</w:t>
            </w:r>
          </w:p>
        </w:tc>
        <w:tc>
          <w:tcPr>
            <w:tcW w:w="4876" w:type="dxa"/>
          </w:tcPr>
          <w:p w14:paraId="4D7F5845" w14:textId="77777777" w:rsidR="008B2D19" w:rsidRPr="00D808EB" w:rsidRDefault="008B2D19" w:rsidP="00803DA5">
            <w:pPr>
              <w:pStyle w:val="AmColumnHeading"/>
              <w:keepNext/>
            </w:pPr>
            <w:r w:rsidRPr="00D808EB">
              <w:t>Modification</w:t>
            </w:r>
          </w:p>
        </w:tc>
      </w:tr>
      <w:tr w:rsidR="008B2D19" w:rsidRPr="00D808EB" w14:paraId="651185E9" w14:textId="77777777" w:rsidTr="00803DA5">
        <w:trPr>
          <w:jc w:val="center"/>
        </w:trPr>
        <w:tc>
          <w:tcPr>
            <w:tcW w:w="4876" w:type="dxa"/>
          </w:tcPr>
          <w:p w14:paraId="68798068" w14:textId="77777777" w:rsidR="008B2D19" w:rsidRPr="00D808EB" w:rsidRDefault="008B2D19" w:rsidP="00803DA5">
            <w:pPr>
              <w:pStyle w:val="AmColumnHeading"/>
              <w:widowControl w:val="0"/>
              <w:rPr>
                <w:b/>
                <w:bCs/>
              </w:rPr>
            </w:pPr>
            <w:r w:rsidRPr="00D808EB">
              <w:rPr>
                <w:b/>
                <w:bCs/>
              </w:rPr>
              <w:t>Article 7</w:t>
            </w:r>
          </w:p>
          <w:p w14:paraId="1840171C" w14:textId="77777777" w:rsidR="008B2D19" w:rsidRPr="00D808EB" w:rsidRDefault="008B2D19" w:rsidP="00803DA5">
            <w:pPr>
              <w:pStyle w:val="AmColumnHeading"/>
              <w:widowControl w:val="0"/>
              <w:rPr>
                <w:b/>
                <w:bCs/>
              </w:rPr>
            </w:pPr>
            <w:r w:rsidRPr="00D808EB">
              <w:rPr>
                <w:b/>
                <w:bCs/>
              </w:rPr>
              <w:t>Single Margin Instrument</w:t>
            </w:r>
          </w:p>
          <w:p w14:paraId="6DC35447" w14:textId="77777777" w:rsidR="008B2D19" w:rsidRPr="00D808EB" w:rsidRDefault="008B2D19" w:rsidP="00803DA5">
            <w:pPr>
              <w:pStyle w:val="AmColumnHeading"/>
              <w:keepNext/>
              <w:jc w:val="left"/>
              <w:rPr>
                <w:b/>
                <w:bCs/>
              </w:rPr>
            </w:pPr>
            <w:r w:rsidRPr="00D808EB">
              <w:rPr>
                <w:b/>
                <w:bCs/>
              </w:rPr>
              <w:t>1.</w:t>
            </w:r>
            <w:r w:rsidRPr="00D808EB">
              <w:rPr>
                <w:b/>
                <w:bCs/>
              </w:rPr>
              <w:tab/>
              <w:t>The Single Margin Instrument shall comprise:</w:t>
            </w:r>
          </w:p>
          <w:p w14:paraId="79851017" w14:textId="23E53139" w:rsidR="008B2D19" w:rsidRPr="00D808EB" w:rsidRDefault="008B2D19" w:rsidP="00803DA5">
            <w:pPr>
              <w:pStyle w:val="AmColumnHeading"/>
              <w:keepNext/>
              <w:jc w:val="left"/>
              <w:rPr>
                <w:b/>
                <w:bCs/>
              </w:rPr>
            </w:pPr>
            <w:r w:rsidRPr="00D808EB">
              <w:rPr>
                <w:b/>
                <w:bCs/>
              </w:rPr>
              <w:t>(a)</w:t>
            </w:r>
            <w:r w:rsidRPr="00D808EB">
              <w:rPr>
                <w:b/>
                <w:bCs/>
              </w:rPr>
              <w:tab/>
              <w:t xml:space="preserve">as of 2029, amounts corresponding to margins left available below the MFF ceilings for commitment appropriations of year n-1, to be made available over and above the MFF ceilings for commitment appropriations for the years 2029 to 2034 (the </w:t>
            </w:r>
            <w:r w:rsidR="00C728B7">
              <w:rPr>
                <w:b/>
                <w:bCs/>
              </w:rPr>
              <w:t>‘</w:t>
            </w:r>
            <w:r w:rsidRPr="00D808EB">
              <w:rPr>
                <w:b/>
                <w:bCs/>
              </w:rPr>
              <w:t>Global Margin for Commitments</w:t>
            </w:r>
            <w:r w:rsidR="00C728B7">
              <w:rPr>
                <w:b/>
                <w:bCs/>
              </w:rPr>
              <w:t>’</w:t>
            </w:r>
            <w:r w:rsidRPr="00D808EB">
              <w:rPr>
                <w:b/>
                <w:bCs/>
              </w:rPr>
              <w:t>);</w:t>
            </w:r>
          </w:p>
          <w:p w14:paraId="00C73C91" w14:textId="5574BF05" w:rsidR="008B2D19" w:rsidRPr="00D808EB" w:rsidRDefault="008B2D19" w:rsidP="00803DA5">
            <w:pPr>
              <w:pStyle w:val="AmColumnHeading"/>
              <w:keepNext/>
              <w:jc w:val="left"/>
              <w:rPr>
                <w:b/>
                <w:bCs/>
              </w:rPr>
            </w:pPr>
            <w:r w:rsidRPr="00D808EB">
              <w:rPr>
                <w:b/>
                <w:bCs/>
              </w:rPr>
              <w:t>(b)</w:t>
            </w:r>
            <w:r w:rsidRPr="00D808EB">
              <w:rPr>
                <w:b/>
                <w:bCs/>
              </w:rPr>
              <w:tab/>
              <w:t xml:space="preserve">as of 2029, amounts equivalent to the difference between the executed payments and the MFF payment ceiling of year n-1 to adjust upwards the payment ceiling for the years 2029 to 2034 (the </w:t>
            </w:r>
            <w:r w:rsidR="00C728B7">
              <w:rPr>
                <w:b/>
                <w:bCs/>
              </w:rPr>
              <w:t>‘</w:t>
            </w:r>
            <w:r w:rsidRPr="00D808EB">
              <w:rPr>
                <w:b/>
                <w:bCs/>
              </w:rPr>
              <w:t>Global Margin for Payments</w:t>
            </w:r>
            <w:r w:rsidR="00C728B7">
              <w:rPr>
                <w:b/>
                <w:bCs/>
              </w:rPr>
              <w:t>’</w:t>
            </w:r>
            <w:r w:rsidRPr="00D808EB">
              <w:rPr>
                <w:b/>
                <w:bCs/>
              </w:rPr>
              <w:t xml:space="preserve">); </w:t>
            </w:r>
          </w:p>
          <w:p w14:paraId="766B440A" w14:textId="36682BBB" w:rsidR="008B2D19" w:rsidRPr="00D808EB" w:rsidRDefault="008B2D19" w:rsidP="00803DA5">
            <w:pPr>
              <w:pStyle w:val="AmColumnHeading"/>
              <w:keepNext/>
              <w:jc w:val="left"/>
              <w:rPr>
                <w:b/>
                <w:bCs/>
              </w:rPr>
            </w:pPr>
            <w:r w:rsidRPr="00D808EB">
              <w:rPr>
                <w:b/>
                <w:bCs/>
              </w:rPr>
              <w:t>(c)</w:t>
            </w:r>
            <w:r w:rsidRPr="00D808EB">
              <w:rPr>
                <w:b/>
                <w:bCs/>
              </w:rPr>
              <w:tab/>
              <w:t xml:space="preserve">as a last resort instrument, additional amounts which may be made available over and above the MFF ceilings in a given year for commitment or payment appropriations, or both, as the case may be, provided that they are fully offset against the margins in one or more MFF headings for the current or future financial years as regards commitment appropriations and are fully offset against the margins under the payment ceiling for future financial years as regards payment appropriations (the </w:t>
            </w:r>
            <w:r w:rsidR="00C728B7">
              <w:rPr>
                <w:b/>
                <w:bCs/>
              </w:rPr>
              <w:t>‘</w:t>
            </w:r>
            <w:r w:rsidRPr="00D808EB">
              <w:rPr>
                <w:b/>
                <w:bCs/>
              </w:rPr>
              <w:t>Contingency Margin</w:t>
            </w:r>
            <w:r w:rsidR="00C728B7">
              <w:rPr>
                <w:b/>
                <w:bCs/>
              </w:rPr>
              <w:t>’</w:t>
            </w:r>
            <w:r w:rsidRPr="00D808EB">
              <w:rPr>
                <w:b/>
                <w:bCs/>
              </w:rPr>
              <w:t>).</w:t>
            </w:r>
          </w:p>
          <w:p w14:paraId="0C1E2AC6" w14:textId="77777777" w:rsidR="008B2D19" w:rsidRPr="00D808EB" w:rsidRDefault="008B2D19" w:rsidP="00803DA5">
            <w:pPr>
              <w:pStyle w:val="AmColumnHeading"/>
              <w:keepNext/>
              <w:jc w:val="left"/>
              <w:rPr>
                <w:b/>
                <w:bCs/>
              </w:rPr>
            </w:pPr>
            <w:r w:rsidRPr="00D808EB">
              <w:rPr>
                <w:b/>
                <w:bCs/>
              </w:rPr>
              <w:t>2.</w:t>
            </w:r>
            <w:r w:rsidRPr="00D808EB">
              <w:rPr>
                <w:b/>
                <w:bCs/>
              </w:rPr>
              <w:tab/>
              <w:t>The Global Margin for Commitments may be mobilised by the European Parliament and the Council in the framework of the budgetary procedure provided for in Article 314 TFEU.</w:t>
            </w:r>
          </w:p>
          <w:p w14:paraId="7C5BA599" w14:textId="77777777" w:rsidR="008B2D19" w:rsidRPr="00D808EB" w:rsidRDefault="008B2D19" w:rsidP="00803DA5">
            <w:pPr>
              <w:pStyle w:val="AmColumnHeading"/>
              <w:keepNext/>
              <w:jc w:val="left"/>
              <w:rPr>
                <w:b/>
                <w:bCs/>
              </w:rPr>
            </w:pPr>
            <w:r w:rsidRPr="00D808EB">
              <w:rPr>
                <w:b/>
                <w:bCs/>
              </w:rPr>
              <w:t>3.</w:t>
            </w:r>
            <w:r w:rsidRPr="00D808EB">
              <w:rPr>
                <w:b/>
                <w:bCs/>
              </w:rPr>
              <w:tab/>
              <w:t>The upward adjustments under the Global Margin for Payments shall be carried out by the Commission, starting in 2029, as part of the technical adjustment referred to in Article 4.</w:t>
            </w:r>
          </w:p>
          <w:p w14:paraId="62ECDD36" w14:textId="77777777" w:rsidR="008B2D19" w:rsidRPr="00D808EB" w:rsidRDefault="008B2D19" w:rsidP="00803DA5">
            <w:pPr>
              <w:pStyle w:val="AmColumnHeading"/>
              <w:keepNext/>
              <w:jc w:val="left"/>
              <w:rPr>
                <w:b/>
                <w:bCs/>
              </w:rPr>
            </w:pPr>
            <w:r w:rsidRPr="00D808EB">
              <w:rPr>
                <w:b/>
                <w:bCs/>
              </w:rPr>
              <w:t>Any upward adjustment under the Global Margin for Payments shall be fully offset by a corresponding reduction of the payment ceiling for year n-1.</w:t>
            </w:r>
          </w:p>
          <w:p w14:paraId="33EF398F" w14:textId="77777777" w:rsidR="008B2D19" w:rsidRPr="00D808EB" w:rsidRDefault="008B2D19" w:rsidP="00803DA5">
            <w:pPr>
              <w:pStyle w:val="AmColumnHeading"/>
              <w:keepNext/>
              <w:jc w:val="left"/>
              <w:rPr>
                <w:b/>
                <w:bCs/>
              </w:rPr>
            </w:pPr>
            <w:r w:rsidRPr="00D808EB">
              <w:rPr>
                <w:b/>
                <w:bCs/>
              </w:rPr>
              <w:t>4.</w:t>
            </w:r>
            <w:r w:rsidRPr="00D808EB">
              <w:rPr>
                <w:b/>
                <w:bCs/>
              </w:rPr>
              <w:tab/>
              <w:t>The Contingency Margin may be mobilised by the European Parliament and the Council in the framework of the budgetary procedure provided for in Article 314 TFEU as a last resort instrument to react to unforeseen circumstances.</w:t>
            </w:r>
          </w:p>
          <w:p w14:paraId="7B7FEDB9" w14:textId="77777777" w:rsidR="008B2D19" w:rsidRPr="00D808EB" w:rsidRDefault="008B2D19" w:rsidP="00803DA5">
            <w:pPr>
              <w:pStyle w:val="AmColumnHeading"/>
              <w:keepNext/>
              <w:jc w:val="left"/>
              <w:rPr>
                <w:b/>
                <w:bCs/>
              </w:rPr>
            </w:pPr>
            <w:r w:rsidRPr="00D808EB">
              <w:rPr>
                <w:b/>
                <w:bCs/>
              </w:rPr>
              <w:t>Amounts may only be mobilised under the Contingency Margin if the amounts available pursuant to paragraph 1, points (a) and (b), as applicable, are insufficient.</w:t>
            </w:r>
          </w:p>
          <w:p w14:paraId="75CFDD0C" w14:textId="77777777" w:rsidR="008B2D19" w:rsidRPr="00D808EB" w:rsidRDefault="008B2D19" w:rsidP="00803DA5">
            <w:pPr>
              <w:pStyle w:val="AmColumnHeading"/>
              <w:keepNext/>
              <w:jc w:val="left"/>
              <w:rPr>
                <w:b/>
                <w:bCs/>
              </w:rPr>
            </w:pPr>
            <w:r w:rsidRPr="00D808EB">
              <w:rPr>
                <w:b/>
                <w:bCs/>
              </w:rPr>
              <w:t xml:space="preserve">The Contingency Margin shall not exceed, in any given year, 0,04 % of the gross national income of the Union, as calculated in the annual technical adjustment referred to in Article 4. </w:t>
            </w:r>
          </w:p>
          <w:p w14:paraId="42600587" w14:textId="77777777" w:rsidR="008B2D19" w:rsidRPr="00D808EB" w:rsidRDefault="008B2D19" w:rsidP="00803DA5">
            <w:pPr>
              <w:pStyle w:val="AmColumnHeading"/>
              <w:keepNext/>
              <w:jc w:val="left"/>
              <w:rPr>
                <w:b/>
                <w:bCs/>
              </w:rPr>
            </w:pPr>
            <w:r w:rsidRPr="00D808EB">
              <w:rPr>
                <w:b/>
                <w:bCs/>
              </w:rPr>
              <w:t>The amounts offset shall not be further mobilised in the context of the MFF.</w:t>
            </w:r>
          </w:p>
          <w:p w14:paraId="78C0E2BB" w14:textId="77777777" w:rsidR="008B2D19" w:rsidRPr="00D808EB" w:rsidRDefault="008B2D19" w:rsidP="00803DA5">
            <w:pPr>
              <w:pStyle w:val="AmColumnHeading"/>
              <w:keepNext/>
              <w:jc w:val="left"/>
              <w:rPr>
                <w:b/>
                <w:bCs/>
              </w:rPr>
            </w:pPr>
            <w:r w:rsidRPr="00D808EB">
              <w:rPr>
                <w:b/>
                <w:bCs/>
              </w:rPr>
              <w:t>5.</w:t>
            </w:r>
            <w:r w:rsidRPr="00D808EB">
              <w:rPr>
                <w:b/>
                <w:bCs/>
              </w:rPr>
              <w:tab/>
              <w:t>Recourse to the Single Margin Instrument in any given year shall be consistent with the own resources ceilings set out in the Own Resources Decision</w:t>
            </w:r>
            <w:r w:rsidRPr="00D808EB">
              <w:rPr>
                <w:i w:val="0"/>
                <w:iCs/>
              </w:rPr>
              <w:t>.</w:t>
            </w:r>
          </w:p>
        </w:tc>
        <w:tc>
          <w:tcPr>
            <w:tcW w:w="4876" w:type="dxa"/>
          </w:tcPr>
          <w:p w14:paraId="1AC72635" w14:textId="77777777" w:rsidR="008B2D19" w:rsidRPr="00D808EB" w:rsidRDefault="008B2D19" w:rsidP="00803DA5">
            <w:pPr>
              <w:pStyle w:val="AmColumnHeading"/>
              <w:jc w:val="left"/>
              <w:rPr>
                <w:b/>
                <w:bCs/>
                <w:iCs/>
                <w:szCs w:val="24"/>
              </w:rPr>
            </w:pPr>
            <w:r w:rsidRPr="00D808EB">
              <w:rPr>
                <w:b/>
                <w:bCs/>
                <w:iCs/>
                <w:szCs w:val="24"/>
              </w:rPr>
              <w:t>deleted</w:t>
            </w:r>
          </w:p>
        </w:tc>
      </w:tr>
    </w:tbl>
    <w:p w14:paraId="6C4B207F"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192A94B6" w14:textId="77777777" w:rsidR="008B2D19" w:rsidRPr="00D808EB" w:rsidRDefault="008B2D19" w:rsidP="008B2D19">
      <w:pPr>
        <w:rPr>
          <w:rStyle w:val="HideTWBExt"/>
          <w:noProof w:val="0"/>
        </w:rPr>
      </w:pPr>
      <w:r w:rsidRPr="00D808EB">
        <w:rPr>
          <w:rStyle w:val="HideTWBExt"/>
          <w:noProof w:val="0"/>
        </w:rPr>
        <w:t>&lt;/Amend&gt;</w:t>
      </w:r>
    </w:p>
    <w:p w14:paraId="1197C53D" w14:textId="77777777" w:rsidR="008B2D19" w:rsidRPr="00D808EB" w:rsidRDefault="008B2D19" w:rsidP="008B2D19">
      <w:pPr>
        <w:pStyle w:val="AmNumberTabs"/>
        <w:keepNext/>
      </w:pPr>
      <w:r w:rsidRPr="00D808EB">
        <w:rPr>
          <w:rStyle w:val="HideTWBExt"/>
          <w:rFonts w:eastAsiaTheme="majorEastAsia"/>
          <w:b w:val="0"/>
        </w:rPr>
        <w:t>&lt;Amend&gt;</w:t>
      </w:r>
      <w:r w:rsidRPr="00D808EB">
        <w:t>Modification</w:t>
      </w:r>
      <w:r w:rsidRPr="00D808EB">
        <w:tab/>
      </w:r>
      <w:r w:rsidRPr="00D808EB">
        <w:tab/>
      </w:r>
      <w:r w:rsidRPr="00D808EB">
        <w:rPr>
          <w:rStyle w:val="HideTWBExt"/>
          <w:rFonts w:eastAsiaTheme="majorEastAsia"/>
          <w:b w:val="0"/>
        </w:rPr>
        <w:t>&lt;NumAm&gt;</w:t>
      </w:r>
      <w:r w:rsidRPr="00D808EB">
        <w:t>10</w:t>
      </w:r>
      <w:r w:rsidRPr="00D808EB">
        <w:rPr>
          <w:rStyle w:val="HideTWBExt"/>
          <w:rFonts w:eastAsiaTheme="majorEastAsia"/>
          <w:b w:val="0"/>
        </w:rPr>
        <w:t>&lt;/NumAm&gt;</w:t>
      </w:r>
    </w:p>
    <w:p w14:paraId="067674B4" w14:textId="77777777" w:rsidR="008B2D19" w:rsidRPr="00D808EB" w:rsidRDefault="008B2D19" w:rsidP="008B2D19">
      <w:pPr>
        <w:pStyle w:val="NormalBold12b"/>
        <w:keepNext/>
      </w:pPr>
      <w:r w:rsidRPr="00D808EB">
        <w:rPr>
          <w:rStyle w:val="HideTWBExt"/>
          <w:rFonts w:eastAsiaTheme="majorEastAsia"/>
          <w:b w:val="0"/>
        </w:rPr>
        <w:t>&lt;DocAmend&gt;</w:t>
      </w:r>
      <w:r w:rsidRPr="00D808EB">
        <w:t>Proposal for a regulation</w:t>
      </w:r>
      <w:r w:rsidRPr="00D808EB">
        <w:rPr>
          <w:rStyle w:val="HideTWBExt"/>
          <w:rFonts w:eastAsiaTheme="majorEastAsia"/>
          <w:b w:val="0"/>
        </w:rPr>
        <w:t>&lt;/DocAmend&gt;</w:t>
      </w:r>
    </w:p>
    <w:p w14:paraId="0967D212" w14:textId="77777777" w:rsidR="008B2D19" w:rsidRPr="00D808EB" w:rsidRDefault="008B2D19" w:rsidP="008B2D19">
      <w:pPr>
        <w:pStyle w:val="NormalBold"/>
        <w:rPr>
          <w:rStyle w:val="HideTWBExt"/>
          <w:rFonts w:eastAsiaTheme="majorEastAsia"/>
          <w:b w:val="0"/>
          <w:lang w:val="fr-BE"/>
        </w:rPr>
      </w:pPr>
      <w:r w:rsidRPr="00C728B7">
        <w:rPr>
          <w:rStyle w:val="HideTWBExt"/>
          <w:rFonts w:eastAsiaTheme="majorEastAsia"/>
          <w:b w:val="0"/>
          <w:lang w:val="fr-BE"/>
        </w:rPr>
        <w:t>&lt;Article&gt;</w:t>
      </w:r>
      <w:r w:rsidRPr="00C728B7">
        <w:rPr>
          <w:lang w:val="fr-BE"/>
        </w:rPr>
        <w:t xml:space="preserve"> </w:t>
      </w:r>
      <w:r w:rsidRPr="00D808EB">
        <w:rPr>
          <w:lang w:val="fr-BE"/>
        </w:rPr>
        <w:t>Chapter 3 - Article 8 – paragraph 2 - point ba (new)</w:t>
      </w:r>
      <w:r w:rsidRPr="00D808EB">
        <w:rPr>
          <w:rStyle w:val="HideTWBExt"/>
          <w:rFonts w:eastAsiaTheme="majorEastAsia"/>
          <w:b w:val="0"/>
          <w:lang w:val="fr-BE"/>
        </w:rPr>
        <w:t>&lt;/Article&gt;</w:t>
      </w:r>
    </w:p>
    <w:p w14:paraId="6EF2A440" w14:textId="77777777" w:rsidR="008B2D19" w:rsidRPr="00D808EB" w:rsidRDefault="008B2D19" w:rsidP="008B2D19">
      <w:pPr>
        <w:pStyle w:val="NormalBold"/>
        <w:rPr>
          <w:lang w:val="fr-BE"/>
        </w:rPr>
      </w:pP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C728B7" w14:paraId="57EF7BCA" w14:textId="77777777" w:rsidTr="00803DA5">
        <w:trPr>
          <w:jc w:val="center"/>
        </w:trPr>
        <w:tc>
          <w:tcPr>
            <w:tcW w:w="4876" w:type="dxa"/>
          </w:tcPr>
          <w:p w14:paraId="6D940F6D" w14:textId="77777777" w:rsidR="008B2D19" w:rsidRPr="00D808EB" w:rsidRDefault="008B2D19" w:rsidP="00803DA5">
            <w:pPr>
              <w:pStyle w:val="AmColumnHeading"/>
              <w:keepNext/>
              <w:spacing w:after="0"/>
              <w:rPr>
                <w:lang w:val="fr-BE"/>
              </w:rPr>
            </w:pPr>
          </w:p>
        </w:tc>
        <w:tc>
          <w:tcPr>
            <w:tcW w:w="4876" w:type="dxa"/>
          </w:tcPr>
          <w:p w14:paraId="6420C341" w14:textId="77777777" w:rsidR="008B2D19" w:rsidRPr="00D808EB" w:rsidRDefault="008B2D19" w:rsidP="00803DA5">
            <w:pPr>
              <w:pStyle w:val="AmColumnHeading"/>
              <w:keepNext/>
              <w:spacing w:after="0"/>
              <w:rPr>
                <w:lang w:val="fr-BE"/>
              </w:rPr>
            </w:pPr>
          </w:p>
        </w:tc>
      </w:tr>
      <w:tr w:rsidR="008B2D19" w:rsidRPr="00D808EB" w14:paraId="60D0C7F5" w14:textId="77777777" w:rsidTr="00803DA5">
        <w:trPr>
          <w:jc w:val="center"/>
        </w:trPr>
        <w:tc>
          <w:tcPr>
            <w:tcW w:w="4876" w:type="dxa"/>
          </w:tcPr>
          <w:p w14:paraId="196CD2CC" w14:textId="77777777" w:rsidR="008B2D19" w:rsidRPr="00D808EB" w:rsidRDefault="008B2D19" w:rsidP="00803DA5">
            <w:pPr>
              <w:pStyle w:val="AmColumnHeading"/>
              <w:keepNext/>
              <w:rPr>
                <w:i w:val="0"/>
                <w:iCs/>
              </w:rPr>
            </w:pPr>
            <w:r w:rsidRPr="00D808EB">
              <w:t>Text proposed by the Commission</w:t>
            </w:r>
          </w:p>
        </w:tc>
        <w:tc>
          <w:tcPr>
            <w:tcW w:w="4876" w:type="dxa"/>
          </w:tcPr>
          <w:p w14:paraId="7EDF8A7D" w14:textId="77777777" w:rsidR="008B2D19" w:rsidRPr="00D808EB" w:rsidRDefault="008B2D19" w:rsidP="00803DA5">
            <w:pPr>
              <w:pStyle w:val="AmColumnHeading"/>
              <w:keepNext/>
              <w:rPr>
                <w:b/>
                <w:bCs/>
              </w:rPr>
            </w:pPr>
            <w:r w:rsidRPr="00D808EB">
              <w:t>Modification</w:t>
            </w:r>
          </w:p>
        </w:tc>
      </w:tr>
      <w:tr w:rsidR="008B2D19" w:rsidRPr="00D808EB" w14:paraId="7928E5B6" w14:textId="77777777" w:rsidTr="00803DA5">
        <w:trPr>
          <w:jc w:val="center"/>
        </w:trPr>
        <w:tc>
          <w:tcPr>
            <w:tcW w:w="4876" w:type="dxa"/>
          </w:tcPr>
          <w:p w14:paraId="4493E73B" w14:textId="77777777" w:rsidR="008B2D19" w:rsidRPr="00D808EB" w:rsidRDefault="008B2D19" w:rsidP="00803DA5">
            <w:pPr>
              <w:pStyle w:val="AmColumnHeading"/>
              <w:keepNext/>
              <w:jc w:val="left"/>
              <w:rPr>
                <w:i w:val="0"/>
                <w:iCs/>
              </w:rPr>
            </w:pPr>
          </w:p>
          <w:p w14:paraId="791AAB7B" w14:textId="77777777" w:rsidR="008B2D19" w:rsidRPr="00D808EB" w:rsidRDefault="008B2D19" w:rsidP="00803DA5">
            <w:pPr>
              <w:pStyle w:val="AmColumnHeading"/>
              <w:widowControl w:val="0"/>
              <w:spacing w:after="360"/>
              <w:jc w:val="left"/>
            </w:pPr>
          </w:p>
        </w:tc>
        <w:tc>
          <w:tcPr>
            <w:tcW w:w="4876" w:type="dxa"/>
          </w:tcPr>
          <w:p w14:paraId="0F3180DA" w14:textId="77777777" w:rsidR="008B2D19" w:rsidRPr="00D808EB" w:rsidRDefault="008B2D19" w:rsidP="00803DA5">
            <w:pPr>
              <w:pStyle w:val="AmColumnHeading"/>
              <w:keepNext/>
              <w:jc w:val="left"/>
              <w:rPr>
                <w:b/>
                <w:bCs/>
                <w:iCs/>
              </w:rPr>
            </w:pPr>
            <w:r w:rsidRPr="00D808EB">
              <w:rPr>
                <w:b/>
                <w:bCs/>
                <w:iCs/>
              </w:rPr>
              <w:t>(ba)</w:t>
            </w:r>
            <w:r w:rsidRPr="00D808EB">
              <w:rPr>
                <w:b/>
                <w:bCs/>
                <w:iCs/>
              </w:rPr>
              <w:tab/>
              <w:t xml:space="preserve">an amount corresponding to margins left available below the MFF ceilings for commitment appropriations of previous financial years; </w:t>
            </w:r>
          </w:p>
        </w:tc>
      </w:tr>
    </w:tbl>
    <w:p w14:paraId="31017200" w14:textId="77777777" w:rsidR="008B2D19" w:rsidRPr="00D808EB" w:rsidRDefault="008B2D19" w:rsidP="008B2D19">
      <w:pPr>
        <w:pStyle w:val="AmOrLang"/>
      </w:pPr>
      <w:r w:rsidRPr="00D808EB">
        <w:t xml:space="preserve">Or. </w:t>
      </w:r>
      <w:r w:rsidRPr="00D808EB">
        <w:rPr>
          <w:rStyle w:val="HideTWBExt"/>
          <w:rFonts w:eastAsiaTheme="majorEastAsia"/>
        </w:rPr>
        <w:t>&lt;Original&gt;</w:t>
      </w:r>
      <w:r w:rsidRPr="00D808EB">
        <w:rPr>
          <w:rStyle w:val="HideTWBInt"/>
        </w:rPr>
        <w:t>{EN}</w:t>
      </w:r>
      <w:r w:rsidRPr="00D808EB">
        <w:t>en</w:t>
      </w:r>
      <w:r w:rsidRPr="00D808EB">
        <w:rPr>
          <w:rStyle w:val="HideTWBExt"/>
          <w:rFonts w:eastAsiaTheme="majorEastAsia"/>
        </w:rPr>
        <w:t>&lt;/Original&gt;</w:t>
      </w:r>
    </w:p>
    <w:p w14:paraId="1F7F3FA5" w14:textId="77777777" w:rsidR="008B2D19" w:rsidRPr="00D808EB" w:rsidRDefault="008B2D19" w:rsidP="008B2D19">
      <w:pPr>
        <w:rPr>
          <w:rStyle w:val="HideTWBExt"/>
          <w:rFonts w:eastAsiaTheme="majorEastAsia"/>
        </w:rPr>
      </w:pPr>
      <w:r w:rsidRPr="00D808EB">
        <w:rPr>
          <w:rStyle w:val="HideTWBExt"/>
          <w:rFonts w:eastAsiaTheme="majorEastAsia"/>
        </w:rPr>
        <w:t>&lt;/Amend&gt;</w:t>
      </w:r>
    </w:p>
    <w:p w14:paraId="6FB96804" w14:textId="77777777" w:rsidR="008B2D19" w:rsidRPr="00D808EB" w:rsidRDefault="008B2D19" w:rsidP="008B2D19">
      <w:pPr>
        <w:pStyle w:val="AmNumberTabs"/>
        <w:keepNext/>
      </w:pPr>
      <w:r w:rsidRPr="00D808EB">
        <w:rPr>
          <w:rStyle w:val="HideTWBExt"/>
          <w:rFonts w:eastAsiaTheme="majorEastAsia"/>
          <w:b w:val="0"/>
        </w:rPr>
        <w:t>&lt;Amend&gt;</w:t>
      </w:r>
      <w:r w:rsidRPr="00D808EB">
        <w:t>Modification</w:t>
      </w:r>
      <w:r w:rsidRPr="00D808EB">
        <w:tab/>
      </w:r>
      <w:r w:rsidRPr="00D808EB">
        <w:tab/>
      </w:r>
      <w:r w:rsidRPr="00D808EB">
        <w:rPr>
          <w:rStyle w:val="HideTWBExt"/>
          <w:rFonts w:eastAsiaTheme="majorEastAsia"/>
          <w:b w:val="0"/>
        </w:rPr>
        <w:t>&lt;NumAm&gt;</w:t>
      </w:r>
      <w:r w:rsidRPr="00D808EB">
        <w:t>11</w:t>
      </w:r>
      <w:r w:rsidRPr="00D808EB">
        <w:rPr>
          <w:rStyle w:val="HideTWBExt"/>
          <w:rFonts w:eastAsiaTheme="majorEastAsia"/>
          <w:b w:val="0"/>
        </w:rPr>
        <w:t>&lt;/NumAm&gt;</w:t>
      </w:r>
    </w:p>
    <w:p w14:paraId="36D861CE" w14:textId="77777777" w:rsidR="008B2D19" w:rsidRPr="00D808EB" w:rsidRDefault="008B2D19" w:rsidP="008B2D19">
      <w:pPr>
        <w:pStyle w:val="NormalBold12b"/>
        <w:keepNext/>
      </w:pPr>
      <w:r w:rsidRPr="00D808EB">
        <w:rPr>
          <w:rStyle w:val="HideTWBExt"/>
          <w:rFonts w:eastAsiaTheme="majorEastAsia"/>
          <w:b w:val="0"/>
        </w:rPr>
        <w:t>&lt;DocAmend&gt;</w:t>
      </w:r>
      <w:r w:rsidRPr="00D808EB">
        <w:t>Proposal for a regulation</w:t>
      </w:r>
      <w:r w:rsidRPr="00D808EB">
        <w:rPr>
          <w:rStyle w:val="HideTWBExt"/>
          <w:rFonts w:eastAsiaTheme="majorEastAsia"/>
          <w:b w:val="0"/>
        </w:rPr>
        <w:t>&lt;/DocAmend&gt;</w:t>
      </w:r>
    </w:p>
    <w:p w14:paraId="262CFB85" w14:textId="77777777" w:rsidR="008B2D19" w:rsidRPr="00D808EB" w:rsidRDefault="008B2D19" w:rsidP="008B2D19">
      <w:pPr>
        <w:pStyle w:val="NormalBold"/>
        <w:rPr>
          <w:rStyle w:val="HideTWBExt"/>
          <w:rFonts w:eastAsiaTheme="majorEastAsia"/>
          <w:b w:val="0"/>
          <w:lang w:val="fr-BE"/>
        </w:rPr>
      </w:pPr>
      <w:r w:rsidRPr="00C728B7">
        <w:rPr>
          <w:rStyle w:val="HideTWBExt"/>
          <w:rFonts w:eastAsiaTheme="majorEastAsia"/>
          <w:b w:val="0"/>
          <w:lang w:val="fr-BE"/>
        </w:rPr>
        <w:t>&lt;Article&gt;</w:t>
      </w:r>
      <w:r w:rsidRPr="00C728B7">
        <w:rPr>
          <w:lang w:val="fr-BE"/>
        </w:rPr>
        <w:t xml:space="preserve"> </w:t>
      </w:r>
      <w:r w:rsidRPr="00D808EB">
        <w:rPr>
          <w:lang w:val="fr-BE"/>
        </w:rPr>
        <w:t>Chapter 3 - Article 8 – paragraph 2 - point bb (new)</w:t>
      </w:r>
      <w:r w:rsidRPr="00D808EB">
        <w:rPr>
          <w:rStyle w:val="HideTWBExt"/>
          <w:rFonts w:eastAsiaTheme="majorEastAsia"/>
          <w:b w:val="0"/>
          <w:lang w:val="fr-BE"/>
        </w:rPr>
        <w:t>&lt;/Article&gt;</w:t>
      </w:r>
    </w:p>
    <w:p w14:paraId="26B9F56F" w14:textId="77777777" w:rsidR="008B2D19" w:rsidRPr="00D808EB" w:rsidRDefault="008B2D19" w:rsidP="008B2D19">
      <w:pPr>
        <w:pStyle w:val="NormalBold"/>
        <w:rPr>
          <w:lang w:val="fr-BE"/>
        </w:rPr>
      </w:pP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C728B7" w14:paraId="2B031AB8" w14:textId="77777777" w:rsidTr="00803DA5">
        <w:trPr>
          <w:jc w:val="center"/>
        </w:trPr>
        <w:tc>
          <w:tcPr>
            <w:tcW w:w="4876" w:type="dxa"/>
          </w:tcPr>
          <w:p w14:paraId="47096E2D" w14:textId="77777777" w:rsidR="008B2D19" w:rsidRPr="00D808EB" w:rsidRDefault="008B2D19" w:rsidP="00803DA5">
            <w:pPr>
              <w:pStyle w:val="AmColumnHeading"/>
              <w:keepNext/>
              <w:spacing w:after="0"/>
              <w:rPr>
                <w:lang w:val="fr-BE"/>
              </w:rPr>
            </w:pPr>
          </w:p>
        </w:tc>
        <w:tc>
          <w:tcPr>
            <w:tcW w:w="4876" w:type="dxa"/>
          </w:tcPr>
          <w:p w14:paraId="4FD49FCB" w14:textId="77777777" w:rsidR="008B2D19" w:rsidRPr="00D808EB" w:rsidRDefault="008B2D19" w:rsidP="00803DA5">
            <w:pPr>
              <w:pStyle w:val="AmColumnHeading"/>
              <w:keepNext/>
              <w:spacing w:after="0"/>
              <w:rPr>
                <w:lang w:val="fr-BE"/>
              </w:rPr>
            </w:pPr>
          </w:p>
        </w:tc>
      </w:tr>
      <w:tr w:rsidR="008B2D19" w:rsidRPr="00D808EB" w14:paraId="45B76799" w14:textId="77777777" w:rsidTr="00803DA5">
        <w:trPr>
          <w:jc w:val="center"/>
        </w:trPr>
        <w:tc>
          <w:tcPr>
            <w:tcW w:w="4876" w:type="dxa"/>
          </w:tcPr>
          <w:p w14:paraId="3124D4DE" w14:textId="77777777" w:rsidR="008B2D19" w:rsidRPr="00D808EB" w:rsidRDefault="008B2D19" w:rsidP="00803DA5">
            <w:pPr>
              <w:pStyle w:val="AmColumnHeading"/>
              <w:keepNext/>
              <w:rPr>
                <w:i w:val="0"/>
                <w:iCs/>
              </w:rPr>
            </w:pPr>
            <w:r w:rsidRPr="00D808EB">
              <w:t>Text proposed by the Commission</w:t>
            </w:r>
          </w:p>
        </w:tc>
        <w:tc>
          <w:tcPr>
            <w:tcW w:w="4876" w:type="dxa"/>
          </w:tcPr>
          <w:p w14:paraId="6D07222F" w14:textId="77777777" w:rsidR="008B2D19" w:rsidRPr="00D808EB" w:rsidRDefault="008B2D19" w:rsidP="00803DA5">
            <w:pPr>
              <w:pStyle w:val="AmColumnHeading"/>
              <w:keepNext/>
              <w:rPr>
                <w:b/>
                <w:bCs/>
              </w:rPr>
            </w:pPr>
            <w:r w:rsidRPr="00D808EB">
              <w:t>Modification</w:t>
            </w:r>
          </w:p>
        </w:tc>
      </w:tr>
      <w:tr w:rsidR="008B2D19" w:rsidRPr="00D808EB" w14:paraId="0A31380F" w14:textId="77777777" w:rsidTr="00803DA5">
        <w:trPr>
          <w:jc w:val="center"/>
        </w:trPr>
        <w:tc>
          <w:tcPr>
            <w:tcW w:w="4876" w:type="dxa"/>
          </w:tcPr>
          <w:p w14:paraId="280E429B" w14:textId="77777777" w:rsidR="008B2D19" w:rsidRPr="00D808EB" w:rsidRDefault="008B2D19" w:rsidP="00803DA5">
            <w:pPr>
              <w:pStyle w:val="AmColumnHeading"/>
              <w:keepNext/>
              <w:jc w:val="left"/>
            </w:pPr>
          </w:p>
        </w:tc>
        <w:tc>
          <w:tcPr>
            <w:tcW w:w="4876" w:type="dxa"/>
          </w:tcPr>
          <w:p w14:paraId="461E0EF9" w14:textId="77777777" w:rsidR="008B2D19" w:rsidRPr="00D808EB" w:rsidRDefault="008B2D19" w:rsidP="00803DA5">
            <w:pPr>
              <w:pStyle w:val="AmColumnHeading"/>
              <w:keepNext/>
              <w:jc w:val="left"/>
              <w:rPr>
                <w:b/>
                <w:bCs/>
                <w:iCs/>
              </w:rPr>
            </w:pPr>
            <w:r w:rsidRPr="00D808EB">
              <w:rPr>
                <w:b/>
                <w:bCs/>
                <w:iCs/>
              </w:rPr>
              <w:t>(bb)</w:t>
            </w:r>
            <w:r w:rsidRPr="00D808EB">
              <w:rPr>
                <w:b/>
                <w:bCs/>
                <w:iCs/>
              </w:rPr>
              <w:tab/>
              <w:t>where there is a surplus in year n-1, an amount equivalent to that surplus, excluding revenue as referred to in point (a).</w:t>
            </w:r>
          </w:p>
        </w:tc>
      </w:tr>
    </w:tbl>
    <w:p w14:paraId="1D404382" w14:textId="77777777" w:rsidR="008B2D19" w:rsidRPr="00D808EB" w:rsidRDefault="008B2D19" w:rsidP="008B2D19">
      <w:pPr>
        <w:pStyle w:val="AmOrLang"/>
      </w:pPr>
      <w:r w:rsidRPr="00D808EB">
        <w:t xml:space="preserve">Or. </w:t>
      </w:r>
      <w:r w:rsidRPr="00D808EB">
        <w:rPr>
          <w:rStyle w:val="HideTWBExt"/>
          <w:rFonts w:eastAsiaTheme="majorEastAsia"/>
        </w:rPr>
        <w:t>&lt;Original&gt;</w:t>
      </w:r>
      <w:r w:rsidRPr="00D808EB">
        <w:rPr>
          <w:rStyle w:val="HideTWBInt"/>
        </w:rPr>
        <w:t>{EN}</w:t>
      </w:r>
      <w:r w:rsidRPr="00D808EB">
        <w:t>en</w:t>
      </w:r>
      <w:r w:rsidRPr="00D808EB">
        <w:rPr>
          <w:rStyle w:val="HideTWBExt"/>
          <w:rFonts w:eastAsiaTheme="majorEastAsia"/>
        </w:rPr>
        <w:t>&lt;/Original&gt;</w:t>
      </w:r>
    </w:p>
    <w:p w14:paraId="456AA493" w14:textId="77777777" w:rsidR="008B2D19" w:rsidRPr="00D808EB" w:rsidRDefault="008B2D19" w:rsidP="008B2D19">
      <w:r w:rsidRPr="00D808EB">
        <w:rPr>
          <w:rStyle w:val="HideTWBExt"/>
          <w:rFonts w:eastAsiaTheme="majorEastAsia"/>
        </w:rPr>
        <w:t>&lt;/Amend&gt;</w:t>
      </w:r>
    </w:p>
    <w:p w14:paraId="273866C8" w14:textId="77777777" w:rsidR="008B2D19" w:rsidRPr="00D808EB" w:rsidRDefault="008B2D19" w:rsidP="008B2D19">
      <w:pPr>
        <w:pStyle w:val="AmNumberTabs"/>
        <w:keepNext/>
      </w:pPr>
      <w:r w:rsidRPr="00D808EB">
        <w:rPr>
          <w:rStyle w:val="HideTWBExt"/>
          <w:rFonts w:eastAsiaTheme="majorEastAsia"/>
          <w:b w:val="0"/>
        </w:rPr>
        <w:t>&lt;Amend&gt;</w:t>
      </w:r>
      <w:r w:rsidRPr="00D808EB">
        <w:t>Modification</w:t>
      </w:r>
      <w:r w:rsidRPr="00D808EB">
        <w:tab/>
      </w:r>
      <w:r w:rsidRPr="00D808EB">
        <w:tab/>
      </w:r>
      <w:r w:rsidRPr="00D808EB">
        <w:rPr>
          <w:rStyle w:val="HideTWBExt"/>
          <w:rFonts w:eastAsiaTheme="majorEastAsia"/>
          <w:b w:val="0"/>
        </w:rPr>
        <w:t>&lt;NumAm&gt;</w:t>
      </w:r>
      <w:r w:rsidRPr="00D808EB">
        <w:t>12</w:t>
      </w:r>
      <w:r w:rsidRPr="00D808EB">
        <w:rPr>
          <w:rStyle w:val="HideTWBExt"/>
          <w:rFonts w:eastAsiaTheme="majorEastAsia"/>
          <w:b w:val="0"/>
        </w:rPr>
        <w:t>&lt;/NumAm&gt;</w:t>
      </w:r>
    </w:p>
    <w:p w14:paraId="39CBD628" w14:textId="77777777" w:rsidR="008B2D19" w:rsidRPr="00D808EB" w:rsidRDefault="008B2D19" w:rsidP="008B2D19">
      <w:pPr>
        <w:pStyle w:val="NormalBold12b"/>
        <w:keepNext/>
      </w:pPr>
      <w:r w:rsidRPr="00D808EB">
        <w:rPr>
          <w:rStyle w:val="HideTWBExt"/>
          <w:rFonts w:eastAsiaTheme="majorEastAsia"/>
          <w:b w:val="0"/>
        </w:rPr>
        <w:t>&lt;DocAmend&gt;</w:t>
      </w:r>
      <w:r w:rsidRPr="00D808EB">
        <w:t>Proposal for a regulation</w:t>
      </w:r>
      <w:r w:rsidRPr="00D808EB">
        <w:rPr>
          <w:rStyle w:val="HideTWBExt"/>
          <w:rFonts w:eastAsiaTheme="majorEastAsia"/>
          <w:b w:val="0"/>
        </w:rPr>
        <w:t>&lt;/DocAmend&gt;</w:t>
      </w:r>
    </w:p>
    <w:p w14:paraId="5BE38BA7" w14:textId="77777777" w:rsidR="008B2D19" w:rsidRPr="00D808EB" w:rsidRDefault="008B2D19" w:rsidP="008B2D19">
      <w:pPr>
        <w:pStyle w:val="NormalBold"/>
        <w:rPr>
          <w:rStyle w:val="HideTWBExt"/>
          <w:rFonts w:eastAsiaTheme="majorEastAsia"/>
          <w:b w:val="0"/>
          <w:lang w:val="fr-BE"/>
        </w:rPr>
      </w:pPr>
      <w:r w:rsidRPr="00D808EB">
        <w:rPr>
          <w:rStyle w:val="HideTWBExt"/>
          <w:rFonts w:eastAsiaTheme="majorEastAsia"/>
          <w:b w:val="0"/>
          <w:lang w:val="fr-BE"/>
        </w:rPr>
        <w:t>&lt;Article&gt;</w:t>
      </w:r>
      <w:r w:rsidRPr="00D808EB">
        <w:rPr>
          <w:lang w:val="fr-BE"/>
        </w:rPr>
        <w:t xml:space="preserve"> Chapter 3 - Article 8 – paragraph 2 - subparagraph 1a (new)</w:t>
      </w:r>
      <w:r w:rsidRPr="00D808EB">
        <w:rPr>
          <w:rStyle w:val="HideTWBExt"/>
          <w:rFonts w:eastAsiaTheme="majorEastAsia"/>
          <w:b w:val="0"/>
          <w:lang w:val="fr-BE"/>
        </w:rPr>
        <w:t>&lt;/Article&gt;</w:t>
      </w:r>
    </w:p>
    <w:p w14:paraId="43717EAD" w14:textId="77777777" w:rsidR="008B2D19" w:rsidRPr="00D808EB" w:rsidRDefault="008B2D19" w:rsidP="008B2D19">
      <w:pPr>
        <w:pStyle w:val="NormalBold"/>
        <w:rPr>
          <w:lang w:val="fr-BE"/>
        </w:rPr>
      </w:pP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6629FD90" w14:textId="77777777" w:rsidTr="00803DA5">
        <w:trPr>
          <w:jc w:val="center"/>
        </w:trPr>
        <w:tc>
          <w:tcPr>
            <w:tcW w:w="4876" w:type="dxa"/>
          </w:tcPr>
          <w:p w14:paraId="74159A19" w14:textId="77777777" w:rsidR="008B2D19" w:rsidRPr="00D808EB" w:rsidRDefault="008B2D19" w:rsidP="00803DA5">
            <w:pPr>
              <w:pStyle w:val="AmColumnHeading"/>
              <w:keepNext/>
              <w:spacing w:after="0"/>
              <w:rPr>
                <w:lang w:val="fr-BE"/>
              </w:rPr>
            </w:pPr>
          </w:p>
        </w:tc>
        <w:tc>
          <w:tcPr>
            <w:tcW w:w="4876" w:type="dxa"/>
          </w:tcPr>
          <w:p w14:paraId="7BC59675" w14:textId="77777777" w:rsidR="008B2D19" w:rsidRPr="00D808EB" w:rsidRDefault="008B2D19" w:rsidP="00803DA5">
            <w:pPr>
              <w:pStyle w:val="AmColumnHeading"/>
              <w:keepNext/>
              <w:spacing w:after="0"/>
              <w:rPr>
                <w:lang w:val="fr-BE"/>
              </w:rPr>
            </w:pPr>
          </w:p>
        </w:tc>
      </w:tr>
      <w:tr w:rsidR="008B2D19" w:rsidRPr="00D808EB" w14:paraId="0953F64B" w14:textId="77777777" w:rsidTr="00803DA5">
        <w:trPr>
          <w:jc w:val="center"/>
        </w:trPr>
        <w:tc>
          <w:tcPr>
            <w:tcW w:w="4876" w:type="dxa"/>
          </w:tcPr>
          <w:p w14:paraId="73F16F47" w14:textId="77777777" w:rsidR="008B2D19" w:rsidRPr="00D808EB" w:rsidRDefault="008B2D19" w:rsidP="00803DA5">
            <w:pPr>
              <w:pStyle w:val="AmColumnHeading"/>
              <w:keepNext/>
              <w:rPr>
                <w:i w:val="0"/>
                <w:iCs/>
              </w:rPr>
            </w:pPr>
            <w:r w:rsidRPr="00D808EB">
              <w:t>Text proposed by the Commission</w:t>
            </w:r>
          </w:p>
        </w:tc>
        <w:tc>
          <w:tcPr>
            <w:tcW w:w="4876" w:type="dxa"/>
          </w:tcPr>
          <w:p w14:paraId="1046DB33" w14:textId="77777777" w:rsidR="008B2D19" w:rsidRPr="00D808EB" w:rsidRDefault="008B2D19" w:rsidP="00803DA5">
            <w:pPr>
              <w:pStyle w:val="AmColumnHeading"/>
              <w:keepNext/>
              <w:rPr>
                <w:b/>
                <w:bCs/>
              </w:rPr>
            </w:pPr>
            <w:r w:rsidRPr="00D808EB">
              <w:t>Modification</w:t>
            </w:r>
          </w:p>
        </w:tc>
      </w:tr>
      <w:tr w:rsidR="008B2D19" w:rsidRPr="00D808EB" w14:paraId="4093CCA9" w14:textId="77777777" w:rsidTr="00803DA5">
        <w:trPr>
          <w:jc w:val="center"/>
        </w:trPr>
        <w:tc>
          <w:tcPr>
            <w:tcW w:w="4876" w:type="dxa"/>
          </w:tcPr>
          <w:p w14:paraId="751C48A6" w14:textId="77777777" w:rsidR="008B2D19" w:rsidRPr="00D808EB" w:rsidRDefault="008B2D19" w:rsidP="00803DA5">
            <w:pPr>
              <w:pStyle w:val="AmColumnHeading"/>
              <w:keepNext/>
              <w:jc w:val="left"/>
            </w:pPr>
          </w:p>
        </w:tc>
        <w:tc>
          <w:tcPr>
            <w:tcW w:w="4876" w:type="dxa"/>
          </w:tcPr>
          <w:p w14:paraId="591C0B5A" w14:textId="5CFD966F" w:rsidR="008B2D19" w:rsidRPr="00D808EB" w:rsidRDefault="008B2D19" w:rsidP="00803DA5">
            <w:pPr>
              <w:pStyle w:val="AmColumnHeading"/>
              <w:widowControl w:val="0"/>
              <w:jc w:val="left"/>
              <w:rPr>
                <w:b/>
                <w:bCs/>
                <w:iCs/>
              </w:rPr>
            </w:pPr>
            <w:r w:rsidRPr="00D808EB">
              <w:rPr>
                <w:b/>
                <w:bCs/>
                <w:iCs/>
              </w:rPr>
              <w:t xml:space="preserve">Where necessary and as a last resort, the European Parliament and the Council may increase the amount referred to in the first subparagraph by an amount that shall not exceed in a given year 0,04 % of the gross national income of the Union, as calculated in the technical adjustment referred to in Article 4, and that shall be fully offset against the margin of commitment or payment appropriations, or both, in one or more MFF headings for the current or future financial years. Amounts that are offset in that way shall not be further mobilised in the context of the MFF and shall be consistent with the own resources ceiling. </w:t>
            </w:r>
          </w:p>
          <w:p w14:paraId="23EC7010" w14:textId="77777777" w:rsidR="008B2D19" w:rsidRPr="00D808EB" w:rsidRDefault="008B2D19" w:rsidP="00803DA5">
            <w:pPr>
              <w:pStyle w:val="Normal6a"/>
              <w:rPr>
                <w:szCs w:val="24"/>
              </w:rPr>
            </w:pPr>
          </w:p>
        </w:tc>
      </w:tr>
    </w:tbl>
    <w:p w14:paraId="011F47BD" w14:textId="77777777" w:rsidR="008B2D19" w:rsidRPr="00D808EB" w:rsidRDefault="008B2D19" w:rsidP="008B2D19">
      <w:pPr>
        <w:pStyle w:val="AmOrLang"/>
      </w:pPr>
      <w:r w:rsidRPr="00D808EB">
        <w:t xml:space="preserve">Or. </w:t>
      </w:r>
      <w:r w:rsidRPr="00D808EB">
        <w:rPr>
          <w:rStyle w:val="HideTWBExt"/>
          <w:rFonts w:eastAsiaTheme="majorEastAsia"/>
        </w:rPr>
        <w:t>&lt;Original&gt;</w:t>
      </w:r>
      <w:r w:rsidRPr="00D808EB">
        <w:rPr>
          <w:rStyle w:val="HideTWBInt"/>
        </w:rPr>
        <w:t>{EN}</w:t>
      </w:r>
      <w:r w:rsidRPr="00D808EB">
        <w:t>en</w:t>
      </w:r>
      <w:r w:rsidRPr="00D808EB">
        <w:rPr>
          <w:rStyle w:val="HideTWBExt"/>
          <w:rFonts w:eastAsiaTheme="majorEastAsia"/>
        </w:rPr>
        <w:t>&lt;/Original&gt;</w:t>
      </w:r>
    </w:p>
    <w:p w14:paraId="280FD70F" w14:textId="77777777" w:rsidR="008B2D19" w:rsidRPr="00D808EB" w:rsidRDefault="008B2D19" w:rsidP="008B2D19">
      <w:r w:rsidRPr="00D808EB">
        <w:rPr>
          <w:rStyle w:val="HideTWBExt"/>
          <w:rFonts w:eastAsiaTheme="majorEastAsia"/>
        </w:rPr>
        <w:t>&lt;/Amend&gt;</w:t>
      </w:r>
    </w:p>
    <w:p w14:paraId="02BA132D" w14:textId="77777777" w:rsidR="008B2D19" w:rsidRPr="00D808EB" w:rsidRDefault="008B2D19" w:rsidP="008B2D19">
      <w:pPr>
        <w:pStyle w:val="AmNumberTabs"/>
        <w:keepNext/>
      </w:pPr>
      <w:r w:rsidRPr="00D808EB">
        <w:rPr>
          <w:rStyle w:val="HideTWBExt"/>
          <w:rFonts w:eastAsiaTheme="majorEastAsia"/>
          <w:b w:val="0"/>
        </w:rPr>
        <w:t>&lt;Amend&gt;</w:t>
      </w:r>
      <w:r w:rsidRPr="00D808EB">
        <w:t>Modification</w:t>
      </w:r>
      <w:r w:rsidRPr="00D808EB">
        <w:tab/>
      </w:r>
      <w:r w:rsidRPr="00D808EB">
        <w:tab/>
      </w:r>
      <w:r w:rsidRPr="00D808EB">
        <w:rPr>
          <w:rStyle w:val="HideTWBExt"/>
          <w:rFonts w:eastAsiaTheme="majorEastAsia"/>
          <w:b w:val="0"/>
        </w:rPr>
        <w:t>&lt;NumAm&gt;</w:t>
      </w:r>
      <w:r w:rsidRPr="00D808EB">
        <w:t>13</w:t>
      </w:r>
      <w:r w:rsidRPr="00D808EB">
        <w:rPr>
          <w:rStyle w:val="HideTWBExt"/>
          <w:rFonts w:eastAsiaTheme="majorEastAsia"/>
          <w:b w:val="0"/>
        </w:rPr>
        <w:t>&lt;/NumAm&gt;</w:t>
      </w:r>
    </w:p>
    <w:p w14:paraId="377E5138" w14:textId="77777777" w:rsidR="008B2D19" w:rsidRPr="00D808EB" w:rsidRDefault="008B2D19" w:rsidP="008B2D19">
      <w:pPr>
        <w:pStyle w:val="NormalBold12b"/>
        <w:keepNext/>
      </w:pPr>
      <w:r w:rsidRPr="00D808EB">
        <w:rPr>
          <w:rStyle w:val="HideTWBExt"/>
          <w:rFonts w:eastAsiaTheme="majorEastAsia"/>
          <w:b w:val="0"/>
        </w:rPr>
        <w:t>&lt;DocAmend&gt;</w:t>
      </w:r>
      <w:r w:rsidRPr="00D808EB">
        <w:t>Proposal for a regulation</w:t>
      </w:r>
      <w:r w:rsidRPr="00D808EB">
        <w:rPr>
          <w:rStyle w:val="HideTWBExt"/>
          <w:rFonts w:eastAsiaTheme="majorEastAsia"/>
          <w:b w:val="0"/>
        </w:rPr>
        <w:t>&lt;/DocAmend&gt;</w:t>
      </w:r>
    </w:p>
    <w:p w14:paraId="03FEA575" w14:textId="77777777" w:rsidR="008B2D19" w:rsidRPr="00D808EB" w:rsidRDefault="008B2D19" w:rsidP="008B2D19">
      <w:pPr>
        <w:pStyle w:val="NormalBold"/>
        <w:rPr>
          <w:rStyle w:val="HideTWBExt"/>
          <w:rFonts w:eastAsiaTheme="majorEastAsia"/>
          <w:b w:val="0"/>
        </w:rPr>
      </w:pPr>
      <w:r w:rsidRPr="00D808EB">
        <w:rPr>
          <w:rStyle w:val="HideTWBExt"/>
          <w:rFonts w:eastAsiaTheme="majorEastAsia"/>
          <w:b w:val="0"/>
        </w:rPr>
        <w:t>&lt;Article&gt;</w:t>
      </w:r>
      <w:r w:rsidRPr="00D808EB">
        <w:t xml:space="preserve"> Chapter 3 - Article 8 – paragraph 2 - subparagraph 2</w:t>
      </w:r>
      <w:r w:rsidRPr="00D808EB">
        <w:rPr>
          <w:rStyle w:val="HideTWBExt"/>
          <w:rFonts w:eastAsiaTheme="majorEastAsia"/>
          <w:b w:val="0"/>
        </w:rPr>
        <w:t>&lt;/Article&gt;</w:t>
      </w:r>
    </w:p>
    <w:p w14:paraId="5B1E2C9B" w14:textId="77777777" w:rsidR="008B2D19" w:rsidRPr="00D808EB" w:rsidRDefault="008B2D19" w:rsidP="008B2D19">
      <w:pPr>
        <w:pStyle w:val="NormalBold"/>
      </w:pP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774BA37C" w14:textId="77777777" w:rsidTr="00803DA5">
        <w:trPr>
          <w:jc w:val="center"/>
        </w:trPr>
        <w:tc>
          <w:tcPr>
            <w:tcW w:w="4876" w:type="dxa"/>
          </w:tcPr>
          <w:p w14:paraId="2FA20B81" w14:textId="77777777" w:rsidR="008B2D19" w:rsidRPr="00D808EB" w:rsidRDefault="008B2D19" w:rsidP="00803DA5">
            <w:pPr>
              <w:pStyle w:val="AmColumnHeading"/>
              <w:keepNext/>
              <w:spacing w:after="0"/>
            </w:pPr>
          </w:p>
        </w:tc>
        <w:tc>
          <w:tcPr>
            <w:tcW w:w="4876" w:type="dxa"/>
          </w:tcPr>
          <w:p w14:paraId="76A01B7E" w14:textId="77777777" w:rsidR="008B2D19" w:rsidRPr="00D808EB" w:rsidRDefault="008B2D19" w:rsidP="00803DA5">
            <w:pPr>
              <w:pStyle w:val="AmColumnHeading"/>
              <w:keepNext/>
              <w:spacing w:after="0"/>
            </w:pPr>
          </w:p>
        </w:tc>
      </w:tr>
      <w:tr w:rsidR="008B2D19" w:rsidRPr="00D808EB" w14:paraId="7F99E5BE" w14:textId="77777777" w:rsidTr="00803DA5">
        <w:trPr>
          <w:jc w:val="center"/>
        </w:trPr>
        <w:tc>
          <w:tcPr>
            <w:tcW w:w="4876" w:type="dxa"/>
          </w:tcPr>
          <w:p w14:paraId="2BCBCFD9" w14:textId="77777777" w:rsidR="008B2D19" w:rsidRPr="00D808EB" w:rsidRDefault="008B2D19" w:rsidP="00803DA5">
            <w:pPr>
              <w:pStyle w:val="AmColumnHeading"/>
              <w:keepNext/>
              <w:rPr>
                <w:i w:val="0"/>
                <w:iCs/>
              </w:rPr>
            </w:pPr>
            <w:r w:rsidRPr="00D808EB">
              <w:t>Text proposed by the Commission</w:t>
            </w:r>
          </w:p>
        </w:tc>
        <w:tc>
          <w:tcPr>
            <w:tcW w:w="4876" w:type="dxa"/>
          </w:tcPr>
          <w:p w14:paraId="44F17ECA" w14:textId="77777777" w:rsidR="008B2D19" w:rsidRPr="00D808EB" w:rsidRDefault="008B2D19" w:rsidP="00803DA5">
            <w:pPr>
              <w:pStyle w:val="AmColumnHeading"/>
              <w:keepNext/>
              <w:rPr>
                <w:b/>
                <w:bCs/>
              </w:rPr>
            </w:pPr>
            <w:r w:rsidRPr="00D808EB">
              <w:t>Modification</w:t>
            </w:r>
          </w:p>
        </w:tc>
      </w:tr>
      <w:tr w:rsidR="008B2D19" w:rsidRPr="00D808EB" w14:paraId="40574F01" w14:textId="77777777" w:rsidTr="00803DA5">
        <w:trPr>
          <w:jc w:val="center"/>
        </w:trPr>
        <w:tc>
          <w:tcPr>
            <w:tcW w:w="4876" w:type="dxa"/>
          </w:tcPr>
          <w:p w14:paraId="4E0FAC79" w14:textId="77777777" w:rsidR="008B2D19" w:rsidRPr="00D808EB" w:rsidRDefault="008B2D19" w:rsidP="00803DA5">
            <w:pPr>
              <w:pStyle w:val="AmColumnHeading"/>
              <w:keepNext/>
              <w:jc w:val="left"/>
            </w:pPr>
            <w:r w:rsidRPr="00D808EB">
              <w:rPr>
                <w:i w:val="0"/>
              </w:rPr>
              <w:t xml:space="preserve">The Commission shall calculate each year, as part of technical adjustments referred to in Article 4, the amounts available on the basis of the first </w:t>
            </w:r>
            <w:r w:rsidRPr="00D808EB">
              <w:rPr>
                <w:b/>
                <w:bCs/>
                <w:iCs/>
              </w:rPr>
              <w:t>subparagraph,</w:t>
            </w:r>
            <w:r w:rsidRPr="00D808EB">
              <w:rPr>
                <w:i w:val="0"/>
              </w:rPr>
              <w:t xml:space="preserve"> </w:t>
            </w:r>
            <w:r w:rsidRPr="00D808EB">
              <w:rPr>
                <w:b/>
                <w:bCs/>
                <w:iCs/>
              </w:rPr>
              <w:t>points (a) and (b)</w:t>
            </w:r>
            <w:r w:rsidRPr="00D808EB">
              <w:rPr>
                <w:iCs/>
              </w:rPr>
              <w:t xml:space="preserve"> </w:t>
            </w:r>
            <w:r w:rsidRPr="00D808EB">
              <w:rPr>
                <w:i w:val="0"/>
              </w:rPr>
              <w:t>of this paragraph.</w:t>
            </w:r>
          </w:p>
        </w:tc>
        <w:tc>
          <w:tcPr>
            <w:tcW w:w="4876" w:type="dxa"/>
          </w:tcPr>
          <w:p w14:paraId="4A5880F0" w14:textId="77777777" w:rsidR="008B2D19" w:rsidRPr="00D808EB" w:rsidRDefault="008B2D19" w:rsidP="00803DA5">
            <w:pPr>
              <w:pStyle w:val="Normal6a"/>
              <w:rPr>
                <w:szCs w:val="24"/>
              </w:rPr>
            </w:pPr>
            <w:r w:rsidRPr="00D808EB">
              <w:t xml:space="preserve">The Commission shall calculate each year, as part of technical adjustments referred to in Article 4, the amounts available on the basis of the first </w:t>
            </w:r>
            <w:r w:rsidRPr="00D808EB">
              <w:rPr>
                <w:b/>
                <w:bCs/>
                <w:i/>
                <w:iCs/>
              </w:rPr>
              <w:t>and second</w:t>
            </w:r>
            <w:r w:rsidRPr="00D808EB">
              <w:rPr>
                <w:b/>
                <w:bCs/>
              </w:rPr>
              <w:t xml:space="preserve"> </w:t>
            </w:r>
            <w:r w:rsidRPr="00D808EB">
              <w:rPr>
                <w:b/>
                <w:bCs/>
                <w:i/>
                <w:iCs/>
              </w:rPr>
              <w:t>subparagraphs</w:t>
            </w:r>
            <w:r w:rsidRPr="00D808EB">
              <w:t xml:space="preserve"> of this paragraph.</w:t>
            </w:r>
          </w:p>
        </w:tc>
      </w:tr>
    </w:tbl>
    <w:p w14:paraId="707EAEB4" w14:textId="77777777" w:rsidR="008B2D19" w:rsidRPr="00D808EB" w:rsidRDefault="008B2D19" w:rsidP="008B2D19">
      <w:pPr>
        <w:pStyle w:val="AmOrLang"/>
      </w:pPr>
      <w:r w:rsidRPr="00D808EB">
        <w:t xml:space="preserve">Or. </w:t>
      </w:r>
      <w:r w:rsidRPr="00D808EB">
        <w:rPr>
          <w:rStyle w:val="HideTWBExt"/>
          <w:rFonts w:eastAsiaTheme="majorEastAsia"/>
        </w:rPr>
        <w:t>&lt;Original&gt;</w:t>
      </w:r>
      <w:r w:rsidRPr="00D808EB">
        <w:rPr>
          <w:rStyle w:val="HideTWBInt"/>
        </w:rPr>
        <w:t>{EN}</w:t>
      </w:r>
      <w:r w:rsidRPr="00D808EB">
        <w:t>en</w:t>
      </w:r>
      <w:r w:rsidRPr="00D808EB">
        <w:rPr>
          <w:rStyle w:val="HideTWBExt"/>
          <w:rFonts w:eastAsiaTheme="majorEastAsia"/>
        </w:rPr>
        <w:t>&lt;/Original&gt;</w:t>
      </w:r>
    </w:p>
    <w:p w14:paraId="47012B52" w14:textId="77777777" w:rsidR="008B2D19" w:rsidRPr="00D808EB" w:rsidRDefault="008B2D19" w:rsidP="008B2D19">
      <w:r w:rsidRPr="00D808EB">
        <w:rPr>
          <w:rStyle w:val="HideTWBExt"/>
          <w:rFonts w:eastAsiaTheme="majorEastAsia"/>
        </w:rPr>
        <w:t>&lt;/Amend&gt;</w:t>
      </w:r>
    </w:p>
    <w:p w14:paraId="12E7D36A" w14:textId="77777777" w:rsidR="008B2D19" w:rsidRPr="00D808EB" w:rsidRDefault="008B2D19" w:rsidP="008B2D19">
      <w:pPr>
        <w:pStyle w:val="AmNumberTabs"/>
        <w:keepNext/>
      </w:pPr>
      <w:r w:rsidRPr="00D808EB">
        <w:rPr>
          <w:rStyle w:val="HideTWBExt"/>
          <w:rFonts w:eastAsiaTheme="majorEastAsia"/>
          <w:b w:val="0"/>
        </w:rPr>
        <w:t>&lt;Amend&gt;</w:t>
      </w:r>
      <w:r w:rsidRPr="00D808EB">
        <w:t>Modification</w:t>
      </w:r>
      <w:r w:rsidRPr="00D808EB">
        <w:tab/>
      </w:r>
      <w:r w:rsidRPr="00D808EB">
        <w:tab/>
      </w:r>
      <w:r w:rsidRPr="00D808EB">
        <w:rPr>
          <w:rStyle w:val="HideTWBExt"/>
          <w:rFonts w:eastAsiaTheme="majorEastAsia"/>
          <w:b w:val="0"/>
        </w:rPr>
        <w:t>&lt;NumAm&gt;</w:t>
      </w:r>
      <w:r w:rsidRPr="00D808EB">
        <w:t>14</w:t>
      </w:r>
      <w:r w:rsidRPr="00D808EB">
        <w:rPr>
          <w:rStyle w:val="HideTWBExt"/>
          <w:rFonts w:eastAsiaTheme="majorEastAsia"/>
          <w:b w:val="0"/>
        </w:rPr>
        <w:t>&lt;/NumAm&gt;</w:t>
      </w:r>
    </w:p>
    <w:p w14:paraId="62A64F30" w14:textId="77777777" w:rsidR="008B2D19" w:rsidRPr="00D808EB" w:rsidRDefault="008B2D19" w:rsidP="008B2D19">
      <w:pPr>
        <w:pStyle w:val="NormalBold12b"/>
        <w:keepNext/>
      </w:pPr>
      <w:r w:rsidRPr="00D808EB">
        <w:rPr>
          <w:rStyle w:val="HideTWBExt"/>
          <w:rFonts w:eastAsiaTheme="majorEastAsia"/>
          <w:b w:val="0"/>
        </w:rPr>
        <w:t>&lt;DocAmend&gt;</w:t>
      </w:r>
      <w:r w:rsidRPr="00D808EB">
        <w:t>Proposal for a regulation</w:t>
      </w:r>
      <w:r w:rsidRPr="00D808EB">
        <w:rPr>
          <w:rStyle w:val="HideTWBExt"/>
          <w:rFonts w:eastAsiaTheme="majorEastAsia"/>
          <w:b w:val="0"/>
        </w:rPr>
        <w:t>&lt;/DocAmend&gt;</w:t>
      </w:r>
    </w:p>
    <w:p w14:paraId="2138E1CB" w14:textId="77777777" w:rsidR="008B2D19" w:rsidRPr="00D808EB" w:rsidRDefault="008B2D19" w:rsidP="008B2D19">
      <w:pPr>
        <w:pStyle w:val="NormalBold"/>
      </w:pPr>
      <w:r w:rsidRPr="00D808EB">
        <w:rPr>
          <w:rStyle w:val="HideTWBExt"/>
          <w:rFonts w:eastAsiaTheme="majorEastAsia"/>
          <w:b w:val="0"/>
        </w:rPr>
        <w:t>&lt;Article&gt;</w:t>
      </w:r>
      <w:r w:rsidRPr="00D808EB">
        <w:t xml:space="preserve"> Chapter 3 - Article 8a (new) </w:t>
      </w:r>
      <w:r w:rsidRPr="00D808EB">
        <w:rPr>
          <w:rStyle w:val="HideTWBExt"/>
          <w:rFonts w:eastAsiaTheme="majorEastAsia"/>
          <w:b w:val="0"/>
        </w:rPr>
        <w:t>&lt;/Article&gt;</w:t>
      </w:r>
    </w:p>
    <w:p w14:paraId="1E3AFE2B"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14C1EB1A" w14:textId="77777777" w:rsidTr="00803DA5">
        <w:trPr>
          <w:jc w:val="center"/>
        </w:trPr>
        <w:tc>
          <w:tcPr>
            <w:tcW w:w="9752" w:type="dxa"/>
            <w:gridSpan w:val="2"/>
          </w:tcPr>
          <w:p w14:paraId="58356DCB" w14:textId="77777777" w:rsidR="008B2D19" w:rsidRPr="00D808EB" w:rsidRDefault="008B2D19" w:rsidP="00803DA5">
            <w:pPr>
              <w:keepNext/>
            </w:pPr>
          </w:p>
        </w:tc>
      </w:tr>
      <w:tr w:rsidR="008B2D19" w:rsidRPr="00D808EB" w14:paraId="58461664" w14:textId="77777777" w:rsidTr="00803DA5">
        <w:trPr>
          <w:jc w:val="center"/>
        </w:trPr>
        <w:tc>
          <w:tcPr>
            <w:tcW w:w="4876" w:type="dxa"/>
          </w:tcPr>
          <w:p w14:paraId="6E64FC90" w14:textId="77777777" w:rsidR="008B2D19" w:rsidRPr="00D808EB" w:rsidRDefault="008B2D19" w:rsidP="00803DA5">
            <w:pPr>
              <w:pStyle w:val="AmColumnHeading"/>
              <w:keepNext/>
              <w:rPr>
                <w:i w:val="0"/>
                <w:iCs/>
              </w:rPr>
            </w:pPr>
            <w:r w:rsidRPr="00D808EB">
              <w:t>Text proposed by the Commission</w:t>
            </w:r>
          </w:p>
        </w:tc>
        <w:tc>
          <w:tcPr>
            <w:tcW w:w="4876" w:type="dxa"/>
          </w:tcPr>
          <w:p w14:paraId="333A2264" w14:textId="77777777" w:rsidR="008B2D19" w:rsidRPr="00D808EB" w:rsidRDefault="008B2D19" w:rsidP="00803DA5">
            <w:pPr>
              <w:pStyle w:val="AmColumnHeading"/>
              <w:keepNext/>
              <w:rPr>
                <w:b/>
                <w:bCs/>
              </w:rPr>
            </w:pPr>
            <w:r w:rsidRPr="00D808EB">
              <w:t>Modification</w:t>
            </w:r>
          </w:p>
        </w:tc>
      </w:tr>
      <w:tr w:rsidR="008B2D19" w:rsidRPr="00D808EB" w14:paraId="0C736A59" w14:textId="77777777" w:rsidTr="00803DA5">
        <w:trPr>
          <w:jc w:val="center"/>
        </w:trPr>
        <w:tc>
          <w:tcPr>
            <w:tcW w:w="4876" w:type="dxa"/>
          </w:tcPr>
          <w:p w14:paraId="13D5DFC9" w14:textId="3F26E6B0" w:rsidR="008B2D19" w:rsidRPr="00D808EB" w:rsidRDefault="00C728B7" w:rsidP="00803DA5">
            <w:pPr>
              <w:pStyle w:val="Normal6a"/>
            </w:pPr>
            <w:r>
              <w:t xml:space="preserve"> </w:t>
            </w:r>
          </w:p>
        </w:tc>
        <w:tc>
          <w:tcPr>
            <w:tcW w:w="4876" w:type="dxa"/>
          </w:tcPr>
          <w:p w14:paraId="0EF6D340" w14:textId="77777777" w:rsidR="008B2D19" w:rsidRPr="00D808EB" w:rsidRDefault="008B2D19" w:rsidP="00803DA5">
            <w:pPr>
              <w:pStyle w:val="AmColumnHeading"/>
              <w:rPr>
                <w:b/>
                <w:bCs/>
                <w:iCs/>
              </w:rPr>
            </w:pPr>
            <w:r w:rsidRPr="00D808EB">
              <w:rPr>
                <w:b/>
                <w:bCs/>
                <w:iCs/>
              </w:rPr>
              <w:t>Article 8a</w:t>
            </w:r>
          </w:p>
          <w:p w14:paraId="2E12FEB1" w14:textId="77777777" w:rsidR="008B2D19" w:rsidRPr="00D808EB" w:rsidRDefault="008B2D19" w:rsidP="00803DA5">
            <w:pPr>
              <w:pStyle w:val="AmColumnHeading"/>
              <w:jc w:val="left"/>
              <w:rPr>
                <w:b/>
                <w:bCs/>
                <w:iCs/>
              </w:rPr>
            </w:pPr>
            <w:r w:rsidRPr="00D808EB">
              <w:rPr>
                <w:b/>
                <w:bCs/>
                <w:iCs/>
              </w:rPr>
              <w:t>Solidarity Reserve for Natural Disasters</w:t>
            </w:r>
          </w:p>
          <w:p w14:paraId="29C187DF" w14:textId="77777777" w:rsidR="008B2D19" w:rsidRPr="00D808EB" w:rsidRDefault="008B2D19" w:rsidP="00803DA5">
            <w:pPr>
              <w:pStyle w:val="AmColumnHeading"/>
              <w:keepNext/>
              <w:jc w:val="left"/>
              <w:rPr>
                <w:b/>
                <w:bCs/>
                <w:iCs/>
              </w:rPr>
            </w:pPr>
            <w:r w:rsidRPr="00D808EB">
              <w:rPr>
                <w:b/>
                <w:bCs/>
                <w:i w:val="0"/>
              </w:rPr>
              <w:t>1.</w:t>
            </w:r>
            <w:r w:rsidRPr="00D808EB">
              <w:rPr>
                <w:b/>
                <w:bCs/>
                <w:i w:val="0"/>
              </w:rPr>
              <w:tab/>
            </w:r>
            <w:r w:rsidRPr="00D808EB">
              <w:rPr>
                <w:b/>
                <w:bCs/>
                <w:iCs/>
              </w:rPr>
              <w:t xml:space="preserve">The Solidarity Reserve for Natural Disasters may be used to finance rapid responses to specific emergency needs within the Union for emergency responses and support operations following natural disasters. </w:t>
            </w:r>
          </w:p>
          <w:p w14:paraId="00863900" w14:textId="77777777" w:rsidR="008B2D19" w:rsidRPr="00D808EB" w:rsidRDefault="008B2D19" w:rsidP="00803DA5">
            <w:pPr>
              <w:pStyle w:val="AmColumnHeading"/>
              <w:keepNext/>
              <w:jc w:val="left"/>
              <w:rPr>
                <w:b/>
                <w:bCs/>
                <w:iCs/>
              </w:rPr>
            </w:pPr>
            <w:r w:rsidRPr="00D808EB">
              <w:rPr>
                <w:b/>
                <w:bCs/>
                <w:i w:val="0"/>
              </w:rPr>
              <w:t>2.</w:t>
            </w:r>
            <w:r w:rsidRPr="00D808EB">
              <w:rPr>
                <w:b/>
                <w:bCs/>
                <w:i w:val="0"/>
              </w:rPr>
              <w:tab/>
            </w:r>
            <w:r w:rsidRPr="00D808EB">
              <w:rPr>
                <w:b/>
                <w:bCs/>
                <w:iCs/>
              </w:rPr>
              <w:t xml:space="preserve">The Solidarity Reserve for Natural Disasters shall not exceed a maximum annual amount of EUR XXXX million (in 2025 prices). Any portion of the annual amount not used in year n may be used in the following years until 2034. </w:t>
            </w:r>
          </w:p>
          <w:p w14:paraId="38457750" w14:textId="77777777" w:rsidR="008B2D19" w:rsidRPr="00D808EB" w:rsidRDefault="008B2D19" w:rsidP="00803DA5">
            <w:pPr>
              <w:pStyle w:val="AmColumnHeading"/>
              <w:keepNext/>
              <w:jc w:val="left"/>
              <w:rPr>
                <w:b/>
                <w:bCs/>
                <w:iCs/>
              </w:rPr>
            </w:pPr>
            <w:r w:rsidRPr="00D808EB">
              <w:rPr>
                <w:b/>
                <w:bCs/>
                <w:iCs/>
              </w:rPr>
              <w:t>On 1 October of each year, at least one quarter of the annual amount of the Solidarity Reserve for Natural Disasters shall remain available in order to cover needs arising until the end of that year.</w:t>
            </w:r>
          </w:p>
          <w:p w14:paraId="5BFF0863" w14:textId="77777777" w:rsidR="008B2D19" w:rsidRPr="00D808EB" w:rsidRDefault="008B2D19" w:rsidP="00803DA5">
            <w:pPr>
              <w:pStyle w:val="AmColumnHeading"/>
              <w:keepNext/>
              <w:jc w:val="left"/>
              <w:rPr>
                <w:b/>
                <w:bCs/>
                <w:iCs/>
              </w:rPr>
            </w:pPr>
            <w:r w:rsidRPr="00D808EB">
              <w:rPr>
                <w:b/>
                <w:bCs/>
                <w:iCs/>
              </w:rPr>
              <w:t>In exceptional cases and if the remaining financial resources available are not sufficient to cover the amounts considered necessary in the year of occurrence of an event as referred to in paragraph 1, the Commission may propose that the difference be financed through the annual amount referred to in paragraph 2 available in the following year, up to a maximum amount of EUR XXX million (in 2025 prices).</w:t>
            </w:r>
          </w:p>
          <w:p w14:paraId="61F1987A" w14:textId="77777777" w:rsidR="008B2D19" w:rsidRPr="00D808EB" w:rsidRDefault="008B2D19" w:rsidP="00803DA5">
            <w:pPr>
              <w:pStyle w:val="Normal6a"/>
              <w:rPr>
                <w:szCs w:val="24"/>
              </w:rPr>
            </w:pPr>
            <w:r w:rsidRPr="00D808EB">
              <w:rPr>
                <w:b/>
                <w:bCs/>
                <w:i/>
                <w:iCs/>
              </w:rPr>
              <w:t>3.</w:t>
            </w:r>
            <w:r w:rsidRPr="00D808EB">
              <w:rPr>
                <w:b/>
                <w:bCs/>
                <w:i/>
                <w:iCs/>
              </w:rPr>
              <w:tab/>
              <w:t>The appropriations for the Solidarity Reserve for Natural Disasters shall be entered in the general budget of the Union as a provision.</w:t>
            </w:r>
          </w:p>
        </w:tc>
      </w:tr>
    </w:tbl>
    <w:p w14:paraId="42C38CA2" w14:textId="77777777" w:rsidR="008B2D19" w:rsidRPr="00D808EB" w:rsidRDefault="008B2D19" w:rsidP="008B2D19">
      <w:pPr>
        <w:pStyle w:val="AmOrLang"/>
      </w:pPr>
      <w:r w:rsidRPr="00D808EB">
        <w:t xml:space="preserve">Or. </w:t>
      </w:r>
      <w:r w:rsidRPr="00D808EB">
        <w:rPr>
          <w:rStyle w:val="HideTWBExt"/>
          <w:rFonts w:eastAsiaTheme="majorEastAsia"/>
        </w:rPr>
        <w:t>&lt;Original&gt;</w:t>
      </w:r>
      <w:r w:rsidRPr="00D808EB">
        <w:rPr>
          <w:rStyle w:val="HideTWBInt"/>
        </w:rPr>
        <w:t>{EN}</w:t>
      </w:r>
      <w:r w:rsidRPr="00D808EB">
        <w:t>en</w:t>
      </w:r>
      <w:r w:rsidRPr="00D808EB">
        <w:rPr>
          <w:rStyle w:val="HideTWBExt"/>
          <w:rFonts w:eastAsiaTheme="majorEastAsia"/>
        </w:rPr>
        <w:t>&lt;/Original&gt;</w:t>
      </w:r>
    </w:p>
    <w:p w14:paraId="62F6F472" w14:textId="77777777" w:rsidR="008B2D19" w:rsidRPr="00D808EB" w:rsidRDefault="008B2D19" w:rsidP="008B2D19">
      <w:pPr>
        <w:rPr>
          <w:rStyle w:val="HideTWBExt"/>
          <w:rFonts w:eastAsiaTheme="majorEastAsia"/>
        </w:rPr>
      </w:pPr>
      <w:r w:rsidRPr="00D808EB">
        <w:rPr>
          <w:rStyle w:val="HideTWBExt"/>
          <w:rFonts w:eastAsiaTheme="majorEastAsia"/>
        </w:rPr>
        <w:t>&lt;/Amend&gt;</w:t>
      </w:r>
    </w:p>
    <w:p w14:paraId="370CB233" w14:textId="77777777" w:rsidR="008B2D19" w:rsidRPr="00D808EB" w:rsidRDefault="008B2D19" w:rsidP="008B2D19">
      <w:pPr>
        <w:pStyle w:val="AmNumberTabs"/>
        <w:keepNext/>
      </w:pPr>
      <w:r w:rsidRPr="00D808EB">
        <w:rPr>
          <w:rStyle w:val="HideTWBExt"/>
          <w:rFonts w:eastAsiaTheme="majorEastAsia"/>
          <w:b w:val="0"/>
        </w:rPr>
        <w:t>&lt;Amend&gt;</w:t>
      </w:r>
      <w:r w:rsidRPr="00D808EB">
        <w:t>Modification</w:t>
      </w:r>
      <w:r w:rsidRPr="00D808EB">
        <w:tab/>
      </w:r>
      <w:r w:rsidRPr="00D808EB">
        <w:tab/>
      </w:r>
      <w:r w:rsidRPr="00D808EB">
        <w:rPr>
          <w:rStyle w:val="HideTWBExt"/>
          <w:rFonts w:eastAsiaTheme="majorEastAsia"/>
          <w:b w:val="0"/>
        </w:rPr>
        <w:t>&lt;NumAm&gt;</w:t>
      </w:r>
      <w:r w:rsidRPr="00D808EB">
        <w:t>15</w:t>
      </w:r>
      <w:r w:rsidRPr="00D808EB">
        <w:rPr>
          <w:rStyle w:val="HideTWBExt"/>
          <w:rFonts w:eastAsiaTheme="majorEastAsia"/>
          <w:b w:val="0"/>
        </w:rPr>
        <w:t>&lt;/NumAm&gt;</w:t>
      </w:r>
    </w:p>
    <w:p w14:paraId="7D1D20DF" w14:textId="77777777" w:rsidR="008B2D19" w:rsidRPr="00D808EB" w:rsidRDefault="008B2D19" w:rsidP="008B2D19">
      <w:pPr>
        <w:pStyle w:val="NormalBold12b"/>
        <w:keepNext/>
      </w:pPr>
      <w:r w:rsidRPr="00D808EB">
        <w:rPr>
          <w:rStyle w:val="HideTWBExt"/>
          <w:rFonts w:eastAsiaTheme="majorEastAsia"/>
          <w:b w:val="0"/>
        </w:rPr>
        <w:t>&lt;DocAmend&gt;</w:t>
      </w:r>
      <w:r w:rsidRPr="00D808EB">
        <w:t>Proposal for a regulation</w:t>
      </w:r>
      <w:r w:rsidRPr="00D808EB">
        <w:rPr>
          <w:rStyle w:val="HideTWBExt"/>
          <w:rFonts w:eastAsiaTheme="majorEastAsia"/>
          <w:b w:val="0"/>
        </w:rPr>
        <w:t>&lt;/DocAmend&gt;</w:t>
      </w:r>
    </w:p>
    <w:p w14:paraId="6182FCC0" w14:textId="77777777" w:rsidR="008B2D19" w:rsidRPr="00D808EB" w:rsidRDefault="008B2D19" w:rsidP="008B2D19">
      <w:pPr>
        <w:pStyle w:val="NormalBold"/>
      </w:pPr>
      <w:r w:rsidRPr="00D808EB">
        <w:rPr>
          <w:rStyle w:val="HideTWBExt"/>
          <w:rFonts w:eastAsiaTheme="majorEastAsia"/>
          <w:b w:val="0"/>
        </w:rPr>
        <w:t>&lt;Article&gt;</w:t>
      </w:r>
      <w:r w:rsidRPr="00D808EB">
        <w:t xml:space="preserve"> Chapter 4 - Article 9 - title</w:t>
      </w:r>
      <w:r w:rsidRPr="00D808EB">
        <w:rPr>
          <w:rStyle w:val="HideTWBExt"/>
          <w:rFonts w:eastAsiaTheme="majorEastAsia"/>
          <w:b w:val="0"/>
        </w:rPr>
        <w:t>&lt;/Article&gt;</w:t>
      </w:r>
    </w:p>
    <w:p w14:paraId="792747C2"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50D8C879" w14:textId="77777777" w:rsidTr="00803DA5">
        <w:trPr>
          <w:jc w:val="center"/>
        </w:trPr>
        <w:tc>
          <w:tcPr>
            <w:tcW w:w="9752" w:type="dxa"/>
            <w:gridSpan w:val="2"/>
          </w:tcPr>
          <w:p w14:paraId="72F8E0E6" w14:textId="77777777" w:rsidR="008B2D19" w:rsidRPr="00D808EB" w:rsidRDefault="008B2D19" w:rsidP="00803DA5">
            <w:pPr>
              <w:keepNext/>
            </w:pPr>
          </w:p>
        </w:tc>
      </w:tr>
      <w:tr w:rsidR="008B2D19" w:rsidRPr="00D808EB" w14:paraId="0D5582EB" w14:textId="77777777" w:rsidTr="00803DA5">
        <w:trPr>
          <w:jc w:val="center"/>
        </w:trPr>
        <w:tc>
          <w:tcPr>
            <w:tcW w:w="4876" w:type="dxa"/>
          </w:tcPr>
          <w:p w14:paraId="278F999C" w14:textId="77777777" w:rsidR="008B2D19" w:rsidRPr="00D808EB" w:rsidRDefault="008B2D19" w:rsidP="00803DA5">
            <w:pPr>
              <w:pStyle w:val="AmColumnHeading"/>
              <w:keepNext/>
              <w:rPr>
                <w:i w:val="0"/>
                <w:iCs/>
              </w:rPr>
            </w:pPr>
            <w:r w:rsidRPr="00D808EB">
              <w:t>Text proposed by the Commission</w:t>
            </w:r>
          </w:p>
        </w:tc>
        <w:tc>
          <w:tcPr>
            <w:tcW w:w="4876" w:type="dxa"/>
          </w:tcPr>
          <w:p w14:paraId="4B04AC5F" w14:textId="77777777" w:rsidR="008B2D19" w:rsidRPr="00D808EB" w:rsidRDefault="008B2D19" w:rsidP="00803DA5">
            <w:pPr>
              <w:pStyle w:val="AmColumnHeading"/>
              <w:keepNext/>
              <w:rPr>
                <w:b/>
                <w:bCs/>
              </w:rPr>
            </w:pPr>
            <w:r w:rsidRPr="00D808EB">
              <w:t>Modification</w:t>
            </w:r>
          </w:p>
        </w:tc>
      </w:tr>
      <w:tr w:rsidR="008B2D19" w:rsidRPr="00D808EB" w14:paraId="23F4DD97" w14:textId="77777777" w:rsidTr="00803DA5">
        <w:trPr>
          <w:jc w:val="center"/>
        </w:trPr>
        <w:tc>
          <w:tcPr>
            <w:tcW w:w="4876" w:type="dxa"/>
          </w:tcPr>
          <w:p w14:paraId="248C3303" w14:textId="77777777" w:rsidR="008B2D19" w:rsidRPr="00D808EB" w:rsidRDefault="008B2D19" w:rsidP="00803DA5">
            <w:pPr>
              <w:pStyle w:val="Normal6a"/>
              <w:jc w:val="center"/>
              <w:rPr>
                <w:i/>
              </w:rPr>
            </w:pPr>
            <w:r w:rsidRPr="00D808EB">
              <w:rPr>
                <w:b/>
                <w:bCs/>
                <w:i/>
              </w:rPr>
              <w:t>Revision of the MFF to ensure compliance with the own resources ceiling</w:t>
            </w:r>
          </w:p>
        </w:tc>
        <w:tc>
          <w:tcPr>
            <w:tcW w:w="4876" w:type="dxa"/>
          </w:tcPr>
          <w:p w14:paraId="318DB210" w14:textId="77777777" w:rsidR="008B2D19" w:rsidRPr="00D808EB" w:rsidRDefault="008B2D19" w:rsidP="00803DA5">
            <w:pPr>
              <w:pStyle w:val="AmColumnHeading"/>
              <w:rPr>
                <w:b/>
                <w:bCs/>
                <w:iCs/>
              </w:rPr>
            </w:pPr>
            <w:r w:rsidRPr="00D808EB">
              <w:rPr>
                <w:b/>
                <w:bCs/>
                <w:iCs/>
              </w:rPr>
              <w:t xml:space="preserve">Mid-term review of the MFF </w:t>
            </w:r>
          </w:p>
        </w:tc>
      </w:tr>
    </w:tbl>
    <w:p w14:paraId="03E5B22A" w14:textId="77777777" w:rsidR="008B2D19" w:rsidRPr="00D808EB" w:rsidRDefault="008B2D19" w:rsidP="008B2D19">
      <w:pPr>
        <w:pStyle w:val="AmOrLang"/>
      </w:pPr>
      <w:r w:rsidRPr="00D808EB">
        <w:t xml:space="preserve">Or. </w:t>
      </w:r>
      <w:r w:rsidRPr="00D808EB">
        <w:rPr>
          <w:rStyle w:val="HideTWBExt"/>
          <w:rFonts w:eastAsiaTheme="majorEastAsia"/>
        </w:rPr>
        <w:t>&lt;Original&gt;</w:t>
      </w:r>
      <w:r w:rsidRPr="00D808EB">
        <w:rPr>
          <w:rStyle w:val="HideTWBInt"/>
        </w:rPr>
        <w:t>{EN}</w:t>
      </w:r>
      <w:r w:rsidRPr="00D808EB">
        <w:t>en</w:t>
      </w:r>
      <w:r w:rsidRPr="00D808EB">
        <w:rPr>
          <w:rStyle w:val="HideTWBExt"/>
          <w:rFonts w:eastAsiaTheme="majorEastAsia"/>
        </w:rPr>
        <w:t>&lt;/Original&gt;</w:t>
      </w:r>
    </w:p>
    <w:p w14:paraId="1DF0B39A" w14:textId="77777777" w:rsidR="008B2D19" w:rsidRPr="00D808EB" w:rsidRDefault="008B2D19" w:rsidP="008B2D19">
      <w:r w:rsidRPr="00D808EB">
        <w:rPr>
          <w:rStyle w:val="HideTWBExt"/>
          <w:rFonts w:eastAsiaTheme="majorEastAsia"/>
        </w:rPr>
        <w:t>&lt;/Amend&gt;</w:t>
      </w:r>
    </w:p>
    <w:p w14:paraId="3626D338" w14:textId="77777777" w:rsidR="008B2D19" w:rsidRPr="00D808EB" w:rsidRDefault="008B2D19" w:rsidP="008B2D19">
      <w:pPr>
        <w:pStyle w:val="AmNumberTabs"/>
        <w:keepNext/>
      </w:pPr>
      <w:r w:rsidRPr="00D808EB">
        <w:rPr>
          <w:rStyle w:val="HideTWBExt"/>
          <w:rFonts w:eastAsiaTheme="majorEastAsia"/>
          <w:b w:val="0"/>
        </w:rPr>
        <w:t>&lt;Amend&gt;</w:t>
      </w:r>
      <w:r w:rsidRPr="00D808EB">
        <w:t>Modification</w:t>
      </w:r>
      <w:r w:rsidRPr="00D808EB">
        <w:tab/>
      </w:r>
      <w:r w:rsidRPr="00D808EB">
        <w:tab/>
      </w:r>
      <w:r w:rsidRPr="00D808EB">
        <w:rPr>
          <w:rStyle w:val="HideTWBExt"/>
          <w:rFonts w:eastAsiaTheme="majorEastAsia"/>
          <w:b w:val="0"/>
        </w:rPr>
        <w:t>&lt;NumAm&gt;</w:t>
      </w:r>
      <w:r w:rsidRPr="00D808EB">
        <w:t>16</w:t>
      </w:r>
      <w:r w:rsidRPr="00D808EB">
        <w:rPr>
          <w:rStyle w:val="HideTWBExt"/>
          <w:rFonts w:eastAsiaTheme="majorEastAsia"/>
          <w:b w:val="0"/>
        </w:rPr>
        <w:t>&lt;/NumAm&gt;</w:t>
      </w:r>
    </w:p>
    <w:p w14:paraId="0A81CEA2" w14:textId="77777777" w:rsidR="008B2D19" w:rsidRPr="00D808EB" w:rsidRDefault="008B2D19" w:rsidP="008B2D19">
      <w:pPr>
        <w:pStyle w:val="NormalBold12b"/>
        <w:keepNext/>
      </w:pPr>
      <w:r w:rsidRPr="00D808EB">
        <w:rPr>
          <w:rStyle w:val="HideTWBExt"/>
          <w:rFonts w:eastAsiaTheme="majorEastAsia"/>
          <w:b w:val="0"/>
        </w:rPr>
        <w:t>&lt;DocAmend&gt;</w:t>
      </w:r>
      <w:r w:rsidRPr="00D808EB">
        <w:t>Proposal for a regulation</w:t>
      </w:r>
      <w:r w:rsidRPr="00D808EB">
        <w:rPr>
          <w:rStyle w:val="HideTWBExt"/>
          <w:rFonts w:eastAsiaTheme="majorEastAsia"/>
          <w:b w:val="0"/>
        </w:rPr>
        <w:t>&lt;/DocAmend&gt;</w:t>
      </w:r>
    </w:p>
    <w:p w14:paraId="30E0D4AD" w14:textId="77777777" w:rsidR="008B2D19" w:rsidRPr="00D808EB" w:rsidRDefault="008B2D19" w:rsidP="008B2D19">
      <w:pPr>
        <w:pStyle w:val="NormalBold"/>
      </w:pPr>
      <w:r w:rsidRPr="00D808EB">
        <w:rPr>
          <w:rStyle w:val="HideTWBExt"/>
          <w:rFonts w:eastAsiaTheme="majorEastAsia"/>
          <w:b w:val="0"/>
        </w:rPr>
        <w:t>&lt;Article&gt;</w:t>
      </w:r>
      <w:r w:rsidRPr="00D808EB">
        <w:t xml:space="preserve"> Chapter 4 - Article 9 – paragraph 1a (new)</w:t>
      </w:r>
      <w:r w:rsidRPr="00D808EB">
        <w:rPr>
          <w:rStyle w:val="HideTWBExt"/>
          <w:rFonts w:eastAsiaTheme="majorEastAsia"/>
          <w:b w:val="0"/>
        </w:rPr>
        <w:t>&lt;/Article&gt;</w:t>
      </w:r>
    </w:p>
    <w:p w14:paraId="3C4BB0B0"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51D91900" w14:textId="77777777" w:rsidTr="00803DA5">
        <w:trPr>
          <w:jc w:val="center"/>
        </w:trPr>
        <w:tc>
          <w:tcPr>
            <w:tcW w:w="9752" w:type="dxa"/>
            <w:gridSpan w:val="2"/>
          </w:tcPr>
          <w:p w14:paraId="3EC6207C" w14:textId="77777777" w:rsidR="008B2D19" w:rsidRPr="00D808EB" w:rsidRDefault="008B2D19" w:rsidP="00803DA5">
            <w:pPr>
              <w:keepNext/>
            </w:pPr>
          </w:p>
        </w:tc>
      </w:tr>
      <w:tr w:rsidR="008B2D19" w:rsidRPr="00D808EB" w14:paraId="29632969" w14:textId="77777777" w:rsidTr="00803DA5">
        <w:trPr>
          <w:jc w:val="center"/>
        </w:trPr>
        <w:tc>
          <w:tcPr>
            <w:tcW w:w="4876" w:type="dxa"/>
          </w:tcPr>
          <w:p w14:paraId="10A0FAAE" w14:textId="77777777" w:rsidR="008B2D19" w:rsidRPr="00D808EB" w:rsidRDefault="008B2D19" w:rsidP="00803DA5">
            <w:pPr>
              <w:pStyle w:val="AmColumnHeading"/>
              <w:keepNext/>
              <w:rPr>
                <w:i w:val="0"/>
                <w:iCs/>
              </w:rPr>
            </w:pPr>
            <w:r w:rsidRPr="00D808EB">
              <w:t>Text proposed by the Commission</w:t>
            </w:r>
          </w:p>
        </w:tc>
        <w:tc>
          <w:tcPr>
            <w:tcW w:w="4876" w:type="dxa"/>
          </w:tcPr>
          <w:p w14:paraId="0ABDAB59" w14:textId="77777777" w:rsidR="008B2D19" w:rsidRPr="00D808EB" w:rsidRDefault="008B2D19" w:rsidP="00803DA5">
            <w:pPr>
              <w:pStyle w:val="AmColumnHeading"/>
              <w:keepNext/>
              <w:rPr>
                <w:b/>
                <w:bCs/>
              </w:rPr>
            </w:pPr>
            <w:r w:rsidRPr="00D808EB">
              <w:t>Modification</w:t>
            </w:r>
          </w:p>
        </w:tc>
      </w:tr>
      <w:tr w:rsidR="008B2D19" w:rsidRPr="00D808EB" w14:paraId="6E1AA3A5" w14:textId="77777777" w:rsidTr="00803DA5">
        <w:trPr>
          <w:jc w:val="center"/>
        </w:trPr>
        <w:tc>
          <w:tcPr>
            <w:tcW w:w="4876" w:type="dxa"/>
          </w:tcPr>
          <w:p w14:paraId="5C385DD6" w14:textId="317E175F" w:rsidR="008B2D19" w:rsidRPr="00D808EB" w:rsidRDefault="00C728B7" w:rsidP="00803DA5">
            <w:pPr>
              <w:pStyle w:val="Normal6a"/>
            </w:pPr>
            <w:r>
              <w:t xml:space="preserve"> </w:t>
            </w:r>
          </w:p>
        </w:tc>
        <w:tc>
          <w:tcPr>
            <w:tcW w:w="4876" w:type="dxa"/>
          </w:tcPr>
          <w:p w14:paraId="7974B986" w14:textId="77777777" w:rsidR="008B2D19" w:rsidRPr="00D808EB" w:rsidRDefault="008B2D19" w:rsidP="00803DA5">
            <w:pPr>
              <w:pStyle w:val="AmColumnHeading"/>
              <w:jc w:val="left"/>
              <w:rPr>
                <w:b/>
                <w:bCs/>
                <w:iCs/>
              </w:rPr>
            </w:pPr>
            <w:r w:rsidRPr="00D808EB">
              <w:rPr>
                <w:b/>
                <w:bCs/>
                <w:iCs/>
              </w:rPr>
              <w:t>1a.</w:t>
            </w:r>
            <w:r w:rsidRPr="00D808EB">
              <w:rPr>
                <w:b/>
                <w:bCs/>
                <w:iCs/>
              </w:rPr>
              <w:tab/>
              <w:t>By the end of July 2031 at the latest, the Commission shall present a review of the functioning of the MFF. This compulsory review shall, as appropriate, be accompanied by a legislative proposal for the revision of this Regulation in accordance with the procedures set out in the TFEU. Pre-allocated national envelopes according to the Regulation XXXX/2027 [NRPPs] shall not be reduced through such a revision.</w:t>
            </w:r>
          </w:p>
          <w:p w14:paraId="0DFE4145" w14:textId="77777777" w:rsidR="008B2D19" w:rsidRPr="00D808EB" w:rsidRDefault="008B2D19" w:rsidP="00803DA5">
            <w:pPr>
              <w:pStyle w:val="Normal6a"/>
              <w:rPr>
                <w:szCs w:val="24"/>
              </w:rPr>
            </w:pPr>
          </w:p>
        </w:tc>
      </w:tr>
    </w:tbl>
    <w:p w14:paraId="0F04D7E5" w14:textId="77777777" w:rsidR="008B2D19" w:rsidRPr="00D808EB" w:rsidRDefault="008B2D19" w:rsidP="008B2D19">
      <w:pPr>
        <w:pStyle w:val="AmOrLang"/>
      </w:pPr>
      <w:r w:rsidRPr="00D808EB">
        <w:t xml:space="preserve">Or. </w:t>
      </w:r>
      <w:r w:rsidRPr="00D808EB">
        <w:rPr>
          <w:rStyle w:val="HideTWBExt"/>
          <w:rFonts w:eastAsiaTheme="majorEastAsia"/>
        </w:rPr>
        <w:t>&lt;Original&gt;</w:t>
      </w:r>
      <w:r w:rsidRPr="00D808EB">
        <w:rPr>
          <w:rStyle w:val="HideTWBInt"/>
        </w:rPr>
        <w:t>{EN}</w:t>
      </w:r>
      <w:r w:rsidRPr="00D808EB">
        <w:t>en</w:t>
      </w:r>
      <w:r w:rsidRPr="00D808EB">
        <w:rPr>
          <w:rStyle w:val="HideTWBExt"/>
          <w:rFonts w:eastAsiaTheme="majorEastAsia"/>
        </w:rPr>
        <w:t>&lt;/Original&gt;</w:t>
      </w:r>
    </w:p>
    <w:p w14:paraId="47DB35D9" w14:textId="77777777" w:rsidR="008B2D19" w:rsidRPr="00D808EB" w:rsidRDefault="008B2D19" w:rsidP="008B2D19">
      <w:pPr>
        <w:rPr>
          <w:rStyle w:val="HideTWBExt"/>
          <w:rFonts w:eastAsiaTheme="majorEastAsia"/>
        </w:rPr>
      </w:pPr>
      <w:r w:rsidRPr="00D808EB">
        <w:rPr>
          <w:rStyle w:val="HideTWBExt"/>
          <w:rFonts w:eastAsiaTheme="majorEastAsia"/>
        </w:rPr>
        <w:t>&lt;/Amend&gt;</w:t>
      </w:r>
    </w:p>
    <w:p w14:paraId="3FAD8E83" w14:textId="77777777" w:rsidR="008B2D19" w:rsidRPr="00D808EB" w:rsidRDefault="008B2D19" w:rsidP="008B2D19">
      <w:pPr>
        <w:pStyle w:val="AmNumberTabs"/>
        <w:keepNext/>
      </w:pPr>
      <w:r w:rsidRPr="00D808EB">
        <w:rPr>
          <w:rStyle w:val="HideTWBExt"/>
          <w:rFonts w:eastAsiaTheme="majorEastAsia"/>
          <w:b w:val="0"/>
        </w:rPr>
        <w:t>&lt;Amend&gt;</w:t>
      </w:r>
      <w:r w:rsidRPr="00D808EB">
        <w:t>Modification</w:t>
      </w:r>
      <w:r w:rsidRPr="00D808EB">
        <w:tab/>
      </w:r>
      <w:r w:rsidRPr="00D808EB">
        <w:tab/>
      </w:r>
      <w:r w:rsidRPr="00D808EB">
        <w:rPr>
          <w:rStyle w:val="HideTWBExt"/>
          <w:rFonts w:eastAsiaTheme="majorEastAsia"/>
          <w:b w:val="0"/>
        </w:rPr>
        <w:t>&lt;NumAm&gt;</w:t>
      </w:r>
      <w:r w:rsidRPr="00D808EB">
        <w:t>17</w:t>
      </w:r>
      <w:r w:rsidRPr="00D808EB">
        <w:rPr>
          <w:rStyle w:val="HideTWBExt"/>
          <w:rFonts w:eastAsiaTheme="majorEastAsia"/>
          <w:b w:val="0"/>
        </w:rPr>
        <w:t>&lt;/NumAm&gt;</w:t>
      </w:r>
    </w:p>
    <w:p w14:paraId="004118C7" w14:textId="77777777" w:rsidR="008B2D19" w:rsidRPr="00D808EB" w:rsidRDefault="008B2D19" w:rsidP="008B2D19">
      <w:pPr>
        <w:pStyle w:val="NormalBold12b"/>
        <w:keepNext/>
      </w:pPr>
      <w:r w:rsidRPr="00D808EB">
        <w:rPr>
          <w:rStyle w:val="HideTWBExt"/>
          <w:rFonts w:eastAsiaTheme="majorEastAsia"/>
          <w:b w:val="0"/>
        </w:rPr>
        <w:t>&lt;DocAmend&gt;</w:t>
      </w:r>
      <w:r w:rsidRPr="00D808EB">
        <w:t>Proposal for a regulation</w:t>
      </w:r>
      <w:r w:rsidRPr="00D808EB">
        <w:rPr>
          <w:rStyle w:val="HideTWBExt"/>
          <w:rFonts w:eastAsiaTheme="majorEastAsia"/>
          <w:b w:val="0"/>
        </w:rPr>
        <w:t>&lt;/DocAmend&gt;</w:t>
      </w:r>
    </w:p>
    <w:p w14:paraId="5C602DF5" w14:textId="77777777" w:rsidR="008B2D19" w:rsidRPr="00D808EB" w:rsidRDefault="008B2D19" w:rsidP="008B2D19">
      <w:pPr>
        <w:pStyle w:val="NormalBold"/>
      </w:pPr>
      <w:r w:rsidRPr="00D808EB">
        <w:rPr>
          <w:rStyle w:val="HideTWBExt"/>
          <w:rFonts w:eastAsiaTheme="majorEastAsia"/>
          <w:b w:val="0"/>
        </w:rPr>
        <w:t>&lt;Article&gt;</w:t>
      </w:r>
      <w:r w:rsidRPr="00D808EB">
        <w:t xml:space="preserve"> Chapter 5 - Article 13 </w:t>
      </w:r>
      <w:r w:rsidRPr="00D808EB">
        <w:rPr>
          <w:rStyle w:val="HideTWBExt"/>
          <w:rFonts w:eastAsiaTheme="majorEastAsia"/>
          <w:b w:val="0"/>
        </w:rPr>
        <w:t>&lt;/Article&gt;</w:t>
      </w:r>
    </w:p>
    <w:p w14:paraId="70CFFB86"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43F124FC" w14:textId="77777777" w:rsidTr="00803DA5">
        <w:trPr>
          <w:jc w:val="center"/>
        </w:trPr>
        <w:tc>
          <w:tcPr>
            <w:tcW w:w="9752" w:type="dxa"/>
            <w:gridSpan w:val="2"/>
          </w:tcPr>
          <w:p w14:paraId="75F14501" w14:textId="77777777" w:rsidR="008B2D19" w:rsidRPr="00D808EB" w:rsidRDefault="008B2D19" w:rsidP="00803DA5">
            <w:pPr>
              <w:keepNext/>
            </w:pPr>
          </w:p>
        </w:tc>
      </w:tr>
      <w:tr w:rsidR="008B2D19" w:rsidRPr="00D808EB" w14:paraId="72285109" w14:textId="77777777" w:rsidTr="00803DA5">
        <w:trPr>
          <w:jc w:val="center"/>
        </w:trPr>
        <w:tc>
          <w:tcPr>
            <w:tcW w:w="4876" w:type="dxa"/>
          </w:tcPr>
          <w:p w14:paraId="1524A780" w14:textId="77777777" w:rsidR="008B2D19" w:rsidRPr="00D808EB" w:rsidRDefault="008B2D19" w:rsidP="00803DA5">
            <w:pPr>
              <w:pStyle w:val="AmColumnHeading"/>
              <w:keepNext/>
              <w:rPr>
                <w:i w:val="0"/>
                <w:iCs/>
              </w:rPr>
            </w:pPr>
            <w:r w:rsidRPr="00D808EB">
              <w:t>Text proposed by the Commission</w:t>
            </w:r>
          </w:p>
        </w:tc>
        <w:tc>
          <w:tcPr>
            <w:tcW w:w="4876" w:type="dxa"/>
          </w:tcPr>
          <w:p w14:paraId="3A3A85B5" w14:textId="77777777" w:rsidR="008B2D19" w:rsidRPr="00D808EB" w:rsidRDefault="008B2D19" w:rsidP="00803DA5">
            <w:pPr>
              <w:pStyle w:val="AmColumnHeading"/>
              <w:keepNext/>
              <w:rPr>
                <w:b/>
                <w:bCs/>
              </w:rPr>
            </w:pPr>
            <w:r w:rsidRPr="00D808EB">
              <w:t>Modification</w:t>
            </w:r>
          </w:p>
        </w:tc>
      </w:tr>
      <w:tr w:rsidR="008B2D19" w:rsidRPr="00D808EB" w14:paraId="42286202" w14:textId="77777777" w:rsidTr="00803DA5">
        <w:trPr>
          <w:jc w:val="center"/>
        </w:trPr>
        <w:tc>
          <w:tcPr>
            <w:tcW w:w="4876" w:type="dxa"/>
          </w:tcPr>
          <w:p w14:paraId="0FB9AFC6" w14:textId="77777777" w:rsidR="008B2D19" w:rsidRPr="00D808EB" w:rsidRDefault="008B2D19" w:rsidP="00803DA5">
            <w:pPr>
              <w:pStyle w:val="AmColumnHeading"/>
              <w:keepNext/>
              <w:jc w:val="left"/>
              <w:rPr>
                <w:i w:val="0"/>
              </w:rPr>
            </w:pPr>
            <w:r w:rsidRPr="00D808EB">
              <w:rPr>
                <w:b/>
                <w:bCs/>
                <w:iCs/>
              </w:rPr>
              <w:t>By 1 July 2033,</w:t>
            </w:r>
            <w:r w:rsidRPr="00D808EB">
              <w:rPr>
                <w:i w:val="0"/>
              </w:rPr>
              <w:t xml:space="preserve"> the Commission shall present a proposal for a new multiannual financial framework.</w:t>
            </w:r>
          </w:p>
        </w:tc>
        <w:tc>
          <w:tcPr>
            <w:tcW w:w="4876" w:type="dxa"/>
          </w:tcPr>
          <w:p w14:paraId="6198E8D0" w14:textId="77777777" w:rsidR="008B2D19" w:rsidRPr="00D808EB" w:rsidRDefault="008B2D19" w:rsidP="00803DA5">
            <w:pPr>
              <w:pStyle w:val="Normal6a"/>
              <w:rPr>
                <w:szCs w:val="24"/>
              </w:rPr>
            </w:pPr>
            <w:r w:rsidRPr="00D808EB">
              <w:rPr>
                <w:b/>
                <w:bCs/>
                <w:i/>
              </w:rPr>
              <w:t>By 1 July 2032,</w:t>
            </w:r>
            <w:r w:rsidRPr="00D808EB">
              <w:rPr>
                <w:b/>
                <w:bCs/>
                <w:iCs/>
              </w:rPr>
              <w:t xml:space="preserve"> </w:t>
            </w:r>
            <w:r w:rsidRPr="00D808EB">
              <w:t>the Commission shall present a proposal for a new multiannual financial framework</w:t>
            </w:r>
          </w:p>
        </w:tc>
      </w:tr>
    </w:tbl>
    <w:p w14:paraId="2244B687" w14:textId="77777777" w:rsidR="008B2D19" w:rsidRPr="00D808EB" w:rsidRDefault="008B2D19" w:rsidP="008B2D19">
      <w:pPr>
        <w:pStyle w:val="AmOrLang"/>
        <w:rPr>
          <w:rStyle w:val="HideTWBExt"/>
          <w:rFonts w:ascii="Times New Roman" w:hAnsi="Times New Roman"/>
          <w:noProof w:val="0"/>
          <w:vanish w:val="0"/>
          <w:color w:val="auto"/>
          <w:sz w:val="24"/>
        </w:rPr>
      </w:pPr>
      <w:r w:rsidRPr="00D808EB">
        <w:t xml:space="preserve">Or. </w:t>
      </w:r>
      <w:r w:rsidRPr="00D808EB">
        <w:rPr>
          <w:rStyle w:val="HideTWBExt"/>
          <w:rFonts w:eastAsiaTheme="majorEastAsia"/>
        </w:rPr>
        <w:t>&lt;Original&gt;</w:t>
      </w:r>
      <w:r w:rsidRPr="00D808EB">
        <w:rPr>
          <w:rStyle w:val="HideTWBInt"/>
        </w:rPr>
        <w:t>{EN}</w:t>
      </w:r>
      <w:r w:rsidRPr="00D808EB">
        <w:t>en</w:t>
      </w:r>
      <w:r w:rsidRPr="00D808EB">
        <w:rPr>
          <w:rStyle w:val="HideTWBExt"/>
          <w:rFonts w:eastAsiaTheme="majorEastAsia"/>
        </w:rPr>
        <w:t>&lt;/Original&gt;</w:t>
      </w:r>
    </w:p>
    <w:p w14:paraId="411B1DAD" w14:textId="77777777" w:rsidR="008B2D19" w:rsidRPr="00D808EB" w:rsidRDefault="008B2D19" w:rsidP="008B2D19">
      <w:pPr>
        <w:ind w:left="1080" w:hanging="360"/>
        <w:rPr>
          <w:b/>
          <w:bCs/>
          <w:u w:val="single"/>
        </w:rPr>
      </w:pPr>
      <w:r w:rsidRPr="00D808EB">
        <w:rPr>
          <w:b/>
          <w:bCs/>
        </w:rPr>
        <w:t>6.</w:t>
      </w:r>
      <w:r w:rsidRPr="00D808EB">
        <w:rPr>
          <w:b/>
          <w:bCs/>
        </w:rPr>
        <w:tab/>
      </w:r>
      <w:r w:rsidRPr="00D808EB">
        <w:rPr>
          <w:b/>
          <w:bCs/>
          <w:u w:val="single"/>
        </w:rPr>
        <w:t>Amendments to the IIA</w:t>
      </w:r>
    </w:p>
    <w:p w14:paraId="484E5E5F" w14:textId="77777777" w:rsidR="008B2D19" w:rsidRPr="00D808EB" w:rsidRDefault="008B2D19" w:rsidP="008B2D19"/>
    <w:p w14:paraId="01874B44" w14:textId="77777777" w:rsidR="008B2D19" w:rsidRPr="00D808EB" w:rsidRDefault="008B2D19" w:rsidP="008B2D19">
      <w:pPr>
        <w:jc w:val="both"/>
      </w:pPr>
      <w:r w:rsidRPr="00D808EB">
        <w:t>57.</w:t>
      </w:r>
      <w:r w:rsidRPr="00D808EB">
        <w:tab/>
        <w:t>Stresses that, as a result of the negotiation and adoption of a new MFF Regulation, the proposal for an Interinstitutional Agreement between the European Parliament, the Council and the Commission on cooperation in budgetary matters and on sound financial management should be modified as follows:</w:t>
      </w:r>
    </w:p>
    <w:p w14:paraId="3E5F20A2" w14:textId="77777777" w:rsidR="008B2D19" w:rsidRPr="00D808EB" w:rsidRDefault="008B2D19" w:rsidP="008B2D19">
      <w:r w:rsidRPr="00D808EB">
        <w:rPr>
          <w:rStyle w:val="HideTWBExt"/>
          <w:rFonts w:eastAsiaTheme="majorEastAsia"/>
        </w:rPr>
        <w:t>&lt;/Amend&gt;</w:t>
      </w:r>
    </w:p>
    <w:p w14:paraId="6273B1C7"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18</w:t>
      </w:r>
      <w:r w:rsidRPr="00D808EB">
        <w:rPr>
          <w:rStyle w:val="HideTWBExt"/>
          <w:b w:val="0"/>
          <w:noProof w:val="0"/>
        </w:rPr>
        <w:t>&lt;/NumAm&gt;</w:t>
      </w:r>
    </w:p>
    <w:p w14:paraId="0B781D2D"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1A0400D2" w14:textId="77777777" w:rsidR="008B2D19" w:rsidRPr="00D808EB" w:rsidRDefault="008B2D19" w:rsidP="008B2D19">
      <w:pPr>
        <w:pStyle w:val="NormalBold"/>
        <w:rPr>
          <w:rStyle w:val="HideTWBExt"/>
          <w:b w:val="0"/>
          <w:noProof w:val="0"/>
        </w:rPr>
      </w:pPr>
      <w:r w:rsidRPr="00D808EB">
        <w:rPr>
          <w:rStyle w:val="HideTWBExt"/>
          <w:b w:val="0"/>
          <w:noProof w:val="0"/>
        </w:rPr>
        <w:t>&lt;Article&gt;</w:t>
      </w:r>
      <w:r w:rsidRPr="00D808EB">
        <w:t xml:space="preserve"> Title</w:t>
      </w:r>
      <w:r w:rsidRPr="00D808EB">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6B905ACB" w14:textId="77777777" w:rsidTr="00803DA5">
        <w:trPr>
          <w:jc w:val="center"/>
        </w:trPr>
        <w:tc>
          <w:tcPr>
            <w:tcW w:w="9752" w:type="dxa"/>
            <w:gridSpan w:val="2"/>
          </w:tcPr>
          <w:p w14:paraId="26A037FB" w14:textId="77777777" w:rsidR="008B2D19" w:rsidRPr="00D808EB" w:rsidRDefault="008B2D19" w:rsidP="00803DA5">
            <w:pPr>
              <w:keepNext/>
            </w:pPr>
          </w:p>
        </w:tc>
      </w:tr>
      <w:tr w:rsidR="008B2D19" w:rsidRPr="00D808EB" w14:paraId="0D9D06DD" w14:textId="77777777" w:rsidTr="00803DA5">
        <w:trPr>
          <w:jc w:val="center"/>
        </w:trPr>
        <w:tc>
          <w:tcPr>
            <w:tcW w:w="4876" w:type="dxa"/>
          </w:tcPr>
          <w:p w14:paraId="1BF809F2" w14:textId="77777777" w:rsidR="008B2D19" w:rsidRPr="00D808EB" w:rsidRDefault="008B2D19" w:rsidP="00803DA5">
            <w:pPr>
              <w:pStyle w:val="AmColumnHeading"/>
              <w:keepNext/>
            </w:pPr>
            <w:r w:rsidRPr="00D808EB">
              <w:t>Text proposed by the Commission</w:t>
            </w:r>
          </w:p>
        </w:tc>
        <w:tc>
          <w:tcPr>
            <w:tcW w:w="4876" w:type="dxa"/>
          </w:tcPr>
          <w:p w14:paraId="15A2477B" w14:textId="77777777" w:rsidR="008B2D19" w:rsidRPr="00D808EB" w:rsidRDefault="008B2D19" w:rsidP="00803DA5">
            <w:pPr>
              <w:pStyle w:val="AmColumnHeading"/>
              <w:keepNext/>
            </w:pPr>
            <w:r w:rsidRPr="00D808EB">
              <w:t>Modification</w:t>
            </w:r>
          </w:p>
        </w:tc>
      </w:tr>
      <w:tr w:rsidR="008B2D19" w:rsidRPr="00D808EB" w14:paraId="51AF44DF" w14:textId="77777777" w:rsidTr="00803DA5">
        <w:trPr>
          <w:jc w:val="center"/>
        </w:trPr>
        <w:tc>
          <w:tcPr>
            <w:tcW w:w="4876" w:type="dxa"/>
          </w:tcPr>
          <w:p w14:paraId="5C1D0335" w14:textId="77777777" w:rsidR="008B2D19" w:rsidRPr="00D808EB" w:rsidRDefault="008B2D19" w:rsidP="00803DA5">
            <w:pPr>
              <w:pStyle w:val="AmColumnHeading"/>
              <w:keepNext/>
              <w:jc w:val="left"/>
              <w:rPr>
                <w:i w:val="0"/>
              </w:rPr>
            </w:pPr>
            <w:r w:rsidRPr="00D808EB">
              <w:rPr>
                <w:i w:val="0"/>
              </w:rPr>
              <w:t>INTERINSTITUTIONAL AGREEMENT</w:t>
            </w:r>
          </w:p>
          <w:p w14:paraId="6010E790" w14:textId="77777777" w:rsidR="008B2D19" w:rsidRPr="00D808EB" w:rsidRDefault="008B2D19" w:rsidP="00803DA5">
            <w:pPr>
              <w:pStyle w:val="AmColumnHeading"/>
              <w:jc w:val="left"/>
              <w:rPr>
                <w:b/>
                <w:bCs/>
                <w:iCs/>
              </w:rPr>
            </w:pPr>
            <w:r w:rsidRPr="00D808EB">
              <w:rPr>
                <w:i w:val="0"/>
              </w:rPr>
              <w:t xml:space="preserve">between the European Parliament, the Council of the European Union and the European Commission </w:t>
            </w:r>
            <w:r w:rsidRPr="00D808EB">
              <w:rPr>
                <w:b/>
                <w:bCs/>
                <w:iCs/>
              </w:rPr>
              <w:t>on budgetary discipline,</w:t>
            </w:r>
            <w:r w:rsidRPr="00D808EB">
              <w:rPr>
                <w:i w:val="0"/>
              </w:rPr>
              <w:t xml:space="preserve"> on cooperation in budgetary matters and on sound financial management</w:t>
            </w:r>
          </w:p>
        </w:tc>
        <w:tc>
          <w:tcPr>
            <w:tcW w:w="4876" w:type="dxa"/>
          </w:tcPr>
          <w:p w14:paraId="03905AF4" w14:textId="77777777" w:rsidR="008B2D19" w:rsidRPr="00D808EB" w:rsidRDefault="008B2D19" w:rsidP="00803DA5">
            <w:pPr>
              <w:pStyle w:val="AmColumnHeading"/>
              <w:keepNext/>
              <w:jc w:val="left"/>
              <w:rPr>
                <w:i w:val="0"/>
              </w:rPr>
            </w:pPr>
            <w:r w:rsidRPr="00D808EB">
              <w:rPr>
                <w:i w:val="0"/>
              </w:rPr>
              <w:t>INTERINSTITUTIONAL AGREEMENT</w:t>
            </w:r>
          </w:p>
          <w:p w14:paraId="53FDFBBC" w14:textId="77777777" w:rsidR="008B2D19" w:rsidRPr="00D808EB" w:rsidRDefault="008B2D19" w:rsidP="00803DA5">
            <w:pPr>
              <w:pStyle w:val="AmColumnHeading"/>
              <w:keepNext/>
              <w:jc w:val="left"/>
              <w:rPr>
                <w:i w:val="0"/>
              </w:rPr>
            </w:pPr>
            <w:r w:rsidRPr="00D808EB">
              <w:rPr>
                <w:i w:val="0"/>
              </w:rPr>
              <w:t>between the European Parliament, the Council of the European Union and the European Commission on cooperation in budgetary matters and on sound financial management</w:t>
            </w:r>
          </w:p>
        </w:tc>
      </w:tr>
    </w:tbl>
    <w:p w14:paraId="4BF1F63A"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1C7FF965" w14:textId="77777777" w:rsidR="008B2D19" w:rsidRPr="00D808EB" w:rsidRDefault="008B2D19" w:rsidP="008B2D19">
      <w:pPr>
        <w:rPr>
          <w:rStyle w:val="HideTWBExt"/>
          <w:noProof w:val="0"/>
        </w:rPr>
      </w:pPr>
      <w:r w:rsidRPr="00D808EB">
        <w:rPr>
          <w:rStyle w:val="HideTWBExt"/>
          <w:noProof w:val="0"/>
        </w:rPr>
        <w:t>&lt;/Amend&gt;</w:t>
      </w:r>
    </w:p>
    <w:p w14:paraId="748F67DD" w14:textId="77777777" w:rsidR="008B2D19" w:rsidRPr="00D808EB" w:rsidRDefault="008B2D19" w:rsidP="008B2D19">
      <w:pPr>
        <w:rPr>
          <w:rStyle w:val="HideTWBExt"/>
          <w:rFonts w:ascii="Times New Roman" w:hAnsi="Times New Roman"/>
          <w:noProof w:val="0"/>
          <w:vanish w:val="0"/>
          <w:color w:val="auto"/>
          <w:sz w:val="24"/>
        </w:rPr>
      </w:pPr>
    </w:p>
    <w:p w14:paraId="3C9070C3"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19</w:t>
      </w:r>
      <w:r w:rsidRPr="00D808EB">
        <w:rPr>
          <w:rStyle w:val="HideTWBExt"/>
          <w:b w:val="0"/>
          <w:noProof w:val="0"/>
        </w:rPr>
        <w:t>&lt;/NumAm&gt;</w:t>
      </w:r>
    </w:p>
    <w:p w14:paraId="0C42BCD7"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775328F8" w14:textId="77777777" w:rsidR="008B2D19" w:rsidRPr="00D808EB" w:rsidRDefault="008B2D19" w:rsidP="008B2D19">
      <w:pPr>
        <w:pStyle w:val="NormalBold"/>
        <w:rPr>
          <w:rStyle w:val="HideTWBExt"/>
          <w:b w:val="0"/>
          <w:noProof w:val="0"/>
        </w:rPr>
      </w:pPr>
      <w:r w:rsidRPr="00D808EB">
        <w:rPr>
          <w:rStyle w:val="HideTWBExt"/>
          <w:b w:val="0"/>
          <w:noProof w:val="0"/>
        </w:rPr>
        <w:t>&lt;Article&gt;</w:t>
      </w:r>
      <w:r w:rsidRPr="00D808EB">
        <w:t xml:space="preserve"> Recital 1</w:t>
      </w:r>
      <w:r w:rsidRPr="00D808EB">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57BC8942" w14:textId="77777777" w:rsidTr="00803DA5">
        <w:trPr>
          <w:jc w:val="center"/>
        </w:trPr>
        <w:tc>
          <w:tcPr>
            <w:tcW w:w="9752" w:type="dxa"/>
            <w:gridSpan w:val="2"/>
          </w:tcPr>
          <w:p w14:paraId="4C579A05" w14:textId="77777777" w:rsidR="008B2D19" w:rsidRPr="00D808EB" w:rsidRDefault="008B2D19" w:rsidP="00803DA5">
            <w:pPr>
              <w:keepNext/>
            </w:pPr>
          </w:p>
        </w:tc>
      </w:tr>
      <w:tr w:rsidR="008B2D19" w:rsidRPr="00D808EB" w14:paraId="6BE52F77" w14:textId="77777777" w:rsidTr="00803DA5">
        <w:trPr>
          <w:jc w:val="center"/>
        </w:trPr>
        <w:tc>
          <w:tcPr>
            <w:tcW w:w="4876" w:type="dxa"/>
          </w:tcPr>
          <w:p w14:paraId="76EA81D7" w14:textId="77777777" w:rsidR="008B2D19" w:rsidRPr="00D808EB" w:rsidRDefault="008B2D19" w:rsidP="00803DA5">
            <w:pPr>
              <w:pStyle w:val="AmColumnHeading"/>
              <w:keepNext/>
            </w:pPr>
            <w:r w:rsidRPr="00D808EB">
              <w:t>Text proposed by the Commission</w:t>
            </w:r>
          </w:p>
        </w:tc>
        <w:tc>
          <w:tcPr>
            <w:tcW w:w="4876" w:type="dxa"/>
          </w:tcPr>
          <w:p w14:paraId="1D83FF48" w14:textId="77777777" w:rsidR="008B2D19" w:rsidRPr="00D808EB" w:rsidRDefault="008B2D19" w:rsidP="00803DA5">
            <w:pPr>
              <w:pStyle w:val="AmColumnHeading"/>
              <w:keepNext/>
            </w:pPr>
            <w:r w:rsidRPr="00D808EB">
              <w:t>Modification</w:t>
            </w:r>
          </w:p>
        </w:tc>
      </w:tr>
      <w:tr w:rsidR="008B2D19" w:rsidRPr="00D808EB" w14:paraId="7DB176E9" w14:textId="77777777" w:rsidTr="00803DA5">
        <w:trPr>
          <w:jc w:val="center"/>
        </w:trPr>
        <w:tc>
          <w:tcPr>
            <w:tcW w:w="4876" w:type="dxa"/>
          </w:tcPr>
          <w:p w14:paraId="525ADEEB" w14:textId="77777777" w:rsidR="008B2D19" w:rsidRPr="00D808EB" w:rsidRDefault="008B2D19" w:rsidP="00803DA5">
            <w:pPr>
              <w:pStyle w:val="AmColumnHeading"/>
              <w:jc w:val="left"/>
              <w:rPr>
                <w:b/>
                <w:bCs/>
                <w:iCs/>
              </w:rPr>
            </w:pPr>
            <w:r w:rsidRPr="00D808EB">
              <w:rPr>
                <w:i w:val="0"/>
              </w:rPr>
              <w:t>1.</w:t>
            </w:r>
            <w:r w:rsidRPr="00D808EB">
              <w:rPr>
                <w:i w:val="0"/>
              </w:rPr>
              <w:tab/>
              <w:t xml:space="preserve">The purpose of this Agreement, adopted in accordance with Article 295 of the Treaty on the Functioning of the European Union (TFEU), is to </w:t>
            </w:r>
            <w:r w:rsidRPr="00D808EB">
              <w:rPr>
                <w:b/>
                <w:bCs/>
                <w:iCs/>
              </w:rPr>
              <w:t>implement</w:t>
            </w:r>
            <w:r w:rsidRPr="00D808EB">
              <w:rPr>
                <w:i w:val="0"/>
              </w:rPr>
              <w:t xml:space="preserve"> </w:t>
            </w:r>
            <w:r w:rsidRPr="00D808EB">
              <w:rPr>
                <w:b/>
                <w:bCs/>
                <w:iCs/>
              </w:rPr>
              <w:t>budgetary discipline</w:t>
            </w:r>
            <w:r w:rsidRPr="00D808EB">
              <w:rPr>
                <w:i w:val="0"/>
              </w:rPr>
              <w:t xml:space="preserve"> </w:t>
            </w:r>
            <w:r w:rsidRPr="00D808EB">
              <w:rPr>
                <w:b/>
                <w:bCs/>
                <w:iCs/>
              </w:rPr>
              <w:t>and</w:t>
            </w:r>
            <w:r w:rsidRPr="00D808EB">
              <w:rPr>
                <w:i w:val="0"/>
              </w:rPr>
              <w:t xml:space="preserve"> improve the functioning of the annual budgetary procedure and cooperation between the institutions on budgetary matters as well as to ensure sound financial management.</w:t>
            </w:r>
          </w:p>
        </w:tc>
        <w:tc>
          <w:tcPr>
            <w:tcW w:w="4876" w:type="dxa"/>
          </w:tcPr>
          <w:p w14:paraId="0326AC6D" w14:textId="77777777" w:rsidR="008B2D19" w:rsidRPr="00D808EB" w:rsidRDefault="008B2D19" w:rsidP="00803DA5">
            <w:pPr>
              <w:pStyle w:val="AmColumnHeading"/>
              <w:keepNext/>
              <w:jc w:val="left"/>
              <w:rPr>
                <w:i w:val="0"/>
              </w:rPr>
            </w:pPr>
            <w:r w:rsidRPr="00D808EB">
              <w:rPr>
                <w:i w:val="0"/>
              </w:rPr>
              <w:t>1.</w:t>
            </w:r>
            <w:r w:rsidRPr="00D808EB">
              <w:rPr>
                <w:i w:val="0"/>
              </w:rPr>
              <w:tab/>
              <w:t>The purpose of this Agreement, adopted in accordance with Article 295 of the Treaty on the Functioning of the European Union (TFEU), is to improve the functioning of the annual budgetary procedure and cooperation between the institutions on budgetary matters as well as to ensure sound financial management.</w:t>
            </w:r>
          </w:p>
        </w:tc>
      </w:tr>
    </w:tbl>
    <w:p w14:paraId="1C2BB406"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53A5F975" w14:textId="77777777" w:rsidR="008B2D19" w:rsidRPr="00D808EB" w:rsidRDefault="008B2D19" w:rsidP="008B2D19">
      <w:r w:rsidRPr="00D808EB">
        <w:rPr>
          <w:rStyle w:val="HideTWBExt"/>
          <w:noProof w:val="0"/>
        </w:rPr>
        <w:t>&lt;/Amend&gt;</w:t>
      </w:r>
    </w:p>
    <w:p w14:paraId="215FEEF3"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20</w:t>
      </w:r>
      <w:r w:rsidRPr="00D808EB">
        <w:rPr>
          <w:rStyle w:val="HideTWBExt"/>
          <w:b w:val="0"/>
          <w:noProof w:val="0"/>
        </w:rPr>
        <w:t>&lt;/NumAm&gt;</w:t>
      </w:r>
    </w:p>
    <w:p w14:paraId="785E93E6"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5F5CE486"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1</w:t>
      </w:r>
      <w:r w:rsidRPr="00D808EB">
        <w:rPr>
          <w:rStyle w:val="HideTWBExt"/>
          <w:b w:val="0"/>
          <w:noProof w:val="0"/>
        </w:rPr>
        <w:t>&lt;/Article&gt;</w:t>
      </w:r>
    </w:p>
    <w:p w14:paraId="09B7E032"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Section A – point 7</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70DF4500" w14:textId="77777777" w:rsidTr="00803DA5">
        <w:trPr>
          <w:jc w:val="center"/>
        </w:trPr>
        <w:tc>
          <w:tcPr>
            <w:tcW w:w="9752" w:type="dxa"/>
            <w:gridSpan w:val="2"/>
          </w:tcPr>
          <w:p w14:paraId="6E2086C6" w14:textId="77777777" w:rsidR="008B2D19" w:rsidRPr="00D808EB" w:rsidRDefault="008B2D19" w:rsidP="00803DA5">
            <w:pPr>
              <w:keepNext/>
            </w:pPr>
          </w:p>
        </w:tc>
      </w:tr>
      <w:tr w:rsidR="008B2D19" w:rsidRPr="00D808EB" w14:paraId="37337ED9" w14:textId="77777777" w:rsidTr="00803DA5">
        <w:trPr>
          <w:jc w:val="center"/>
        </w:trPr>
        <w:tc>
          <w:tcPr>
            <w:tcW w:w="4876" w:type="dxa"/>
          </w:tcPr>
          <w:p w14:paraId="40670092" w14:textId="77777777" w:rsidR="008B2D19" w:rsidRPr="00D808EB" w:rsidRDefault="008B2D19" w:rsidP="00803DA5">
            <w:pPr>
              <w:pStyle w:val="AmColumnHeading"/>
              <w:keepNext/>
            </w:pPr>
            <w:r w:rsidRPr="00D808EB">
              <w:t>Text proposed by the Commission</w:t>
            </w:r>
          </w:p>
        </w:tc>
        <w:tc>
          <w:tcPr>
            <w:tcW w:w="4876" w:type="dxa"/>
          </w:tcPr>
          <w:p w14:paraId="4A8DA659" w14:textId="77777777" w:rsidR="008B2D19" w:rsidRPr="00D808EB" w:rsidRDefault="008B2D19" w:rsidP="00803DA5">
            <w:pPr>
              <w:pStyle w:val="AmColumnHeading"/>
              <w:keepNext/>
            </w:pPr>
            <w:r w:rsidRPr="00D808EB">
              <w:t>Modification</w:t>
            </w:r>
          </w:p>
        </w:tc>
      </w:tr>
      <w:tr w:rsidR="008B2D19" w:rsidRPr="00D808EB" w14:paraId="50CB4070" w14:textId="77777777" w:rsidTr="00803DA5">
        <w:trPr>
          <w:jc w:val="center"/>
        </w:trPr>
        <w:tc>
          <w:tcPr>
            <w:tcW w:w="4876" w:type="dxa"/>
          </w:tcPr>
          <w:p w14:paraId="4D960E7E" w14:textId="77777777" w:rsidR="008B2D19" w:rsidRPr="00D808EB" w:rsidRDefault="008B2D19" w:rsidP="00803DA5">
            <w:pPr>
              <w:pStyle w:val="AmColumnHeading"/>
              <w:jc w:val="left"/>
              <w:rPr>
                <w:b/>
                <w:bCs/>
                <w:iCs/>
              </w:rPr>
            </w:pPr>
            <w:r w:rsidRPr="00D808EB">
              <w:rPr>
                <w:i w:val="0"/>
              </w:rPr>
              <w:t>7.</w:t>
            </w:r>
            <w:r w:rsidRPr="00D808EB">
              <w:rPr>
                <w:i w:val="0"/>
              </w:rPr>
              <w:tab/>
              <w:t xml:space="preserve">In line with Article 312(5) TFEU, the Institutions shall take any measure necessary to facilitate the adoption of a new MFF or a revision thereof, in accordance with the special legislative procedure referred to in Article 312(2) TFEU. Such measures </w:t>
            </w:r>
            <w:r w:rsidRPr="00D808EB">
              <w:rPr>
                <w:b/>
                <w:bCs/>
                <w:iCs/>
              </w:rPr>
              <w:t>will</w:t>
            </w:r>
            <w:r w:rsidRPr="00D808EB">
              <w:rPr>
                <w:i w:val="0"/>
              </w:rPr>
              <w:t xml:space="preserve"> include regular meetings and exchange of information between the European Parliament </w:t>
            </w:r>
            <w:r w:rsidRPr="00D808EB">
              <w:rPr>
                <w:b/>
                <w:bCs/>
                <w:i w:val="0"/>
              </w:rPr>
              <w:t>and</w:t>
            </w:r>
            <w:r w:rsidRPr="00D808EB">
              <w:rPr>
                <w:i w:val="0"/>
              </w:rPr>
              <w:t xml:space="preserve"> the Council </w:t>
            </w:r>
            <w:r w:rsidRPr="00D808EB">
              <w:rPr>
                <w:b/>
                <w:bCs/>
                <w:iCs/>
              </w:rPr>
              <w:t>and</w:t>
            </w:r>
            <w:r w:rsidRPr="00D808EB">
              <w:rPr>
                <w:i w:val="0"/>
              </w:rPr>
              <w:t xml:space="preserve">, on the initiative of the Commission, meetings of the Presidents of the Institutions as set out in Article 324 TFEU in order to promote consultation and the reconciliation of the positions of the Institutions. Where a proposal for a new MFF or for a substantial revision has been presented, the Institutions </w:t>
            </w:r>
            <w:r w:rsidRPr="00D808EB">
              <w:rPr>
                <w:b/>
                <w:bCs/>
                <w:iCs/>
              </w:rPr>
              <w:t>will</w:t>
            </w:r>
            <w:r w:rsidRPr="00D808EB">
              <w:rPr>
                <w:i w:val="0"/>
              </w:rPr>
              <w:t xml:space="preserve"> seek to determine specific arrangements for cooperation and dialogue between them throughout the procedure leading to its adoption.</w:t>
            </w:r>
          </w:p>
        </w:tc>
        <w:tc>
          <w:tcPr>
            <w:tcW w:w="4876" w:type="dxa"/>
          </w:tcPr>
          <w:p w14:paraId="10B6D271" w14:textId="77777777" w:rsidR="008B2D19" w:rsidRPr="00D808EB" w:rsidRDefault="008B2D19" w:rsidP="00803DA5">
            <w:pPr>
              <w:pStyle w:val="AmColumnHeading"/>
              <w:keepNext/>
              <w:jc w:val="left"/>
            </w:pPr>
            <w:r w:rsidRPr="00D808EB">
              <w:rPr>
                <w:i w:val="0"/>
                <w:iCs/>
              </w:rPr>
              <w:t>7.</w:t>
            </w:r>
            <w:r w:rsidRPr="00D808EB">
              <w:tab/>
            </w:r>
            <w:r w:rsidRPr="00D808EB">
              <w:rPr>
                <w:i w:val="0"/>
                <w:iCs/>
              </w:rPr>
              <w:t xml:space="preserve">In line with Article 312(5) TFEU, the Institutions shall take any measure necessary to facilitate the adoption of a new MFF or a revision thereof, in accordance with the special legislative procedure referred to in Article 312(2) TFEU. Such measures </w:t>
            </w:r>
            <w:r w:rsidRPr="00D808EB">
              <w:rPr>
                <w:b/>
                <w:bCs/>
              </w:rPr>
              <w:t>shall</w:t>
            </w:r>
            <w:r w:rsidRPr="00D808EB">
              <w:rPr>
                <w:i w:val="0"/>
                <w:iCs/>
              </w:rPr>
              <w:t xml:space="preserve"> include</w:t>
            </w:r>
            <w:r w:rsidRPr="00D808EB">
              <w:rPr>
                <w:b/>
                <w:bCs/>
                <w:i w:val="0"/>
                <w:iCs/>
              </w:rPr>
              <w:t>:</w:t>
            </w:r>
          </w:p>
          <w:p w14:paraId="50B3E449" w14:textId="3D479361" w:rsidR="008B2D19" w:rsidRPr="00D808EB" w:rsidRDefault="008B2D19" w:rsidP="00803DA5">
            <w:pPr>
              <w:pStyle w:val="AmColumnHeading"/>
              <w:keepNext/>
              <w:jc w:val="left"/>
              <w:rPr>
                <w:b/>
                <w:bCs/>
                <w:iCs/>
              </w:rPr>
            </w:pPr>
            <w:r w:rsidRPr="00D808EB">
              <w:rPr>
                <w:b/>
                <w:bCs/>
                <w:iCs/>
              </w:rPr>
              <w:t>(a)</w:t>
            </w:r>
            <w:r w:rsidRPr="00D808EB">
              <w:rPr>
                <w:b/>
                <w:bCs/>
                <w:iCs/>
              </w:rPr>
              <w:tab/>
            </w:r>
            <w:r w:rsidRPr="00D808EB">
              <w:rPr>
                <w:i w:val="0"/>
                <w:iCs/>
              </w:rPr>
              <w:t>regular meetings and exchange of information between the European Parliament</w:t>
            </w:r>
            <w:r w:rsidRPr="00D808EB">
              <w:rPr>
                <w:b/>
                <w:bCs/>
                <w:i w:val="0"/>
                <w:iCs/>
              </w:rPr>
              <w:t>,</w:t>
            </w:r>
            <w:r w:rsidRPr="00D808EB">
              <w:rPr>
                <w:i w:val="0"/>
                <w:iCs/>
              </w:rPr>
              <w:t xml:space="preserve"> the Council</w:t>
            </w:r>
            <w:r w:rsidRPr="00D808EB">
              <w:t xml:space="preserve"> </w:t>
            </w:r>
            <w:r w:rsidRPr="00D808EB">
              <w:rPr>
                <w:b/>
                <w:bCs/>
                <w:iCs/>
              </w:rPr>
              <w:t>and the Commission at political and technical level throughout the entire process, including the presence of the European Parliament</w:t>
            </w:r>
            <w:r w:rsidR="00C728B7">
              <w:rPr>
                <w:b/>
                <w:bCs/>
                <w:iCs/>
              </w:rPr>
              <w:t>’</w:t>
            </w:r>
            <w:r w:rsidRPr="00D808EB">
              <w:rPr>
                <w:b/>
                <w:bCs/>
                <w:iCs/>
              </w:rPr>
              <w:t>s representatives at formal and informal meetings of the General Affairs Council at which the MFF is discussed;</w:t>
            </w:r>
          </w:p>
          <w:p w14:paraId="204996F1" w14:textId="77777777" w:rsidR="008B2D19" w:rsidRPr="00D808EB" w:rsidRDefault="008B2D19" w:rsidP="00803DA5">
            <w:pPr>
              <w:pStyle w:val="AmColumnHeading"/>
              <w:keepNext/>
              <w:jc w:val="left"/>
              <w:rPr>
                <w:b/>
                <w:bCs/>
                <w:iCs/>
              </w:rPr>
            </w:pPr>
            <w:r w:rsidRPr="00D808EB">
              <w:rPr>
                <w:b/>
                <w:bCs/>
                <w:iCs/>
              </w:rPr>
              <w:t>(b)</w:t>
            </w:r>
            <w:r w:rsidRPr="00D808EB">
              <w:rPr>
                <w:b/>
                <w:bCs/>
                <w:iCs/>
              </w:rPr>
              <w:tab/>
            </w:r>
            <w:r w:rsidRPr="00D808EB">
              <w:rPr>
                <w:i w:val="0"/>
                <w:iCs/>
              </w:rPr>
              <w:t>on the initiative of the Commission</w:t>
            </w:r>
            <w:r w:rsidRPr="00D808EB">
              <w:rPr>
                <w:b/>
                <w:bCs/>
                <w:i w:val="0"/>
                <w:iCs/>
              </w:rPr>
              <w:t>,</w:t>
            </w:r>
            <w:r w:rsidRPr="00D808EB">
              <w:rPr>
                <w:b/>
                <w:bCs/>
                <w:iCs/>
              </w:rPr>
              <w:t xml:space="preserve"> including where requested by the European Parliament or the Council</w:t>
            </w:r>
            <w:r w:rsidRPr="00D808EB">
              <w:t xml:space="preserve">, </w:t>
            </w:r>
            <w:r w:rsidRPr="00D808EB">
              <w:rPr>
                <w:i w:val="0"/>
                <w:iCs/>
              </w:rPr>
              <w:t>meetings of the Presidents of the Institutions as set out in Article 324 TFEU in order to promote consultation and the reconciliation of the positions of the Institutions</w:t>
            </w:r>
            <w:r w:rsidRPr="00D808EB">
              <w:rPr>
                <w:b/>
                <w:bCs/>
                <w:iCs/>
              </w:rPr>
              <w:t>;</w:t>
            </w:r>
          </w:p>
          <w:p w14:paraId="42306DE6" w14:textId="77777777" w:rsidR="008B2D19" w:rsidRPr="00D808EB" w:rsidRDefault="008B2D19" w:rsidP="00803DA5">
            <w:pPr>
              <w:pStyle w:val="AmColumnHeading"/>
              <w:keepNext/>
              <w:jc w:val="left"/>
              <w:rPr>
                <w:b/>
                <w:bCs/>
                <w:iCs/>
              </w:rPr>
            </w:pPr>
            <w:r w:rsidRPr="00D808EB">
              <w:rPr>
                <w:b/>
                <w:bCs/>
                <w:iCs/>
              </w:rPr>
              <w:t>(c)</w:t>
            </w:r>
            <w:r w:rsidRPr="00D808EB">
              <w:rPr>
                <w:b/>
                <w:bCs/>
                <w:iCs/>
              </w:rPr>
              <w:tab/>
              <w:t>provision by the Commission of timely data and information, including at the request of the European Parliament or the Council, and the organisation of technical briefings for both institutions;</w:t>
            </w:r>
          </w:p>
          <w:p w14:paraId="56F4DBEE" w14:textId="77777777" w:rsidR="008B2D19" w:rsidRPr="00D808EB" w:rsidRDefault="008B2D19" w:rsidP="00803DA5">
            <w:pPr>
              <w:pStyle w:val="AmColumnHeading"/>
              <w:keepNext/>
              <w:jc w:val="left"/>
              <w:rPr>
                <w:b/>
                <w:bCs/>
                <w:iCs/>
              </w:rPr>
            </w:pPr>
            <w:r w:rsidRPr="00D808EB">
              <w:rPr>
                <w:b/>
                <w:bCs/>
                <w:iCs/>
              </w:rPr>
              <w:t>(d)</w:t>
            </w:r>
            <w:r w:rsidRPr="00D808EB">
              <w:rPr>
                <w:b/>
                <w:bCs/>
                <w:iCs/>
              </w:rPr>
              <w:tab/>
              <w:t>trilateral negotiations.</w:t>
            </w:r>
          </w:p>
          <w:p w14:paraId="0AA62F54" w14:textId="77777777" w:rsidR="008B2D19" w:rsidRPr="00D808EB" w:rsidRDefault="008B2D19" w:rsidP="00803DA5">
            <w:pPr>
              <w:pStyle w:val="AmColumnHeading"/>
              <w:keepNext/>
              <w:jc w:val="left"/>
            </w:pPr>
            <w:r w:rsidRPr="00D808EB">
              <w:rPr>
                <w:i w:val="0"/>
                <w:iCs/>
              </w:rPr>
              <w:t xml:space="preserve">Where a proposal for a new MFF or for a substantial revision has been presented, the Institutions </w:t>
            </w:r>
            <w:r w:rsidRPr="00D808EB">
              <w:rPr>
                <w:b/>
                <w:bCs/>
              </w:rPr>
              <w:t>shall</w:t>
            </w:r>
            <w:r w:rsidRPr="00D808EB">
              <w:rPr>
                <w:i w:val="0"/>
                <w:iCs/>
              </w:rPr>
              <w:t xml:space="preserve"> seek to determine specific arrangements for cooperation and dialogue between them throughout the procedure leading to its adoption</w:t>
            </w:r>
            <w:r w:rsidRPr="00D808EB">
              <w:t xml:space="preserve"> </w:t>
            </w:r>
            <w:r w:rsidRPr="00D808EB">
              <w:rPr>
                <w:b/>
                <w:bCs/>
                <w:iCs/>
              </w:rPr>
              <w:t>on the basis of a calendar proposed by Commission, including in particular the measures laid down in the first subparagraph.</w:t>
            </w:r>
          </w:p>
          <w:p w14:paraId="24725247" w14:textId="77777777" w:rsidR="008B2D19" w:rsidRPr="00D808EB" w:rsidRDefault="008B2D19" w:rsidP="00803DA5">
            <w:pPr>
              <w:pStyle w:val="AmColumnHeading"/>
              <w:keepNext/>
              <w:jc w:val="left"/>
              <w:rPr>
                <w:b/>
                <w:bCs/>
                <w:iCs/>
              </w:rPr>
            </w:pPr>
            <w:r w:rsidRPr="00D808EB">
              <w:rPr>
                <w:b/>
                <w:bCs/>
                <w:iCs/>
              </w:rPr>
              <w:t>Where there are delays to the calendar referred to in the second subparagraph that give rise to a risk of no Council regulation determining a new financial framework being adopted by the end of the previous financial framework, the Commission shall present a contingency plan to the European Parliament and the Council.</w:t>
            </w:r>
          </w:p>
        </w:tc>
      </w:tr>
    </w:tbl>
    <w:p w14:paraId="2073EFF1" w14:textId="77777777" w:rsidR="008B2D19" w:rsidRPr="00D808EB" w:rsidRDefault="008B2D19" w:rsidP="008B2D19">
      <w:pPr>
        <w:pStyle w:val="AmOrLang"/>
        <w:rPr>
          <w:rStyle w:val="HideTWBExt"/>
          <w:noProof w:val="0"/>
        </w:rPr>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1AC8AF91" w14:textId="77777777" w:rsidR="008B2D19" w:rsidRPr="00D808EB" w:rsidRDefault="008B2D19" w:rsidP="008B2D19">
      <w:r w:rsidRPr="00D808EB">
        <w:rPr>
          <w:rStyle w:val="HideTWBExt"/>
          <w:noProof w:val="0"/>
        </w:rPr>
        <w:t>&lt;/Amend&gt;</w:t>
      </w:r>
    </w:p>
    <w:p w14:paraId="20041E4D"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21</w:t>
      </w:r>
      <w:r w:rsidRPr="00D808EB">
        <w:rPr>
          <w:rStyle w:val="HideTWBExt"/>
          <w:b w:val="0"/>
          <w:noProof w:val="0"/>
        </w:rPr>
        <w:t>&lt;/NumAm&gt;</w:t>
      </w:r>
    </w:p>
    <w:p w14:paraId="590B3488"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1DEB26F7"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1 </w:t>
      </w:r>
      <w:r w:rsidRPr="00D808EB">
        <w:rPr>
          <w:rStyle w:val="HideTWBExt"/>
          <w:b w:val="0"/>
          <w:noProof w:val="0"/>
        </w:rPr>
        <w:t>&lt;/Article&gt;</w:t>
      </w:r>
    </w:p>
    <w:p w14:paraId="6142983C"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Section B – point 9 </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24CF54B8" w14:textId="77777777" w:rsidTr="00803DA5">
        <w:trPr>
          <w:jc w:val="center"/>
        </w:trPr>
        <w:tc>
          <w:tcPr>
            <w:tcW w:w="9752" w:type="dxa"/>
            <w:gridSpan w:val="2"/>
          </w:tcPr>
          <w:p w14:paraId="52D73313" w14:textId="77777777" w:rsidR="008B2D19" w:rsidRPr="00D808EB" w:rsidRDefault="008B2D19" w:rsidP="00803DA5">
            <w:pPr>
              <w:keepNext/>
            </w:pPr>
          </w:p>
        </w:tc>
      </w:tr>
      <w:tr w:rsidR="008B2D19" w:rsidRPr="00D808EB" w14:paraId="1640954F" w14:textId="77777777" w:rsidTr="00803DA5">
        <w:trPr>
          <w:jc w:val="center"/>
        </w:trPr>
        <w:tc>
          <w:tcPr>
            <w:tcW w:w="4876" w:type="dxa"/>
          </w:tcPr>
          <w:p w14:paraId="40F1D123" w14:textId="77777777" w:rsidR="008B2D19" w:rsidRPr="00D808EB" w:rsidRDefault="008B2D19" w:rsidP="00803DA5">
            <w:pPr>
              <w:pStyle w:val="AmColumnHeading"/>
              <w:keepNext/>
            </w:pPr>
            <w:r w:rsidRPr="00D808EB">
              <w:t>Text proposed by the Commission</w:t>
            </w:r>
          </w:p>
        </w:tc>
        <w:tc>
          <w:tcPr>
            <w:tcW w:w="4876" w:type="dxa"/>
          </w:tcPr>
          <w:p w14:paraId="17F111B2" w14:textId="77777777" w:rsidR="008B2D19" w:rsidRPr="00D808EB" w:rsidRDefault="008B2D19" w:rsidP="00803DA5">
            <w:pPr>
              <w:pStyle w:val="AmColumnHeading"/>
              <w:keepNext/>
            </w:pPr>
            <w:r w:rsidRPr="00D808EB">
              <w:t>Modification</w:t>
            </w:r>
          </w:p>
        </w:tc>
      </w:tr>
      <w:tr w:rsidR="008B2D19" w:rsidRPr="00D808EB" w14:paraId="44CA6C01" w14:textId="77777777" w:rsidTr="00803DA5">
        <w:trPr>
          <w:jc w:val="center"/>
        </w:trPr>
        <w:tc>
          <w:tcPr>
            <w:tcW w:w="4876" w:type="dxa"/>
          </w:tcPr>
          <w:p w14:paraId="46ACC1A7" w14:textId="77777777" w:rsidR="008B2D19" w:rsidRPr="00D808EB" w:rsidRDefault="008B2D19" w:rsidP="00803DA5">
            <w:pPr>
              <w:pStyle w:val="AmColumnHeading"/>
              <w:keepNext/>
              <w:rPr>
                <w:b/>
                <w:bCs/>
              </w:rPr>
            </w:pPr>
            <w:r w:rsidRPr="00D808EB">
              <w:t xml:space="preserve"> </w:t>
            </w:r>
            <w:r w:rsidRPr="00D808EB">
              <w:rPr>
                <w:b/>
                <w:bCs/>
              </w:rPr>
              <w:t>Single Margin Instrument</w:t>
            </w:r>
          </w:p>
          <w:p w14:paraId="6C8E0838" w14:textId="2E829777" w:rsidR="008B2D19" w:rsidRPr="00D808EB" w:rsidRDefault="008B2D19" w:rsidP="00803DA5">
            <w:pPr>
              <w:pStyle w:val="AmColumnHeading"/>
              <w:keepNext/>
              <w:jc w:val="left"/>
              <w:rPr>
                <w:b/>
                <w:bCs/>
              </w:rPr>
            </w:pPr>
            <w:r w:rsidRPr="00D808EB">
              <w:rPr>
                <w:b/>
                <w:bCs/>
              </w:rPr>
              <w:t>9.</w:t>
            </w:r>
            <w:r w:rsidRPr="00D808EB">
              <w:rPr>
                <w:b/>
                <w:bCs/>
              </w:rPr>
              <w:tab/>
              <w:t>The mobilisation of all or part of the amounts referred to in Article 7(1), point (c) of the MFF Regulation (</w:t>
            </w:r>
            <w:r w:rsidR="00C728B7">
              <w:rPr>
                <w:b/>
                <w:bCs/>
              </w:rPr>
              <w:t>‘</w:t>
            </w:r>
            <w:r w:rsidRPr="00D808EB">
              <w:rPr>
                <w:b/>
                <w:bCs/>
              </w:rPr>
              <w:t>Contingency Margin</w:t>
            </w:r>
            <w:r w:rsidR="00C728B7">
              <w:rPr>
                <w:b/>
                <w:bCs/>
              </w:rPr>
              <w:t>’</w:t>
            </w:r>
            <w:r w:rsidRPr="00D808EB">
              <w:rPr>
                <w:b/>
                <w:bCs/>
              </w:rPr>
              <w:t>) shall be proposed by the Commission after it has ascertained that the necessary commitment or payment appropriations, as the case may be, cannot be financed otherwise. Such a proposal may be made in relation to a draft budget or draft amending budget.</w:t>
            </w:r>
          </w:p>
          <w:p w14:paraId="1FDE4368" w14:textId="77777777" w:rsidR="008B2D19" w:rsidRPr="00D808EB" w:rsidRDefault="008B2D19" w:rsidP="00803DA5">
            <w:pPr>
              <w:pStyle w:val="Normal6a"/>
              <w:rPr>
                <w:i/>
                <w:iCs/>
              </w:rPr>
            </w:pPr>
            <w:r w:rsidRPr="00D808EB">
              <w:rPr>
                <w:b/>
                <w:bCs/>
              </w:rPr>
              <w:tab/>
            </w:r>
            <w:r w:rsidRPr="00D808EB">
              <w:rPr>
                <w:b/>
                <w:bCs/>
                <w:i/>
                <w:iCs/>
              </w:rPr>
              <w:t>The Contingency Margin may be mobilised by the European Parliament and the Council in the framework of the budgetary procedure set out in Article 314 TFEU.</w:t>
            </w:r>
          </w:p>
        </w:tc>
        <w:tc>
          <w:tcPr>
            <w:tcW w:w="4876" w:type="dxa"/>
          </w:tcPr>
          <w:p w14:paraId="2CCCB863" w14:textId="77777777" w:rsidR="008B2D19" w:rsidRPr="00D808EB" w:rsidRDefault="008B2D19" w:rsidP="00803DA5">
            <w:pPr>
              <w:pStyle w:val="Normal6a"/>
              <w:rPr>
                <w:i/>
                <w:iCs/>
                <w:szCs w:val="24"/>
              </w:rPr>
            </w:pPr>
            <w:r w:rsidRPr="00D808EB">
              <w:rPr>
                <w:b/>
                <w:bCs/>
                <w:i/>
                <w:iCs/>
              </w:rPr>
              <w:t>deleted</w:t>
            </w:r>
          </w:p>
        </w:tc>
      </w:tr>
    </w:tbl>
    <w:p w14:paraId="249E4B7D" w14:textId="77777777" w:rsidR="008B2D19" w:rsidRPr="00D808EB" w:rsidRDefault="008B2D19" w:rsidP="008B2D19">
      <w:pPr>
        <w:pStyle w:val="AmOrLang"/>
        <w:rPr>
          <w:rStyle w:val="HideTWBExt"/>
          <w:noProof w:val="0"/>
        </w:rPr>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67C2CE2E" w14:textId="77777777" w:rsidR="008B2D19" w:rsidRPr="00D808EB" w:rsidRDefault="008B2D19" w:rsidP="008B2D19">
      <w:r w:rsidRPr="00D808EB">
        <w:rPr>
          <w:rStyle w:val="HideTWBExt"/>
          <w:noProof w:val="0"/>
        </w:rPr>
        <w:t>&lt;/Amend&gt;</w:t>
      </w:r>
    </w:p>
    <w:p w14:paraId="376C9766"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22</w:t>
      </w:r>
      <w:r w:rsidRPr="00D808EB">
        <w:rPr>
          <w:rStyle w:val="HideTWBExt"/>
          <w:b w:val="0"/>
          <w:noProof w:val="0"/>
        </w:rPr>
        <w:t>&lt;/NumAm&gt;</w:t>
      </w:r>
    </w:p>
    <w:p w14:paraId="5BF8F1FB"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7868006C" w14:textId="77777777" w:rsidR="008B2D19" w:rsidRPr="00D808EB" w:rsidRDefault="008B2D19" w:rsidP="008B2D19">
      <w:pPr>
        <w:pStyle w:val="NormalBold12b"/>
        <w:keepNext/>
        <w:spacing w:before="0"/>
        <w:rPr>
          <w:lang w:val="fr-BE"/>
        </w:rPr>
      </w:pPr>
      <w:r w:rsidRPr="00D808EB">
        <w:rPr>
          <w:rStyle w:val="HideTWBExt"/>
          <w:b w:val="0"/>
          <w:noProof w:val="0"/>
          <w:lang w:val="fr-BE"/>
        </w:rPr>
        <w:t>&lt;Article&gt;</w:t>
      </w:r>
      <w:r w:rsidRPr="00D808EB">
        <w:rPr>
          <w:lang w:val="fr-BE"/>
        </w:rPr>
        <w:t xml:space="preserve"> Part 1</w:t>
      </w:r>
      <w:r w:rsidRPr="00D808EB">
        <w:rPr>
          <w:rStyle w:val="HideTWBExt"/>
          <w:b w:val="0"/>
          <w:noProof w:val="0"/>
          <w:lang w:val="fr-BE"/>
        </w:rPr>
        <w:t>&lt;/Article&gt;</w:t>
      </w:r>
    </w:p>
    <w:p w14:paraId="48E5320F"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Section B – point 9 a (new)</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6E02B5B9" w14:textId="77777777" w:rsidTr="00803DA5">
        <w:trPr>
          <w:jc w:val="center"/>
        </w:trPr>
        <w:tc>
          <w:tcPr>
            <w:tcW w:w="9752" w:type="dxa"/>
            <w:gridSpan w:val="2"/>
          </w:tcPr>
          <w:p w14:paraId="1BBE48FC" w14:textId="77777777" w:rsidR="008B2D19" w:rsidRPr="00D808EB" w:rsidRDefault="008B2D19" w:rsidP="00803DA5">
            <w:pPr>
              <w:keepNext/>
            </w:pPr>
          </w:p>
        </w:tc>
      </w:tr>
      <w:tr w:rsidR="008B2D19" w:rsidRPr="00D808EB" w14:paraId="49BED41A" w14:textId="77777777" w:rsidTr="00803DA5">
        <w:trPr>
          <w:jc w:val="center"/>
        </w:trPr>
        <w:tc>
          <w:tcPr>
            <w:tcW w:w="4876" w:type="dxa"/>
          </w:tcPr>
          <w:p w14:paraId="790273AA" w14:textId="77777777" w:rsidR="008B2D19" w:rsidRPr="00D808EB" w:rsidRDefault="008B2D19" w:rsidP="00803DA5">
            <w:pPr>
              <w:pStyle w:val="AmColumnHeading"/>
              <w:keepNext/>
            </w:pPr>
            <w:r w:rsidRPr="00D808EB">
              <w:t>Text proposed by the Commission</w:t>
            </w:r>
          </w:p>
        </w:tc>
        <w:tc>
          <w:tcPr>
            <w:tcW w:w="4876" w:type="dxa"/>
          </w:tcPr>
          <w:p w14:paraId="6E1C2B87" w14:textId="77777777" w:rsidR="008B2D19" w:rsidRPr="00D808EB" w:rsidRDefault="008B2D19" w:rsidP="00803DA5">
            <w:pPr>
              <w:pStyle w:val="AmColumnHeading"/>
              <w:keepNext/>
            </w:pPr>
            <w:r w:rsidRPr="00D808EB">
              <w:t>Modification</w:t>
            </w:r>
          </w:p>
        </w:tc>
      </w:tr>
      <w:tr w:rsidR="008B2D19" w:rsidRPr="00D808EB" w14:paraId="7703AE5E" w14:textId="77777777" w:rsidTr="00803DA5">
        <w:trPr>
          <w:jc w:val="center"/>
        </w:trPr>
        <w:tc>
          <w:tcPr>
            <w:tcW w:w="4876" w:type="dxa"/>
          </w:tcPr>
          <w:p w14:paraId="38DBBF3D" w14:textId="77777777" w:rsidR="008B2D19" w:rsidRPr="00D808EB" w:rsidRDefault="008B2D19" w:rsidP="00803DA5">
            <w:pPr>
              <w:pStyle w:val="AmColumnHeading"/>
              <w:jc w:val="left"/>
              <w:rPr>
                <w:b/>
                <w:bCs/>
                <w:iCs/>
              </w:rPr>
            </w:pPr>
          </w:p>
        </w:tc>
        <w:tc>
          <w:tcPr>
            <w:tcW w:w="4876" w:type="dxa"/>
          </w:tcPr>
          <w:p w14:paraId="6144602C" w14:textId="77777777" w:rsidR="008B2D19" w:rsidRPr="00D808EB" w:rsidRDefault="008B2D19" w:rsidP="00803DA5">
            <w:pPr>
              <w:pStyle w:val="AmColumnHeading"/>
              <w:keepNext/>
              <w:jc w:val="left"/>
              <w:rPr>
                <w:b/>
                <w:bCs/>
              </w:rPr>
            </w:pPr>
            <w:r w:rsidRPr="00D808EB">
              <w:rPr>
                <w:b/>
                <w:bCs/>
              </w:rPr>
              <w:t xml:space="preserve">Solidarity Reserve for Natural Disasters </w:t>
            </w:r>
          </w:p>
          <w:p w14:paraId="172A7019" w14:textId="77777777" w:rsidR="008B2D19" w:rsidRPr="00D808EB" w:rsidRDefault="008B2D19" w:rsidP="00803DA5">
            <w:pPr>
              <w:pStyle w:val="AmColumnHeading"/>
              <w:keepNext/>
              <w:jc w:val="left"/>
              <w:rPr>
                <w:b/>
                <w:bCs/>
                <w:iCs/>
              </w:rPr>
            </w:pPr>
            <w:r w:rsidRPr="00D808EB">
              <w:rPr>
                <w:b/>
                <w:bCs/>
                <w:iCs/>
              </w:rPr>
              <w:t>9a.</w:t>
            </w:r>
            <w:r w:rsidRPr="00D808EB">
              <w:rPr>
                <w:b/>
                <w:bCs/>
                <w:iCs/>
              </w:rPr>
              <w:tab/>
              <w:t xml:space="preserve">Where the Commission considers that the conditions for mobilising the </w:t>
            </w:r>
            <w:r w:rsidRPr="00D808EB">
              <w:rPr>
                <w:b/>
                <w:bCs/>
              </w:rPr>
              <w:t xml:space="preserve">Solidarity Reserve for Natural Disasters </w:t>
            </w:r>
            <w:r w:rsidRPr="00D808EB">
              <w:rPr>
                <w:b/>
                <w:bCs/>
                <w:iCs/>
              </w:rPr>
              <w:t>are met, it shall submit a proposal to the European Parliament and to the Council for a transfer from that Reserve to the corresponding budget lines in accordance with the Financial Regulation.</w:t>
            </w:r>
          </w:p>
          <w:p w14:paraId="521B2913" w14:textId="77777777" w:rsidR="008B2D19" w:rsidRPr="00D808EB" w:rsidRDefault="008B2D19" w:rsidP="00803DA5">
            <w:pPr>
              <w:pStyle w:val="AmColumnHeading"/>
              <w:keepNext/>
              <w:jc w:val="left"/>
              <w:rPr>
                <w:b/>
                <w:bCs/>
                <w:iCs/>
              </w:rPr>
            </w:pPr>
            <w:r w:rsidRPr="00D808EB">
              <w:rPr>
                <w:b/>
                <w:bCs/>
                <w:iCs/>
              </w:rPr>
              <w:t xml:space="preserve">Before making any proposal for a transfer from the </w:t>
            </w:r>
            <w:r w:rsidRPr="00D808EB">
              <w:rPr>
                <w:b/>
                <w:bCs/>
              </w:rPr>
              <w:t>Solidarity Reserve for Natural Disasters</w:t>
            </w:r>
            <w:r w:rsidRPr="00D808EB">
              <w:rPr>
                <w:b/>
                <w:bCs/>
                <w:iCs/>
              </w:rPr>
              <w:t xml:space="preserve"> for assistance, the Commission shall examine the scope for reallocating appropriations.</w:t>
            </w:r>
          </w:p>
        </w:tc>
      </w:tr>
    </w:tbl>
    <w:p w14:paraId="63453EA3"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7280E208" w14:textId="77777777" w:rsidR="008B2D19" w:rsidRPr="00D808EB" w:rsidRDefault="008B2D19" w:rsidP="008B2D19">
      <w:r w:rsidRPr="00D808EB">
        <w:rPr>
          <w:rStyle w:val="HideTWBExt"/>
          <w:noProof w:val="0"/>
        </w:rPr>
        <w:t>&lt;/Amend&gt;</w:t>
      </w:r>
    </w:p>
    <w:p w14:paraId="556C3F8C"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23</w:t>
      </w:r>
      <w:r w:rsidRPr="00D808EB">
        <w:rPr>
          <w:rStyle w:val="HideTWBExt"/>
          <w:b w:val="0"/>
          <w:noProof w:val="0"/>
        </w:rPr>
        <w:t>&lt;/NumAm&gt;</w:t>
      </w:r>
    </w:p>
    <w:p w14:paraId="34CEB467"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78EBA563"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2</w:t>
      </w:r>
      <w:r w:rsidRPr="00D808EB">
        <w:rPr>
          <w:rStyle w:val="HideTWBExt"/>
          <w:b w:val="0"/>
          <w:noProof w:val="0"/>
        </w:rPr>
        <w:t>&lt;/Article&gt;</w:t>
      </w:r>
    </w:p>
    <w:p w14:paraId="0334BC3B"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Section A – point 10 - subparagraphs 2 and 3</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5D3F2878" w14:textId="77777777" w:rsidTr="00803DA5">
        <w:trPr>
          <w:jc w:val="center"/>
        </w:trPr>
        <w:tc>
          <w:tcPr>
            <w:tcW w:w="9752" w:type="dxa"/>
            <w:gridSpan w:val="2"/>
          </w:tcPr>
          <w:p w14:paraId="1925E141" w14:textId="77777777" w:rsidR="008B2D19" w:rsidRPr="00D808EB" w:rsidRDefault="008B2D19" w:rsidP="00803DA5">
            <w:pPr>
              <w:keepNext/>
            </w:pPr>
          </w:p>
        </w:tc>
      </w:tr>
      <w:tr w:rsidR="008B2D19" w:rsidRPr="00D808EB" w14:paraId="5C759746" w14:textId="77777777" w:rsidTr="00803DA5">
        <w:trPr>
          <w:jc w:val="center"/>
        </w:trPr>
        <w:tc>
          <w:tcPr>
            <w:tcW w:w="4876" w:type="dxa"/>
          </w:tcPr>
          <w:p w14:paraId="5B007ABA" w14:textId="77777777" w:rsidR="008B2D19" w:rsidRPr="00D808EB" w:rsidRDefault="008B2D19" w:rsidP="00803DA5">
            <w:pPr>
              <w:pStyle w:val="AmColumnHeading"/>
              <w:keepNext/>
            </w:pPr>
            <w:r w:rsidRPr="00D808EB">
              <w:t>Text proposed by the Commission</w:t>
            </w:r>
          </w:p>
        </w:tc>
        <w:tc>
          <w:tcPr>
            <w:tcW w:w="4876" w:type="dxa"/>
          </w:tcPr>
          <w:p w14:paraId="3C712A6E" w14:textId="77777777" w:rsidR="008B2D19" w:rsidRPr="00D808EB" w:rsidRDefault="008B2D19" w:rsidP="00803DA5">
            <w:pPr>
              <w:pStyle w:val="AmColumnHeading"/>
              <w:keepNext/>
            </w:pPr>
            <w:r w:rsidRPr="00D808EB">
              <w:t>Modification</w:t>
            </w:r>
          </w:p>
        </w:tc>
      </w:tr>
      <w:tr w:rsidR="008B2D19" w:rsidRPr="00D808EB" w14:paraId="416FC322" w14:textId="77777777" w:rsidTr="00803DA5">
        <w:trPr>
          <w:jc w:val="center"/>
        </w:trPr>
        <w:tc>
          <w:tcPr>
            <w:tcW w:w="4876" w:type="dxa"/>
          </w:tcPr>
          <w:p w14:paraId="2639460D" w14:textId="1A43E570" w:rsidR="008B2D19" w:rsidRPr="00D808EB" w:rsidRDefault="008B2D19" w:rsidP="00803DA5">
            <w:pPr>
              <w:pStyle w:val="AmColumnHeading"/>
              <w:keepNext/>
              <w:jc w:val="left"/>
              <w:rPr>
                <w:i w:val="0"/>
                <w:iCs/>
              </w:rPr>
            </w:pPr>
            <w:r w:rsidRPr="00D808EB">
              <w:rPr>
                <w:i w:val="0"/>
                <w:iCs/>
              </w:rPr>
              <w:t xml:space="preserve">The European Parliament and the Council, and the Commission when it draws up the draft budget, undertake not to depart by more than </w:t>
            </w:r>
            <w:r w:rsidRPr="00D808EB">
              <w:rPr>
                <w:b/>
                <w:bCs/>
              </w:rPr>
              <w:t>20</w:t>
            </w:r>
            <w:r w:rsidRPr="00D808EB">
              <w:rPr>
                <w:i w:val="0"/>
                <w:iCs/>
              </w:rPr>
              <w:t xml:space="preserve"> % from that amount for the entire duration of the programme or instrument concerned, unless</w:t>
            </w:r>
            <w:r w:rsidR="00C728B7">
              <w:rPr>
                <w:i w:val="0"/>
                <w:iCs/>
              </w:rPr>
              <w:t xml:space="preserve"> </w:t>
            </w:r>
            <w:r w:rsidRPr="00D808EB">
              <w:rPr>
                <w:i w:val="0"/>
                <w:iCs/>
              </w:rPr>
              <w:t>duly justified new circumstances arise, including in relation to the Union</w:t>
            </w:r>
            <w:r w:rsidR="00C728B7">
              <w:rPr>
                <w:i w:val="0"/>
                <w:iCs/>
              </w:rPr>
              <w:t>’</w:t>
            </w:r>
            <w:r w:rsidRPr="00D808EB">
              <w:rPr>
                <w:i w:val="0"/>
                <w:iCs/>
              </w:rPr>
              <w:t>s policy priorities, with account being taken of the results obtained from implementing the programmes and instruments.</w:t>
            </w:r>
          </w:p>
          <w:p w14:paraId="7E413098" w14:textId="77777777" w:rsidR="008B2D19" w:rsidRPr="00D808EB" w:rsidRDefault="008B2D19" w:rsidP="00803DA5">
            <w:pPr>
              <w:pStyle w:val="AmColumnHeading"/>
              <w:keepNext/>
              <w:jc w:val="left"/>
              <w:rPr>
                <w:i w:val="0"/>
                <w:iCs/>
              </w:rPr>
            </w:pPr>
          </w:p>
          <w:p w14:paraId="25F22930" w14:textId="77777777" w:rsidR="008B2D19" w:rsidRPr="00D808EB" w:rsidRDefault="008B2D19" w:rsidP="00803DA5">
            <w:pPr>
              <w:pStyle w:val="AmColumnHeading"/>
              <w:keepNext/>
              <w:spacing w:before="240"/>
              <w:jc w:val="left"/>
              <w:rPr>
                <w:i w:val="0"/>
                <w:iCs/>
              </w:rPr>
            </w:pPr>
          </w:p>
          <w:p w14:paraId="5622D48D" w14:textId="77777777" w:rsidR="008B2D19" w:rsidRPr="00D808EB" w:rsidRDefault="008B2D19" w:rsidP="00803DA5">
            <w:pPr>
              <w:pStyle w:val="AmColumnHeading"/>
              <w:keepNext/>
              <w:spacing w:before="240" w:after="120"/>
              <w:jc w:val="left"/>
              <w:rPr>
                <w:i w:val="0"/>
                <w:iCs/>
              </w:rPr>
            </w:pPr>
          </w:p>
          <w:p w14:paraId="11411552" w14:textId="77777777" w:rsidR="008B2D19" w:rsidRPr="00D808EB" w:rsidRDefault="008B2D19" w:rsidP="00803DA5">
            <w:pPr>
              <w:pStyle w:val="AmColumnHeading"/>
              <w:spacing w:after="360"/>
              <w:jc w:val="left"/>
              <w:rPr>
                <w:b/>
                <w:bCs/>
                <w:iCs/>
              </w:rPr>
            </w:pPr>
            <w:r w:rsidRPr="00D808EB">
              <w:rPr>
                <w:i w:val="0"/>
                <w:iCs/>
              </w:rPr>
              <w:t xml:space="preserve">This point </w:t>
            </w:r>
            <w:r w:rsidRPr="00D808EB">
              <w:rPr>
                <w:b/>
                <w:bCs/>
              </w:rPr>
              <w:t xml:space="preserve">does </w:t>
            </w:r>
            <w:r w:rsidRPr="00D808EB">
              <w:rPr>
                <w:i w:val="0"/>
                <w:iCs/>
              </w:rPr>
              <w:t>not apply to appropriations pre-allocated per Member State under Regulation [(EU) XXXX/XX] [National and Regional Partnership Fund].</w:t>
            </w:r>
          </w:p>
        </w:tc>
        <w:tc>
          <w:tcPr>
            <w:tcW w:w="4876" w:type="dxa"/>
          </w:tcPr>
          <w:p w14:paraId="08DB9414" w14:textId="718ADF2A" w:rsidR="008B2D19" w:rsidRPr="00D808EB" w:rsidRDefault="008B2D19" w:rsidP="00803DA5">
            <w:pPr>
              <w:pStyle w:val="AmColumnHeading"/>
              <w:keepNext/>
              <w:jc w:val="left"/>
              <w:rPr>
                <w:i w:val="0"/>
                <w:iCs/>
              </w:rPr>
            </w:pPr>
            <w:r w:rsidRPr="00D808EB">
              <w:rPr>
                <w:i w:val="0"/>
                <w:iCs/>
              </w:rPr>
              <w:t xml:space="preserve">The European Parliament and the Council, and the Commission when it draws up the draft budget, undertake not to depart by more than </w:t>
            </w:r>
            <w:r w:rsidRPr="00D808EB">
              <w:rPr>
                <w:b/>
                <w:bCs/>
              </w:rPr>
              <w:t>5</w:t>
            </w:r>
            <w:r w:rsidRPr="00D808EB">
              <w:rPr>
                <w:i w:val="0"/>
                <w:iCs/>
              </w:rPr>
              <w:t xml:space="preserve"> % from that amount for the entire duration of the programme or instrument concerned, unless</w:t>
            </w:r>
            <w:r w:rsidR="00C728B7">
              <w:rPr>
                <w:i w:val="0"/>
                <w:iCs/>
              </w:rPr>
              <w:t xml:space="preserve"> </w:t>
            </w:r>
            <w:r w:rsidRPr="00D808EB">
              <w:rPr>
                <w:i w:val="0"/>
                <w:iCs/>
              </w:rPr>
              <w:t>duly justified new circumstances arise, including in relation to the Union</w:t>
            </w:r>
            <w:r w:rsidR="00C728B7">
              <w:rPr>
                <w:i w:val="0"/>
                <w:iCs/>
              </w:rPr>
              <w:t>’</w:t>
            </w:r>
            <w:r w:rsidRPr="00D808EB">
              <w:rPr>
                <w:i w:val="0"/>
                <w:iCs/>
              </w:rPr>
              <w:t xml:space="preserve">s policy priorities, with account being taken of the results obtained from implementing the programmes and instruments. </w:t>
            </w:r>
            <w:r w:rsidRPr="00D808EB">
              <w:rPr>
                <w:b/>
                <w:bCs/>
              </w:rPr>
              <w:t>Any increase resulting from such variation shall remain beneath the existing ceiling for the heading concerned, without prejudice to the use of instruments referred to in the MFF Regulation and in this Agreement.</w:t>
            </w:r>
          </w:p>
          <w:p w14:paraId="6ACC79F6" w14:textId="77777777" w:rsidR="008B2D19" w:rsidRPr="00D808EB" w:rsidRDefault="008B2D19" w:rsidP="00803DA5">
            <w:pPr>
              <w:pStyle w:val="AmColumnHeading"/>
              <w:keepNext/>
              <w:jc w:val="left"/>
              <w:rPr>
                <w:i w:val="0"/>
              </w:rPr>
            </w:pPr>
            <w:r w:rsidRPr="00D808EB">
              <w:rPr>
                <w:i w:val="0"/>
                <w:iCs/>
              </w:rPr>
              <w:t xml:space="preserve">This point </w:t>
            </w:r>
            <w:r w:rsidRPr="00D808EB">
              <w:rPr>
                <w:b/>
                <w:bCs/>
              </w:rPr>
              <w:t xml:space="preserve">shall </w:t>
            </w:r>
            <w:r w:rsidRPr="00D808EB">
              <w:rPr>
                <w:i w:val="0"/>
                <w:iCs/>
              </w:rPr>
              <w:t>not apply to appropriations pre-allocated per Member State under Regulation [(EU) XXXX/XX] [National and Regional Partnership Fund].</w:t>
            </w:r>
          </w:p>
        </w:tc>
      </w:tr>
    </w:tbl>
    <w:p w14:paraId="779DD76D"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7D5E55E6" w14:textId="77777777" w:rsidR="008B2D19" w:rsidRPr="00D808EB" w:rsidRDefault="008B2D19" w:rsidP="008B2D19">
      <w:pPr>
        <w:rPr>
          <w:rStyle w:val="HideTWBExt"/>
          <w:rFonts w:ascii="Times New Roman" w:hAnsi="Times New Roman"/>
          <w:noProof w:val="0"/>
          <w:vanish w:val="0"/>
          <w:color w:val="auto"/>
          <w:sz w:val="24"/>
        </w:rPr>
      </w:pPr>
      <w:r w:rsidRPr="00D808EB">
        <w:rPr>
          <w:rStyle w:val="HideTWBExt"/>
          <w:noProof w:val="0"/>
        </w:rPr>
        <w:t>&lt;/Amend&gt;</w:t>
      </w:r>
    </w:p>
    <w:p w14:paraId="27124893"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24</w:t>
      </w:r>
      <w:r w:rsidRPr="00D808EB">
        <w:rPr>
          <w:rStyle w:val="HideTWBExt"/>
          <w:b w:val="0"/>
          <w:noProof w:val="0"/>
        </w:rPr>
        <w:t>&lt;/NumAm&gt;</w:t>
      </w:r>
    </w:p>
    <w:p w14:paraId="0376F829"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061AFEAF"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2</w:t>
      </w:r>
      <w:r w:rsidRPr="00D808EB">
        <w:rPr>
          <w:rStyle w:val="HideTWBExt"/>
          <w:b w:val="0"/>
          <w:noProof w:val="0"/>
        </w:rPr>
        <w:t>&lt;/Article&gt;</w:t>
      </w:r>
    </w:p>
    <w:p w14:paraId="54A9457B"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Section A – point 11 </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08BAFC30" w14:textId="77777777" w:rsidTr="00803DA5">
        <w:trPr>
          <w:jc w:val="center"/>
        </w:trPr>
        <w:tc>
          <w:tcPr>
            <w:tcW w:w="9752" w:type="dxa"/>
            <w:gridSpan w:val="2"/>
          </w:tcPr>
          <w:p w14:paraId="7CDB6B94" w14:textId="77777777" w:rsidR="008B2D19" w:rsidRPr="00D808EB" w:rsidRDefault="008B2D19" w:rsidP="00803DA5">
            <w:pPr>
              <w:keepNext/>
            </w:pPr>
          </w:p>
        </w:tc>
      </w:tr>
      <w:tr w:rsidR="008B2D19" w:rsidRPr="00D808EB" w14:paraId="7FDE78E9" w14:textId="77777777" w:rsidTr="00803DA5">
        <w:trPr>
          <w:jc w:val="center"/>
        </w:trPr>
        <w:tc>
          <w:tcPr>
            <w:tcW w:w="4876" w:type="dxa"/>
          </w:tcPr>
          <w:p w14:paraId="086974D0" w14:textId="77777777" w:rsidR="008B2D19" w:rsidRPr="00D808EB" w:rsidRDefault="008B2D19" w:rsidP="00803DA5">
            <w:pPr>
              <w:pStyle w:val="AmColumnHeading"/>
              <w:keepNext/>
            </w:pPr>
            <w:r w:rsidRPr="00D808EB">
              <w:t>Text proposed by the Commission</w:t>
            </w:r>
          </w:p>
        </w:tc>
        <w:tc>
          <w:tcPr>
            <w:tcW w:w="4876" w:type="dxa"/>
          </w:tcPr>
          <w:p w14:paraId="50B30BF4" w14:textId="77777777" w:rsidR="008B2D19" w:rsidRPr="00D808EB" w:rsidRDefault="008B2D19" w:rsidP="00803DA5">
            <w:pPr>
              <w:pStyle w:val="AmColumnHeading"/>
              <w:keepNext/>
              <w:rPr>
                <w:i w:val="0"/>
                <w:iCs/>
              </w:rPr>
            </w:pPr>
            <w:r w:rsidRPr="00D808EB">
              <w:rPr>
                <w:i w:val="0"/>
                <w:iCs/>
              </w:rPr>
              <w:t>Modification</w:t>
            </w:r>
          </w:p>
        </w:tc>
      </w:tr>
      <w:tr w:rsidR="008B2D19" w:rsidRPr="00D808EB" w14:paraId="2C3E188F" w14:textId="77777777" w:rsidTr="00803DA5">
        <w:trPr>
          <w:jc w:val="center"/>
        </w:trPr>
        <w:tc>
          <w:tcPr>
            <w:tcW w:w="4876" w:type="dxa"/>
          </w:tcPr>
          <w:p w14:paraId="14D18AB8" w14:textId="77777777" w:rsidR="008B2D19" w:rsidRPr="00D808EB" w:rsidRDefault="008B2D19" w:rsidP="00803DA5">
            <w:pPr>
              <w:pStyle w:val="AmColumnHeading"/>
              <w:jc w:val="left"/>
              <w:rPr>
                <w:i w:val="0"/>
                <w:iCs/>
              </w:rPr>
            </w:pPr>
            <w:r w:rsidRPr="00D808EB">
              <w:rPr>
                <w:i w:val="0"/>
                <w:iCs/>
              </w:rPr>
              <w:t>11.</w:t>
            </w:r>
            <w:r w:rsidRPr="00D808EB">
              <w:rPr>
                <w:i w:val="0"/>
                <w:iCs/>
              </w:rPr>
              <w:tab/>
              <w:t xml:space="preserve">In order to provide precise and reliable forecasts of the budgetary implications of basic acts within the meaning of Article 2(4) of the Financial Regulation and of pending legislative proposals, the Commission shall attach to the draft budget a complete indicative financial programming for headings 2 and 3 of the MFF. That programming, structured by heading, policy area and budget line, </w:t>
            </w:r>
            <w:r w:rsidRPr="00D808EB">
              <w:rPr>
                <w:b/>
                <w:bCs/>
              </w:rPr>
              <w:t xml:space="preserve">should </w:t>
            </w:r>
            <w:r w:rsidRPr="00D808EB">
              <w:rPr>
                <w:i w:val="0"/>
                <w:iCs/>
              </w:rPr>
              <w:t>identify:</w:t>
            </w:r>
          </w:p>
          <w:p w14:paraId="45C362ED" w14:textId="77777777" w:rsidR="008B2D19" w:rsidRPr="00D808EB" w:rsidRDefault="008B2D19" w:rsidP="00803DA5">
            <w:pPr>
              <w:pStyle w:val="AmColumnHeading"/>
              <w:jc w:val="left"/>
              <w:rPr>
                <w:i w:val="0"/>
                <w:iCs/>
              </w:rPr>
            </w:pPr>
          </w:p>
          <w:p w14:paraId="73B6ECC5" w14:textId="77777777" w:rsidR="008B2D19" w:rsidRPr="00D808EB" w:rsidRDefault="008B2D19" w:rsidP="00803DA5">
            <w:pPr>
              <w:pStyle w:val="AmColumnHeading"/>
              <w:jc w:val="left"/>
              <w:rPr>
                <w:i w:val="0"/>
                <w:iCs/>
              </w:rPr>
            </w:pPr>
            <w:r w:rsidRPr="00D808EB">
              <w:rPr>
                <w:i w:val="0"/>
                <w:iCs/>
              </w:rPr>
              <w:t>(a) the basic acts, with a distinction being drawn between multiannual programmes, legal acts establishing or entrusting tasks to decentralised agencies, and annual actions:</w:t>
            </w:r>
          </w:p>
          <w:p w14:paraId="4BA63721" w14:textId="77777777" w:rsidR="008B2D19" w:rsidRPr="00D808EB" w:rsidRDefault="008B2D19" w:rsidP="00803DA5">
            <w:pPr>
              <w:pStyle w:val="AmColumnHeading"/>
              <w:jc w:val="left"/>
              <w:rPr>
                <w:i w:val="0"/>
                <w:iCs/>
              </w:rPr>
            </w:pPr>
            <w:r w:rsidRPr="00D808EB">
              <w:rPr>
                <w:i w:val="0"/>
                <w:iCs/>
              </w:rPr>
              <w:t xml:space="preserve">(1) for multiannual programmes the Commission </w:t>
            </w:r>
            <w:r w:rsidRPr="00D808EB">
              <w:rPr>
                <w:b/>
                <w:bCs/>
              </w:rPr>
              <w:t>should</w:t>
            </w:r>
            <w:r w:rsidRPr="00D808EB">
              <w:rPr>
                <w:b/>
                <w:bCs/>
                <w:i w:val="0"/>
                <w:iCs/>
              </w:rPr>
              <w:t xml:space="preserve"> </w:t>
            </w:r>
            <w:r w:rsidRPr="00D808EB">
              <w:rPr>
                <w:i w:val="0"/>
                <w:iCs/>
              </w:rPr>
              <w:t>indicate the procedure under which they were adopted, the duration of the programmes, the total indicative financial envelope and the share allocated to administrative expenditure;</w:t>
            </w:r>
          </w:p>
          <w:p w14:paraId="429DC6AD" w14:textId="77777777" w:rsidR="008B2D19" w:rsidRPr="00D808EB" w:rsidRDefault="008B2D19" w:rsidP="00803DA5">
            <w:pPr>
              <w:pStyle w:val="AmColumnHeading"/>
              <w:jc w:val="left"/>
              <w:rPr>
                <w:i w:val="0"/>
                <w:iCs/>
              </w:rPr>
            </w:pPr>
            <w:r w:rsidRPr="00D808EB">
              <w:rPr>
                <w:i w:val="0"/>
                <w:iCs/>
              </w:rPr>
              <w:t>(2) for legal acts establishing or entrusting new tasks to decentralised agencies, the Commission</w:t>
            </w:r>
            <w:r w:rsidRPr="00D808EB">
              <w:rPr>
                <w:b/>
                <w:bCs/>
                <w:i w:val="0"/>
                <w:iCs/>
              </w:rPr>
              <w:t xml:space="preserve"> </w:t>
            </w:r>
            <w:r w:rsidRPr="00D808EB">
              <w:rPr>
                <w:b/>
                <w:bCs/>
              </w:rPr>
              <w:t>should</w:t>
            </w:r>
            <w:r w:rsidRPr="00D808EB">
              <w:t xml:space="preserve"> </w:t>
            </w:r>
            <w:r w:rsidRPr="00D808EB">
              <w:rPr>
                <w:i w:val="0"/>
                <w:iCs/>
              </w:rPr>
              <w:t>indicate the legal basis under which they were adopted and provide multiannual estimates;</w:t>
            </w:r>
          </w:p>
          <w:p w14:paraId="39DBC4F2" w14:textId="77777777" w:rsidR="008B2D19" w:rsidRPr="00D808EB" w:rsidRDefault="008B2D19" w:rsidP="00803DA5">
            <w:pPr>
              <w:pStyle w:val="AmColumnHeading"/>
              <w:jc w:val="left"/>
              <w:rPr>
                <w:i w:val="0"/>
                <w:iCs/>
              </w:rPr>
            </w:pPr>
            <w:r w:rsidRPr="00D808EB">
              <w:rPr>
                <w:i w:val="0"/>
                <w:iCs/>
              </w:rPr>
              <w:t>(3) for annual actions (relating to pilot projects, preparatory actions) and actions financed under the prerogatives of the Commission, the Commission</w:t>
            </w:r>
            <w:r w:rsidRPr="00D808EB">
              <w:rPr>
                <w:b/>
                <w:bCs/>
                <w:i w:val="0"/>
                <w:iCs/>
              </w:rPr>
              <w:t xml:space="preserve"> </w:t>
            </w:r>
            <w:r w:rsidRPr="00D808EB">
              <w:rPr>
                <w:b/>
                <w:bCs/>
              </w:rPr>
              <w:t>should</w:t>
            </w:r>
            <w:r w:rsidRPr="00D808EB">
              <w:t xml:space="preserve"> </w:t>
            </w:r>
            <w:r w:rsidRPr="00D808EB">
              <w:rPr>
                <w:i w:val="0"/>
                <w:iCs/>
              </w:rPr>
              <w:t>provide multiannual estimates;</w:t>
            </w:r>
          </w:p>
          <w:p w14:paraId="3F1F598C" w14:textId="77777777" w:rsidR="008B2D19" w:rsidRPr="00D808EB" w:rsidRDefault="008B2D19" w:rsidP="00803DA5">
            <w:pPr>
              <w:pStyle w:val="AmColumnHeading"/>
              <w:jc w:val="left"/>
              <w:rPr>
                <w:i w:val="0"/>
                <w:iCs/>
              </w:rPr>
            </w:pPr>
            <w:r w:rsidRPr="00D808EB">
              <w:rPr>
                <w:i w:val="0"/>
                <w:iCs/>
              </w:rPr>
              <w:t>(b) pending legislative proposals from the Commission with the latest update on their potential budgetary impact including, when necessary, the related need for reprogramming in case of adoption.</w:t>
            </w:r>
          </w:p>
          <w:p w14:paraId="30BB1D56" w14:textId="77777777" w:rsidR="008B2D19" w:rsidRPr="00D808EB" w:rsidRDefault="008B2D19" w:rsidP="00803DA5">
            <w:pPr>
              <w:pStyle w:val="AmColumnHeading"/>
              <w:jc w:val="left"/>
              <w:rPr>
                <w:i w:val="0"/>
                <w:iCs/>
              </w:rPr>
            </w:pPr>
          </w:p>
          <w:p w14:paraId="15613F0A" w14:textId="77777777" w:rsidR="008B2D19" w:rsidRPr="00D808EB" w:rsidRDefault="008B2D19" w:rsidP="00803DA5">
            <w:pPr>
              <w:pStyle w:val="AmColumnHeading"/>
              <w:jc w:val="left"/>
              <w:rPr>
                <w:i w:val="0"/>
                <w:iCs/>
              </w:rPr>
            </w:pPr>
          </w:p>
          <w:p w14:paraId="4EBC3175" w14:textId="15AB662F" w:rsidR="008B2D19" w:rsidRPr="00D808EB" w:rsidRDefault="008B2D19" w:rsidP="00803DA5">
            <w:pPr>
              <w:pStyle w:val="AmColumnHeading"/>
              <w:spacing w:after="360"/>
              <w:jc w:val="left"/>
              <w:rPr>
                <w:i w:val="0"/>
                <w:iCs/>
              </w:rPr>
            </w:pPr>
            <w:r w:rsidRPr="00D808EB">
              <w:rPr>
                <w:i w:val="0"/>
                <w:iCs/>
              </w:rPr>
              <w:t xml:space="preserve">The indicative financial programming shall show transparently unallocated reserves and </w:t>
            </w:r>
            <w:r w:rsidR="00C728B7">
              <w:rPr>
                <w:i w:val="0"/>
                <w:iCs/>
              </w:rPr>
              <w:t>‘</w:t>
            </w:r>
            <w:r w:rsidRPr="00D808EB">
              <w:rPr>
                <w:i w:val="0"/>
                <w:iCs/>
              </w:rPr>
              <w:t>cushions</w:t>
            </w:r>
            <w:r w:rsidR="00C728B7">
              <w:rPr>
                <w:i w:val="0"/>
                <w:iCs/>
              </w:rPr>
              <w:t>’</w:t>
            </w:r>
            <w:r w:rsidRPr="00D808EB">
              <w:rPr>
                <w:i w:val="0"/>
                <w:iCs/>
              </w:rPr>
              <w:t xml:space="preserve"> within multiannual programmes.</w:t>
            </w:r>
          </w:p>
          <w:p w14:paraId="24C232A4" w14:textId="77777777" w:rsidR="008B2D19" w:rsidRPr="00D808EB" w:rsidRDefault="008B2D19" w:rsidP="00803DA5">
            <w:pPr>
              <w:pStyle w:val="AmColumnHeading"/>
              <w:jc w:val="left"/>
              <w:rPr>
                <w:i w:val="0"/>
                <w:iCs/>
              </w:rPr>
            </w:pPr>
            <w:r w:rsidRPr="00D808EB">
              <w:rPr>
                <w:i w:val="0"/>
                <w:iCs/>
              </w:rPr>
              <w:t xml:space="preserve">The Commission </w:t>
            </w:r>
            <w:r w:rsidRPr="00D808EB">
              <w:rPr>
                <w:b/>
                <w:bCs/>
              </w:rPr>
              <w:t>should consider ways of</w:t>
            </w:r>
            <w:r w:rsidRPr="00D808EB">
              <w:rPr>
                <w:i w:val="0"/>
                <w:iCs/>
              </w:rPr>
              <w:t xml:space="preserve"> </w:t>
            </w:r>
            <w:r w:rsidRPr="00D808EB">
              <w:rPr>
                <w:b/>
                <w:bCs/>
              </w:rPr>
              <w:t>cross-referencing</w:t>
            </w:r>
            <w:r w:rsidRPr="00D808EB">
              <w:rPr>
                <w:i w:val="0"/>
                <w:iCs/>
              </w:rPr>
              <w:t xml:space="preserve"> the financial programming with its legislative programming to provide more precise and reliable forecasts. For each legislative proposal, the Commission </w:t>
            </w:r>
            <w:r w:rsidRPr="00D808EB">
              <w:rPr>
                <w:b/>
                <w:bCs/>
              </w:rPr>
              <w:t>should</w:t>
            </w:r>
            <w:r w:rsidRPr="00D808EB">
              <w:rPr>
                <w:i w:val="0"/>
                <w:iCs/>
              </w:rPr>
              <w:t xml:space="preserve"> indicate whether it is included in the programming communicated at the time of the presentation of the draft budget or after the final adoption of the budget. The Commission </w:t>
            </w:r>
            <w:r w:rsidRPr="00D808EB">
              <w:rPr>
                <w:b/>
                <w:bCs/>
              </w:rPr>
              <w:t>should</w:t>
            </w:r>
            <w:r w:rsidRPr="00D808EB">
              <w:rPr>
                <w:i w:val="0"/>
                <w:iCs/>
              </w:rPr>
              <w:t xml:space="preserve"> inform the European Parliament and the Council in particular of:</w:t>
            </w:r>
          </w:p>
          <w:p w14:paraId="491D8EF3" w14:textId="77777777" w:rsidR="008B2D19" w:rsidRPr="00D808EB" w:rsidRDefault="008B2D19" w:rsidP="00803DA5">
            <w:pPr>
              <w:pStyle w:val="AmColumnHeading"/>
              <w:jc w:val="left"/>
              <w:rPr>
                <w:i w:val="0"/>
                <w:iCs/>
              </w:rPr>
            </w:pPr>
            <w:r w:rsidRPr="00D808EB">
              <w:rPr>
                <w:i w:val="0"/>
                <w:iCs/>
              </w:rPr>
              <w:t>(a) all new legislative acts adopted and all pending proposals presented but not included in programming communicated at the time of the draft budget or after the final adoption of the budget (with the corresponding amounts);</w:t>
            </w:r>
          </w:p>
          <w:p w14:paraId="0E01E429" w14:textId="0B4B61E5" w:rsidR="008B2D19" w:rsidRPr="00D808EB" w:rsidRDefault="008B2D19" w:rsidP="00803DA5">
            <w:pPr>
              <w:pStyle w:val="AmColumnHeading"/>
              <w:jc w:val="left"/>
              <w:rPr>
                <w:i w:val="0"/>
                <w:iCs/>
              </w:rPr>
            </w:pPr>
            <w:r w:rsidRPr="00D808EB">
              <w:rPr>
                <w:i w:val="0"/>
                <w:iCs/>
              </w:rPr>
              <w:t>(b) legislation foreseen in the Commission</w:t>
            </w:r>
            <w:r w:rsidR="00C728B7">
              <w:rPr>
                <w:i w:val="0"/>
                <w:iCs/>
              </w:rPr>
              <w:t>’</w:t>
            </w:r>
            <w:r w:rsidRPr="00D808EB">
              <w:rPr>
                <w:i w:val="0"/>
                <w:iCs/>
              </w:rPr>
              <w:t>s annual legislative work programme, with an indication of whether the actions are likely to have a financial impact.</w:t>
            </w:r>
          </w:p>
          <w:p w14:paraId="799AB13D" w14:textId="77777777" w:rsidR="008B2D19" w:rsidRPr="00D808EB" w:rsidRDefault="008B2D19" w:rsidP="00803DA5">
            <w:pPr>
              <w:pStyle w:val="AmColumnHeading"/>
              <w:jc w:val="left"/>
              <w:rPr>
                <w:i w:val="0"/>
                <w:iCs/>
              </w:rPr>
            </w:pPr>
            <w:r w:rsidRPr="00D808EB">
              <w:rPr>
                <w:i w:val="0"/>
                <w:iCs/>
              </w:rPr>
              <w:t xml:space="preserve">Whenever necessary, the Commission </w:t>
            </w:r>
            <w:r w:rsidRPr="00D808EB">
              <w:rPr>
                <w:b/>
                <w:bCs/>
              </w:rPr>
              <w:t>should</w:t>
            </w:r>
            <w:r w:rsidRPr="00D808EB">
              <w:rPr>
                <w:i w:val="0"/>
                <w:iCs/>
              </w:rPr>
              <w:t xml:space="preserve"> indicate the reprogramming entailed by new legislative proposals.</w:t>
            </w:r>
          </w:p>
          <w:p w14:paraId="3E8E61C7" w14:textId="77777777" w:rsidR="008B2D19" w:rsidRPr="00D808EB" w:rsidRDefault="008B2D19" w:rsidP="00803DA5">
            <w:pPr>
              <w:pStyle w:val="AmColumnHeading"/>
              <w:spacing w:after="120"/>
              <w:jc w:val="left"/>
            </w:pPr>
            <w:r w:rsidRPr="00D808EB">
              <w:rPr>
                <w:i w:val="0"/>
                <w:iCs/>
              </w:rPr>
              <w:t>The indicative financial programming shall be updated after the adoption of the budget to incorporate the results of the budgetary procedure and any other relevant decision.</w:t>
            </w:r>
          </w:p>
        </w:tc>
        <w:tc>
          <w:tcPr>
            <w:tcW w:w="4876" w:type="dxa"/>
          </w:tcPr>
          <w:p w14:paraId="7749E96E" w14:textId="77777777" w:rsidR="008B2D19" w:rsidRPr="00D808EB" w:rsidRDefault="008B2D19" w:rsidP="00803DA5">
            <w:pPr>
              <w:pStyle w:val="AmColumnHeading"/>
              <w:jc w:val="left"/>
              <w:rPr>
                <w:i w:val="0"/>
                <w:iCs/>
                <w:szCs w:val="24"/>
              </w:rPr>
            </w:pPr>
            <w:r w:rsidRPr="00D808EB">
              <w:rPr>
                <w:i w:val="0"/>
                <w:iCs/>
                <w:szCs w:val="24"/>
              </w:rPr>
              <w:t>11.</w:t>
            </w:r>
            <w:r w:rsidRPr="00D808EB">
              <w:rPr>
                <w:i w:val="0"/>
                <w:iCs/>
                <w:szCs w:val="24"/>
              </w:rPr>
              <w:tab/>
              <w:t xml:space="preserve">In order to provide precise and reliable forecasts of the budgetary implications of basic acts within the meaning of Article 2(4) of the Financial Regulation and of pending legislative proposals, the Commission shall attach to the draft budget a complete indicative financial programming for </w:t>
            </w:r>
            <w:r w:rsidRPr="00D808EB">
              <w:rPr>
                <w:b/>
                <w:bCs/>
                <w:szCs w:val="24"/>
              </w:rPr>
              <w:t>the EU Facility established in the [NRPP Regulation] and for all the programmes in</w:t>
            </w:r>
            <w:r w:rsidRPr="00D808EB">
              <w:rPr>
                <w:i w:val="0"/>
                <w:iCs/>
                <w:szCs w:val="24"/>
              </w:rPr>
              <w:t xml:space="preserve"> headings 2 and 3 of the MFF. That programming, structured by heading, policy area and budget line, </w:t>
            </w:r>
            <w:r w:rsidRPr="00D808EB">
              <w:rPr>
                <w:b/>
                <w:bCs/>
                <w:szCs w:val="24"/>
              </w:rPr>
              <w:t>shall</w:t>
            </w:r>
            <w:r w:rsidRPr="00D808EB">
              <w:rPr>
                <w:i w:val="0"/>
                <w:iCs/>
                <w:szCs w:val="24"/>
              </w:rPr>
              <w:t xml:space="preserve"> identify:</w:t>
            </w:r>
          </w:p>
          <w:p w14:paraId="698D0E81" w14:textId="77777777" w:rsidR="008B2D19" w:rsidRPr="00D808EB" w:rsidRDefault="008B2D19" w:rsidP="00803DA5">
            <w:pPr>
              <w:pStyle w:val="AmColumnHeading"/>
              <w:jc w:val="left"/>
              <w:rPr>
                <w:i w:val="0"/>
                <w:iCs/>
                <w:szCs w:val="24"/>
              </w:rPr>
            </w:pPr>
            <w:r w:rsidRPr="00D808EB">
              <w:rPr>
                <w:i w:val="0"/>
                <w:iCs/>
                <w:szCs w:val="24"/>
              </w:rPr>
              <w:t>(a) the basic acts, with a distinction being drawn between multiannual programmes, legal acts establishing or entrusting tasks to decentralised agencies, and annual actions:</w:t>
            </w:r>
          </w:p>
          <w:p w14:paraId="63725A48" w14:textId="77777777" w:rsidR="008B2D19" w:rsidRPr="00D808EB" w:rsidRDefault="008B2D19" w:rsidP="00803DA5">
            <w:pPr>
              <w:pStyle w:val="AmColumnHeading"/>
              <w:jc w:val="left"/>
              <w:rPr>
                <w:i w:val="0"/>
                <w:iCs/>
                <w:szCs w:val="24"/>
              </w:rPr>
            </w:pPr>
            <w:r w:rsidRPr="00D808EB">
              <w:rPr>
                <w:i w:val="0"/>
                <w:iCs/>
                <w:szCs w:val="24"/>
              </w:rPr>
              <w:t xml:space="preserve">(1) for multiannual programmes the Commission </w:t>
            </w:r>
            <w:r w:rsidRPr="00D808EB">
              <w:rPr>
                <w:b/>
                <w:bCs/>
                <w:szCs w:val="24"/>
              </w:rPr>
              <w:t>shall</w:t>
            </w:r>
            <w:r w:rsidRPr="00D808EB">
              <w:rPr>
                <w:szCs w:val="24"/>
              </w:rPr>
              <w:t xml:space="preserve"> </w:t>
            </w:r>
            <w:r w:rsidRPr="00D808EB">
              <w:rPr>
                <w:i w:val="0"/>
                <w:iCs/>
                <w:szCs w:val="24"/>
              </w:rPr>
              <w:t>indicate the procedure under which they were adopted, the duration of the programmes, the total indicative financial envelope and the share allocated to administrative expenditure;</w:t>
            </w:r>
          </w:p>
          <w:p w14:paraId="34FE59D1" w14:textId="77777777" w:rsidR="008B2D19" w:rsidRPr="00D808EB" w:rsidRDefault="008B2D19" w:rsidP="00803DA5">
            <w:pPr>
              <w:pStyle w:val="AmColumnHeading"/>
              <w:jc w:val="left"/>
              <w:rPr>
                <w:i w:val="0"/>
                <w:iCs/>
                <w:szCs w:val="24"/>
              </w:rPr>
            </w:pPr>
            <w:r w:rsidRPr="00D808EB">
              <w:rPr>
                <w:i w:val="0"/>
                <w:iCs/>
                <w:szCs w:val="24"/>
              </w:rPr>
              <w:t>(2) for legal acts establishing or entrusting new tasks to decentralised agencies, the Commission</w:t>
            </w:r>
            <w:r w:rsidRPr="00D808EB">
              <w:rPr>
                <w:szCs w:val="24"/>
              </w:rPr>
              <w:t xml:space="preserve"> </w:t>
            </w:r>
            <w:r w:rsidRPr="00D808EB">
              <w:rPr>
                <w:b/>
                <w:bCs/>
                <w:szCs w:val="24"/>
              </w:rPr>
              <w:t>shall</w:t>
            </w:r>
            <w:r w:rsidRPr="00D808EB">
              <w:rPr>
                <w:i w:val="0"/>
                <w:iCs/>
                <w:szCs w:val="24"/>
              </w:rPr>
              <w:t xml:space="preserve"> indicate the legal basis under which they were adopted and provide multiannual estimates;</w:t>
            </w:r>
          </w:p>
          <w:p w14:paraId="1CC882B7" w14:textId="77777777" w:rsidR="008B2D19" w:rsidRPr="00D808EB" w:rsidRDefault="008B2D19" w:rsidP="00803DA5">
            <w:pPr>
              <w:pStyle w:val="AmColumnHeading"/>
              <w:jc w:val="left"/>
              <w:rPr>
                <w:i w:val="0"/>
                <w:iCs/>
                <w:szCs w:val="24"/>
              </w:rPr>
            </w:pPr>
            <w:r w:rsidRPr="00D808EB">
              <w:rPr>
                <w:i w:val="0"/>
                <w:iCs/>
                <w:szCs w:val="24"/>
              </w:rPr>
              <w:t xml:space="preserve">(3) for annual actions (relating to pilot projects, preparatory actions) and actions financed under the prerogatives of the Commission, the Commission </w:t>
            </w:r>
            <w:r w:rsidRPr="00D808EB">
              <w:rPr>
                <w:b/>
                <w:bCs/>
                <w:szCs w:val="24"/>
              </w:rPr>
              <w:t>shall</w:t>
            </w:r>
            <w:r w:rsidRPr="00D808EB">
              <w:rPr>
                <w:szCs w:val="24"/>
              </w:rPr>
              <w:t xml:space="preserve"> </w:t>
            </w:r>
            <w:r w:rsidRPr="00D808EB">
              <w:rPr>
                <w:i w:val="0"/>
                <w:iCs/>
                <w:szCs w:val="24"/>
              </w:rPr>
              <w:t>provide multiannual estimates;</w:t>
            </w:r>
          </w:p>
          <w:p w14:paraId="534B6D83" w14:textId="77777777" w:rsidR="008B2D19" w:rsidRPr="00D808EB" w:rsidRDefault="008B2D19" w:rsidP="00803DA5">
            <w:pPr>
              <w:pStyle w:val="AmColumnHeading"/>
              <w:jc w:val="left"/>
              <w:rPr>
                <w:i w:val="0"/>
                <w:iCs/>
                <w:szCs w:val="24"/>
              </w:rPr>
            </w:pPr>
            <w:r w:rsidRPr="00D808EB">
              <w:rPr>
                <w:i w:val="0"/>
                <w:iCs/>
                <w:szCs w:val="24"/>
              </w:rPr>
              <w:t>(b) pending legislative proposals from the Commission with the latest update on their potential budgetary impact including, when necessary, the related need for reprogramming in case of adoption.</w:t>
            </w:r>
          </w:p>
          <w:p w14:paraId="0FB51BED" w14:textId="0FA17364" w:rsidR="008B2D19" w:rsidRPr="00D808EB" w:rsidRDefault="008B2D19" w:rsidP="00803DA5">
            <w:pPr>
              <w:pStyle w:val="AmColumnHeading"/>
              <w:jc w:val="left"/>
              <w:rPr>
                <w:i w:val="0"/>
                <w:iCs/>
                <w:szCs w:val="24"/>
              </w:rPr>
            </w:pPr>
            <w:r w:rsidRPr="00D808EB">
              <w:rPr>
                <w:b/>
                <w:bCs/>
                <w:szCs w:val="24"/>
              </w:rPr>
              <w:t>The Commission shall also attach to the draft budget an indicative financial programming by main objectives of the funds under shared management under heading 1.</w:t>
            </w:r>
            <w:r w:rsidRPr="00D808EB">
              <w:rPr>
                <w:b/>
                <w:bCs/>
                <w:i w:val="0"/>
                <w:iCs/>
                <w:szCs w:val="24"/>
              </w:rPr>
              <w:t xml:space="preserve"> </w:t>
            </w:r>
            <w:r w:rsidRPr="00D808EB">
              <w:rPr>
                <w:i w:val="0"/>
                <w:iCs/>
                <w:szCs w:val="24"/>
              </w:rPr>
              <w:t xml:space="preserve">The indicative financial programming shall show transparently unallocated reserves and </w:t>
            </w:r>
            <w:r w:rsidR="00C728B7">
              <w:rPr>
                <w:i w:val="0"/>
                <w:iCs/>
                <w:szCs w:val="24"/>
              </w:rPr>
              <w:t>‘</w:t>
            </w:r>
            <w:r w:rsidRPr="00D808EB">
              <w:rPr>
                <w:i w:val="0"/>
                <w:iCs/>
                <w:szCs w:val="24"/>
              </w:rPr>
              <w:t>cushions</w:t>
            </w:r>
            <w:r w:rsidR="00C728B7">
              <w:rPr>
                <w:i w:val="0"/>
                <w:iCs/>
                <w:szCs w:val="24"/>
              </w:rPr>
              <w:t>’</w:t>
            </w:r>
            <w:r w:rsidRPr="00D808EB">
              <w:rPr>
                <w:i w:val="0"/>
                <w:iCs/>
                <w:szCs w:val="24"/>
              </w:rPr>
              <w:t xml:space="preserve"> within multiannual programmes.</w:t>
            </w:r>
          </w:p>
          <w:p w14:paraId="31FD04B4" w14:textId="77777777" w:rsidR="008B2D19" w:rsidRPr="00D808EB" w:rsidRDefault="008B2D19" w:rsidP="00803DA5">
            <w:pPr>
              <w:pStyle w:val="AmColumnHeading"/>
              <w:jc w:val="left"/>
              <w:rPr>
                <w:i w:val="0"/>
                <w:iCs/>
                <w:szCs w:val="24"/>
              </w:rPr>
            </w:pPr>
            <w:r w:rsidRPr="00D808EB">
              <w:rPr>
                <w:i w:val="0"/>
                <w:iCs/>
                <w:szCs w:val="24"/>
              </w:rPr>
              <w:t xml:space="preserve">The Commission </w:t>
            </w:r>
            <w:r w:rsidRPr="00D808EB">
              <w:rPr>
                <w:b/>
                <w:bCs/>
                <w:szCs w:val="24"/>
              </w:rPr>
              <w:t>shall cross-reference</w:t>
            </w:r>
            <w:r w:rsidRPr="00D808EB">
              <w:rPr>
                <w:i w:val="0"/>
                <w:iCs/>
                <w:szCs w:val="24"/>
              </w:rPr>
              <w:t xml:space="preserve"> the financial programming with its legislative programming to provide more precise and reliable forecasts. For each legislative proposal, the Commission </w:t>
            </w:r>
            <w:r w:rsidRPr="00D808EB">
              <w:rPr>
                <w:b/>
                <w:bCs/>
                <w:szCs w:val="24"/>
              </w:rPr>
              <w:t>shall</w:t>
            </w:r>
            <w:r w:rsidRPr="00D808EB">
              <w:rPr>
                <w:i w:val="0"/>
                <w:iCs/>
                <w:szCs w:val="24"/>
              </w:rPr>
              <w:t xml:space="preserve"> indicate whether it is included in the programming communicated at the time of the presentation of the draft budget or after the final adoption of the budget. The Commission </w:t>
            </w:r>
            <w:r w:rsidRPr="00D808EB">
              <w:rPr>
                <w:b/>
                <w:bCs/>
                <w:szCs w:val="24"/>
              </w:rPr>
              <w:t>shall</w:t>
            </w:r>
            <w:r w:rsidRPr="00D808EB">
              <w:rPr>
                <w:i w:val="0"/>
                <w:iCs/>
                <w:szCs w:val="24"/>
              </w:rPr>
              <w:t xml:space="preserve"> inform the European Parliament and the Council in particular of:</w:t>
            </w:r>
          </w:p>
          <w:p w14:paraId="52AA2A4E" w14:textId="77777777" w:rsidR="008B2D19" w:rsidRPr="00D808EB" w:rsidRDefault="008B2D19" w:rsidP="00803DA5">
            <w:pPr>
              <w:pStyle w:val="AmColumnHeading"/>
              <w:spacing w:after="0"/>
              <w:jc w:val="left"/>
              <w:rPr>
                <w:i w:val="0"/>
                <w:iCs/>
                <w:szCs w:val="24"/>
              </w:rPr>
            </w:pPr>
          </w:p>
          <w:p w14:paraId="6525E606" w14:textId="77777777" w:rsidR="008B2D19" w:rsidRPr="00D808EB" w:rsidRDefault="008B2D19" w:rsidP="00803DA5">
            <w:pPr>
              <w:pStyle w:val="AmColumnHeading"/>
              <w:jc w:val="left"/>
              <w:rPr>
                <w:i w:val="0"/>
                <w:iCs/>
                <w:szCs w:val="24"/>
              </w:rPr>
            </w:pPr>
            <w:r w:rsidRPr="00D808EB">
              <w:rPr>
                <w:i w:val="0"/>
                <w:iCs/>
                <w:szCs w:val="24"/>
              </w:rPr>
              <w:t>(a) all new legislative acts adopted and all pending proposals presented but not included in programming communicated at the time of the draft budget or after the final adoption of the budget (with the corresponding amounts);</w:t>
            </w:r>
          </w:p>
          <w:p w14:paraId="79F65F66" w14:textId="54D30F06" w:rsidR="008B2D19" w:rsidRPr="00D808EB" w:rsidRDefault="008B2D19" w:rsidP="00803DA5">
            <w:pPr>
              <w:pStyle w:val="AmColumnHeading"/>
              <w:spacing w:before="120"/>
              <w:jc w:val="left"/>
              <w:rPr>
                <w:i w:val="0"/>
                <w:iCs/>
                <w:szCs w:val="24"/>
              </w:rPr>
            </w:pPr>
            <w:r w:rsidRPr="00D808EB">
              <w:rPr>
                <w:i w:val="0"/>
                <w:iCs/>
                <w:szCs w:val="24"/>
              </w:rPr>
              <w:t>(b) legislation foreseen in the Commission</w:t>
            </w:r>
            <w:r w:rsidR="00C728B7">
              <w:rPr>
                <w:i w:val="0"/>
                <w:iCs/>
                <w:szCs w:val="24"/>
              </w:rPr>
              <w:t>’</w:t>
            </w:r>
            <w:r w:rsidRPr="00D808EB">
              <w:rPr>
                <w:i w:val="0"/>
                <w:iCs/>
                <w:szCs w:val="24"/>
              </w:rPr>
              <w:t>s annual legislative work programme, with an indication of whether the actions are likely to have a financial impact.</w:t>
            </w:r>
          </w:p>
          <w:p w14:paraId="7BB6C97B" w14:textId="77777777" w:rsidR="008B2D19" w:rsidRPr="00D808EB" w:rsidRDefault="008B2D19" w:rsidP="00803DA5">
            <w:pPr>
              <w:pStyle w:val="AmColumnHeading"/>
              <w:jc w:val="left"/>
              <w:rPr>
                <w:i w:val="0"/>
                <w:iCs/>
                <w:szCs w:val="24"/>
              </w:rPr>
            </w:pPr>
            <w:r w:rsidRPr="00D808EB">
              <w:rPr>
                <w:i w:val="0"/>
                <w:iCs/>
                <w:szCs w:val="24"/>
              </w:rPr>
              <w:t xml:space="preserve">Whenever necessary, the Commission </w:t>
            </w:r>
            <w:r w:rsidRPr="00D808EB">
              <w:rPr>
                <w:b/>
                <w:bCs/>
                <w:szCs w:val="24"/>
              </w:rPr>
              <w:t>shall</w:t>
            </w:r>
            <w:r w:rsidRPr="00D808EB">
              <w:rPr>
                <w:szCs w:val="24"/>
              </w:rPr>
              <w:t xml:space="preserve"> </w:t>
            </w:r>
            <w:r w:rsidRPr="00D808EB">
              <w:rPr>
                <w:i w:val="0"/>
                <w:iCs/>
                <w:szCs w:val="24"/>
              </w:rPr>
              <w:t>indicate the reprogramming entailed by new legislative proposals.</w:t>
            </w:r>
          </w:p>
          <w:p w14:paraId="2E5C7696" w14:textId="77777777" w:rsidR="008B2D19" w:rsidRPr="00D808EB" w:rsidRDefault="008B2D19" w:rsidP="00803DA5">
            <w:pPr>
              <w:pStyle w:val="AmColumnHeading"/>
              <w:jc w:val="left"/>
              <w:rPr>
                <w:i w:val="0"/>
                <w:iCs/>
                <w:szCs w:val="24"/>
              </w:rPr>
            </w:pPr>
            <w:r w:rsidRPr="00D808EB">
              <w:rPr>
                <w:i w:val="0"/>
                <w:iCs/>
                <w:szCs w:val="24"/>
              </w:rPr>
              <w:t>The indicative financial programming shall be updated after the adoption of the budget to incorporate the results of the budgetary procedure and any other relevant decision.</w:t>
            </w:r>
            <w:r w:rsidRPr="00D808EB">
              <w:rPr>
                <w:i w:val="0"/>
                <w:iCs/>
                <w:szCs w:val="24"/>
                <w:u w:val="single"/>
              </w:rPr>
              <w:t xml:space="preserve"> </w:t>
            </w:r>
            <w:r w:rsidRPr="00D808EB">
              <w:rPr>
                <w:b/>
                <w:bCs/>
                <w:szCs w:val="24"/>
              </w:rPr>
              <w:t>It shall provide a detailed overview for the entire programming period, a detailed explanation of the changes made in comparison with the financial programming of the previous year and any departure from the prime reference amount referred to in point 10.</w:t>
            </w:r>
            <w:r w:rsidRPr="00D808EB">
              <w:rPr>
                <w:i w:val="0"/>
                <w:iCs/>
                <w:szCs w:val="24"/>
              </w:rPr>
              <w:t xml:space="preserve"> </w:t>
            </w:r>
          </w:p>
        </w:tc>
      </w:tr>
    </w:tbl>
    <w:p w14:paraId="6540E509"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059F883A" w14:textId="77777777" w:rsidR="008B2D19" w:rsidRPr="00D808EB" w:rsidRDefault="008B2D19" w:rsidP="008B2D19">
      <w:pPr>
        <w:rPr>
          <w:rStyle w:val="HideTWBExt"/>
          <w:rFonts w:ascii="Times New Roman" w:hAnsi="Times New Roman"/>
          <w:noProof w:val="0"/>
          <w:vanish w:val="0"/>
          <w:color w:val="auto"/>
          <w:sz w:val="24"/>
        </w:rPr>
      </w:pPr>
      <w:r w:rsidRPr="00D808EB">
        <w:rPr>
          <w:rStyle w:val="HideTWBExt"/>
          <w:noProof w:val="0"/>
        </w:rPr>
        <w:t>&lt;/Amend&gt;</w:t>
      </w:r>
    </w:p>
    <w:p w14:paraId="5439D982"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25</w:t>
      </w:r>
      <w:r w:rsidRPr="00D808EB">
        <w:rPr>
          <w:rStyle w:val="HideTWBExt"/>
          <w:b w:val="0"/>
          <w:noProof w:val="0"/>
        </w:rPr>
        <w:t>&lt;/NumAm&gt;</w:t>
      </w:r>
    </w:p>
    <w:p w14:paraId="4A5A3228"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014311E2"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2</w:t>
      </w:r>
      <w:r w:rsidRPr="00D808EB">
        <w:rPr>
          <w:rStyle w:val="HideTWBExt"/>
          <w:b w:val="0"/>
          <w:noProof w:val="0"/>
        </w:rPr>
        <w:t>&lt;/Article&gt;</w:t>
      </w:r>
    </w:p>
    <w:p w14:paraId="0511CD6B"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Section A – point 11 a (new)</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495864ED" w14:textId="77777777" w:rsidTr="00803DA5">
        <w:trPr>
          <w:jc w:val="center"/>
        </w:trPr>
        <w:tc>
          <w:tcPr>
            <w:tcW w:w="9752" w:type="dxa"/>
            <w:gridSpan w:val="2"/>
          </w:tcPr>
          <w:p w14:paraId="17022BD6" w14:textId="77777777" w:rsidR="008B2D19" w:rsidRPr="00D808EB" w:rsidRDefault="008B2D19" w:rsidP="00803DA5">
            <w:pPr>
              <w:keepNext/>
            </w:pPr>
          </w:p>
        </w:tc>
      </w:tr>
      <w:tr w:rsidR="008B2D19" w:rsidRPr="00D808EB" w14:paraId="0B604432" w14:textId="77777777" w:rsidTr="00803DA5">
        <w:trPr>
          <w:jc w:val="center"/>
        </w:trPr>
        <w:tc>
          <w:tcPr>
            <w:tcW w:w="4876" w:type="dxa"/>
          </w:tcPr>
          <w:p w14:paraId="5F24AACC" w14:textId="77777777" w:rsidR="008B2D19" w:rsidRPr="00D808EB" w:rsidRDefault="008B2D19" w:rsidP="00803DA5">
            <w:pPr>
              <w:pStyle w:val="AmColumnHeading"/>
              <w:keepNext/>
            </w:pPr>
            <w:r w:rsidRPr="00D808EB">
              <w:t>Text proposed by the Commission</w:t>
            </w:r>
          </w:p>
        </w:tc>
        <w:tc>
          <w:tcPr>
            <w:tcW w:w="4876" w:type="dxa"/>
          </w:tcPr>
          <w:p w14:paraId="1CB94A33" w14:textId="77777777" w:rsidR="008B2D19" w:rsidRPr="00D808EB" w:rsidRDefault="008B2D19" w:rsidP="00803DA5">
            <w:pPr>
              <w:pStyle w:val="AmColumnHeading"/>
              <w:keepNext/>
            </w:pPr>
            <w:r w:rsidRPr="00D808EB">
              <w:t>Modification</w:t>
            </w:r>
          </w:p>
        </w:tc>
      </w:tr>
      <w:tr w:rsidR="008B2D19" w:rsidRPr="00D808EB" w14:paraId="57BCC132" w14:textId="77777777" w:rsidTr="00803DA5">
        <w:trPr>
          <w:jc w:val="center"/>
        </w:trPr>
        <w:tc>
          <w:tcPr>
            <w:tcW w:w="4876" w:type="dxa"/>
          </w:tcPr>
          <w:p w14:paraId="0724F873" w14:textId="77777777" w:rsidR="008B2D19" w:rsidRPr="00D808EB" w:rsidRDefault="008B2D19" w:rsidP="00803DA5">
            <w:pPr>
              <w:pStyle w:val="AmColumnHeading"/>
              <w:jc w:val="left"/>
              <w:rPr>
                <w:b/>
                <w:bCs/>
                <w:iCs/>
              </w:rPr>
            </w:pPr>
          </w:p>
        </w:tc>
        <w:tc>
          <w:tcPr>
            <w:tcW w:w="4876" w:type="dxa"/>
          </w:tcPr>
          <w:p w14:paraId="305C15CA" w14:textId="77777777" w:rsidR="008B2D19" w:rsidRPr="00D808EB" w:rsidRDefault="008B2D19" w:rsidP="00803DA5">
            <w:pPr>
              <w:pStyle w:val="AmColumnHeading"/>
              <w:keepNext/>
              <w:jc w:val="left"/>
              <w:rPr>
                <w:b/>
                <w:bCs/>
                <w:iCs/>
              </w:rPr>
            </w:pPr>
            <w:r w:rsidRPr="00D808EB">
              <w:rPr>
                <w:b/>
                <w:bCs/>
                <w:iCs/>
              </w:rPr>
              <w:t xml:space="preserve">11a. </w:t>
            </w:r>
            <w:r w:rsidRPr="00D808EB">
              <w:rPr>
                <w:b/>
                <w:bCs/>
                <w:iCs/>
              </w:rPr>
              <w:tab/>
              <w:t>Where the European Parliament and the Council agree on a reinforcement in the framework of the budgetary procedure, the Commission shall not offset it in the subsequent years of the financial programming, without the agreement of the European Parliament and the Council.</w:t>
            </w:r>
          </w:p>
        </w:tc>
      </w:tr>
    </w:tbl>
    <w:p w14:paraId="7F4C7AB2"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340BEF35" w14:textId="77777777" w:rsidR="008B2D19" w:rsidRPr="00D808EB" w:rsidRDefault="008B2D19" w:rsidP="008B2D19">
      <w:pPr>
        <w:rPr>
          <w:rStyle w:val="HideTWBExt"/>
          <w:rFonts w:ascii="Times New Roman" w:hAnsi="Times New Roman"/>
          <w:noProof w:val="0"/>
          <w:vanish w:val="0"/>
          <w:color w:val="auto"/>
          <w:sz w:val="24"/>
        </w:rPr>
      </w:pPr>
      <w:r w:rsidRPr="00D808EB">
        <w:rPr>
          <w:rStyle w:val="HideTWBExt"/>
          <w:noProof w:val="0"/>
        </w:rPr>
        <w:t>&lt;/Amend&gt;</w:t>
      </w:r>
    </w:p>
    <w:p w14:paraId="48E49780"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26</w:t>
      </w:r>
      <w:r w:rsidRPr="00D808EB">
        <w:rPr>
          <w:rStyle w:val="HideTWBExt"/>
          <w:b w:val="0"/>
          <w:noProof w:val="0"/>
        </w:rPr>
        <w:t>&lt;/NumAm&gt;</w:t>
      </w:r>
    </w:p>
    <w:p w14:paraId="0494DBC6"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5DBFFF56"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2</w:t>
      </w:r>
      <w:r w:rsidRPr="00D808EB">
        <w:rPr>
          <w:rStyle w:val="HideTWBExt"/>
          <w:b w:val="0"/>
          <w:noProof w:val="0"/>
        </w:rPr>
        <w:t>&lt;/Article&gt;</w:t>
      </w:r>
    </w:p>
    <w:p w14:paraId="29B3803A"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Section B – title </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6644F174" w14:textId="77777777" w:rsidTr="00803DA5">
        <w:trPr>
          <w:jc w:val="center"/>
        </w:trPr>
        <w:tc>
          <w:tcPr>
            <w:tcW w:w="9752" w:type="dxa"/>
            <w:gridSpan w:val="2"/>
          </w:tcPr>
          <w:p w14:paraId="664AFFD1" w14:textId="77777777" w:rsidR="008B2D19" w:rsidRPr="00D808EB" w:rsidRDefault="008B2D19" w:rsidP="00803DA5">
            <w:pPr>
              <w:keepNext/>
            </w:pPr>
          </w:p>
        </w:tc>
      </w:tr>
      <w:tr w:rsidR="008B2D19" w:rsidRPr="00D808EB" w14:paraId="299F7350" w14:textId="77777777" w:rsidTr="00803DA5">
        <w:trPr>
          <w:jc w:val="center"/>
        </w:trPr>
        <w:tc>
          <w:tcPr>
            <w:tcW w:w="4876" w:type="dxa"/>
          </w:tcPr>
          <w:p w14:paraId="7DEFEAFE" w14:textId="77777777" w:rsidR="008B2D19" w:rsidRPr="00D808EB" w:rsidRDefault="008B2D19" w:rsidP="00803DA5">
            <w:pPr>
              <w:pStyle w:val="AmColumnHeading"/>
              <w:keepNext/>
            </w:pPr>
            <w:r w:rsidRPr="00D808EB">
              <w:t>Text proposed by the Commission</w:t>
            </w:r>
          </w:p>
        </w:tc>
        <w:tc>
          <w:tcPr>
            <w:tcW w:w="4876" w:type="dxa"/>
          </w:tcPr>
          <w:p w14:paraId="78171C23" w14:textId="77777777" w:rsidR="008B2D19" w:rsidRPr="00D808EB" w:rsidRDefault="008B2D19" w:rsidP="00803DA5">
            <w:pPr>
              <w:pStyle w:val="AmColumnHeading"/>
              <w:keepNext/>
            </w:pPr>
            <w:r w:rsidRPr="00D808EB">
              <w:t>Modification</w:t>
            </w:r>
          </w:p>
        </w:tc>
      </w:tr>
      <w:tr w:rsidR="008B2D19" w:rsidRPr="00D808EB" w14:paraId="352C6ACB" w14:textId="77777777" w:rsidTr="00803DA5">
        <w:trPr>
          <w:jc w:val="center"/>
        </w:trPr>
        <w:tc>
          <w:tcPr>
            <w:tcW w:w="4876" w:type="dxa"/>
          </w:tcPr>
          <w:p w14:paraId="65177CA2" w14:textId="77777777" w:rsidR="008B2D19" w:rsidRPr="00D808EB" w:rsidRDefault="008B2D19" w:rsidP="00803DA5">
            <w:pPr>
              <w:pStyle w:val="AmColumnHeading"/>
              <w:jc w:val="left"/>
              <w:rPr>
                <w:b/>
                <w:bCs/>
                <w:iCs/>
              </w:rPr>
            </w:pPr>
            <w:r w:rsidRPr="00D808EB">
              <w:rPr>
                <w:b/>
                <w:bCs/>
                <w:iCs/>
              </w:rPr>
              <w:t>B. DECENTRALISED AGENCIES AND EUROPEAN SCHOOLS</w:t>
            </w:r>
          </w:p>
        </w:tc>
        <w:tc>
          <w:tcPr>
            <w:tcW w:w="4876" w:type="dxa"/>
          </w:tcPr>
          <w:p w14:paraId="51153203" w14:textId="77777777" w:rsidR="008B2D19" w:rsidRPr="00D808EB" w:rsidRDefault="008B2D19" w:rsidP="00803DA5">
            <w:pPr>
              <w:pStyle w:val="AmColumnHeading"/>
              <w:jc w:val="left"/>
              <w:rPr>
                <w:b/>
                <w:bCs/>
                <w:iCs/>
                <w:szCs w:val="24"/>
              </w:rPr>
            </w:pPr>
            <w:r w:rsidRPr="00D808EB">
              <w:rPr>
                <w:b/>
                <w:bCs/>
                <w:iCs/>
                <w:szCs w:val="24"/>
              </w:rPr>
              <w:t xml:space="preserve">B. FINANCIAL STATEMENT </w:t>
            </w:r>
          </w:p>
        </w:tc>
      </w:tr>
    </w:tbl>
    <w:p w14:paraId="0409AF16"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028EA175" w14:textId="77777777" w:rsidR="008B2D19" w:rsidRPr="00D808EB" w:rsidRDefault="008B2D19" w:rsidP="008B2D19">
      <w:r w:rsidRPr="00D808EB">
        <w:rPr>
          <w:rStyle w:val="HideTWBExt"/>
          <w:noProof w:val="0"/>
        </w:rPr>
        <w:t>&lt;/Amend&gt;</w:t>
      </w:r>
    </w:p>
    <w:p w14:paraId="34D4BD67"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27</w:t>
      </w:r>
      <w:r w:rsidRPr="00D808EB">
        <w:rPr>
          <w:rStyle w:val="HideTWBExt"/>
          <w:b w:val="0"/>
          <w:noProof w:val="0"/>
        </w:rPr>
        <w:t>&lt;/NumAm&gt;</w:t>
      </w:r>
    </w:p>
    <w:p w14:paraId="6072DF3A"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31EA9780" w14:textId="77777777" w:rsidR="008B2D19" w:rsidRPr="00D808EB" w:rsidRDefault="008B2D19" w:rsidP="008B2D19">
      <w:pPr>
        <w:pStyle w:val="NormalBold12b"/>
        <w:keepNext/>
        <w:spacing w:before="0"/>
        <w:rPr>
          <w:lang w:val="fr-BE"/>
        </w:rPr>
      </w:pPr>
      <w:r w:rsidRPr="00D808EB">
        <w:rPr>
          <w:rStyle w:val="HideTWBExt"/>
          <w:b w:val="0"/>
          <w:noProof w:val="0"/>
          <w:lang w:val="fr-BE"/>
        </w:rPr>
        <w:t>&lt;Article&gt;</w:t>
      </w:r>
      <w:r w:rsidRPr="00D808EB">
        <w:rPr>
          <w:lang w:val="fr-BE"/>
        </w:rPr>
        <w:t xml:space="preserve"> Part 2</w:t>
      </w:r>
      <w:r w:rsidRPr="00D808EB">
        <w:rPr>
          <w:rStyle w:val="HideTWBExt"/>
          <w:b w:val="0"/>
          <w:noProof w:val="0"/>
          <w:lang w:val="fr-BE"/>
        </w:rPr>
        <w:t>&lt;/Article&gt;</w:t>
      </w:r>
    </w:p>
    <w:p w14:paraId="0FC2E4C4" w14:textId="77777777" w:rsidR="008B2D19" w:rsidRPr="00D808EB" w:rsidRDefault="008B2D19" w:rsidP="008B2D19">
      <w:pPr>
        <w:pStyle w:val="NormalBold12b"/>
        <w:keepNext/>
        <w:spacing w:before="0"/>
        <w:rPr>
          <w:lang w:val="fr-BE"/>
        </w:rPr>
      </w:pPr>
      <w:r w:rsidRPr="00D808EB">
        <w:rPr>
          <w:rStyle w:val="HideTWBExt"/>
          <w:b w:val="0"/>
          <w:noProof w:val="0"/>
          <w:lang w:val="fr-BE"/>
        </w:rPr>
        <w:t>&lt;Article2&gt;</w:t>
      </w:r>
      <w:r w:rsidRPr="00D808EB">
        <w:rPr>
          <w:lang w:val="fr-BE"/>
        </w:rPr>
        <w:t xml:space="preserve"> </w:t>
      </w:r>
      <w:r w:rsidRPr="00D808EB">
        <w:rPr>
          <w:b w:val="0"/>
          <w:bCs/>
          <w:lang w:val="fr-BE"/>
        </w:rPr>
        <w:t>Section B – point 12 – subparagraphs 1 to 3</w:t>
      </w:r>
      <w:r w:rsidRPr="00D808EB">
        <w:rPr>
          <w:rStyle w:val="HideTWBExt"/>
          <w:b w:val="0"/>
          <w:noProof w:val="0"/>
          <w:lang w:val="fr-BE"/>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17D3231C" w14:textId="77777777" w:rsidTr="00803DA5">
        <w:trPr>
          <w:jc w:val="center"/>
        </w:trPr>
        <w:tc>
          <w:tcPr>
            <w:tcW w:w="9752" w:type="dxa"/>
            <w:gridSpan w:val="2"/>
          </w:tcPr>
          <w:p w14:paraId="42CEEFD2" w14:textId="77777777" w:rsidR="008B2D19" w:rsidRPr="00D808EB" w:rsidRDefault="008B2D19" w:rsidP="00803DA5">
            <w:pPr>
              <w:keepNext/>
              <w:rPr>
                <w:lang w:val="fr-BE"/>
              </w:rPr>
            </w:pPr>
          </w:p>
        </w:tc>
      </w:tr>
      <w:tr w:rsidR="008B2D19" w:rsidRPr="00D808EB" w14:paraId="0F7547C6" w14:textId="77777777" w:rsidTr="00803DA5">
        <w:trPr>
          <w:jc w:val="center"/>
        </w:trPr>
        <w:tc>
          <w:tcPr>
            <w:tcW w:w="4876" w:type="dxa"/>
          </w:tcPr>
          <w:p w14:paraId="19F69828" w14:textId="77777777" w:rsidR="008B2D19" w:rsidRPr="00D808EB" w:rsidRDefault="008B2D19" w:rsidP="00803DA5">
            <w:pPr>
              <w:pStyle w:val="AmColumnHeading"/>
              <w:keepNext/>
            </w:pPr>
            <w:r w:rsidRPr="00D808EB">
              <w:t>Text proposed by the Commission</w:t>
            </w:r>
          </w:p>
        </w:tc>
        <w:tc>
          <w:tcPr>
            <w:tcW w:w="4876" w:type="dxa"/>
          </w:tcPr>
          <w:p w14:paraId="2437E5BD" w14:textId="77777777" w:rsidR="008B2D19" w:rsidRPr="00D808EB" w:rsidRDefault="008B2D19" w:rsidP="00803DA5">
            <w:pPr>
              <w:pStyle w:val="AmColumnHeading"/>
              <w:keepNext/>
            </w:pPr>
            <w:r w:rsidRPr="00D808EB">
              <w:t>Modification</w:t>
            </w:r>
          </w:p>
        </w:tc>
      </w:tr>
      <w:tr w:rsidR="008B2D19" w:rsidRPr="00D808EB" w14:paraId="1B8BC189" w14:textId="77777777" w:rsidTr="00803DA5">
        <w:trPr>
          <w:jc w:val="center"/>
        </w:trPr>
        <w:tc>
          <w:tcPr>
            <w:tcW w:w="4876" w:type="dxa"/>
          </w:tcPr>
          <w:p w14:paraId="214F2EAE" w14:textId="77777777" w:rsidR="008B2D19" w:rsidRPr="00D808EB" w:rsidRDefault="008B2D19" w:rsidP="00803DA5">
            <w:pPr>
              <w:pStyle w:val="AmColumnHeading"/>
              <w:spacing w:after="600"/>
              <w:jc w:val="left"/>
              <w:rPr>
                <w:i w:val="0"/>
                <w:iCs/>
              </w:rPr>
            </w:pPr>
            <w:r w:rsidRPr="00D808EB">
              <w:rPr>
                <w:i w:val="0"/>
                <w:iCs/>
              </w:rPr>
              <w:t>12.</w:t>
            </w:r>
            <w:r w:rsidRPr="00D808EB">
              <w:rPr>
                <w:i w:val="0"/>
                <w:iCs/>
              </w:rPr>
              <w:tab/>
              <w:t>Before presenting a proposal for the creation of a new decentralised agency, and after having considered the assignment of the envisaged tasks to an existing institution, agency or body, the Commission</w:t>
            </w:r>
            <w:r w:rsidRPr="00D808EB">
              <w:rPr>
                <w:b/>
                <w:bCs/>
              </w:rPr>
              <w:t xml:space="preserve"> should</w:t>
            </w:r>
            <w:r w:rsidRPr="00D808EB">
              <w:rPr>
                <w:i w:val="0"/>
                <w:iCs/>
              </w:rPr>
              <w:t xml:space="preserve"> produce a sound, complete and objective impact assessment, taking into account, inter alia, the critical mass of staff and competencies needed, cost-benefit aspects, coherence, subsidiarity and proportionality, the impact on Union activities, and the budgetary implications for the expenditure heading concerned. On the basis of that information and without prejudice to the legislative procedures </w:t>
            </w:r>
            <w:r w:rsidRPr="00D808EB">
              <w:rPr>
                <w:b/>
                <w:bCs/>
              </w:rPr>
              <w:t>governing the setting up of the decentralised agency</w:t>
            </w:r>
            <w:r w:rsidRPr="00D808EB">
              <w:rPr>
                <w:i w:val="0"/>
                <w:iCs/>
              </w:rPr>
              <w:t xml:space="preserve">, the European Parliament and the Council commit themselves, in the framework of budgetary cooperation, to arrive at a timely agreement </w:t>
            </w:r>
            <w:r w:rsidRPr="00D808EB">
              <w:rPr>
                <w:b/>
                <w:bCs/>
              </w:rPr>
              <w:t>on the financing of the proposed decentralised agency</w:t>
            </w:r>
            <w:r w:rsidRPr="00D808EB">
              <w:rPr>
                <w:i w:val="0"/>
                <w:iCs/>
              </w:rPr>
              <w:t>.</w:t>
            </w:r>
          </w:p>
          <w:p w14:paraId="75BE8214" w14:textId="77777777" w:rsidR="008B2D19" w:rsidRPr="00D808EB" w:rsidRDefault="008B2D19" w:rsidP="00803DA5">
            <w:pPr>
              <w:pStyle w:val="AmColumnHeading"/>
              <w:spacing w:before="120"/>
              <w:jc w:val="left"/>
              <w:rPr>
                <w:i w:val="0"/>
                <w:iCs/>
              </w:rPr>
            </w:pPr>
            <w:r w:rsidRPr="00D808EB">
              <w:rPr>
                <w:i w:val="0"/>
                <w:iCs/>
              </w:rPr>
              <w:t>The following procedural steps shall be applied:</w:t>
            </w:r>
          </w:p>
          <w:p w14:paraId="2891344D" w14:textId="77777777" w:rsidR="008B2D19" w:rsidRPr="00D808EB" w:rsidRDefault="008B2D19" w:rsidP="00803DA5">
            <w:pPr>
              <w:pStyle w:val="AmColumnHeading"/>
              <w:jc w:val="left"/>
              <w:rPr>
                <w:i w:val="0"/>
                <w:iCs/>
              </w:rPr>
            </w:pPr>
            <w:r w:rsidRPr="00D808EB">
              <w:rPr>
                <w:i w:val="0"/>
                <w:iCs/>
              </w:rPr>
              <w:t>—</w:t>
            </w:r>
            <w:r w:rsidRPr="00D808EB">
              <w:rPr>
                <w:i w:val="0"/>
                <w:iCs/>
              </w:rPr>
              <w:tab/>
              <w:t xml:space="preserve">firstly, the Commission shall systematically present any proposal for setting up a new decentralised agency to the first budgetary trilogue following the adoption of its proposal, and shall present the financial statement accompanying the legislative proposal </w:t>
            </w:r>
            <w:r w:rsidRPr="00D808EB">
              <w:rPr>
                <w:b/>
                <w:bCs/>
              </w:rPr>
              <w:t>for the creation of the decentralised agency</w:t>
            </w:r>
            <w:r w:rsidRPr="00D808EB">
              <w:rPr>
                <w:i w:val="0"/>
                <w:iCs/>
              </w:rPr>
              <w:t xml:space="preserve"> and shall illustrate the consequences thereof for the remaining period of the financial programming;</w:t>
            </w:r>
          </w:p>
          <w:p w14:paraId="65902B56" w14:textId="77777777" w:rsidR="008B2D19" w:rsidRPr="00D808EB" w:rsidRDefault="008B2D19" w:rsidP="00803DA5">
            <w:pPr>
              <w:pStyle w:val="AmColumnHeading"/>
              <w:jc w:val="left"/>
              <w:rPr>
                <w:i w:val="0"/>
                <w:iCs/>
              </w:rPr>
            </w:pPr>
          </w:p>
          <w:p w14:paraId="66DB7960" w14:textId="77777777" w:rsidR="008B2D19" w:rsidRPr="00D808EB" w:rsidRDefault="008B2D19" w:rsidP="00803DA5">
            <w:pPr>
              <w:pStyle w:val="AmColumnHeading"/>
              <w:jc w:val="left"/>
              <w:rPr>
                <w:i w:val="0"/>
                <w:iCs/>
              </w:rPr>
            </w:pPr>
            <w:r w:rsidRPr="00D808EB">
              <w:rPr>
                <w:i w:val="0"/>
                <w:iCs/>
              </w:rPr>
              <w:t>—</w:t>
            </w:r>
            <w:r w:rsidRPr="00D808EB">
              <w:rPr>
                <w:i w:val="0"/>
                <w:iCs/>
              </w:rPr>
              <w:tab/>
              <w:t>secondly, during the legislative process, the Commission shall</w:t>
            </w:r>
            <w:r w:rsidRPr="00D808EB">
              <w:rPr>
                <w:b/>
                <w:bCs/>
              </w:rPr>
              <w:t xml:space="preserve"> </w:t>
            </w:r>
            <w:r w:rsidRPr="00D808EB">
              <w:rPr>
                <w:i w:val="0"/>
                <w:iCs/>
              </w:rPr>
              <w:t xml:space="preserve">assist the legislator in assessing the financial consequences of the amendments proposed; those financial consequences </w:t>
            </w:r>
            <w:r w:rsidRPr="00D808EB">
              <w:rPr>
                <w:b/>
                <w:bCs/>
              </w:rPr>
              <w:t>should</w:t>
            </w:r>
            <w:r w:rsidRPr="00D808EB">
              <w:rPr>
                <w:i w:val="0"/>
                <w:iCs/>
              </w:rPr>
              <w:t xml:space="preserve"> be considered during the relevant </w:t>
            </w:r>
            <w:r w:rsidRPr="00D808EB">
              <w:rPr>
                <w:b/>
                <w:bCs/>
              </w:rPr>
              <w:t>steps of the applicable</w:t>
            </w:r>
            <w:r w:rsidRPr="00D808EB">
              <w:rPr>
                <w:i w:val="0"/>
                <w:iCs/>
              </w:rPr>
              <w:t xml:space="preserve"> legislative </w:t>
            </w:r>
            <w:r w:rsidRPr="00D808EB">
              <w:rPr>
                <w:b/>
                <w:bCs/>
              </w:rPr>
              <w:t>procedure</w:t>
            </w:r>
            <w:r w:rsidRPr="00D808EB">
              <w:rPr>
                <w:i w:val="0"/>
                <w:iCs/>
              </w:rPr>
              <w:t>;</w:t>
            </w:r>
          </w:p>
          <w:p w14:paraId="0CCC50BD" w14:textId="77777777" w:rsidR="008B2D19" w:rsidRPr="00D808EB" w:rsidRDefault="008B2D19" w:rsidP="00803DA5">
            <w:pPr>
              <w:pStyle w:val="AmColumnHeading"/>
              <w:spacing w:after="600"/>
              <w:jc w:val="left"/>
              <w:rPr>
                <w:i w:val="0"/>
                <w:iCs/>
              </w:rPr>
            </w:pPr>
            <w:r w:rsidRPr="00D808EB">
              <w:rPr>
                <w:i w:val="0"/>
                <w:iCs/>
              </w:rPr>
              <w:t>—</w:t>
            </w:r>
            <w:r w:rsidRPr="00D808EB">
              <w:rPr>
                <w:i w:val="0"/>
                <w:iCs/>
              </w:rPr>
              <w:tab/>
              <w:t xml:space="preserve">thirdly, before the conclusion of the legislative process, the Commission shall present an updated financial statement taking into account potential amendments by the legislator; that final financial statement </w:t>
            </w:r>
            <w:r w:rsidRPr="00D808EB">
              <w:rPr>
                <w:b/>
                <w:bCs/>
              </w:rPr>
              <w:t>shall be discussed</w:t>
            </w:r>
            <w:r w:rsidRPr="00D808EB">
              <w:rPr>
                <w:i w:val="0"/>
                <w:iCs/>
              </w:rPr>
              <w:t xml:space="preserve"> before a final agreement is reached and </w:t>
            </w:r>
            <w:r w:rsidRPr="00D808EB">
              <w:rPr>
                <w:b/>
                <w:bCs/>
              </w:rPr>
              <w:t>be</w:t>
            </w:r>
            <w:r w:rsidRPr="00D808EB">
              <w:rPr>
                <w:i w:val="0"/>
                <w:iCs/>
              </w:rPr>
              <w:t xml:space="preserve"> formally </w:t>
            </w:r>
            <w:r w:rsidRPr="00D808EB">
              <w:rPr>
                <w:b/>
                <w:bCs/>
              </w:rPr>
              <w:t xml:space="preserve">endorsed by the legislator; it </w:t>
            </w:r>
            <w:r w:rsidRPr="00D808EB">
              <w:rPr>
                <w:i w:val="0"/>
                <w:iCs/>
              </w:rPr>
              <w:t>shall also be placed on the agenda of a subsequent budgetary trilogue (in urgent cases, in simplified form), in view of reaching an agreement on the financing;</w:t>
            </w:r>
          </w:p>
          <w:p w14:paraId="1542159D" w14:textId="18BD3CD1" w:rsidR="008B2D19" w:rsidRPr="00D808EB" w:rsidRDefault="008B2D19" w:rsidP="00803DA5">
            <w:pPr>
              <w:pStyle w:val="AmColumnHeading"/>
              <w:spacing w:after="1800"/>
              <w:jc w:val="left"/>
              <w:rPr>
                <w:i w:val="0"/>
                <w:iCs/>
              </w:rPr>
            </w:pPr>
            <w:r w:rsidRPr="00D808EB">
              <w:rPr>
                <w:i w:val="0"/>
                <w:iCs/>
              </w:rPr>
              <w:t>—</w:t>
            </w:r>
            <w:r w:rsidRPr="00D808EB">
              <w:rPr>
                <w:i w:val="0"/>
                <w:iCs/>
              </w:rPr>
              <w:tab/>
              <w:t>fourthly, the agreement reached, taking into account the Commission</w:t>
            </w:r>
            <w:r w:rsidR="00C728B7">
              <w:rPr>
                <w:i w:val="0"/>
                <w:iCs/>
              </w:rPr>
              <w:t>’</w:t>
            </w:r>
            <w:r w:rsidRPr="00D808EB">
              <w:rPr>
                <w:i w:val="0"/>
                <w:iCs/>
              </w:rPr>
              <w:t>s budgetary assessment with regard to the content of the legislative process, shall be confirmed in a joint declaration; that joint declaration shall be subject to approval by the European Parliament and by the Council, each in accordance with its own rules of procedure.</w:t>
            </w:r>
          </w:p>
          <w:p w14:paraId="2343EF4B" w14:textId="77777777" w:rsidR="008B2D19" w:rsidRPr="00D808EB" w:rsidRDefault="008B2D19" w:rsidP="00803DA5">
            <w:pPr>
              <w:pStyle w:val="AmColumnHeading"/>
              <w:jc w:val="left"/>
              <w:rPr>
                <w:i w:val="0"/>
                <w:iCs/>
              </w:rPr>
            </w:pPr>
            <w:r w:rsidRPr="00D808EB">
              <w:rPr>
                <w:i w:val="0"/>
                <w:iCs/>
              </w:rPr>
              <w:t xml:space="preserve">The same procedure </w:t>
            </w:r>
            <w:r w:rsidRPr="00D808EB">
              <w:rPr>
                <w:b/>
                <w:bCs/>
              </w:rPr>
              <w:t>should</w:t>
            </w:r>
            <w:r w:rsidRPr="00D808EB">
              <w:rPr>
                <w:i w:val="0"/>
                <w:iCs/>
              </w:rPr>
              <w:t xml:space="preserve"> be applied to any amendment to a legal act concerning a decentralised agency which would have an impact on the resources of the agency in question.</w:t>
            </w:r>
          </w:p>
        </w:tc>
        <w:tc>
          <w:tcPr>
            <w:tcW w:w="4876" w:type="dxa"/>
          </w:tcPr>
          <w:p w14:paraId="003FE020" w14:textId="77777777" w:rsidR="008B2D19" w:rsidRPr="00D808EB" w:rsidRDefault="008B2D19" w:rsidP="00803DA5">
            <w:pPr>
              <w:pStyle w:val="AmColumnHeading"/>
              <w:jc w:val="left"/>
              <w:rPr>
                <w:i w:val="0"/>
                <w:iCs/>
              </w:rPr>
            </w:pPr>
            <w:r w:rsidRPr="00D808EB">
              <w:rPr>
                <w:i w:val="0"/>
                <w:iCs/>
              </w:rPr>
              <w:t>12.</w:t>
            </w:r>
            <w:r w:rsidRPr="00D808EB">
              <w:rPr>
                <w:i w:val="0"/>
                <w:iCs/>
              </w:rPr>
              <w:tab/>
              <w:t xml:space="preserve">Before presenting a </w:t>
            </w:r>
            <w:r w:rsidRPr="00D808EB">
              <w:rPr>
                <w:b/>
                <w:bCs/>
              </w:rPr>
              <w:t xml:space="preserve">legislative </w:t>
            </w:r>
            <w:r w:rsidRPr="00D808EB">
              <w:rPr>
                <w:i w:val="0"/>
                <w:iCs/>
              </w:rPr>
              <w:t>proposal</w:t>
            </w:r>
            <w:r w:rsidRPr="00D808EB">
              <w:t xml:space="preserve"> </w:t>
            </w:r>
            <w:r w:rsidRPr="00D808EB">
              <w:rPr>
                <w:b/>
                <w:bCs/>
              </w:rPr>
              <w:t>with appreciable budgetary implications, including</w:t>
            </w:r>
            <w:r w:rsidRPr="00D808EB">
              <w:rPr>
                <w:b/>
                <w:bCs/>
                <w:i w:val="0"/>
                <w:iCs/>
              </w:rPr>
              <w:t xml:space="preserve"> </w:t>
            </w:r>
            <w:r w:rsidRPr="00D808EB">
              <w:rPr>
                <w:i w:val="0"/>
                <w:iCs/>
              </w:rPr>
              <w:t>for the creation of a new decentralised agency, and</w:t>
            </w:r>
            <w:r w:rsidRPr="00D808EB">
              <w:rPr>
                <w:b/>
                <w:bCs/>
              </w:rPr>
              <w:t>, where appropriate,</w:t>
            </w:r>
            <w:r w:rsidRPr="00D808EB">
              <w:rPr>
                <w:i w:val="0"/>
                <w:iCs/>
              </w:rPr>
              <w:t xml:space="preserve"> after having considered the assignment of </w:t>
            </w:r>
            <w:r w:rsidRPr="00D808EB">
              <w:rPr>
                <w:b/>
                <w:bCs/>
              </w:rPr>
              <w:t>any</w:t>
            </w:r>
            <w:r w:rsidRPr="00D808EB">
              <w:t xml:space="preserve"> </w:t>
            </w:r>
            <w:r w:rsidRPr="00D808EB">
              <w:rPr>
                <w:i w:val="0"/>
                <w:iCs/>
              </w:rPr>
              <w:t xml:space="preserve">envisaged tasks to an existing institution, agency or body, the Commission </w:t>
            </w:r>
            <w:r w:rsidRPr="00D808EB">
              <w:rPr>
                <w:b/>
                <w:bCs/>
              </w:rPr>
              <w:t>shall</w:t>
            </w:r>
            <w:r w:rsidRPr="00D808EB">
              <w:rPr>
                <w:i w:val="0"/>
                <w:iCs/>
              </w:rPr>
              <w:t xml:space="preserve"> produce a sound, complete and objective impact assessment, taking into account, inter alia, the critical mass of staff and competencies needed, cost-benefit aspects, coherence, subsidiarity and proportionality, the impact on </w:t>
            </w:r>
            <w:r w:rsidRPr="00D808EB">
              <w:rPr>
                <w:b/>
                <w:bCs/>
              </w:rPr>
              <w:t>national and</w:t>
            </w:r>
            <w:r w:rsidRPr="00D808EB">
              <w:rPr>
                <w:b/>
                <w:bCs/>
                <w:i w:val="0"/>
                <w:iCs/>
              </w:rPr>
              <w:t xml:space="preserve"> </w:t>
            </w:r>
            <w:r w:rsidRPr="00D808EB">
              <w:rPr>
                <w:i w:val="0"/>
                <w:iCs/>
              </w:rPr>
              <w:t xml:space="preserve">Union activities, and the budgetary implications for the expenditure heading concerned. On the basis of that information and without prejudice to the legislative procedures </w:t>
            </w:r>
            <w:r w:rsidRPr="00D808EB">
              <w:rPr>
                <w:b/>
                <w:bCs/>
              </w:rPr>
              <w:t>concerned</w:t>
            </w:r>
            <w:r w:rsidRPr="00D808EB">
              <w:rPr>
                <w:i w:val="0"/>
                <w:iCs/>
              </w:rPr>
              <w:t>, the European Parliament and the Council commit themselves, in the framework of budgetary cooperation, to arrive at a timely agreement.</w:t>
            </w:r>
          </w:p>
          <w:p w14:paraId="2D85D0DE" w14:textId="77777777" w:rsidR="008B2D19" w:rsidRPr="00D808EB" w:rsidRDefault="008B2D19" w:rsidP="00803DA5">
            <w:pPr>
              <w:pStyle w:val="AmColumnHeading"/>
              <w:jc w:val="left"/>
              <w:rPr>
                <w:i w:val="0"/>
                <w:iCs/>
              </w:rPr>
            </w:pPr>
          </w:p>
          <w:p w14:paraId="01AA92B2" w14:textId="77777777" w:rsidR="008B2D19" w:rsidRPr="00D808EB" w:rsidRDefault="008B2D19" w:rsidP="00803DA5">
            <w:pPr>
              <w:pStyle w:val="AmColumnHeading"/>
              <w:jc w:val="left"/>
              <w:rPr>
                <w:i w:val="0"/>
                <w:iCs/>
              </w:rPr>
            </w:pPr>
            <w:r w:rsidRPr="00D808EB">
              <w:rPr>
                <w:i w:val="0"/>
                <w:iCs/>
              </w:rPr>
              <w:t>The following procedural steps shall be applied:</w:t>
            </w:r>
          </w:p>
          <w:p w14:paraId="07CA6174" w14:textId="77777777" w:rsidR="008B2D19" w:rsidRPr="00D808EB" w:rsidRDefault="008B2D19" w:rsidP="00803DA5">
            <w:pPr>
              <w:pStyle w:val="AmColumnHeading"/>
              <w:jc w:val="left"/>
              <w:rPr>
                <w:i w:val="0"/>
                <w:iCs/>
              </w:rPr>
            </w:pPr>
            <w:r w:rsidRPr="00D808EB">
              <w:rPr>
                <w:i w:val="0"/>
                <w:iCs/>
              </w:rPr>
              <w:t>—</w:t>
            </w:r>
            <w:r w:rsidRPr="00D808EB">
              <w:rPr>
                <w:i w:val="0"/>
                <w:iCs/>
              </w:rPr>
              <w:tab/>
              <w:t xml:space="preserve">firstly, the Commission shall systematically present any </w:t>
            </w:r>
            <w:r w:rsidRPr="00D808EB">
              <w:rPr>
                <w:b/>
                <w:bCs/>
              </w:rPr>
              <w:t xml:space="preserve">legislative </w:t>
            </w:r>
            <w:r w:rsidRPr="00D808EB">
              <w:rPr>
                <w:i w:val="0"/>
                <w:iCs/>
              </w:rPr>
              <w:t xml:space="preserve">proposal </w:t>
            </w:r>
            <w:r w:rsidRPr="00D808EB">
              <w:rPr>
                <w:b/>
                <w:bCs/>
              </w:rPr>
              <w:t>with</w:t>
            </w:r>
            <w:r w:rsidRPr="00D808EB">
              <w:rPr>
                <w:i w:val="0"/>
                <w:iCs/>
              </w:rPr>
              <w:t xml:space="preserve"> </w:t>
            </w:r>
            <w:r w:rsidRPr="00D808EB">
              <w:rPr>
                <w:b/>
                <w:bCs/>
              </w:rPr>
              <w:t>appreciable budgetary implications, including</w:t>
            </w:r>
            <w:r w:rsidRPr="00D808EB">
              <w:rPr>
                <w:b/>
                <w:bCs/>
                <w:i w:val="0"/>
                <w:iCs/>
              </w:rPr>
              <w:t xml:space="preserve"> </w:t>
            </w:r>
            <w:r w:rsidRPr="00D808EB">
              <w:rPr>
                <w:i w:val="0"/>
                <w:iCs/>
              </w:rPr>
              <w:t>for setting up a new decentralised agency</w:t>
            </w:r>
            <w:r w:rsidRPr="00D808EB">
              <w:rPr>
                <w:b/>
                <w:bCs/>
                <w:i w:val="0"/>
                <w:iCs/>
              </w:rPr>
              <w:t>,</w:t>
            </w:r>
            <w:r w:rsidRPr="00D808EB">
              <w:rPr>
                <w:i w:val="0"/>
                <w:iCs/>
              </w:rPr>
              <w:t xml:space="preserve"> to the first budgetary trilogue following the adoption of its proposal, and shall present the financial statement accompanying the legislative proposal and shall illustrate the consequences thereof for the remaining period of the financial programming;</w:t>
            </w:r>
          </w:p>
          <w:p w14:paraId="7A0947C0" w14:textId="77777777" w:rsidR="008B2D19" w:rsidRPr="00D808EB" w:rsidRDefault="008B2D19" w:rsidP="00803DA5">
            <w:pPr>
              <w:pStyle w:val="AmColumnHeading"/>
              <w:spacing w:after="480"/>
              <w:jc w:val="left"/>
              <w:rPr>
                <w:i w:val="0"/>
                <w:iCs/>
              </w:rPr>
            </w:pPr>
            <w:r w:rsidRPr="00D808EB">
              <w:rPr>
                <w:i w:val="0"/>
                <w:iCs/>
              </w:rPr>
              <w:t>—</w:t>
            </w:r>
            <w:r w:rsidRPr="00D808EB">
              <w:rPr>
                <w:i w:val="0"/>
                <w:iCs/>
              </w:rPr>
              <w:tab/>
              <w:t xml:space="preserve">secondly, during the legislative process, the Commission shall assist the legislator in assessing the financial consequences of the amendments proposed; those financial consequences </w:t>
            </w:r>
            <w:r w:rsidRPr="00D808EB">
              <w:rPr>
                <w:b/>
                <w:bCs/>
              </w:rPr>
              <w:t>shall</w:t>
            </w:r>
            <w:r w:rsidRPr="00D808EB">
              <w:rPr>
                <w:i w:val="0"/>
                <w:iCs/>
              </w:rPr>
              <w:t xml:space="preserve"> be considered during the relevant legislative </w:t>
            </w:r>
            <w:r w:rsidRPr="00D808EB">
              <w:rPr>
                <w:b/>
                <w:bCs/>
              </w:rPr>
              <w:t>trilogues</w:t>
            </w:r>
            <w:r w:rsidRPr="00D808EB">
              <w:rPr>
                <w:i w:val="0"/>
                <w:iCs/>
              </w:rPr>
              <w:t>;</w:t>
            </w:r>
          </w:p>
          <w:p w14:paraId="511292D1" w14:textId="77777777" w:rsidR="008B2D19" w:rsidRPr="00D808EB" w:rsidRDefault="008B2D19" w:rsidP="00803DA5">
            <w:pPr>
              <w:pStyle w:val="AmColumnHeading"/>
              <w:jc w:val="left"/>
              <w:rPr>
                <w:i w:val="0"/>
                <w:iCs/>
              </w:rPr>
            </w:pPr>
            <w:r w:rsidRPr="00D808EB">
              <w:rPr>
                <w:i w:val="0"/>
                <w:iCs/>
              </w:rPr>
              <w:t>—</w:t>
            </w:r>
            <w:r w:rsidRPr="00D808EB">
              <w:rPr>
                <w:i w:val="0"/>
                <w:iCs/>
              </w:rPr>
              <w:tab/>
              <w:t xml:space="preserve">thirdly, before the conclusion of the legislative process, the Commission shall present an updated financial statement taking into account potential amendments by the legislator; </w:t>
            </w:r>
            <w:r w:rsidRPr="00D808EB">
              <w:rPr>
                <w:b/>
                <w:bCs/>
              </w:rPr>
              <w:t>the legislator shall discuss that updated</w:t>
            </w:r>
            <w:r w:rsidRPr="00D808EB">
              <w:rPr>
                <w:i w:val="0"/>
                <w:iCs/>
              </w:rPr>
              <w:t xml:space="preserve"> financial statement before a final agreement is reached and </w:t>
            </w:r>
            <w:r w:rsidRPr="00D808EB">
              <w:rPr>
                <w:b/>
                <w:bCs/>
              </w:rPr>
              <w:t>shall</w:t>
            </w:r>
            <w:r w:rsidRPr="00D808EB">
              <w:rPr>
                <w:b/>
                <w:bCs/>
                <w:i w:val="0"/>
                <w:iCs/>
              </w:rPr>
              <w:t xml:space="preserve"> </w:t>
            </w:r>
            <w:r w:rsidRPr="00D808EB">
              <w:rPr>
                <w:i w:val="0"/>
                <w:iCs/>
              </w:rPr>
              <w:t xml:space="preserve">formally </w:t>
            </w:r>
            <w:r w:rsidRPr="00D808EB">
              <w:rPr>
                <w:b/>
                <w:bCs/>
              </w:rPr>
              <w:t>endorse</w:t>
            </w:r>
            <w:r w:rsidRPr="00D808EB">
              <w:rPr>
                <w:i w:val="0"/>
                <w:iCs/>
              </w:rPr>
              <w:t xml:space="preserve"> the </w:t>
            </w:r>
            <w:r w:rsidRPr="00D808EB">
              <w:rPr>
                <w:b/>
                <w:bCs/>
              </w:rPr>
              <w:t>final financial statement</w:t>
            </w:r>
            <w:r w:rsidRPr="00D808EB">
              <w:t xml:space="preserve">; </w:t>
            </w:r>
            <w:r w:rsidRPr="00D808EB">
              <w:rPr>
                <w:b/>
                <w:bCs/>
              </w:rPr>
              <w:t>that final financial statement</w:t>
            </w:r>
            <w:r w:rsidRPr="00D808EB">
              <w:rPr>
                <w:i w:val="0"/>
                <w:iCs/>
              </w:rPr>
              <w:t xml:space="preserve"> shall also be placed on the agenda of a subsequent budgetary trilogue (in urgent cases, in simplified form), in view of reaching an agreement on the financing;</w:t>
            </w:r>
          </w:p>
          <w:p w14:paraId="50973337" w14:textId="68B82E16" w:rsidR="008B2D19" w:rsidRPr="00D808EB" w:rsidRDefault="008B2D19" w:rsidP="00803DA5">
            <w:pPr>
              <w:pStyle w:val="AmColumnHeading"/>
              <w:jc w:val="left"/>
              <w:rPr>
                <w:i w:val="0"/>
                <w:iCs/>
              </w:rPr>
            </w:pPr>
            <w:r w:rsidRPr="00D808EB">
              <w:rPr>
                <w:i w:val="0"/>
                <w:iCs/>
              </w:rPr>
              <w:t>—</w:t>
            </w:r>
            <w:r w:rsidRPr="00D808EB">
              <w:rPr>
                <w:i w:val="0"/>
                <w:iCs/>
              </w:rPr>
              <w:tab/>
              <w:t>fourthly, the agreement reached, taking into account the Commission</w:t>
            </w:r>
            <w:r w:rsidR="00C728B7">
              <w:rPr>
                <w:i w:val="0"/>
                <w:iCs/>
              </w:rPr>
              <w:t>’</w:t>
            </w:r>
            <w:r w:rsidRPr="00D808EB">
              <w:rPr>
                <w:i w:val="0"/>
                <w:iCs/>
              </w:rPr>
              <w:t>s budgetary assessment with regard to the content of the legislative process, shall be confirmed in a joint declaration; that joint declaration shall be subject to approval by the European Parliament and by the Council, each in accordance with its own rules of procedure.</w:t>
            </w:r>
          </w:p>
          <w:p w14:paraId="5394B645" w14:textId="77777777" w:rsidR="008B2D19" w:rsidRPr="00D808EB" w:rsidRDefault="008B2D19" w:rsidP="00803DA5">
            <w:pPr>
              <w:pStyle w:val="AmColumnHeading"/>
              <w:widowControl w:val="0"/>
              <w:jc w:val="left"/>
              <w:rPr>
                <w:b/>
                <w:bCs/>
              </w:rPr>
            </w:pPr>
            <w:r w:rsidRPr="00D808EB">
              <w:rPr>
                <w:b/>
                <w:bCs/>
              </w:rPr>
              <w:t>The Commission shall provide a consolidated annual overview of all the changes made to programmes and agencies compared to the MFF baseline together with the draft budget.</w:t>
            </w:r>
          </w:p>
          <w:p w14:paraId="0B21677C" w14:textId="77777777" w:rsidR="008B2D19" w:rsidRPr="00D808EB" w:rsidRDefault="008B2D19" w:rsidP="00803DA5">
            <w:pPr>
              <w:pStyle w:val="AmColumnHeading"/>
              <w:widowControl w:val="0"/>
              <w:jc w:val="left"/>
              <w:rPr>
                <w:szCs w:val="24"/>
              </w:rPr>
            </w:pPr>
            <w:r w:rsidRPr="00D808EB">
              <w:rPr>
                <w:i w:val="0"/>
                <w:iCs/>
              </w:rPr>
              <w:t xml:space="preserve">The same procedure </w:t>
            </w:r>
            <w:r w:rsidRPr="00D808EB">
              <w:rPr>
                <w:b/>
                <w:bCs/>
              </w:rPr>
              <w:t>shall</w:t>
            </w:r>
            <w:r w:rsidRPr="00D808EB">
              <w:t xml:space="preserve"> </w:t>
            </w:r>
            <w:r w:rsidRPr="00D808EB">
              <w:rPr>
                <w:i w:val="0"/>
                <w:iCs/>
              </w:rPr>
              <w:t>be applied to any amendment to a legal act concerning a decentralised agency which would have an impact on the resources of the agency in question.</w:t>
            </w:r>
          </w:p>
        </w:tc>
      </w:tr>
    </w:tbl>
    <w:p w14:paraId="5B8C752B"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3677C8A4" w14:textId="77777777" w:rsidR="008B2D19" w:rsidRPr="00D808EB" w:rsidRDefault="008B2D19" w:rsidP="008B2D19">
      <w:r w:rsidRPr="00D808EB">
        <w:rPr>
          <w:rStyle w:val="HideTWBExt"/>
          <w:noProof w:val="0"/>
        </w:rPr>
        <w:t>&lt;/Amend&gt;</w:t>
      </w:r>
    </w:p>
    <w:p w14:paraId="2C590323"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28</w:t>
      </w:r>
      <w:r w:rsidRPr="00D808EB">
        <w:rPr>
          <w:rStyle w:val="HideTWBExt"/>
          <w:b w:val="0"/>
          <w:noProof w:val="0"/>
        </w:rPr>
        <w:t>&lt;/NumAm&gt;</w:t>
      </w:r>
    </w:p>
    <w:p w14:paraId="6DDA1B19"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634E6F90"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3</w:t>
      </w:r>
      <w:r w:rsidRPr="00D808EB">
        <w:rPr>
          <w:rStyle w:val="HideTWBExt"/>
          <w:b w:val="0"/>
          <w:noProof w:val="0"/>
        </w:rPr>
        <w:t>&lt;/Article&gt;</w:t>
      </w:r>
    </w:p>
    <w:p w14:paraId="531ACD4A"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Section B –point 13 </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7E1801C7" w14:textId="77777777" w:rsidTr="00803DA5">
        <w:trPr>
          <w:jc w:val="center"/>
        </w:trPr>
        <w:tc>
          <w:tcPr>
            <w:tcW w:w="9752" w:type="dxa"/>
            <w:gridSpan w:val="2"/>
          </w:tcPr>
          <w:p w14:paraId="464271E4" w14:textId="77777777" w:rsidR="008B2D19" w:rsidRPr="00D808EB" w:rsidRDefault="008B2D19" w:rsidP="00803DA5">
            <w:pPr>
              <w:keepNext/>
            </w:pPr>
          </w:p>
        </w:tc>
      </w:tr>
      <w:tr w:rsidR="008B2D19" w:rsidRPr="00D808EB" w14:paraId="733780C4" w14:textId="77777777" w:rsidTr="00803DA5">
        <w:trPr>
          <w:jc w:val="center"/>
        </w:trPr>
        <w:tc>
          <w:tcPr>
            <w:tcW w:w="4876" w:type="dxa"/>
          </w:tcPr>
          <w:p w14:paraId="7A093A35" w14:textId="77777777" w:rsidR="008B2D19" w:rsidRPr="00D808EB" w:rsidRDefault="008B2D19" w:rsidP="00803DA5">
            <w:pPr>
              <w:pStyle w:val="AmColumnHeading"/>
              <w:keepNext/>
            </w:pPr>
            <w:r w:rsidRPr="00D808EB">
              <w:t>Text proposed by the Commission</w:t>
            </w:r>
          </w:p>
        </w:tc>
        <w:tc>
          <w:tcPr>
            <w:tcW w:w="4876" w:type="dxa"/>
          </w:tcPr>
          <w:p w14:paraId="4F0AFA77" w14:textId="77777777" w:rsidR="008B2D19" w:rsidRPr="00D808EB" w:rsidRDefault="008B2D19" w:rsidP="00803DA5">
            <w:pPr>
              <w:pStyle w:val="AmColumnHeading"/>
              <w:keepNext/>
            </w:pPr>
            <w:r w:rsidRPr="00D808EB">
              <w:t>Modification</w:t>
            </w:r>
          </w:p>
        </w:tc>
      </w:tr>
      <w:tr w:rsidR="008B2D19" w:rsidRPr="00D808EB" w14:paraId="22DC62B3" w14:textId="77777777" w:rsidTr="00803DA5">
        <w:trPr>
          <w:jc w:val="center"/>
        </w:trPr>
        <w:tc>
          <w:tcPr>
            <w:tcW w:w="4876" w:type="dxa"/>
          </w:tcPr>
          <w:p w14:paraId="3353E1BB" w14:textId="77777777" w:rsidR="008B2D19" w:rsidRPr="00D808EB" w:rsidRDefault="008B2D19" w:rsidP="00803DA5">
            <w:pPr>
              <w:pStyle w:val="AmColumnHeading"/>
              <w:jc w:val="left"/>
              <w:rPr>
                <w:i w:val="0"/>
              </w:rPr>
            </w:pPr>
            <w:r w:rsidRPr="00D808EB">
              <w:rPr>
                <w:i w:val="0"/>
              </w:rPr>
              <w:t>13.</w:t>
            </w:r>
            <w:r w:rsidRPr="00D808EB">
              <w:rPr>
                <w:i w:val="0"/>
              </w:rPr>
              <w:tab/>
              <w:t>Relevant provisions from the Common Approach annexed to the Joint Statement of the European Parliament, the Council of the European Union and the European Commission on decentralised agencies signed on 19 July 2012</w:t>
            </w:r>
            <w:r w:rsidRPr="00D808EB">
              <w:rPr>
                <w:b/>
                <w:bCs/>
                <w:i w:val="0"/>
              </w:rPr>
              <w:t xml:space="preserve"> </w:t>
            </w:r>
            <w:r w:rsidRPr="00D808EB">
              <w:rPr>
                <w:b/>
                <w:bCs/>
                <w:iCs/>
              </w:rPr>
              <w:t>should</w:t>
            </w:r>
            <w:r w:rsidRPr="00D808EB">
              <w:rPr>
                <w:i w:val="0"/>
              </w:rPr>
              <w:t xml:space="preserve"> be duly taken into account in the budgetary procedure.</w:t>
            </w:r>
          </w:p>
          <w:p w14:paraId="34078698" w14:textId="77777777" w:rsidR="008B2D19" w:rsidRPr="00D808EB" w:rsidRDefault="008B2D19" w:rsidP="00803DA5">
            <w:pPr>
              <w:pStyle w:val="AmColumnHeading"/>
              <w:jc w:val="left"/>
              <w:rPr>
                <w:b/>
                <w:bCs/>
                <w:iCs/>
              </w:rPr>
            </w:pPr>
          </w:p>
        </w:tc>
        <w:tc>
          <w:tcPr>
            <w:tcW w:w="4876" w:type="dxa"/>
          </w:tcPr>
          <w:p w14:paraId="1FC34FE2" w14:textId="77777777" w:rsidR="008B2D19" w:rsidRPr="00D808EB" w:rsidRDefault="008B2D19" w:rsidP="00803DA5">
            <w:pPr>
              <w:pStyle w:val="AmColumnHeading"/>
              <w:widowControl w:val="0"/>
              <w:jc w:val="left"/>
              <w:rPr>
                <w:i w:val="0"/>
                <w:iCs/>
                <w:szCs w:val="24"/>
              </w:rPr>
            </w:pPr>
            <w:r w:rsidRPr="00D808EB">
              <w:rPr>
                <w:i w:val="0"/>
                <w:iCs/>
                <w:szCs w:val="24"/>
              </w:rPr>
              <w:t>13.</w:t>
            </w:r>
            <w:r w:rsidRPr="00D808EB">
              <w:rPr>
                <w:i w:val="0"/>
                <w:iCs/>
                <w:szCs w:val="24"/>
              </w:rPr>
              <w:tab/>
              <w:t xml:space="preserve">Relevant provisions from the Common Approach annexed to the Joint Statement of the European Parliament, the Council of the European Union and the European Commission on decentralised agencies signed on 19 July 2012 </w:t>
            </w:r>
            <w:r w:rsidRPr="00D808EB">
              <w:rPr>
                <w:b/>
                <w:bCs/>
                <w:szCs w:val="24"/>
              </w:rPr>
              <w:t>shall</w:t>
            </w:r>
            <w:r w:rsidRPr="00D808EB">
              <w:rPr>
                <w:szCs w:val="24"/>
              </w:rPr>
              <w:t xml:space="preserve"> </w:t>
            </w:r>
            <w:r w:rsidRPr="00D808EB">
              <w:rPr>
                <w:i w:val="0"/>
                <w:iCs/>
                <w:szCs w:val="24"/>
              </w:rPr>
              <w:t>be duly taken into account in the budgetary procedure.</w:t>
            </w:r>
          </w:p>
        </w:tc>
      </w:tr>
    </w:tbl>
    <w:p w14:paraId="7BC33F72"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0C65F121" w14:textId="77777777" w:rsidR="008B2D19" w:rsidRPr="00D808EB" w:rsidRDefault="008B2D19" w:rsidP="008B2D19">
      <w:r w:rsidRPr="00D808EB">
        <w:rPr>
          <w:rStyle w:val="HideTWBExt"/>
          <w:noProof w:val="0"/>
        </w:rPr>
        <w:t>&lt;/Amend&gt;</w:t>
      </w:r>
    </w:p>
    <w:p w14:paraId="3DE02414"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29</w:t>
      </w:r>
      <w:r w:rsidRPr="00D808EB">
        <w:rPr>
          <w:rStyle w:val="HideTWBExt"/>
          <w:b w:val="0"/>
          <w:noProof w:val="0"/>
        </w:rPr>
        <w:t>&lt;/NumAm&gt;</w:t>
      </w:r>
    </w:p>
    <w:p w14:paraId="5AD4E9BB"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35179C4D"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2</w:t>
      </w:r>
      <w:r w:rsidRPr="00D808EB">
        <w:rPr>
          <w:rStyle w:val="HideTWBExt"/>
          <w:b w:val="0"/>
          <w:noProof w:val="0"/>
        </w:rPr>
        <w:t>&lt;/Article&gt;</w:t>
      </w:r>
    </w:p>
    <w:p w14:paraId="65D408FE"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Section B –point 15 </w:t>
      </w:r>
      <w:r w:rsidRPr="00D808EB">
        <w:rPr>
          <w:rStyle w:val="HideTWBExt"/>
          <w:b w:val="0"/>
          <w:noProof w:val="0"/>
        </w:rPr>
        <w:t>&lt;/Article2&gt;</w:t>
      </w:r>
    </w:p>
    <w:p w14:paraId="1269DC02" w14:textId="77777777" w:rsidR="008B2D19" w:rsidRPr="00D808EB" w:rsidRDefault="008B2D19" w:rsidP="008B2D19">
      <w:pPr>
        <w:pStyle w:val="NormalBold"/>
      </w:pP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1BFB8837" w14:textId="77777777" w:rsidTr="00803DA5">
        <w:trPr>
          <w:jc w:val="center"/>
        </w:trPr>
        <w:tc>
          <w:tcPr>
            <w:tcW w:w="9752" w:type="dxa"/>
            <w:gridSpan w:val="2"/>
          </w:tcPr>
          <w:p w14:paraId="0229E324" w14:textId="77777777" w:rsidR="008B2D19" w:rsidRPr="00D808EB" w:rsidRDefault="008B2D19" w:rsidP="00803DA5">
            <w:pPr>
              <w:keepNext/>
            </w:pPr>
          </w:p>
        </w:tc>
      </w:tr>
      <w:tr w:rsidR="008B2D19" w:rsidRPr="00D808EB" w14:paraId="2483BDCD" w14:textId="77777777" w:rsidTr="00803DA5">
        <w:trPr>
          <w:jc w:val="center"/>
        </w:trPr>
        <w:tc>
          <w:tcPr>
            <w:tcW w:w="4876" w:type="dxa"/>
          </w:tcPr>
          <w:p w14:paraId="1BA558F0" w14:textId="77777777" w:rsidR="008B2D19" w:rsidRPr="00D808EB" w:rsidRDefault="008B2D19" w:rsidP="00803DA5">
            <w:pPr>
              <w:pStyle w:val="AmColumnHeading"/>
              <w:keepNext/>
            </w:pPr>
            <w:r w:rsidRPr="00D808EB">
              <w:t>Text proposed by the Commission</w:t>
            </w:r>
          </w:p>
        </w:tc>
        <w:tc>
          <w:tcPr>
            <w:tcW w:w="4876" w:type="dxa"/>
          </w:tcPr>
          <w:p w14:paraId="3151A716" w14:textId="77777777" w:rsidR="008B2D19" w:rsidRPr="00D808EB" w:rsidRDefault="008B2D19" w:rsidP="00803DA5">
            <w:pPr>
              <w:pStyle w:val="AmColumnHeading"/>
              <w:keepNext/>
            </w:pPr>
            <w:r w:rsidRPr="00D808EB">
              <w:t>Modification</w:t>
            </w:r>
          </w:p>
        </w:tc>
      </w:tr>
      <w:tr w:rsidR="008B2D19" w:rsidRPr="00D808EB" w14:paraId="1756BDDB" w14:textId="77777777" w:rsidTr="00803DA5">
        <w:trPr>
          <w:jc w:val="center"/>
        </w:trPr>
        <w:tc>
          <w:tcPr>
            <w:tcW w:w="4876" w:type="dxa"/>
          </w:tcPr>
          <w:p w14:paraId="6D152DE6" w14:textId="77777777" w:rsidR="008B2D19" w:rsidRPr="00D808EB" w:rsidRDefault="008B2D19" w:rsidP="00803DA5">
            <w:pPr>
              <w:pStyle w:val="AmColumnHeading"/>
              <w:jc w:val="left"/>
              <w:rPr>
                <w:i w:val="0"/>
              </w:rPr>
            </w:pPr>
            <w:r w:rsidRPr="00D808EB">
              <w:rPr>
                <w:i w:val="0"/>
              </w:rPr>
              <w:t>15.</w:t>
            </w:r>
            <w:r w:rsidRPr="00D808EB">
              <w:rPr>
                <w:i w:val="0"/>
              </w:rPr>
              <w:tab/>
              <w:t xml:space="preserve">Where the Commission submits a proposal for the adoption of an act of the Council under Article 122 TFEU with potential appreciable implications for the Union budget, the following arrangements for a procedure of budgetary scrutiny between the European Parliament and the Council with the active assistance of the Commission </w:t>
            </w:r>
            <w:r w:rsidRPr="00D808EB">
              <w:rPr>
                <w:b/>
                <w:bCs/>
                <w:iCs/>
              </w:rPr>
              <w:t>may</w:t>
            </w:r>
            <w:r w:rsidRPr="00D808EB">
              <w:rPr>
                <w:i w:val="0"/>
              </w:rPr>
              <w:t xml:space="preserve"> apply.</w:t>
            </w:r>
          </w:p>
          <w:p w14:paraId="608EB4E2" w14:textId="77777777" w:rsidR="008B2D19" w:rsidRPr="00D808EB" w:rsidRDefault="008B2D19" w:rsidP="00803DA5">
            <w:pPr>
              <w:pStyle w:val="AmColumnHeading"/>
              <w:jc w:val="left"/>
              <w:rPr>
                <w:b/>
                <w:bCs/>
                <w:iCs/>
              </w:rPr>
            </w:pPr>
          </w:p>
        </w:tc>
        <w:tc>
          <w:tcPr>
            <w:tcW w:w="4876" w:type="dxa"/>
          </w:tcPr>
          <w:p w14:paraId="5DBE2455" w14:textId="77777777" w:rsidR="008B2D19" w:rsidRPr="00D808EB" w:rsidRDefault="008B2D19" w:rsidP="00803DA5">
            <w:pPr>
              <w:pStyle w:val="AmColumnHeading"/>
              <w:jc w:val="left"/>
              <w:rPr>
                <w:i w:val="0"/>
              </w:rPr>
            </w:pPr>
            <w:r w:rsidRPr="00D808EB">
              <w:rPr>
                <w:i w:val="0"/>
              </w:rPr>
              <w:t>15.</w:t>
            </w:r>
            <w:r w:rsidRPr="00D808EB">
              <w:rPr>
                <w:i w:val="0"/>
              </w:rPr>
              <w:tab/>
              <w:t xml:space="preserve">Where the Commission submits a proposal for the adoption of an act of the Council under Article 122 TFEU with potential appreciable implications for the Union budget, the following arrangements for a procedure of budgetary scrutiny between the European Parliament and the Council with the active assistance of the Commission </w:t>
            </w:r>
            <w:r w:rsidRPr="00D808EB">
              <w:rPr>
                <w:b/>
                <w:bCs/>
                <w:iCs/>
              </w:rPr>
              <w:t>shall</w:t>
            </w:r>
            <w:r w:rsidRPr="00D808EB">
              <w:rPr>
                <w:i w:val="0"/>
              </w:rPr>
              <w:t xml:space="preserve"> apply.</w:t>
            </w:r>
          </w:p>
          <w:p w14:paraId="6284AFBD" w14:textId="77777777" w:rsidR="008B2D19" w:rsidRPr="00D808EB" w:rsidRDefault="008B2D19" w:rsidP="00803DA5">
            <w:pPr>
              <w:pStyle w:val="AmColumnHeading"/>
              <w:jc w:val="left"/>
              <w:rPr>
                <w:szCs w:val="24"/>
              </w:rPr>
            </w:pPr>
          </w:p>
        </w:tc>
      </w:tr>
    </w:tbl>
    <w:p w14:paraId="75BE2604"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1AC54EC8" w14:textId="77777777" w:rsidR="008B2D19" w:rsidRPr="00D808EB" w:rsidRDefault="008B2D19" w:rsidP="008B2D19">
      <w:r w:rsidRPr="00D808EB">
        <w:rPr>
          <w:rStyle w:val="HideTWBExt"/>
          <w:noProof w:val="0"/>
        </w:rPr>
        <w:t>&lt;/Amend&gt;</w:t>
      </w:r>
    </w:p>
    <w:p w14:paraId="1E6C14B7"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30</w:t>
      </w:r>
      <w:r w:rsidRPr="00D808EB">
        <w:rPr>
          <w:rStyle w:val="HideTWBExt"/>
          <w:b w:val="0"/>
          <w:noProof w:val="0"/>
        </w:rPr>
        <w:t>&lt;/NumAm&gt;</w:t>
      </w:r>
    </w:p>
    <w:p w14:paraId="336383F4"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0BC9E875"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2</w:t>
      </w:r>
      <w:r w:rsidRPr="00D808EB">
        <w:rPr>
          <w:rStyle w:val="HideTWBExt"/>
          <w:b w:val="0"/>
          <w:noProof w:val="0"/>
        </w:rPr>
        <w:t>&lt;/Article&gt;</w:t>
      </w:r>
    </w:p>
    <w:p w14:paraId="5BE7888D"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Section B –point 16 </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1117B748" w14:textId="77777777" w:rsidTr="00803DA5">
        <w:trPr>
          <w:jc w:val="center"/>
        </w:trPr>
        <w:tc>
          <w:tcPr>
            <w:tcW w:w="9752" w:type="dxa"/>
            <w:gridSpan w:val="2"/>
          </w:tcPr>
          <w:p w14:paraId="5C6E5DF7" w14:textId="77777777" w:rsidR="008B2D19" w:rsidRPr="00D808EB" w:rsidRDefault="008B2D19" w:rsidP="00803DA5">
            <w:pPr>
              <w:keepNext/>
            </w:pPr>
          </w:p>
        </w:tc>
      </w:tr>
      <w:tr w:rsidR="008B2D19" w:rsidRPr="00D808EB" w14:paraId="279569AC" w14:textId="77777777" w:rsidTr="00803DA5">
        <w:trPr>
          <w:jc w:val="center"/>
        </w:trPr>
        <w:tc>
          <w:tcPr>
            <w:tcW w:w="4876" w:type="dxa"/>
          </w:tcPr>
          <w:p w14:paraId="55DF03DF" w14:textId="77777777" w:rsidR="008B2D19" w:rsidRPr="00D808EB" w:rsidRDefault="008B2D19" w:rsidP="00803DA5">
            <w:pPr>
              <w:pStyle w:val="AmColumnHeading"/>
              <w:keepNext/>
            </w:pPr>
            <w:r w:rsidRPr="00D808EB">
              <w:t>Text proposed by the Commission</w:t>
            </w:r>
          </w:p>
        </w:tc>
        <w:tc>
          <w:tcPr>
            <w:tcW w:w="4876" w:type="dxa"/>
          </w:tcPr>
          <w:p w14:paraId="67A45D1F" w14:textId="77777777" w:rsidR="008B2D19" w:rsidRPr="00D808EB" w:rsidRDefault="008B2D19" w:rsidP="00803DA5">
            <w:pPr>
              <w:pStyle w:val="AmColumnHeading"/>
              <w:keepNext/>
            </w:pPr>
            <w:r w:rsidRPr="00D808EB">
              <w:t>Modification</w:t>
            </w:r>
          </w:p>
        </w:tc>
      </w:tr>
      <w:tr w:rsidR="008B2D19" w:rsidRPr="00D808EB" w14:paraId="4A5C383F" w14:textId="77777777" w:rsidTr="00803DA5">
        <w:trPr>
          <w:jc w:val="center"/>
        </w:trPr>
        <w:tc>
          <w:tcPr>
            <w:tcW w:w="4876" w:type="dxa"/>
          </w:tcPr>
          <w:p w14:paraId="2A03A52E" w14:textId="77777777" w:rsidR="008B2D19" w:rsidRPr="00D808EB" w:rsidRDefault="008B2D19" w:rsidP="00803DA5">
            <w:pPr>
              <w:pStyle w:val="AmColumnHeading"/>
              <w:jc w:val="left"/>
              <w:rPr>
                <w:i w:val="0"/>
                <w:iCs/>
              </w:rPr>
            </w:pPr>
            <w:r w:rsidRPr="00D808EB">
              <w:rPr>
                <w:i w:val="0"/>
                <w:iCs/>
              </w:rPr>
              <w:t>16.</w:t>
            </w:r>
            <w:r w:rsidRPr="00D808EB">
              <w:rPr>
                <w:i w:val="0"/>
                <w:iCs/>
              </w:rPr>
              <w:tab/>
              <w:t xml:space="preserve">The Commission </w:t>
            </w:r>
            <w:r w:rsidRPr="00D808EB">
              <w:rPr>
                <w:b/>
                <w:bCs/>
              </w:rPr>
              <w:t>will</w:t>
            </w:r>
            <w:r w:rsidRPr="00D808EB">
              <w:rPr>
                <w:i w:val="0"/>
                <w:iCs/>
              </w:rPr>
              <w:t xml:space="preserve"> accompany any proposal for an act of the Council under Article 122 TFEU by an assessment of the budgetary implications of the proposed legal act and </w:t>
            </w:r>
            <w:r w:rsidRPr="00D808EB">
              <w:rPr>
                <w:b/>
                <w:bCs/>
              </w:rPr>
              <w:t>will</w:t>
            </w:r>
            <w:r w:rsidRPr="00D808EB">
              <w:rPr>
                <w:i w:val="0"/>
                <w:iCs/>
              </w:rPr>
              <w:t xml:space="preserve"> indicate whether the act in question may, in its view, have appreciable implications for the Union budget. On that basis, the European Parliament and the Council may request that the procedure be initiated.</w:t>
            </w:r>
          </w:p>
          <w:p w14:paraId="68E4AA4E" w14:textId="77777777" w:rsidR="008B2D19" w:rsidRPr="00D808EB" w:rsidRDefault="008B2D19" w:rsidP="00803DA5">
            <w:pPr>
              <w:pStyle w:val="AmColumnHeading"/>
              <w:jc w:val="left"/>
              <w:rPr>
                <w:i w:val="0"/>
                <w:iCs/>
              </w:rPr>
            </w:pPr>
            <w:r w:rsidRPr="00D808EB">
              <w:rPr>
                <w:i w:val="0"/>
                <w:iCs/>
              </w:rPr>
              <w:t xml:space="preserve">The procedure </w:t>
            </w:r>
            <w:r w:rsidRPr="00D808EB">
              <w:rPr>
                <w:b/>
                <w:bCs/>
              </w:rPr>
              <w:t>will</w:t>
            </w:r>
            <w:r w:rsidRPr="00D808EB">
              <w:rPr>
                <w:i w:val="0"/>
                <w:iCs/>
              </w:rPr>
              <w:t xml:space="preserve"> take place in a Joint Committee consisting of representatives of the European Parliament and of the Council at the appropriate level. The Commission </w:t>
            </w:r>
            <w:r w:rsidRPr="00D808EB">
              <w:rPr>
                <w:b/>
                <w:bCs/>
              </w:rPr>
              <w:t>will</w:t>
            </w:r>
            <w:r w:rsidRPr="00D808EB">
              <w:rPr>
                <w:i w:val="0"/>
                <w:iCs/>
              </w:rPr>
              <w:t xml:space="preserve"> participate in the work of the Joint Committee.</w:t>
            </w:r>
          </w:p>
          <w:p w14:paraId="27664EF3" w14:textId="77777777" w:rsidR="008B2D19" w:rsidRPr="00D808EB" w:rsidRDefault="008B2D19" w:rsidP="00803DA5">
            <w:pPr>
              <w:pStyle w:val="AmColumnHeading"/>
              <w:spacing w:after="600"/>
              <w:jc w:val="left"/>
              <w:rPr>
                <w:i w:val="0"/>
                <w:iCs/>
              </w:rPr>
            </w:pPr>
            <w:r w:rsidRPr="00D808EB">
              <w:rPr>
                <w:i w:val="0"/>
                <w:iCs/>
              </w:rPr>
              <w:t xml:space="preserve">Without prejudice to the powers of the Council under Article 122 TFEU, the European Parliament and the Council </w:t>
            </w:r>
            <w:r w:rsidRPr="00D808EB">
              <w:rPr>
                <w:b/>
                <w:bCs/>
              </w:rPr>
              <w:t>will</w:t>
            </w:r>
            <w:r w:rsidRPr="00D808EB">
              <w:rPr>
                <w:i w:val="0"/>
                <w:iCs/>
              </w:rPr>
              <w:t xml:space="preserve"> engage in a constructive dialogue with a view to seeking a joint understanding of the budgetary implications of the envisaged legal act having due regard to the urgency of the matter.</w:t>
            </w:r>
          </w:p>
          <w:p w14:paraId="1AEF873D" w14:textId="77777777" w:rsidR="008B2D19" w:rsidRPr="00D808EB" w:rsidRDefault="008B2D19" w:rsidP="00803DA5">
            <w:pPr>
              <w:pStyle w:val="AmColumnHeading"/>
              <w:jc w:val="left"/>
              <w:rPr>
                <w:b/>
                <w:bCs/>
                <w:iCs/>
              </w:rPr>
            </w:pPr>
            <w:r w:rsidRPr="00D808EB">
              <w:rPr>
                <w:i w:val="0"/>
                <w:iCs/>
              </w:rPr>
              <w:t xml:space="preserve">The procedure </w:t>
            </w:r>
            <w:r w:rsidRPr="00D808EB">
              <w:rPr>
                <w:b/>
                <w:bCs/>
              </w:rPr>
              <w:t>should</w:t>
            </w:r>
            <w:r w:rsidRPr="00D808EB">
              <w:rPr>
                <w:i w:val="0"/>
                <w:iCs/>
              </w:rPr>
              <w:t xml:space="preserve"> take place during a period not exceeding two months, </w:t>
            </w:r>
            <w:r w:rsidRPr="00D808EB">
              <w:rPr>
                <w:b/>
                <w:bCs/>
              </w:rPr>
              <w:t>unless</w:t>
            </w:r>
            <w:r w:rsidRPr="00D808EB">
              <w:rPr>
                <w:i w:val="0"/>
                <w:iCs/>
              </w:rPr>
              <w:t xml:space="preserve"> the act in question </w:t>
            </w:r>
            <w:r w:rsidRPr="00D808EB">
              <w:rPr>
                <w:b/>
                <w:bCs/>
              </w:rPr>
              <w:t>must be</w:t>
            </w:r>
            <w:r w:rsidRPr="00D808EB">
              <w:rPr>
                <w:i w:val="0"/>
                <w:iCs/>
              </w:rPr>
              <w:t xml:space="preserve"> adopted before </w:t>
            </w:r>
            <w:r w:rsidRPr="00D808EB">
              <w:rPr>
                <w:b/>
                <w:bCs/>
              </w:rPr>
              <w:t>a specific date</w:t>
            </w:r>
            <w:r w:rsidRPr="00D808EB">
              <w:rPr>
                <w:i w:val="0"/>
                <w:iCs/>
              </w:rPr>
              <w:t xml:space="preserve"> or, </w:t>
            </w:r>
            <w:r w:rsidRPr="00D808EB">
              <w:rPr>
                <w:b/>
                <w:bCs/>
              </w:rPr>
              <w:t>if</w:t>
            </w:r>
            <w:r w:rsidRPr="00D808EB">
              <w:t xml:space="preserve"> </w:t>
            </w:r>
            <w:r w:rsidRPr="00D808EB">
              <w:rPr>
                <w:i w:val="0"/>
                <w:iCs/>
              </w:rPr>
              <w:t xml:space="preserve">the urgency of the matter so requires, </w:t>
            </w:r>
            <w:r w:rsidRPr="00D808EB">
              <w:rPr>
                <w:b/>
                <w:bCs/>
              </w:rPr>
              <w:t>within a shorter time limit fixed by the Council.</w:t>
            </w:r>
          </w:p>
        </w:tc>
        <w:tc>
          <w:tcPr>
            <w:tcW w:w="4876" w:type="dxa"/>
          </w:tcPr>
          <w:p w14:paraId="7223E328" w14:textId="77777777" w:rsidR="008B2D19" w:rsidRPr="00D808EB" w:rsidRDefault="008B2D19" w:rsidP="00803DA5">
            <w:pPr>
              <w:pStyle w:val="AmColumnHeading"/>
              <w:jc w:val="left"/>
              <w:rPr>
                <w:i w:val="0"/>
                <w:iCs/>
              </w:rPr>
            </w:pPr>
            <w:r w:rsidRPr="00D808EB">
              <w:rPr>
                <w:i w:val="0"/>
                <w:iCs/>
              </w:rPr>
              <w:t>16.</w:t>
            </w:r>
            <w:r w:rsidRPr="00D808EB">
              <w:rPr>
                <w:i w:val="0"/>
                <w:iCs/>
              </w:rPr>
              <w:tab/>
              <w:t xml:space="preserve">The Commission </w:t>
            </w:r>
            <w:r w:rsidRPr="00D808EB">
              <w:rPr>
                <w:b/>
                <w:bCs/>
              </w:rPr>
              <w:t>shall</w:t>
            </w:r>
            <w:r w:rsidRPr="00D808EB">
              <w:rPr>
                <w:i w:val="0"/>
                <w:iCs/>
              </w:rPr>
              <w:t xml:space="preserve"> accompany any proposal for an act of the Council under Article 122 TFEU by an assessment of the budgetary implications of the proposed legal act and </w:t>
            </w:r>
            <w:r w:rsidRPr="00D808EB">
              <w:rPr>
                <w:b/>
                <w:bCs/>
              </w:rPr>
              <w:t>shall</w:t>
            </w:r>
            <w:r w:rsidRPr="00D808EB">
              <w:rPr>
                <w:i w:val="0"/>
                <w:iCs/>
              </w:rPr>
              <w:t xml:space="preserve"> indicate whether the act in question may, in its view, have appreciable implications for the Union budget. On that basis, the European Parliament and the Council may request that the procedure be initiated.</w:t>
            </w:r>
          </w:p>
          <w:p w14:paraId="65CE77FB" w14:textId="77777777" w:rsidR="008B2D19" w:rsidRPr="00D808EB" w:rsidRDefault="008B2D19" w:rsidP="00803DA5">
            <w:pPr>
              <w:pStyle w:val="AmColumnHeading"/>
              <w:jc w:val="left"/>
              <w:rPr>
                <w:i w:val="0"/>
                <w:iCs/>
              </w:rPr>
            </w:pPr>
            <w:r w:rsidRPr="00D808EB">
              <w:rPr>
                <w:i w:val="0"/>
                <w:iCs/>
              </w:rPr>
              <w:t xml:space="preserve">The procedure </w:t>
            </w:r>
            <w:r w:rsidRPr="00D808EB">
              <w:rPr>
                <w:b/>
                <w:bCs/>
              </w:rPr>
              <w:t xml:space="preserve">shall </w:t>
            </w:r>
            <w:r w:rsidRPr="00D808EB">
              <w:rPr>
                <w:i w:val="0"/>
                <w:iCs/>
              </w:rPr>
              <w:t xml:space="preserve">take place in a Joint Committee consisting of representatives of the European Parliament and of the Council at the appropriate level. The Commission </w:t>
            </w:r>
            <w:r w:rsidRPr="00D808EB">
              <w:rPr>
                <w:b/>
                <w:bCs/>
              </w:rPr>
              <w:t>shall</w:t>
            </w:r>
            <w:r w:rsidRPr="00D808EB">
              <w:rPr>
                <w:i w:val="0"/>
                <w:iCs/>
              </w:rPr>
              <w:t xml:space="preserve"> participate in the work of the Joint Committee.</w:t>
            </w:r>
          </w:p>
          <w:p w14:paraId="3CDDBB2A" w14:textId="77777777" w:rsidR="008B2D19" w:rsidRPr="00D808EB" w:rsidRDefault="008B2D19" w:rsidP="00803DA5">
            <w:pPr>
              <w:pStyle w:val="AmColumnHeading"/>
              <w:jc w:val="left"/>
              <w:rPr>
                <w:i w:val="0"/>
                <w:iCs/>
              </w:rPr>
            </w:pPr>
            <w:r w:rsidRPr="00D808EB">
              <w:rPr>
                <w:i w:val="0"/>
                <w:iCs/>
              </w:rPr>
              <w:t>Without prejudice to the powers of the Council under Article 122 TFEU, the European Parliament and the Council</w:t>
            </w:r>
            <w:r w:rsidRPr="00D808EB">
              <w:t xml:space="preserve"> </w:t>
            </w:r>
            <w:r w:rsidRPr="00D808EB">
              <w:rPr>
                <w:b/>
                <w:bCs/>
              </w:rPr>
              <w:t>shall</w:t>
            </w:r>
            <w:r w:rsidRPr="00D808EB">
              <w:rPr>
                <w:i w:val="0"/>
                <w:iCs/>
              </w:rPr>
              <w:t xml:space="preserve"> engage in a constructive dialogue with a view to seeking a joint </w:t>
            </w:r>
            <w:r w:rsidRPr="00D808EB">
              <w:rPr>
                <w:b/>
                <w:bCs/>
              </w:rPr>
              <w:t xml:space="preserve">written </w:t>
            </w:r>
            <w:r w:rsidRPr="00D808EB">
              <w:rPr>
                <w:i w:val="0"/>
                <w:iCs/>
              </w:rPr>
              <w:t>understanding of the budgetary implications of the envisaged legal act having due regard to the urgency of the matter.</w:t>
            </w:r>
          </w:p>
          <w:p w14:paraId="21621213" w14:textId="77777777" w:rsidR="008B2D19" w:rsidRPr="00D808EB" w:rsidRDefault="008B2D19" w:rsidP="00803DA5">
            <w:pPr>
              <w:pStyle w:val="AmColumnHeading"/>
              <w:jc w:val="left"/>
              <w:rPr>
                <w:szCs w:val="24"/>
              </w:rPr>
            </w:pPr>
            <w:r w:rsidRPr="00D808EB">
              <w:rPr>
                <w:i w:val="0"/>
                <w:iCs/>
              </w:rPr>
              <w:t xml:space="preserve">The procedure </w:t>
            </w:r>
            <w:r w:rsidRPr="00D808EB">
              <w:rPr>
                <w:b/>
                <w:bCs/>
              </w:rPr>
              <w:t>shall</w:t>
            </w:r>
            <w:r w:rsidRPr="00D808EB">
              <w:t xml:space="preserve"> </w:t>
            </w:r>
            <w:r w:rsidRPr="00D808EB">
              <w:rPr>
                <w:i w:val="0"/>
                <w:iCs/>
              </w:rPr>
              <w:t>take place during a period not exceeding two months</w:t>
            </w:r>
            <w:r w:rsidRPr="00D808EB">
              <w:rPr>
                <w:b/>
                <w:bCs/>
                <w:i w:val="0"/>
                <w:iCs/>
              </w:rPr>
              <w:t xml:space="preserve"> </w:t>
            </w:r>
            <w:r w:rsidRPr="00D808EB">
              <w:rPr>
                <w:b/>
                <w:bCs/>
              </w:rPr>
              <w:t xml:space="preserve">from the date on which it is initiated. Where it is necessary for </w:t>
            </w:r>
            <w:r w:rsidRPr="00D808EB">
              <w:rPr>
                <w:i w:val="0"/>
                <w:iCs/>
              </w:rPr>
              <w:t xml:space="preserve">the act in question </w:t>
            </w:r>
            <w:r w:rsidRPr="00D808EB">
              <w:rPr>
                <w:b/>
                <w:bCs/>
                <w:i w:val="0"/>
                <w:iCs/>
              </w:rPr>
              <w:t>to</w:t>
            </w:r>
            <w:r w:rsidRPr="00D808EB">
              <w:rPr>
                <w:i w:val="0"/>
                <w:iCs/>
              </w:rPr>
              <w:t xml:space="preserve"> be adopted before </w:t>
            </w:r>
            <w:r w:rsidRPr="00D808EB">
              <w:rPr>
                <w:b/>
                <w:bCs/>
              </w:rPr>
              <w:t>the end of that two-month period</w:t>
            </w:r>
            <w:r w:rsidRPr="00D808EB">
              <w:t xml:space="preserve"> </w:t>
            </w:r>
            <w:r w:rsidRPr="00D808EB">
              <w:rPr>
                <w:i w:val="0"/>
                <w:iCs/>
              </w:rPr>
              <w:t xml:space="preserve">or </w:t>
            </w:r>
            <w:r w:rsidRPr="00D808EB">
              <w:rPr>
                <w:b/>
                <w:bCs/>
              </w:rPr>
              <w:t>where</w:t>
            </w:r>
            <w:r w:rsidRPr="00D808EB">
              <w:t xml:space="preserve"> </w:t>
            </w:r>
            <w:r w:rsidRPr="00D808EB">
              <w:rPr>
                <w:i w:val="0"/>
                <w:iCs/>
              </w:rPr>
              <w:t xml:space="preserve">the urgency of the matter so requires, </w:t>
            </w:r>
            <w:r w:rsidRPr="00D808EB">
              <w:rPr>
                <w:b/>
                <w:bCs/>
              </w:rPr>
              <w:t xml:space="preserve">the European Parliament and the Council may shorten that </w:t>
            </w:r>
            <w:r w:rsidRPr="00D808EB">
              <w:rPr>
                <w:b/>
              </w:rPr>
              <w:t>period by common agreement</w:t>
            </w:r>
            <w:r w:rsidRPr="00D808EB">
              <w:t>.</w:t>
            </w:r>
          </w:p>
        </w:tc>
      </w:tr>
    </w:tbl>
    <w:p w14:paraId="4EE69E74"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0059B29E" w14:textId="77777777" w:rsidR="008B2D19" w:rsidRPr="00D808EB" w:rsidRDefault="008B2D19" w:rsidP="008B2D19">
      <w:r w:rsidRPr="00D808EB">
        <w:rPr>
          <w:rStyle w:val="HideTWBExt"/>
          <w:noProof w:val="0"/>
        </w:rPr>
        <w:t>&lt;/Amend&gt;</w:t>
      </w:r>
    </w:p>
    <w:p w14:paraId="0C260F26"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31</w:t>
      </w:r>
      <w:r w:rsidRPr="00D808EB">
        <w:rPr>
          <w:rStyle w:val="HideTWBExt"/>
          <w:b w:val="0"/>
          <w:noProof w:val="0"/>
        </w:rPr>
        <w:t>&lt;/NumAm&gt;</w:t>
      </w:r>
    </w:p>
    <w:p w14:paraId="2B1FDDAE"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008818E6"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3</w:t>
      </w:r>
      <w:r w:rsidRPr="00D808EB">
        <w:rPr>
          <w:rStyle w:val="HideTWBExt"/>
          <w:b w:val="0"/>
          <w:noProof w:val="0"/>
        </w:rPr>
        <w:t>&lt;/Article&gt;</w:t>
      </w:r>
    </w:p>
    <w:p w14:paraId="002FD8BB"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Section A – title</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2630E1B1" w14:textId="77777777" w:rsidTr="00803DA5">
        <w:trPr>
          <w:jc w:val="center"/>
        </w:trPr>
        <w:tc>
          <w:tcPr>
            <w:tcW w:w="9752" w:type="dxa"/>
            <w:gridSpan w:val="2"/>
          </w:tcPr>
          <w:p w14:paraId="469A3D5D" w14:textId="77777777" w:rsidR="008B2D19" w:rsidRPr="00D808EB" w:rsidRDefault="008B2D19" w:rsidP="00803DA5">
            <w:pPr>
              <w:keepNext/>
            </w:pPr>
          </w:p>
        </w:tc>
      </w:tr>
      <w:tr w:rsidR="008B2D19" w:rsidRPr="00D808EB" w14:paraId="0332E651" w14:textId="77777777" w:rsidTr="00803DA5">
        <w:trPr>
          <w:jc w:val="center"/>
        </w:trPr>
        <w:tc>
          <w:tcPr>
            <w:tcW w:w="4876" w:type="dxa"/>
          </w:tcPr>
          <w:p w14:paraId="3C4EFEDF" w14:textId="77777777" w:rsidR="008B2D19" w:rsidRPr="00D808EB" w:rsidRDefault="008B2D19" w:rsidP="00803DA5">
            <w:pPr>
              <w:pStyle w:val="AmColumnHeading"/>
              <w:keepNext/>
            </w:pPr>
            <w:r w:rsidRPr="00D808EB">
              <w:t>Text proposed by the Commission</w:t>
            </w:r>
          </w:p>
        </w:tc>
        <w:tc>
          <w:tcPr>
            <w:tcW w:w="4876" w:type="dxa"/>
          </w:tcPr>
          <w:p w14:paraId="3D947400" w14:textId="77777777" w:rsidR="008B2D19" w:rsidRPr="00D808EB" w:rsidRDefault="008B2D19" w:rsidP="00803DA5">
            <w:pPr>
              <w:pStyle w:val="AmColumnHeading"/>
              <w:keepNext/>
            </w:pPr>
            <w:r w:rsidRPr="00D808EB">
              <w:t>Modification</w:t>
            </w:r>
          </w:p>
        </w:tc>
      </w:tr>
      <w:tr w:rsidR="008B2D19" w:rsidRPr="00C728B7" w14:paraId="7D16E021" w14:textId="77777777" w:rsidTr="00803DA5">
        <w:trPr>
          <w:jc w:val="center"/>
        </w:trPr>
        <w:tc>
          <w:tcPr>
            <w:tcW w:w="4876" w:type="dxa"/>
          </w:tcPr>
          <w:p w14:paraId="52BA5B63" w14:textId="77777777" w:rsidR="008B2D19" w:rsidRPr="00D808EB" w:rsidRDefault="008B2D19" w:rsidP="00803DA5">
            <w:pPr>
              <w:pStyle w:val="AmColumnHeading"/>
              <w:jc w:val="left"/>
              <w:rPr>
                <w:b/>
                <w:bCs/>
                <w:iCs/>
                <w:lang w:val="fr-BE"/>
              </w:rPr>
            </w:pPr>
            <w:r w:rsidRPr="00D808EB">
              <w:rPr>
                <w:i w:val="0"/>
                <w:iCs/>
                <w:lang w:val="fr-BE"/>
              </w:rPr>
              <w:t xml:space="preserve">A. BUDGET IMPLEMENTATION, PAYMENTS </w:t>
            </w:r>
            <w:r w:rsidRPr="00D808EB">
              <w:rPr>
                <w:b/>
                <w:bCs/>
                <w:lang w:val="fr-BE"/>
              </w:rPr>
              <w:t>AND</w:t>
            </w:r>
            <w:r w:rsidRPr="00D808EB">
              <w:rPr>
                <w:i w:val="0"/>
                <w:iCs/>
                <w:lang w:val="fr-BE"/>
              </w:rPr>
              <w:t xml:space="preserve"> RESTE À LIQUIDER (RAL)</w:t>
            </w:r>
          </w:p>
        </w:tc>
        <w:tc>
          <w:tcPr>
            <w:tcW w:w="4876" w:type="dxa"/>
          </w:tcPr>
          <w:p w14:paraId="5250B404" w14:textId="77777777" w:rsidR="008B2D19" w:rsidRPr="00D808EB" w:rsidRDefault="008B2D19" w:rsidP="00803DA5">
            <w:pPr>
              <w:pStyle w:val="AmColumnHeading"/>
              <w:jc w:val="left"/>
              <w:rPr>
                <w:szCs w:val="24"/>
                <w:lang w:val="fr-BE"/>
              </w:rPr>
            </w:pPr>
            <w:r w:rsidRPr="00D808EB">
              <w:rPr>
                <w:i w:val="0"/>
                <w:iCs/>
                <w:lang w:val="fr-BE"/>
              </w:rPr>
              <w:t>A. BUDGET IMPLEMENTATION, PAYMENTS</w:t>
            </w:r>
            <w:r w:rsidRPr="00D808EB">
              <w:rPr>
                <w:b/>
                <w:bCs/>
                <w:lang w:val="fr-BE"/>
              </w:rPr>
              <w:t>,</w:t>
            </w:r>
            <w:r w:rsidRPr="00D808EB">
              <w:rPr>
                <w:i w:val="0"/>
                <w:iCs/>
                <w:lang w:val="fr-BE"/>
              </w:rPr>
              <w:t xml:space="preserve"> RESTE À LIQUIDER (RAL)</w:t>
            </w:r>
            <w:r w:rsidRPr="00D808EB">
              <w:rPr>
                <w:lang w:val="fr-BE"/>
              </w:rPr>
              <w:t xml:space="preserve"> </w:t>
            </w:r>
            <w:r w:rsidRPr="00D808EB">
              <w:rPr>
                <w:b/>
                <w:bCs/>
                <w:lang w:val="fr-BE"/>
              </w:rPr>
              <w:t>AND CONTINGENT LIABILITIES</w:t>
            </w:r>
          </w:p>
        </w:tc>
      </w:tr>
    </w:tbl>
    <w:p w14:paraId="71A15AA8"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561FC4DC" w14:textId="77777777" w:rsidR="008B2D19" w:rsidRPr="00D808EB" w:rsidRDefault="008B2D19" w:rsidP="008B2D19">
      <w:r w:rsidRPr="00D808EB">
        <w:rPr>
          <w:rStyle w:val="HideTWBExt"/>
          <w:noProof w:val="0"/>
        </w:rPr>
        <w:t>&lt;/Amend&gt;</w:t>
      </w:r>
    </w:p>
    <w:p w14:paraId="1BD00012"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32</w:t>
      </w:r>
      <w:r w:rsidRPr="00D808EB">
        <w:rPr>
          <w:rStyle w:val="HideTWBExt"/>
          <w:b w:val="0"/>
          <w:noProof w:val="0"/>
        </w:rPr>
        <w:t>&lt;/NumAm&gt;</w:t>
      </w:r>
    </w:p>
    <w:p w14:paraId="159F6558"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1EFF9A4B"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3</w:t>
      </w:r>
      <w:r w:rsidRPr="00D808EB">
        <w:rPr>
          <w:rStyle w:val="HideTWBExt"/>
          <w:b w:val="0"/>
          <w:noProof w:val="0"/>
        </w:rPr>
        <w:t>&lt;/Article&gt;</w:t>
      </w:r>
    </w:p>
    <w:p w14:paraId="4ECEE0FF"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Section A – point 19 </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505AA1A4" w14:textId="77777777" w:rsidTr="00803DA5">
        <w:trPr>
          <w:jc w:val="center"/>
        </w:trPr>
        <w:tc>
          <w:tcPr>
            <w:tcW w:w="9752" w:type="dxa"/>
            <w:gridSpan w:val="2"/>
          </w:tcPr>
          <w:p w14:paraId="719A87DA" w14:textId="77777777" w:rsidR="008B2D19" w:rsidRPr="00D808EB" w:rsidRDefault="008B2D19" w:rsidP="00803DA5">
            <w:pPr>
              <w:keepNext/>
            </w:pPr>
          </w:p>
        </w:tc>
      </w:tr>
      <w:tr w:rsidR="008B2D19" w:rsidRPr="00D808EB" w14:paraId="2F7E8735" w14:textId="77777777" w:rsidTr="00803DA5">
        <w:trPr>
          <w:jc w:val="center"/>
        </w:trPr>
        <w:tc>
          <w:tcPr>
            <w:tcW w:w="4876" w:type="dxa"/>
          </w:tcPr>
          <w:p w14:paraId="3FF7FCB3" w14:textId="77777777" w:rsidR="008B2D19" w:rsidRPr="00D808EB" w:rsidRDefault="008B2D19" w:rsidP="00803DA5">
            <w:pPr>
              <w:pStyle w:val="AmColumnHeading"/>
              <w:keepNext/>
            </w:pPr>
            <w:r w:rsidRPr="00D808EB">
              <w:t>Text proposed by the Commission</w:t>
            </w:r>
          </w:p>
        </w:tc>
        <w:tc>
          <w:tcPr>
            <w:tcW w:w="4876" w:type="dxa"/>
          </w:tcPr>
          <w:p w14:paraId="27A63CFD" w14:textId="77777777" w:rsidR="008B2D19" w:rsidRPr="00D808EB" w:rsidRDefault="008B2D19" w:rsidP="00803DA5">
            <w:pPr>
              <w:pStyle w:val="AmColumnHeading"/>
              <w:keepNext/>
            </w:pPr>
            <w:r w:rsidRPr="00D808EB">
              <w:t>Modification</w:t>
            </w:r>
          </w:p>
        </w:tc>
      </w:tr>
      <w:tr w:rsidR="008B2D19" w:rsidRPr="00D808EB" w14:paraId="074BD768" w14:textId="77777777" w:rsidTr="00803DA5">
        <w:trPr>
          <w:jc w:val="center"/>
        </w:trPr>
        <w:tc>
          <w:tcPr>
            <w:tcW w:w="4876" w:type="dxa"/>
          </w:tcPr>
          <w:p w14:paraId="2415D92B" w14:textId="77777777" w:rsidR="008B2D19" w:rsidRPr="00D808EB" w:rsidRDefault="008B2D19" w:rsidP="00803DA5">
            <w:pPr>
              <w:pStyle w:val="AmColumnHeading"/>
              <w:jc w:val="left"/>
              <w:rPr>
                <w:iCs/>
              </w:rPr>
            </w:pPr>
            <w:r w:rsidRPr="00D808EB">
              <w:rPr>
                <w:i w:val="0"/>
              </w:rPr>
              <w:t>19.</w:t>
            </w:r>
            <w:r w:rsidRPr="00D808EB">
              <w:rPr>
                <w:iCs/>
              </w:rPr>
              <w:tab/>
            </w:r>
            <w:r w:rsidRPr="00D808EB">
              <w:rPr>
                <w:b/>
                <w:bCs/>
                <w:iCs/>
              </w:rPr>
              <w:t>Given the need to ensure</w:t>
            </w:r>
            <w:r w:rsidRPr="00D808EB">
              <w:rPr>
                <w:iCs/>
              </w:rPr>
              <w:t xml:space="preserve"> </w:t>
            </w:r>
            <w:r w:rsidRPr="00D808EB">
              <w:rPr>
                <w:i w:val="0"/>
              </w:rPr>
              <w:t>an orderly progression of the total appropriations for payments in relation to the appropriations for commitments so as to avoid any abnormal shift of outstanding commitments (RAL), the Institutions agree to monitor closely the payment forecasts and the level of the RAL</w:t>
            </w:r>
            <w:r w:rsidRPr="00D808EB">
              <w:rPr>
                <w:iCs/>
              </w:rPr>
              <w:t xml:space="preserve"> </w:t>
            </w:r>
            <w:r w:rsidRPr="00D808EB">
              <w:rPr>
                <w:b/>
                <w:bCs/>
                <w:iCs/>
              </w:rPr>
              <w:t>so as to mitigate the risk of hampering the implementation of Union programmes because of a lack of payment appropriations at the end of the MFF</w:t>
            </w:r>
            <w:r w:rsidRPr="00D808EB">
              <w:rPr>
                <w:iCs/>
              </w:rPr>
              <w:t>.</w:t>
            </w:r>
          </w:p>
          <w:p w14:paraId="75390316" w14:textId="77777777" w:rsidR="008B2D19" w:rsidRPr="00D808EB" w:rsidRDefault="008B2D19" w:rsidP="00803DA5">
            <w:pPr>
              <w:pStyle w:val="AmColumnHeading"/>
              <w:jc w:val="left"/>
              <w:rPr>
                <w:iCs/>
              </w:rPr>
            </w:pPr>
          </w:p>
          <w:p w14:paraId="2738533D" w14:textId="77777777" w:rsidR="008B2D19" w:rsidRPr="00D808EB" w:rsidRDefault="008B2D19" w:rsidP="00803DA5">
            <w:pPr>
              <w:pStyle w:val="AmColumnHeading"/>
              <w:spacing w:after="840"/>
              <w:jc w:val="left"/>
              <w:rPr>
                <w:b/>
                <w:bCs/>
                <w:iCs/>
              </w:rPr>
            </w:pPr>
          </w:p>
          <w:p w14:paraId="36DE0288" w14:textId="77777777" w:rsidR="008B2D19" w:rsidRPr="00D808EB" w:rsidRDefault="008B2D19" w:rsidP="00803DA5">
            <w:pPr>
              <w:pStyle w:val="AmColumnHeading"/>
              <w:jc w:val="left"/>
              <w:rPr>
                <w:b/>
                <w:bCs/>
                <w:i w:val="0"/>
              </w:rPr>
            </w:pPr>
            <w:r w:rsidRPr="00D808EB">
              <w:rPr>
                <w:i w:val="0"/>
              </w:rPr>
              <w:t xml:space="preserve">In the course of the budgetary procedure, the Institutions shall meet regularly with a view to jointly assessing the state of play and the outlook for budgetary implementation in the current and future financial years. That assessment shall take the form of dedicated interinstitutional meetings at the appropriate level, before which the Commission shall provide, </w:t>
            </w:r>
            <w:r w:rsidRPr="00D808EB">
              <w:rPr>
                <w:b/>
                <w:bCs/>
                <w:iCs/>
              </w:rPr>
              <w:t>as appropriate,</w:t>
            </w:r>
            <w:r w:rsidRPr="00D808EB">
              <w:rPr>
                <w:b/>
                <w:bCs/>
                <w:i w:val="0"/>
              </w:rPr>
              <w:t xml:space="preserve"> </w:t>
            </w:r>
            <w:r w:rsidRPr="00D808EB">
              <w:rPr>
                <w:i w:val="0"/>
              </w:rPr>
              <w:t xml:space="preserve">a detailed state of play on payment implementation, on payment claims received and revised forecasts, including long-term forecasts, where applicable, as well as </w:t>
            </w:r>
            <w:r w:rsidRPr="00D808EB">
              <w:rPr>
                <w:b/>
                <w:bCs/>
                <w:iCs/>
              </w:rPr>
              <w:t>relevant</w:t>
            </w:r>
            <w:r w:rsidRPr="00D808EB">
              <w:rPr>
                <w:iCs/>
              </w:rPr>
              <w:t xml:space="preserve"> </w:t>
            </w:r>
            <w:r w:rsidRPr="00D808EB">
              <w:rPr>
                <w:i w:val="0"/>
              </w:rPr>
              <w:t>information on contingent liabilities.</w:t>
            </w:r>
          </w:p>
        </w:tc>
        <w:tc>
          <w:tcPr>
            <w:tcW w:w="4876" w:type="dxa"/>
          </w:tcPr>
          <w:p w14:paraId="7E13FE29" w14:textId="77777777" w:rsidR="008B2D19" w:rsidRPr="00D808EB" w:rsidRDefault="008B2D19" w:rsidP="00803DA5">
            <w:pPr>
              <w:pStyle w:val="AmColumnHeading"/>
              <w:jc w:val="left"/>
              <w:rPr>
                <w:szCs w:val="24"/>
              </w:rPr>
            </w:pPr>
            <w:r w:rsidRPr="00D808EB">
              <w:rPr>
                <w:i w:val="0"/>
                <w:iCs/>
                <w:szCs w:val="24"/>
              </w:rPr>
              <w:t>19</w:t>
            </w:r>
            <w:r w:rsidRPr="00D808EB">
              <w:rPr>
                <w:szCs w:val="24"/>
              </w:rPr>
              <w:t>.</w:t>
            </w:r>
            <w:r w:rsidRPr="00D808EB">
              <w:rPr>
                <w:szCs w:val="24"/>
              </w:rPr>
              <w:tab/>
            </w:r>
            <w:r w:rsidRPr="00D808EB">
              <w:rPr>
                <w:b/>
                <w:bCs/>
                <w:iCs/>
                <w:szCs w:val="24"/>
              </w:rPr>
              <w:t>In order to ensure that the Union is able to fulfil its financial obligations stemming from existing and future commitments in accordance with Article 323 TFEU and with a view to ensuring</w:t>
            </w:r>
            <w:r w:rsidRPr="00D808EB">
              <w:rPr>
                <w:szCs w:val="24"/>
              </w:rPr>
              <w:t xml:space="preserve"> </w:t>
            </w:r>
            <w:r w:rsidRPr="00D808EB">
              <w:rPr>
                <w:i w:val="0"/>
                <w:iCs/>
                <w:szCs w:val="24"/>
              </w:rPr>
              <w:t xml:space="preserve">an orderly progression of the total appropriations for payments in relation to the appropriations for commitments so as to avoid any abnormal shift of outstanding commitments (RAL), the Institutions agree to monitor closely </w:t>
            </w:r>
            <w:r w:rsidRPr="00D808EB">
              <w:rPr>
                <w:b/>
                <w:bCs/>
                <w:iCs/>
                <w:szCs w:val="24"/>
              </w:rPr>
              <w:t>borrowing and lending operations and contingent liabilities and, so as to mitigate the risk of hampering the implementation of Union programmes because of a lack of payment appropriations at the end of the MFF,</w:t>
            </w:r>
            <w:r w:rsidRPr="00D808EB">
              <w:rPr>
                <w:b/>
                <w:bCs/>
                <w:i w:val="0"/>
                <w:iCs/>
                <w:szCs w:val="24"/>
              </w:rPr>
              <w:t xml:space="preserve"> </w:t>
            </w:r>
            <w:r w:rsidRPr="00D808EB">
              <w:rPr>
                <w:i w:val="0"/>
                <w:iCs/>
                <w:szCs w:val="24"/>
              </w:rPr>
              <w:t>the payment forecasts and the level of the RAL.</w:t>
            </w:r>
          </w:p>
          <w:p w14:paraId="600A542B" w14:textId="77777777" w:rsidR="008B2D19" w:rsidRPr="00D808EB" w:rsidRDefault="008B2D19" w:rsidP="00803DA5">
            <w:pPr>
              <w:pStyle w:val="AmColumnHeading"/>
              <w:jc w:val="left"/>
              <w:rPr>
                <w:i w:val="0"/>
                <w:szCs w:val="24"/>
              </w:rPr>
            </w:pPr>
            <w:r w:rsidRPr="00D808EB">
              <w:rPr>
                <w:i w:val="0"/>
                <w:szCs w:val="24"/>
              </w:rPr>
              <w:t xml:space="preserve">In the course of the budgetary procedure, the Institutions shall meet regularly with a view to jointly assessing the state of play and the outlook for </w:t>
            </w:r>
            <w:r w:rsidRPr="00D808EB">
              <w:rPr>
                <w:b/>
                <w:bCs/>
                <w:szCs w:val="24"/>
              </w:rPr>
              <w:t>borrowing and lending and contingent liabilities and</w:t>
            </w:r>
            <w:r w:rsidRPr="00D808EB">
              <w:rPr>
                <w:b/>
                <w:bCs/>
                <w:i w:val="0"/>
                <w:szCs w:val="24"/>
              </w:rPr>
              <w:t xml:space="preserve"> </w:t>
            </w:r>
            <w:r w:rsidRPr="00D808EB">
              <w:rPr>
                <w:i w:val="0"/>
                <w:szCs w:val="24"/>
              </w:rPr>
              <w:t xml:space="preserve">budgetary implementation in the current and future financial years. That assessment shall take the form of dedicated interinstitutional meetings at the appropriate level, before which the Commission shall provide, a detailed state of play on payment implementation, </w:t>
            </w:r>
            <w:r w:rsidRPr="00D808EB">
              <w:rPr>
                <w:b/>
                <w:bCs/>
                <w:szCs w:val="24"/>
              </w:rPr>
              <w:t xml:space="preserve">on transfers, </w:t>
            </w:r>
            <w:r w:rsidRPr="00D808EB">
              <w:rPr>
                <w:i w:val="0"/>
                <w:szCs w:val="24"/>
              </w:rPr>
              <w:t>on payment claims received and revised forecasts, including long-term forecasts, where applicable, as well as</w:t>
            </w:r>
            <w:r w:rsidRPr="00D808EB">
              <w:rPr>
                <w:szCs w:val="24"/>
              </w:rPr>
              <w:t xml:space="preserve"> </w:t>
            </w:r>
            <w:r w:rsidRPr="00D808EB">
              <w:rPr>
                <w:b/>
                <w:bCs/>
                <w:szCs w:val="24"/>
              </w:rPr>
              <w:t>full</w:t>
            </w:r>
            <w:r w:rsidRPr="00D808EB">
              <w:rPr>
                <w:szCs w:val="24"/>
              </w:rPr>
              <w:t xml:space="preserve"> </w:t>
            </w:r>
            <w:r w:rsidRPr="00D808EB">
              <w:rPr>
                <w:i w:val="0"/>
                <w:szCs w:val="24"/>
              </w:rPr>
              <w:t xml:space="preserve">information on contingent liabilities </w:t>
            </w:r>
            <w:r w:rsidRPr="00D808EB">
              <w:rPr>
                <w:b/>
                <w:bCs/>
                <w:szCs w:val="24"/>
              </w:rPr>
              <w:t xml:space="preserve">and the corresponding budgetary cover, including long-term forecasts, </w:t>
            </w:r>
            <w:r w:rsidRPr="00D808EB">
              <w:rPr>
                <w:b/>
                <w:szCs w:val="24"/>
              </w:rPr>
              <w:t>methodologies</w:t>
            </w:r>
            <w:r w:rsidRPr="00D808EB">
              <w:rPr>
                <w:b/>
                <w:bCs/>
                <w:szCs w:val="24"/>
              </w:rPr>
              <w:t>, and updates on borrowing and lending.</w:t>
            </w:r>
          </w:p>
        </w:tc>
      </w:tr>
    </w:tbl>
    <w:p w14:paraId="039365D6"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48B666EF" w14:textId="77777777" w:rsidR="008B2D19" w:rsidRPr="00D808EB" w:rsidRDefault="008B2D19" w:rsidP="008B2D19">
      <w:r w:rsidRPr="00D808EB">
        <w:rPr>
          <w:rStyle w:val="HideTWBExt"/>
          <w:noProof w:val="0"/>
        </w:rPr>
        <w:t>&lt;/Amend&gt;</w:t>
      </w:r>
    </w:p>
    <w:p w14:paraId="1897AE67"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33</w:t>
      </w:r>
      <w:r w:rsidRPr="00D808EB">
        <w:rPr>
          <w:rStyle w:val="HideTWBExt"/>
          <w:b w:val="0"/>
          <w:noProof w:val="0"/>
        </w:rPr>
        <w:t>&lt;/NumAm&gt;</w:t>
      </w:r>
    </w:p>
    <w:p w14:paraId="0E0A5527"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3D716154"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3</w:t>
      </w:r>
      <w:r w:rsidRPr="00D808EB">
        <w:rPr>
          <w:rStyle w:val="HideTWBExt"/>
          <w:b w:val="0"/>
          <w:noProof w:val="0"/>
        </w:rPr>
        <w:t>&lt;/Article&gt;</w:t>
      </w:r>
    </w:p>
    <w:p w14:paraId="41AFBB24"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Section C – point 22 </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7C40F434" w14:textId="77777777" w:rsidTr="00803DA5">
        <w:trPr>
          <w:jc w:val="center"/>
        </w:trPr>
        <w:tc>
          <w:tcPr>
            <w:tcW w:w="9752" w:type="dxa"/>
            <w:gridSpan w:val="2"/>
          </w:tcPr>
          <w:p w14:paraId="0DAB35F0" w14:textId="77777777" w:rsidR="008B2D19" w:rsidRPr="00D808EB" w:rsidRDefault="008B2D19" w:rsidP="00803DA5">
            <w:pPr>
              <w:keepNext/>
            </w:pPr>
          </w:p>
        </w:tc>
      </w:tr>
      <w:tr w:rsidR="008B2D19" w:rsidRPr="00D808EB" w14:paraId="28A85D0A" w14:textId="77777777" w:rsidTr="00803DA5">
        <w:trPr>
          <w:jc w:val="center"/>
        </w:trPr>
        <w:tc>
          <w:tcPr>
            <w:tcW w:w="4876" w:type="dxa"/>
          </w:tcPr>
          <w:p w14:paraId="62E55BAF" w14:textId="77777777" w:rsidR="008B2D19" w:rsidRPr="00D808EB" w:rsidRDefault="008B2D19" w:rsidP="00803DA5">
            <w:pPr>
              <w:pStyle w:val="AmColumnHeading"/>
              <w:keepNext/>
            </w:pPr>
            <w:r w:rsidRPr="00D808EB">
              <w:t>Text proposed by the Commission</w:t>
            </w:r>
          </w:p>
        </w:tc>
        <w:tc>
          <w:tcPr>
            <w:tcW w:w="4876" w:type="dxa"/>
          </w:tcPr>
          <w:p w14:paraId="13FB3EE4" w14:textId="77777777" w:rsidR="008B2D19" w:rsidRPr="00D808EB" w:rsidRDefault="008B2D19" w:rsidP="00803DA5">
            <w:pPr>
              <w:pStyle w:val="AmColumnHeading"/>
              <w:keepNext/>
            </w:pPr>
            <w:r w:rsidRPr="00D808EB">
              <w:t>Modification</w:t>
            </w:r>
          </w:p>
        </w:tc>
      </w:tr>
      <w:tr w:rsidR="008B2D19" w:rsidRPr="00D808EB" w14:paraId="4433BD75" w14:textId="77777777" w:rsidTr="00803DA5">
        <w:trPr>
          <w:jc w:val="center"/>
        </w:trPr>
        <w:tc>
          <w:tcPr>
            <w:tcW w:w="4876" w:type="dxa"/>
          </w:tcPr>
          <w:p w14:paraId="5E06028D" w14:textId="0351755D" w:rsidR="008B2D19" w:rsidRPr="00D808EB" w:rsidRDefault="008B2D19" w:rsidP="00803DA5">
            <w:pPr>
              <w:pStyle w:val="AmColumnHeading"/>
              <w:jc w:val="left"/>
              <w:rPr>
                <w:b/>
                <w:bCs/>
                <w:iCs/>
              </w:rPr>
            </w:pPr>
            <w:r w:rsidRPr="00D808EB">
              <w:rPr>
                <w:i w:val="0"/>
              </w:rPr>
              <w:t>22.</w:t>
            </w:r>
            <w:r w:rsidRPr="00D808EB">
              <w:rPr>
                <w:i w:val="0"/>
              </w:rPr>
              <w:tab/>
              <w:t xml:space="preserve">The total amount of CFSP operating expenditure shall be entered entirely in one budget chapter, entitled CFSP. That amount shall cover the real predictable needs, assessed in the framework of the establishment of the draft budget, on the basis of forecasts drawn up annually by the High Representative of the Union for Foreign Affairs and Security Policy (the </w:t>
            </w:r>
            <w:r w:rsidR="00C728B7">
              <w:rPr>
                <w:i w:val="0"/>
              </w:rPr>
              <w:t>‘</w:t>
            </w:r>
            <w:r w:rsidRPr="00D808EB">
              <w:rPr>
                <w:i w:val="0"/>
              </w:rPr>
              <w:t>High Representative</w:t>
            </w:r>
            <w:r w:rsidR="00C728B7">
              <w:rPr>
                <w:i w:val="0"/>
              </w:rPr>
              <w:t>’</w:t>
            </w:r>
            <w:r w:rsidRPr="00D808EB">
              <w:rPr>
                <w:i w:val="0"/>
              </w:rPr>
              <w:t>). A reasonable margin shall be allowed for to cover unforeseen actions.</w:t>
            </w:r>
            <w:r w:rsidRPr="00D808EB">
              <w:rPr>
                <w:iCs/>
              </w:rPr>
              <w:t xml:space="preserve"> </w:t>
            </w:r>
            <w:r w:rsidRPr="00D808EB">
              <w:rPr>
                <w:b/>
                <w:bCs/>
              </w:rPr>
              <w:t>No funds may be entered in a reserve.</w:t>
            </w:r>
          </w:p>
        </w:tc>
        <w:tc>
          <w:tcPr>
            <w:tcW w:w="4876" w:type="dxa"/>
          </w:tcPr>
          <w:p w14:paraId="279CC4B9" w14:textId="3683346B" w:rsidR="008B2D19" w:rsidRPr="00D808EB" w:rsidRDefault="008B2D19" w:rsidP="00803DA5">
            <w:pPr>
              <w:pStyle w:val="AmColumnHeading"/>
              <w:jc w:val="left"/>
              <w:rPr>
                <w:i w:val="0"/>
                <w:szCs w:val="24"/>
              </w:rPr>
            </w:pPr>
            <w:r w:rsidRPr="00D808EB">
              <w:rPr>
                <w:i w:val="0"/>
              </w:rPr>
              <w:t>22.</w:t>
            </w:r>
            <w:r w:rsidRPr="00D808EB">
              <w:rPr>
                <w:i w:val="0"/>
              </w:rPr>
              <w:tab/>
              <w:t xml:space="preserve">The total amount of CFSP operating expenditure shall be entered entirely in one budget chapter, entitled CFSP. That amount shall cover the real predictable needs, assessed in the framework of the establishment of the draft budget, on the basis of forecasts drawn up annually by the High Representative of the Union for Foreign Affairs and Security Policy (the </w:t>
            </w:r>
            <w:r w:rsidR="00C728B7">
              <w:rPr>
                <w:i w:val="0"/>
              </w:rPr>
              <w:t>‘</w:t>
            </w:r>
            <w:r w:rsidRPr="00D808EB">
              <w:rPr>
                <w:i w:val="0"/>
              </w:rPr>
              <w:t>High Representative</w:t>
            </w:r>
            <w:r w:rsidR="00C728B7">
              <w:rPr>
                <w:i w:val="0"/>
              </w:rPr>
              <w:t>’</w:t>
            </w:r>
            <w:r w:rsidRPr="00D808EB">
              <w:rPr>
                <w:i w:val="0"/>
              </w:rPr>
              <w:t xml:space="preserve">). A reasonable margin shall be allowed for to cover unforeseen actions. </w:t>
            </w:r>
          </w:p>
        </w:tc>
      </w:tr>
    </w:tbl>
    <w:p w14:paraId="0FF7F997"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372EBF4B" w14:textId="77777777" w:rsidR="008B2D19" w:rsidRPr="00D808EB" w:rsidRDefault="008B2D19" w:rsidP="008B2D19">
      <w:r w:rsidRPr="00D808EB">
        <w:rPr>
          <w:rStyle w:val="HideTWBExt"/>
          <w:noProof w:val="0"/>
        </w:rPr>
        <w:t>&lt;/Amend&gt;</w:t>
      </w:r>
    </w:p>
    <w:p w14:paraId="176D64E2"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34</w:t>
      </w:r>
      <w:r w:rsidRPr="00D808EB">
        <w:rPr>
          <w:rStyle w:val="HideTWBExt"/>
          <w:b w:val="0"/>
          <w:noProof w:val="0"/>
        </w:rPr>
        <w:t>&lt;/NumAm&gt;</w:t>
      </w:r>
    </w:p>
    <w:p w14:paraId="5AC3F443"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2A7E9717"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3</w:t>
      </w:r>
      <w:r w:rsidRPr="00D808EB">
        <w:rPr>
          <w:rStyle w:val="HideTWBExt"/>
          <w:b w:val="0"/>
          <w:noProof w:val="0"/>
        </w:rPr>
        <w:t>&lt;/Article&gt;</w:t>
      </w:r>
    </w:p>
    <w:p w14:paraId="557724A5"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Section C – point 24 subparagraphs 1 and 2</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7B462CD9" w14:textId="77777777" w:rsidTr="00803DA5">
        <w:trPr>
          <w:jc w:val="center"/>
        </w:trPr>
        <w:tc>
          <w:tcPr>
            <w:tcW w:w="9752" w:type="dxa"/>
            <w:gridSpan w:val="2"/>
          </w:tcPr>
          <w:p w14:paraId="56C5BF3B" w14:textId="77777777" w:rsidR="008B2D19" w:rsidRPr="00D808EB" w:rsidRDefault="008B2D19" w:rsidP="00803DA5">
            <w:pPr>
              <w:keepNext/>
            </w:pPr>
          </w:p>
        </w:tc>
      </w:tr>
      <w:tr w:rsidR="008B2D19" w:rsidRPr="00D808EB" w14:paraId="35E0D338" w14:textId="77777777" w:rsidTr="00803DA5">
        <w:trPr>
          <w:jc w:val="center"/>
        </w:trPr>
        <w:tc>
          <w:tcPr>
            <w:tcW w:w="4876" w:type="dxa"/>
          </w:tcPr>
          <w:p w14:paraId="4E3368AF" w14:textId="77777777" w:rsidR="008B2D19" w:rsidRPr="00D808EB" w:rsidRDefault="008B2D19" w:rsidP="00803DA5">
            <w:pPr>
              <w:pStyle w:val="AmColumnHeading"/>
              <w:keepNext/>
            </w:pPr>
            <w:r w:rsidRPr="00D808EB">
              <w:t>Text proposed by the Commission</w:t>
            </w:r>
          </w:p>
        </w:tc>
        <w:tc>
          <w:tcPr>
            <w:tcW w:w="4876" w:type="dxa"/>
          </w:tcPr>
          <w:p w14:paraId="2543D220" w14:textId="77777777" w:rsidR="008B2D19" w:rsidRPr="00D808EB" w:rsidRDefault="008B2D19" w:rsidP="00803DA5">
            <w:pPr>
              <w:pStyle w:val="AmColumnHeading"/>
              <w:keepNext/>
            </w:pPr>
            <w:r w:rsidRPr="00D808EB">
              <w:t>Modification</w:t>
            </w:r>
          </w:p>
        </w:tc>
      </w:tr>
      <w:tr w:rsidR="008B2D19" w:rsidRPr="00D808EB" w14:paraId="49BE8272" w14:textId="77777777" w:rsidTr="00803DA5">
        <w:trPr>
          <w:jc w:val="center"/>
        </w:trPr>
        <w:tc>
          <w:tcPr>
            <w:tcW w:w="4876" w:type="dxa"/>
          </w:tcPr>
          <w:p w14:paraId="0D13CAA9" w14:textId="31164E45" w:rsidR="008B2D19" w:rsidRPr="00D808EB" w:rsidRDefault="008B2D19" w:rsidP="00803DA5">
            <w:pPr>
              <w:pStyle w:val="AmColumnHeading"/>
              <w:jc w:val="left"/>
            </w:pPr>
            <w:r w:rsidRPr="00D808EB">
              <w:rPr>
                <w:i w:val="0"/>
                <w:iCs/>
              </w:rPr>
              <w:t>24.</w:t>
            </w:r>
            <w:r w:rsidRPr="00D808EB">
              <w:rPr>
                <w:i w:val="0"/>
                <w:iCs/>
              </w:rPr>
              <w:tab/>
              <w:t>Each year, the High Representative shall consult the European Parliament on a forward-looking document, which shall be transmitted by 15 June</w:t>
            </w:r>
            <w:r w:rsidR="00C728B7">
              <w:rPr>
                <w:i w:val="0"/>
                <w:iCs/>
              </w:rPr>
              <w:t xml:space="preserve"> </w:t>
            </w:r>
            <w:r w:rsidRPr="00D808EB">
              <w:rPr>
                <w:i w:val="0"/>
                <w:iCs/>
              </w:rPr>
              <w:t>of the year in question, setting out the main aspects and basic choices of the CFSP, including the financial implications for the general budget of the Union, an evaluation of the measures launched in the year n-1 and an assessment of the coordination and complementarity of CFSP with the Union</w:t>
            </w:r>
            <w:r w:rsidR="00C728B7">
              <w:rPr>
                <w:i w:val="0"/>
                <w:iCs/>
              </w:rPr>
              <w:t>’</w:t>
            </w:r>
            <w:r w:rsidRPr="00D808EB">
              <w:rPr>
                <w:i w:val="0"/>
                <w:iCs/>
              </w:rPr>
              <w:t>s other external financial instruments. Furthermore, the High Representative shall keep the European Parliament regularly informed</w:t>
            </w:r>
            <w:r w:rsidRPr="00D808EB">
              <w:t xml:space="preserve"> </w:t>
            </w:r>
            <w:r w:rsidRPr="00D808EB">
              <w:rPr>
                <w:b/>
                <w:bCs/>
                <w:iCs/>
              </w:rPr>
              <w:t>by holding joint consultation meetings at least three times a year,</w:t>
            </w:r>
            <w:r w:rsidRPr="00D808EB">
              <w:rPr>
                <w:i w:val="0"/>
                <w:iCs/>
              </w:rPr>
              <w:t xml:space="preserve"> in the framework of the regular political dialogue on the </w:t>
            </w:r>
            <w:r w:rsidRPr="00D808EB">
              <w:t xml:space="preserve">CFSP, </w:t>
            </w:r>
            <w:r w:rsidRPr="00D808EB">
              <w:rPr>
                <w:b/>
                <w:bCs/>
                <w:iCs/>
              </w:rPr>
              <w:t>to be agreed at the latest on 30 November each year. Participation in those meetings shall be determined by the European Parliament and the Council respectively, bearing in mind the objective, and the nature of the information exchanged in those meetings.</w:t>
            </w:r>
          </w:p>
          <w:p w14:paraId="4B527B87" w14:textId="77777777" w:rsidR="008B2D19" w:rsidRPr="00D808EB" w:rsidRDefault="008B2D19" w:rsidP="00803DA5">
            <w:pPr>
              <w:pStyle w:val="AmColumnHeading"/>
              <w:jc w:val="left"/>
              <w:rPr>
                <w:b/>
                <w:bCs/>
                <w:iCs/>
              </w:rPr>
            </w:pPr>
            <w:r w:rsidRPr="00D808EB">
              <w:rPr>
                <w:b/>
                <w:bCs/>
                <w:iCs/>
              </w:rPr>
              <w:t>The Commission shall be invited to participate in those meetings.</w:t>
            </w:r>
          </w:p>
        </w:tc>
        <w:tc>
          <w:tcPr>
            <w:tcW w:w="4876" w:type="dxa"/>
          </w:tcPr>
          <w:p w14:paraId="3659C47B" w14:textId="15993DB1" w:rsidR="008B2D19" w:rsidRPr="00D808EB" w:rsidRDefault="008B2D19" w:rsidP="00803DA5">
            <w:pPr>
              <w:pStyle w:val="AmColumnHeading"/>
              <w:jc w:val="left"/>
              <w:rPr>
                <w:iCs/>
                <w:szCs w:val="24"/>
              </w:rPr>
            </w:pPr>
            <w:r w:rsidRPr="00D808EB">
              <w:rPr>
                <w:i w:val="0"/>
                <w:szCs w:val="24"/>
              </w:rPr>
              <w:t>24.</w:t>
            </w:r>
            <w:r w:rsidRPr="00D808EB">
              <w:rPr>
                <w:i w:val="0"/>
                <w:szCs w:val="24"/>
              </w:rPr>
              <w:tab/>
              <w:t>Each year, the High Representative shall consult the European Parliament on a forward-looking document, which shall be transmitted by 15 June</w:t>
            </w:r>
            <w:r w:rsidR="00C728B7">
              <w:rPr>
                <w:i w:val="0"/>
                <w:szCs w:val="24"/>
              </w:rPr>
              <w:t xml:space="preserve"> </w:t>
            </w:r>
            <w:r w:rsidRPr="00D808EB">
              <w:rPr>
                <w:i w:val="0"/>
                <w:szCs w:val="24"/>
              </w:rPr>
              <w:t>of the year in question, setting out the main aspects and basic choices of the CFSP, including the financial implications for the general budget of the Union, an evaluation of the measures launched in the year n-1 and an assessment of the coordination and complementarity of CFSP with the Union</w:t>
            </w:r>
            <w:r w:rsidR="00C728B7">
              <w:rPr>
                <w:i w:val="0"/>
                <w:szCs w:val="24"/>
              </w:rPr>
              <w:t>’</w:t>
            </w:r>
            <w:r w:rsidRPr="00D808EB">
              <w:rPr>
                <w:i w:val="0"/>
                <w:szCs w:val="24"/>
              </w:rPr>
              <w:t>s other external financial instruments. Furthermore, the High Representative shall keep the European Parliament regularly informed in the framework of the regular</w:t>
            </w:r>
            <w:r w:rsidRPr="00D808EB">
              <w:rPr>
                <w:iCs/>
                <w:szCs w:val="24"/>
              </w:rPr>
              <w:t xml:space="preserve"> </w:t>
            </w:r>
            <w:r w:rsidRPr="00D808EB">
              <w:rPr>
                <w:b/>
                <w:bCs/>
                <w:szCs w:val="24"/>
              </w:rPr>
              <w:t>financial and</w:t>
            </w:r>
            <w:r w:rsidRPr="00D808EB">
              <w:rPr>
                <w:iCs/>
                <w:szCs w:val="24"/>
              </w:rPr>
              <w:t xml:space="preserve"> </w:t>
            </w:r>
            <w:r w:rsidRPr="00D808EB">
              <w:rPr>
                <w:i w:val="0"/>
                <w:szCs w:val="24"/>
              </w:rPr>
              <w:t>political dialogue on the CFSP,</w:t>
            </w:r>
            <w:r w:rsidRPr="00D808EB">
              <w:rPr>
                <w:b/>
                <w:i w:val="0"/>
                <w:szCs w:val="24"/>
              </w:rPr>
              <w:t xml:space="preserve"> </w:t>
            </w:r>
            <w:r w:rsidRPr="00D808EB">
              <w:rPr>
                <w:b/>
                <w:szCs w:val="24"/>
              </w:rPr>
              <w:t>as laid down in point 24a.</w:t>
            </w:r>
            <w:r w:rsidRPr="00D808EB">
              <w:rPr>
                <w:iCs/>
                <w:szCs w:val="24"/>
              </w:rPr>
              <w:t xml:space="preserve"> </w:t>
            </w:r>
          </w:p>
          <w:p w14:paraId="2CD385BE" w14:textId="77777777" w:rsidR="008B2D19" w:rsidRPr="00D808EB" w:rsidRDefault="008B2D19" w:rsidP="00803DA5">
            <w:pPr>
              <w:pStyle w:val="AmColumnHeading"/>
              <w:jc w:val="left"/>
              <w:rPr>
                <w:szCs w:val="24"/>
              </w:rPr>
            </w:pPr>
          </w:p>
        </w:tc>
      </w:tr>
    </w:tbl>
    <w:p w14:paraId="2C9F20A3"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6FB3E328" w14:textId="77777777" w:rsidR="008B2D19" w:rsidRPr="00D808EB" w:rsidRDefault="008B2D19" w:rsidP="008B2D19">
      <w:r w:rsidRPr="00D808EB">
        <w:rPr>
          <w:rStyle w:val="HideTWBExt"/>
          <w:noProof w:val="0"/>
        </w:rPr>
        <w:t>&lt;/Amend&gt;</w:t>
      </w:r>
    </w:p>
    <w:p w14:paraId="631E5C7B"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35</w:t>
      </w:r>
      <w:r w:rsidRPr="00D808EB">
        <w:rPr>
          <w:rStyle w:val="HideTWBExt"/>
          <w:b w:val="0"/>
          <w:noProof w:val="0"/>
        </w:rPr>
        <w:t>&lt;/NumAm&gt;</w:t>
      </w:r>
    </w:p>
    <w:p w14:paraId="1ECECAB4"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7E432411"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Part 3</w:t>
      </w:r>
      <w:r w:rsidRPr="00D808EB">
        <w:rPr>
          <w:rStyle w:val="HideTWBExt"/>
          <w:b w:val="0"/>
          <w:noProof w:val="0"/>
        </w:rPr>
        <w:t>&lt;/Article&gt;</w:t>
      </w:r>
    </w:p>
    <w:p w14:paraId="70CBA7B8"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Section C – point 24 a (new)</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7F737F43" w14:textId="77777777" w:rsidTr="00803DA5">
        <w:trPr>
          <w:jc w:val="center"/>
        </w:trPr>
        <w:tc>
          <w:tcPr>
            <w:tcW w:w="9752" w:type="dxa"/>
            <w:gridSpan w:val="2"/>
          </w:tcPr>
          <w:p w14:paraId="4FEE2E4F" w14:textId="77777777" w:rsidR="008B2D19" w:rsidRPr="00D808EB" w:rsidRDefault="008B2D19" w:rsidP="00803DA5">
            <w:pPr>
              <w:keepNext/>
            </w:pPr>
          </w:p>
        </w:tc>
      </w:tr>
      <w:tr w:rsidR="008B2D19" w:rsidRPr="00D808EB" w14:paraId="37A76F36" w14:textId="77777777" w:rsidTr="00803DA5">
        <w:trPr>
          <w:jc w:val="center"/>
        </w:trPr>
        <w:tc>
          <w:tcPr>
            <w:tcW w:w="4876" w:type="dxa"/>
          </w:tcPr>
          <w:p w14:paraId="0CE62321" w14:textId="77777777" w:rsidR="008B2D19" w:rsidRPr="00D808EB" w:rsidRDefault="008B2D19" w:rsidP="00803DA5">
            <w:pPr>
              <w:pStyle w:val="AmColumnHeading"/>
              <w:keepNext/>
            </w:pPr>
            <w:bookmarkStart w:id="10" w:name="_Hlk215560265"/>
            <w:r w:rsidRPr="00D808EB">
              <w:t>Text proposed by the Commission</w:t>
            </w:r>
          </w:p>
        </w:tc>
        <w:tc>
          <w:tcPr>
            <w:tcW w:w="4876" w:type="dxa"/>
          </w:tcPr>
          <w:p w14:paraId="73DE7124" w14:textId="77777777" w:rsidR="008B2D19" w:rsidRPr="00D808EB" w:rsidRDefault="008B2D19" w:rsidP="00803DA5">
            <w:pPr>
              <w:pStyle w:val="AmColumnHeading"/>
              <w:keepNext/>
            </w:pPr>
            <w:r w:rsidRPr="00D808EB">
              <w:t>Modification</w:t>
            </w:r>
          </w:p>
        </w:tc>
      </w:tr>
      <w:tr w:rsidR="008B2D19" w:rsidRPr="00D808EB" w14:paraId="12D9B5C2" w14:textId="77777777" w:rsidTr="00803DA5">
        <w:trPr>
          <w:jc w:val="center"/>
        </w:trPr>
        <w:tc>
          <w:tcPr>
            <w:tcW w:w="4876" w:type="dxa"/>
          </w:tcPr>
          <w:p w14:paraId="2D622B48" w14:textId="77777777" w:rsidR="008B2D19" w:rsidRPr="00D808EB" w:rsidRDefault="008B2D19" w:rsidP="00803DA5">
            <w:pPr>
              <w:pStyle w:val="AmColumnHeading"/>
              <w:keepNext/>
              <w:jc w:val="left"/>
            </w:pPr>
          </w:p>
        </w:tc>
        <w:tc>
          <w:tcPr>
            <w:tcW w:w="4876" w:type="dxa"/>
          </w:tcPr>
          <w:p w14:paraId="2A2339A2" w14:textId="2227E8D6" w:rsidR="008B2D19" w:rsidRPr="00D808EB" w:rsidRDefault="008B2D19" w:rsidP="00803DA5">
            <w:pPr>
              <w:pStyle w:val="AmColumnHeading"/>
              <w:jc w:val="left"/>
              <w:rPr>
                <w:b/>
                <w:bCs/>
                <w:iCs/>
              </w:rPr>
            </w:pPr>
            <w:r w:rsidRPr="00D808EB">
              <w:rPr>
                <w:b/>
                <w:bCs/>
                <w:iCs/>
              </w:rPr>
              <w:t>24a.</w:t>
            </w:r>
            <w:r w:rsidRPr="00D808EB">
              <w:rPr>
                <w:b/>
                <w:bCs/>
                <w:iCs/>
              </w:rPr>
              <w:tab/>
              <w:t>The regular financial and political dialogue on the CFSP shall concern all Union activities to which the implementation of the CFSP chapter gives rise, and in particular those entailing expenditure or financial liabilities for the Union budget. It shall take place at least five times a year, to be agreed at the latest until 30 November of the year n-1. In the context of this dialogue, the High Representative shall consult the European Parliament in accordance with Article 36 TEU as described in points 22, 23 and 24 of this Agreement and shall ensure that its views are duly taken into consideration. The dialogue may involve European Union Special Representatives or, where appropriate, Commissioners. It shall take place in accordance with security rules applicable to the exchange of information.</w:t>
            </w:r>
          </w:p>
          <w:p w14:paraId="2466B27A" w14:textId="77777777" w:rsidR="008B2D19" w:rsidRPr="00D808EB" w:rsidRDefault="008B2D19" w:rsidP="00803DA5">
            <w:pPr>
              <w:pStyle w:val="Normal6a"/>
              <w:rPr>
                <w:szCs w:val="24"/>
              </w:rPr>
            </w:pPr>
          </w:p>
        </w:tc>
      </w:tr>
    </w:tbl>
    <w:bookmarkEnd w:id="10"/>
    <w:p w14:paraId="451E993C"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41E970C2" w14:textId="77777777" w:rsidR="008B2D19" w:rsidRPr="00D808EB" w:rsidRDefault="008B2D19" w:rsidP="008B2D19">
      <w:r w:rsidRPr="00D808EB">
        <w:rPr>
          <w:rStyle w:val="HideTWBExt"/>
          <w:noProof w:val="0"/>
        </w:rPr>
        <w:t>&lt;/Amend&gt;</w:t>
      </w:r>
    </w:p>
    <w:p w14:paraId="339793C6"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36</w:t>
      </w:r>
      <w:r w:rsidRPr="00D808EB">
        <w:rPr>
          <w:rStyle w:val="HideTWBExt"/>
          <w:b w:val="0"/>
          <w:noProof w:val="0"/>
        </w:rPr>
        <w:t>&lt;/NumAm&gt;</w:t>
      </w:r>
    </w:p>
    <w:p w14:paraId="590CEFD7"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6059EDEF"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Annex</w:t>
      </w:r>
      <w:r w:rsidRPr="00D808EB">
        <w:rPr>
          <w:rStyle w:val="HideTWBExt"/>
          <w:b w:val="0"/>
          <w:noProof w:val="0"/>
        </w:rPr>
        <w:t>&lt;/Article&gt;</w:t>
      </w:r>
    </w:p>
    <w:p w14:paraId="7509DA10"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Part A – point 1 a (new) </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0A075CBD" w14:textId="77777777" w:rsidTr="00803DA5">
        <w:trPr>
          <w:jc w:val="center"/>
        </w:trPr>
        <w:tc>
          <w:tcPr>
            <w:tcW w:w="9752" w:type="dxa"/>
            <w:gridSpan w:val="2"/>
          </w:tcPr>
          <w:p w14:paraId="15FF9BC4" w14:textId="77777777" w:rsidR="008B2D19" w:rsidRPr="00D808EB" w:rsidRDefault="008B2D19" w:rsidP="00803DA5">
            <w:pPr>
              <w:keepNext/>
            </w:pPr>
          </w:p>
        </w:tc>
      </w:tr>
      <w:tr w:rsidR="008B2D19" w:rsidRPr="00D808EB" w14:paraId="1D5F669E" w14:textId="77777777" w:rsidTr="00803DA5">
        <w:trPr>
          <w:jc w:val="center"/>
        </w:trPr>
        <w:tc>
          <w:tcPr>
            <w:tcW w:w="4876" w:type="dxa"/>
          </w:tcPr>
          <w:p w14:paraId="577D6A6B" w14:textId="77777777" w:rsidR="008B2D19" w:rsidRPr="00D808EB" w:rsidRDefault="008B2D19" w:rsidP="00803DA5">
            <w:pPr>
              <w:pStyle w:val="AmColumnHeading"/>
              <w:keepNext/>
            </w:pPr>
            <w:r w:rsidRPr="00D808EB">
              <w:t>Text proposed by the Commission</w:t>
            </w:r>
          </w:p>
        </w:tc>
        <w:tc>
          <w:tcPr>
            <w:tcW w:w="4876" w:type="dxa"/>
          </w:tcPr>
          <w:p w14:paraId="016867B6" w14:textId="77777777" w:rsidR="008B2D19" w:rsidRPr="00D808EB" w:rsidRDefault="008B2D19" w:rsidP="00803DA5">
            <w:pPr>
              <w:pStyle w:val="AmColumnHeading"/>
              <w:keepNext/>
            </w:pPr>
            <w:r w:rsidRPr="00D808EB">
              <w:t>Modification</w:t>
            </w:r>
          </w:p>
        </w:tc>
      </w:tr>
      <w:tr w:rsidR="008B2D19" w:rsidRPr="00D808EB" w14:paraId="6DDF3BFB" w14:textId="77777777" w:rsidTr="00803DA5">
        <w:trPr>
          <w:jc w:val="center"/>
        </w:trPr>
        <w:tc>
          <w:tcPr>
            <w:tcW w:w="4876" w:type="dxa"/>
          </w:tcPr>
          <w:p w14:paraId="6FF08966" w14:textId="77777777" w:rsidR="008B2D19" w:rsidRPr="00D808EB" w:rsidRDefault="008B2D19" w:rsidP="00803DA5">
            <w:pPr>
              <w:pStyle w:val="AmColumnHeading"/>
              <w:keepNext/>
              <w:jc w:val="left"/>
            </w:pPr>
          </w:p>
        </w:tc>
        <w:tc>
          <w:tcPr>
            <w:tcW w:w="4876" w:type="dxa"/>
          </w:tcPr>
          <w:p w14:paraId="79D3F6C4" w14:textId="77777777" w:rsidR="008B2D19" w:rsidRPr="00D808EB" w:rsidRDefault="008B2D19" w:rsidP="00803DA5">
            <w:pPr>
              <w:pStyle w:val="AmColumnHeading"/>
              <w:jc w:val="left"/>
              <w:rPr>
                <w:b/>
                <w:bCs/>
                <w:iCs/>
              </w:rPr>
            </w:pPr>
            <w:r w:rsidRPr="00D808EB">
              <w:rPr>
                <w:b/>
                <w:bCs/>
                <w:iCs/>
              </w:rPr>
              <w:t>1a.</w:t>
            </w:r>
            <w:r w:rsidRPr="00D808EB">
              <w:rPr>
                <w:b/>
                <w:bCs/>
                <w:iCs/>
              </w:rPr>
              <w:tab/>
              <w:t>In order to ensure that the European Parliament and the Council are able to exercise their budgetary prerogatives in an effective manner, budgetary positions, transfers or other notifications entailing the activation of deadlines shall be submitted taking due account of any recess periods, the dates of which those institutions have informed each other in due time through their respective services.</w:t>
            </w:r>
            <w:r w:rsidRPr="00D808EB">
              <w:rPr>
                <w:b/>
                <w:bCs/>
                <w:iCs/>
              </w:rPr>
              <w:tab/>
            </w:r>
          </w:p>
          <w:p w14:paraId="53AEA43B" w14:textId="77777777" w:rsidR="008B2D19" w:rsidRPr="00D808EB" w:rsidRDefault="008B2D19" w:rsidP="00803DA5">
            <w:pPr>
              <w:pStyle w:val="Normal6a"/>
              <w:rPr>
                <w:szCs w:val="24"/>
              </w:rPr>
            </w:pPr>
          </w:p>
        </w:tc>
      </w:tr>
    </w:tbl>
    <w:p w14:paraId="280CF024"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1365548C" w14:textId="77777777" w:rsidR="008B2D19" w:rsidRPr="00D808EB" w:rsidRDefault="008B2D19" w:rsidP="008B2D19">
      <w:r w:rsidRPr="00D808EB">
        <w:rPr>
          <w:rStyle w:val="HideTWBExt"/>
          <w:noProof w:val="0"/>
        </w:rPr>
        <w:t>&lt;/Amend&gt;</w:t>
      </w:r>
    </w:p>
    <w:p w14:paraId="31692C91"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37</w:t>
      </w:r>
      <w:r w:rsidRPr="00D808EB">
        <w:rPr>
          <w:rStyle w:val="HideTWBExt"/>
          <w:b w:val="0"/>
          <w:noProof w:val="0"/>
        </w:rPr>
        <w:t>&lt;/NumAm&gt;</w:t>
      </w:r>
    </w:p>
    <w:p w14:paraId="2ADF88E0"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5C92B6D1"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Annex</w:t>
      </w:r>
      <w:r w:rsidRPr="00D808EB">
        <w:rPr>
          <w:rStyle w:val="HideTWBExt"/>
          <w:b w:val="0"/>
          <w:noProof w:val="0"/>
        </w:rPr>
        <w:t>&lt;/Article&gt;</w:t>
      </w:r>
    </w:p>
    <w:p w14:paraId="037C47AC"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Part B – point 2 </w:t>
      </w:r>
      <w:r w:rsidRPr="00D808EB">
        <w:rPr>
          <w:rStyle w:val="HideTWBExt"/>
          <w:b w:val="0"/>
          <w:noProof w:val="0"/>
        </w:rPr>
        <w:t>&lt;/Article2&gt;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226896D4" w14:textId="77777777" w:rsidTr="00803DA5">
        <w:trPr>
          <w:jc w:val="center"/>
        </w:trPr>
        <w:tc>
          <w:tcPr>
            <w:tcW w:w="9752" w:type="dxa"/>
            <w:gridSpan w:val="2"/>
          </w:tcPr>
          <w:p w14:paraId="51D6397F" w14:textId="77777777" w:rsidR="008B2D19" w:rsidRPr="00D808EB" w:rsidRDefault="008B2D19" w:rsidP="00803DA5">
            <w:pPr>
              <w:keepNext/>
            </w:pPr>
          </w:p>
        </w:tc>
      </w:tr>
      <w:tr w:rsidR="008B2D19" w:rsidRPr="00D808EB" w14:paraId="59A0DE14" w14:textId="77777777" w:rsidTr="00803DA5">
        <w:trPr>
          <w:jc w:val="center"/>
        </w:trPr>
        <w:tc>
          <w:tcPr>
            <w:tcW w:w="4876" w:type="dxa"/>
          </w:tcPr>
          <w:p w14:paraId="216F06C1" w14:textId="77777777" w:rsidR="008B2D19" w:rsidRPr="00D808EB" w:rsidRDefault="008B2D19" w:rsidP="00803DA5">
            <w:pPr>
              <w:pStyle w:val="AmColumnHeading"/>
              <w:keepNext/>
            </w:pPr>
            <w:r w:rsidRPr="00D808EB">
              <w:t>Text proposed by the Commission</w:t>
            </w:r>
          </w:p>
        </w:tc>
        <w:tc>
          <w:tcPr>
            <w:tcW w:w="4876" w:type="dxa"/>
          </w:tcPr>
          <w:p w14:paraId="3B62D562" w14:textId="77777777" w:rsidR="008B2D19" w:rsidRPr="00D808EB" w:rsidRDefault="008B2D19" w:rsidP="00803DA5">
            <w:pPr>
              <w:pStyle w:val="AmColumnHeading"/>
              <w:keepNext/>
            </w:pPr>
            <w:r w:rsidRPr="00D808EB">
              <w:t>Modification</w:t>
            </w:r>
          </w:p>
        </w:tc>
      </w:tr>
      <w:tr w:rsidR="008B2D19" w:rsidRPr="00D808EB" w14:paraId="63FC5C11" w14:textId="77777777" w:rsidTr="00803DA5">
        <w:trPr>
          <w:jc w:val="center"/>
        </w:trPr>
        <w:tc>
          <w:tcPr>
            <w:tcW w:w="4876" w:type="dxa"/>
          </w:tcPr>
          <w:p w14:paraId="0B747811" w14:textId="6753C5C7" w:rsidR="008B2D19" w:rsidRPr="00D808EB" w:rsidRDefault="008B2D19" w:rsidP="00803DA5">
            <w:pPr>
              <w:pStyle w:val="AmColumnHeading"/>
              <w:keepNext/>
              <w:jc w:val="left"/>
              <w:rPr>
                <w:i w:val="0"/>
              </w:rPr>
            </w:pPr>
            <w:r w:rsidRPr="00D808EB">
              <w:rPr>
                <w:i w:val="0"/>
              </w:rPr>
              <w:t>2.</w:t>
            </w:r>
            <w:r w:rsidRPr="00D808EB">
              <w:rPr>
                <w:i w:val="0"/>
              </w:rPr>
              <w:tab/>
              <w:t xml:space="preserve">In due time before the adoption of the draft budget by the Commission, a budgetary trilogue shall be convened to discuss the funding priorities for the budget of the coming financial year. The discussions </w:t>
            </w:r>
            <w:r w:rsidRPr="00D808EB">
              <w:rPr>
                <w:b/>
                <w:bCs/>
                <w:iCs/>
              </w:rPr>
              <w:t>will</w:t>
            </w:r>
            <w:r w:rsidRPr="00D808EB">
              <w:rPr>
                <w:i w:val="0"/>
              </w:rPr>
              <w:t xml:space="preserve"> take into account the Union</w:t>
            </w:r>
            <w:r w:rsidR="00C728B7">
              <w:rPr>
                <w:i w:val="0"/>
              </w:rPr>
              <w:t>’</w:t>
            </w:r>
            <w:r w:rsidRPr="00D808EB">
              <w:rPr>
                <w:i w:val="0"/>
              </w:rPr>
              <w:t xml:space="preserve">s policy priorities identified by the </w:t>
            </w:r>
            <w:r w:rsidRPr="00D808EB">
              <w:rPr>
                <w:b/>
                <w:bCs/>
                <w:iCs/>
              </w:rPr>
              <w:t>Institutions</w:t>
            </w:r>
            <w:r w:rsidRPr="00D808EB">
              <w:rPr>
                <w:i w:val="0"/>
              </w:rPr>
              <w:t xml:space="preserve"> in relevant documents and </w:t>
            </w:r>
            <w:r w:rsidRPr="00D808EB">
              <w:rPr>
                <w:b/>
                <w:bCs/>
                <w:iCs/>
              </w:rPr>
              <w:t xml:space="preserve">will </w:t>
            </w:r>
            <w:r w:rsidRPr="00D808EB">
              <w:rPr>
                <w:i w:val="0"/>
              </w:rPr>
              <w:t>aim to inform the budgetary procedure and explore how the priorities can best be reflected in the next budget.</w:t>
            </w:r>
          </w:p>
          <w:p w14:paraId="0E2ECCA4" w14:textId="77777777" w:rsidR="008B2D19" w:rsidRPr="00D808EB" w:rsidRDefault="008B2D19" w:rsidP="00803DA5">
            <w:pPr>
              <w:pStyle w:val="Normal6a"/>
            </w:pPr>
          </w:p>
        </w:tc>
        <w:tc>
          <w:tcPr>
            <w:tcW w:w="4876" w:type="dxa"/>
          </w:tcPr>
          <w:p w14:paraId="346D665A" w14:textId="487E3767" w:rsidR="008B2D19" w:rsidRPr="00D808EB" w:rsidRDefault="008B2D19" w:rsidP="00803DA5">
            <w:pPr>
              <w:pStyle w:val="Normal6a"/>
              <w:rPr>
                <w:szCs w:val="24"/>
              </w:rPr>
            </w:pPr>
            <w:r w:rsidRPr="00D808EB">
              <w:t>2.</w:t>
            </w:r>
            <w:r w:rsidRPr="00D808EB">
              <w:tab/>
            </w:r>
            <w:r w:rsidRPr="00D808EB">
              <w:rPr>
                <w:iCs/>
              </w:rPr>
              <w:t xml:space="preserve">In due time before the adoption of the draft budget by the Commission, a budgetary trilogue shall be convened to discuss the </w:t>
            </w:r>
            <w:r w:rsidRPr="00D808EB">
              <w:rPr>
                <w:b/>
                <w:bCs/>
                <w:i/>
                <w:iCs/>
              </w:rPr>
              <w:t>possible</w:t>
            </w:r>
            <w:r w:rsidRPr="00D808EB">
              <w:rPr>
                <w:i/>
                <w:iCs/>
              </w:rPr>
              <w:t xml:space="preserve"> </w:t>
            </w:r>
            <w:r w:rsidRPr="00D808EB">
              <w:rPr>
                <w:iCs/>
              </w:rPr>
              <w:t>funding priorities for the budget of the coming financial year. The discussions</w:t>
            </w:r>
            <w:r w:rsidRPr="00D808EB">
              <w:rPr>
                <w:i/>
              </w:rPr>
              <w:t xml:space="preserve"> </w:t>
            </w:r>
            <w:r w:rsidRPr="00D808EB">
              <w:rPr>
                <w:b/>
                <w:bCs/>
                <w:i/>
              </w:rPr>
              <w:t>shall</w:t>
            </w:r>
            <w:r w:rsidRPr="00D808EB">
              <w:rPr>
                <w:iCs/>
              </w:rPr>
              <w:t xml:space="preserve"> take into account the Union</w:t>
            </w:r>
            <w:r w:rsidR="00C728B7">
              <w:rPr>
                <w:iCs/>
              </w:rPr>
              <w:t>’</w:t>
            </w:r>
            <w:r w:rsidRPr="00D808EB">
              <w:rPr>
                <w:iCs/>
              </w:rPr>
              <w:t xml:space="preserve">s policy priorities identified by the </w:t>
            </w:r>
            <w:r w:rsidRPr="00D808EB">
              <w:rPr>
                <w:b/>
                <w:bCs/>
                <w:i/>
                <w:iCs/>
              </w:rPr>
              <w:t>European Parliament and the Council, as the budgetary authority,</w:t>
            </w:r>
            <w:r w:rsidRPr="00D808EB">
              <w:rPr>
                <w:iCs/>
              </w:rPr>
              <w:t xml:space="preserve"> in </w:t>
            </w:r>
            <w:r w:rsidRPr="00D808EB">
              <w:rPr>
                <w:b/>
                <w:bCs/>
                <w:i/>
                <w:iCs/>
              </w:rPr>
              <w:t>any</w:t>
            </w:r>
            <w:r w:rsidRPr="00D808EB">
              <w:rPr>
                <w:i/>
                <w:iCs/>
              </w:rPr>
              <w:t xml:space="preserve"> </w:t>
            </w:r>
            <w:r w:rsidRPr="00D808EB">
              <w:rPr>
                <w:iCs/>
              </w:rPr>
              <w:t>relevant documents and</w:t>
            </w:r>
            <w:r w:rsidRPr="00D808EB">
              <w:rPr>
                <w:i/>
                <w:iCs/>
              </w:rPr>
              <w:t xml:space="preserve"> </w:t>
            </w:r>
            <w:r w:rsidRPr="00D808EB">
              <w:rPr>
                <w:b/>
                <w:bCs/>
                <w:i/>
                <w:iCs/>
              </w:rPr>
              <w:t>shall</w:t>
            </w:r>
            <w:r w:rsidRPr="00D808EB">
              <w:rPr>
                <w:iCs/>
              </w:rPr>
              <w:t xml:space="preserve"> aim to inform the budgetary procedure and explore how the priorities can best be reflected in the next budget.</w:t>
            </w:r>
          </w:p>
        </w:tc>
      </w:tr>
    </w:tbl>
    <w:p w14:paraId="6364DC0E"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2F5AE3CC" w14:textId="77777777" w:rsidR="008B2D19" w:rsidRPr="00D808EB" w:rsidRDefault="008B2D19" w:rsidP="008B2D19">
      <w:r w:rsidRPr="00D808EB">
        <w:rPr>
          <w:rStyle w:val="HideTWBExt"/>
          <w:noProof w:val="0"/>
        </w:rPr>
        <w:t>&lt;/Amend&gt;</w:t>
      </w:r>
    </w:p>
    <w:p w14:paraId="4CE1D35D"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38</w:t>
      </w:r>
      <w:r w:rsidRPr="00D808EB">
        <w:rPr>
          <w:rStyle w:val="HideTWBExt"/>
          <w:b w:val="0"/>
          <w:noProof w:val="0"/>
        </w:rPr>
        <w:t>&lt;/NumAm&gt;</w:t>
      </w:r>
    </w:p>
    <w:p w14:paraId="0E7670DA"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70D41B68"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Annex</w:t>
      </w:r>
      <w:r w:rsidRPr="00D808EB">
        <w:rPr>
          <w:rStyle w:val="HideTWBExt"/>
          <w:b w:val="0"/>
          <w:noProof w:val="0"/>
        </w:rPr>
        <w:t>&lt;/Article&gt;</w:t>
      </w:r>
    </w:p>
    <w:p w14:paraId="142C582C"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Part D – point 13</w:t>
      </w:r>
      <w:r w:rsidRPr="00D808EB">
        <w:rPr>
          <w:rStyle w:val="HideTWBExt"/>
          <w:b w:val="0"/>
          <w:noProof w:val="0"/>
        </w:rPr>
        <w:t>&lt;/Article2&gt;</w:t>
      </w:r>
    </w:p>
    <w:p w14:paraId="043F5F56"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41AA81D9" w14:textId="77777777" w:rsidTr="00803DA5">
        <w:trPr>
          <w:jc w:val="center"/>
        </w:trPr>
        <w:tc>
          <w:tcPr>
            <w:tcW w:w="9752" w:type="dxa"/>
            <w:gridSpan w:val="2"/>
          </w:tcPr>
          <w:p w14:paraId="0E39276F" w14:textId="77777777" w:rsidR="008B2D19" w:rsidRPr="00D808EB" w:rsidRDefault="008B2D19" w:rsidP="00803DA5">
            <w:pPr>
              <w:keepNext/>
            </w:pPr>
          </w:p>
        </w:tc>
      </w:tr>
      <w:tr w:rsidR="008B2D19" w:rsidRPr="00D808EB" w14:paraId="46454A71" w14:textId="77777777" w:rsidTr="00803DA5">
        <w:trPr>
          <w:jc w:val="center"/>
        </w:trPr>
        <w:tc>
          <w:tcPr>
            <w:tcW w:w="4876" w:type="dxa"/>
          </w:tcPr>
          <w:p w14:paraId="45444855" w14:textId="77777777" w:rsidR="008B2D19" w:rsidRPr="00D808EB" w:rsidRDefault="008B2D19" w:rsidP="00803DA5">
            <w:pPr>
              <w:pStyle w:val="AmColumnHeading"/>
              <w:keepNext/>
            </w:pPr>
            <w:r w:rsidRPr="00D808EB">
              <w:t>Text proposed by the Commission</w:t>
            </w:r>
          </w:p>
        </w:tc>
        <w:tc>
          <w:tcPr>
            <w:tcW w:w="4876" w:type="dxa"/>
          </w:tcPr>
          <w:p w14:paraId="6797D14C" w14:textId="77777777" w:rsidR="008B2D19" w:rsidRPr="00D808EB" w:rsidRDefault="008B2D19" w:rsidP="00803DA5">
            <w:pPr>
              <w:pStyle w:val="AmColumnHeading"/>
              <w:keepNext/>
            </w:pPr>
            <w:r w:rsidRPr="00D808EB">
              <w:t>Modification</w:t>
            </w:r>
          </w:p>
        </w:tc>
      </w:tr>
      <w:tr w:rsidR="008B2D19" w:rsidRPr="00D808EB" w14:paraId="1FC3AE6E" w14:textId="77777777" w:rsidTr="00803DA5">
        <w:trPr>
          <w:jc w:val="center"/>
        </w:trPr>
        <w:tc>
          <w:tcPr>
            <w:tcW w:w="4876" w:type="dxa"/>
          </w:tcPr>
          <w:p w14:paraId="6B45B83A" w14:textId="77777777" w:rsidR="008B2D19" w:rsidRPr="00D808EB" w:rsidRDefault="008B2D19" w:rsidP="00803DA5">
            <w:pPr>
              <w:pStyle w:val="Normal6a"/>
              <w:rPr>
                <w:iCs/>
              </w:rPr>
            </w:pPr>
            <w:r w:rsidRPr="00D808EB">
              <w:t>13.</w:t>
            </w:r>
            <w:r w:rsidRPr="00D808EB">
              <w:tab/>
            </w:r>
            <w:r w:rsidRPr="00D808EB">
              <w:rPr>
                <w:iCs/>
              </w:rPr>
              <w:t xml:space="preserve">A budgetary trilogue </w:t>
            </w:r>
            <w:r w:rsidRPr="00D808EB">
              <w:rPr>
                <w:b/>
                <w:bCs/>
                <w:i/>
                <w:iCs/>
              </w:rPr>
              <w:t xml:space="preserve">could </w:t>
            </w:r>
            <w:r w:rsidRPr="00D808EB">
              <w:rPr>
                <w:iCs/>
              </w:rPr>
              <w:t>be convened before the votes in plenary of the European Parliament.</w:t>
            </w:r>
          </w:p>
        </w:tc>
        <w:tc>
          <w:tcPr>
            <w:tcW w:w="4876" w:type="dxa"/>
          </w:tcPr>
          <w:p w14:paraId="6CB9677A" w14:textId="77777777" w:rsidR="008B2D19" w:rsidRPr="00D808EB" w:rsidRDefault="008B2D19" w:rsidP="00803DA5">
            <w:pPr>
              <w:pStyle w:val="Normal6a"/>
              <w:rPr>
                <w:iCs/>
              </w:rPr>
            </w:pPr>
            <w:r w:rsidRPr="00D808EB">
              <w:t>13.</w:t>
            </w:r>
            <w:r w:rsidRPr="00D808EB">
              <w:tab/>
            </w:r>
            <w:r w:rsidRPr="00D808EB">
              <w:rPr>
                <w:iCs/>
              </w:rPr>
              <w:t xml:space="preserve">A budgetary trilogue </w:t>
            </w:r>
            <w:r w:rsidRPr="00D808EB">
              <w:rPr>
                <w:b/>
                <w:bCs/>
                <w:i/>
                <w:iCs/>
              </w:rPr>
              <w:t xml:space="preserve">may </w:t>
            </w:r>
            <w:r w:rsidRPr="00D808EB">
              <w:rPr>
                <w:iCs/>
              </w:rPr>
              <w:t>be convened before the votes in plenary of the European Parliament.</w:t>
            </w:r>
          </w:p>
        </w:tc>
      </w:tr>
    </w:tbl>
    <w:p w14:paraId="31077639"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064F2E65" w14:textId="77777777" w:rsidR="008B2D19" w:rsidRPr="00D808EB" w:rsidRDefault="008B2D19" w:rsidP="008B2D19">
      <w:r w:rsidRPr="00D808EB">
        <w:rPr>
          <w:rStyle w:val="HideTWBExt"/>
          <w:noProof w:val="0"/>
        </w:rPr>
        <w:t>&lt;/Amend&gt;</w:t>
      </w:r>
    </w:p>
    <w:p w14:paraId="26B38952" w14:textId="77777777" w:rsidR="008B2D19" w:rsidRPr="00D808EB" w:rsidRDefault="008B2D19" w:rsidP="008B2D19">
      <w:pPr>
        <w:pStyle w:val="AmNumberTabs"/>
        <w:keepNext/>
      </w:pPr>
      <w:r w:rsidRPr="00D808EB">
        <w:rPr>
          <w:rStyle w:val="HideTWBExt"/>
          <w:b w:val="0"/>
          <w:noProof w:val="0"/>
        </w:rPr>
        <w:t>&lt;Amend&gt;</w:t>
      </w:r>
      <w:r w:rsidRPr="00D808EB">
        <w:t>Modification</w:t>
      </w:r>
      <w:r w:rsidRPr="00D808EB">
        <w:tab/>
      </w:r>
      <w:r w:rsidRPr="00D808EB">
        <w:tab/>
      </w:r>
      <w:r w:rsidRPr="00D808EB">
        <w:rPr>
          <w:rStyle w:val="HideTWBExt"/>
          <w:b w:val="0"/>
          <w:noProof w:val="0"/>
        </w:rPr>
        <w:t>&lt;NumAm&gt;</w:t>
      </w:r>
      <w:r w:rsidRPr="00D808EB">
        <w:t>39</w:t>
      </w:r>
      <w:r w:rsidRPr="00D808EB">
        <w:rPr>
          <w:rStyle w:val="HideTWBExt"/>
          <w:b w:val="0"/>
          <w:noProof w:val="0"/>
        </w:rPr>
        <w:t>&lt;/NumAm&gt;</w:t>
      </w:r>
    </w:p>
    <w:p w14:paraId="50A7E435" w14:textId="77777777" w:rsidR="008B2D19" w:rsidRPr="00D808EB" w:rsidRDefault="008B2D19" w:rsidP="008B2D19">
      <w:pPr>
        <w:pStyle w:val="NormalBold12b"/>
        <w:keepNext/>
      </w:pPr>
      <w:r w:rsidRPr="00D808EB">
        <w:rPr>
          <w:rStyle w:val="HideTWBExt"/>
          <w:b w:val="0"/>
          <w:noProof w:val="0"/>
        </w:rPr>
        <w:t>&lt;DocAmend&gt;</w:t>
      </w:r>
      <w:r w:rsidRPr="00D808EB">
        <w:t xml:space="preserve"> Proposal for Interinstitutional Agreement</w:t>
      </w:r>
      <w:r w:rsidRPr="00D808EB">
        <w:rPr>
          <w:rStyle w:val="HideTWBExt"/>
          <w:b w:val="0"/>
          <w:noProof w:val="0"/>
        </w:rPr>
        <w:t>&lt;/DocAmend&gt;</w:t>
      </w:r>
    </w:p>
    <w:p w14:paraId="53EAA1CA" w14:textId="77777777" w:rsidR="008B2D19" w:rsidRPr="00D808EB" w:rsidRDefault="008B2D19" w:rsidP="008B2D19">
      <w:pPr>
        <w:pStyle w:val="NormalBold12b"/>
        <w:keepNext/>
        <w:spacing w:before="0"/>
      </w:pPr>
      <w:r w:rsidRPr="00D808EB">
        <w:rPr>
          <w:rStyle w:val="HideTWBExt"/>
          <w:b w:val="0"/>
          <w:noProof w:val="0"/>
        </w:rPr>
        <w:t>&lt;Article&gt;</w:t>
      </w:r>
      <w:r w:rsidRPr="00D808EB">
        <w:t xml:space="preserve"> Annex</w:t>
      </w:r>
      <w:r w:rsidRPr="00D808EB">
        <w:rPr>
          <w:rStyle w:val="HideTWBExt"/>
          <w:b w:val="0"/>
          <w:noProof w:val="0"/>
        </w:rPr>
        <w:t>&lt;/Article&gt;</w:t>
      </w:r>
    </w:p>
    <w:p w14:paraId="6B4DA8BC" w14:textId="77777777" w:rsidR="008B2D19" w:rsidRPr="00D808EB" w:rsidRDefault="008B2D19" w:rsidP="008B2D19">
      <w:pPr>
        <w:pStyle w:val="NormalBold12b"/>
        <w:keepNext/>
        <w:spacing w:before="0"/>
      </w:pPr>
      <w:r w:rsidRPr="00D808EB">
        <w:rPr>
          <w:rStyle w:val="HideTWBExt"/>
          <w:b w:val="0"/>
          <w:noProof w:val="0"/>
        </w:rPr>
        <w:t>&lt;Article2&gt;</w:t>
      </w:r>
      <w:r w:rsidRPr="00D808EB">
        <w:t xml:space="preserve"> </w:t>
      </w:r>
      <w:r w:rsidRPr="00D808EB">
        <w:rPr>
          <w:b w:val="0"/>
          <w:bCs/>
        </w:rPr>
        <w:t xml:space="preserve">Part E – point 15 </w:t>
      </w:r>
      <w:r w:rsidRPr="00D808EB">
        <w:rPr>
          <w:rStyle w:val="HideTWBExt"/>
          <w:b w:val="0"/>
          <w:noProof w:val="0"/>
        </w:rPr>
        <w:t>&lt;/Article2&gt;</w:t>
      </w:r>
    </w:p>
    <w:p w14:paraId="1D4F12C9" w14:textId="77777777" w:rsidR="008B2D19" w:rsidRPr="00D808EB" w:rsidRDefault="008B2D19" w:rsidP="008B2D19"/>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B2D19" w:rsidRPr="00D808EB" w14:paraId="26840273" w14:textId="77777777" w:rsidTr="00803DA5">
        <w:trPr>
          <w:jc w:val="center"/>
        </w:trPr>
        <w:tc>
          <w:tcPr>
            <w:tcW w:w="9752" w:type="dxa"/>
            <w:gridSpan w:val="2"/>
          </w:tcPr>
          <w:p w14:paraId="7D905E71" w14:textId="77777777" w:rsidR="008B2D19" w:rsidRPr="00D808EB" w:rsidRDefault="008B2D19" w:rsidP="00803DA5">
            <w:pPr>
              <w:keepNext/>
            </w:pPr>
          </w:p>
        </w:tc>
      </w:tr>
      <w:tr w:rsidR="008B2D19" w:rsidRPr="00D808EB" w14:paraId="1C1CCAFA" w14:textId="77777777" w:rsidTr="00803DA5">
        <w:trPr>
          <w:jc w:val="center"/>
        </w:trPr>
        <w:tc>
          <w:tcPr>
            <w:tcW w:w="4876" w:type="dxa"/>
          </w:tcPr>
          <w:p w14:paraId="315EB0BF" w14:textId="77777777" w:rsidR="008B2D19" w:rsidRPr="00D808EB" w:rsidRDefault="008B2D19" w:rsidP="00803DA5">
            <w:pPr>
              <w:pStyle w:val="AmColumnHeading"/>
              <w:keepNext/>
            </w:pPr>
            <w:r w:rsidRPr="00D808EB">
              <w:t>Text proposed by the Commission</w:t>
            </w:r>
          </w:p>
        </w:tc>
        <w:tc>
          <w:tcPr>
            <w:tcW w:w="4876" w:type="dxa"/>
          </w:tcPr>
          <w:p w14:paraId="18AF675B" w14:textId="77777777" w:rsidR="008B2D19" w:rsidRPr="00D808EB" w:rsidRDefault="008B2D19" w:rsidP="00803DA5">
            <w:pPr>
              <w:pStyle w:val="AmColumnHeading"/>
              <w:keepNext/>
            </w:pPr>
            <w:r w:rsidRPr="00D808EB">
              <w:t>Modification</w:t>
            </w:r>
          </w:p>
        </w:tc>
      </w:tr>
      <w:tr w:rsidR="008B2D19" w:rsidRPr="00D808EB" w14:paraId="696A84D3" w14:textId="77777777" w:rsidTr="00803DA5">
        <w:trPr>
          <w:jc w:val="center"/>
        </w:trPr>
        <w:tc>
          <w:tcPr>
            <w:tcW w:w="4876" w:type="dxa"/>
          </w:tcPr>
          <w:p w14:paraId="17A3A626" w14:textId="77777777" w:rsidR="008B2D19" w:rsidRPr="00D808EB" w:rsidRDefault="008B2D19" w:rsidP="00803DA5">
            <w:pPr>
              <w:pStyle w:val="Normal6a"/>
            </w:pPr>
            <w:r w:rsidRPr="00D808EB">
              <w:t>15.</w:t>
            </w:r>
            <w:r w:rsidRPr="00D808EB">
              <w:tab/>
            </w:r>
            <w:r w:rsidRPr="00D808EB">
              <w:rPr>
                <w:iCs/>
              </w:rPr>
              <w:t xml:space="preserve">If the Council cannot agree on all the amendments adopted by the European Parliament, it </w:t>
            </w:r>
            <w:r w:rsidRPr="00D808EB">
              <w:rPr>
                <w:b/>
                <w:bCs/>
                <w:i/>
                <w:iCs/>
              </w:rPr>
              <w:t xml:space="preserve">should </w:t>
            </w:r>
            <w:r w:rsidRPr="00D808EB">
              <w:rPr>
                <w:iCs/>
              </w:rPr>
              <w:t>confirm its position by letter sent before the first meeting foreseen during the conciliation period. In such case, the Conciliation Committee shall proceed in accordance with the conditions laid down in the following points of this Annex.</w:t>
            </w:r>
          </w:p>
        </w:tc>
        <w:tc>
          <w:tcPr>
            <w:tcW w:w="4876" w:type="dxa"/>
          </w:tcPr>
          <w:p w14:paraId="7C29C4A9" w14:textId="77777777" w:rsidR="008B2D19" w:rsidRPr="00D808EB" w:rsidRDefault="008B2D19" w:rsidP="00803DA5">
            <w:pPr>
              <w:pStyle w:val="Normal6a"/>
              <w:rPr>
                <w:iCs/>
              </w:rPr>
            </w:pPr>
            <w:r w:rsidRPr="00D808EB">
              <w:t>15.</w:t>
            </w:r>
            <w:r w:rsidRPr="00D808EB">
              <w:tab/>
            </w:r>
            <w:r w:rsidRPr="00D808EB">
              <w:rPr>
                <w:iCs/>
              </w:rPr>
              <w:t xml:space="preserve">If the Council cannot agree on all the amendments adopted by the European Parliament, it </w:t>
            </w:r>
            <w:r w:rsidRPr="00D808EB">
              <w:rPr>
                <w:b/>
                <w:bCs/>
                <w:i/>
                <w:iCs/>
              </w:rPr>
              <w:t>shall</w:t>
            </w:r>
            <w:r w:rsidRPr="00D808EB">
              <w:rPr>
                <w:iCs/>
              </w:rPr>
              <w:t xml:space="preserve"> confirm its position by letter sent before the first meeting foreseen during the conciliation period. In such case, the Conciliation Committee shall proceed in accordance with the conditions laid down in the following points of this Annex.</w:t>
            </w:r>
          </w:p>
        </w:tc>
      </w:tr>
    </w:tbl>
    <w:p w14:paraId="36766F31" w14:textId="77777777" w:rsidR="008B2D19" w:rsidRPr="00D808EB" w:rsidRDefault="008B2D19" w:rsidP="008B2D19">
      <w:pPr>
        <w:pStyle w:val="AmOrLang"/>
      </w:pPr>
      <w:r w:rsidRPr="00D808EB">
        <w:t xml:space="preserve">Or. </w:t>
      </w:r>
      <w:r w:rsidRPr="00D808EB">
        <w:rPr>
          <w:rStyle w:val="HideTWBExt"/>
          <w:noProof w:val="0"/>
        </w:rPr>
        <w:t>&lt;Original&gt;</w:t>
      </w:r>
      <w:r w:rsidRPr="00D808EB">
        <w:rPr>
          <w:rStyle w:val="HideTWBInt"/>
        </w:rPr>
        <w:t>{EN}</w:t>
      </w:r>
      <w:r w:rsidRPr="00D808EB">
        <w:t>en</w:t>
      </w:r>
      <w:r w:rsidRPr="00D808EB">
        <w:rPr>
          <w:rStyle w:val="HideTWBExt"/>
          <w:noProof w:val="0"/>
        </w:rPr>
        <w:t>&lt;/Original&gt;</w:t>
      </w:r>
    </w:p>
    <w:p w14:paraId="78946AC9" w14:textId="77777777" w:rsidR="008B2D19" w:rsidRPr="00D808EB" w:rsidRDefault="008B2D19" w:rsidP="008B2D19">
      <w:r w:rsidRPr="00D808EB">
        <w:rPr>
          <w:rStyle w:val="HideTWBExt"/>
          <w:noProof w:val="0"/>
        </w:rPr>
        <w:t>&lt;/Amend&gt;</w:t>
      </w:r>
    </w:p>
    <w:p w14:paraId="70D1A5DD" w14:textId="77777777" w:rsidR="008B2D19" w:rsidRPr="00D808EB" w:rsidRDefault="008B2D19" w:rsidP="008B2D19"/>
    <w:p w14:paraId="35D51170" w14:textId="77777777" w:rsidR="008B2D19" w:rsidRPr="00D808EB" w:rsidRDefault="008B2D19" w:rsidP="008B2D19">
      <w:pPr>
        <w:rPr>
          <w:rStyle w:val="HideTWBExt"/>
          <w:noProof w:val="0"/>
        </w:rPr>
      </w:pPr>
      <w:r w:rsidRPr="00D808EB">
        <w:rPr>
          <w:rStyle w:val="HideTWBExt"/>
          <w:noProof w:val="0"/>
        </w:rPr>
        <w:t>&lt;/RepeatBlock-Amend&gt;</w:t>
      </w:r>
    </w:p>
    <w:p w14:paraId="4A0ABCCB" w14:textId="77777777" w:rsidR="008B2D19" w:rsidRPr="00D808EB" w:rsidRDefault="008B2D19" w:rsidP="008B2D19"/>
    <w:p w14:paraId="18F9A00D" w14:textId="77777777" w:rsidR="008B2D19" w:rsidRPr="00D808EB" w:rsidRDefault="008B2D19" w:rsidP="008B2D19">
      <w:pPr>
        <w:jc w:val="center"/>
      </w:pPr>
      <w:r w:rsidRPr="00D808EB">
        <w:t>°</w:t>
      </w:r>
    </w:p>
    <w:p w14:paraId="3B7DC034" w14:textId="77777777" w:rsidR="008B2D19" w:rsidRPr="00D808EB" w:rsidRDefault="008B2D19" w:rsidP="008B2D19">
      <w:pPr>
        <w:jc w:val="center"/>
      </w:pPr>
      <w:r w:rsidRPr="00D808EB">
        <w:t>°         °</w:t>
      </w:r>
    </w:p>
    <w:p w14:paraId="62436E8B" w14:textId="77777777" w:rsidR="008B2D19" w:rsidRPr="00D808EB" w:rsidRDefault="008B2D19" w:rsidP="008B2D19"/>
    <w:p w14:paraId="4FF4BAAA" w14:textId="77777777" w:rsidR="008B2D19" w:rsidRPr="00D808EB" w:rsidRDefault="008B2D19" w:rsidP="008B2D19">
      <w:r w:rsidRPr="00D808EB">
        <w:t>58.</w:t>
      </w:r>
      <w:r w:rsidRPr="00D808EB">
        <w:tab/>
        <w:t>Instructs its President to forward this resolution to the Council and the Commission.</w:t>
      </w:r>
    </w:p>
    <w:p w14:paraId="243FA404" w14:textId="77777777" w:rsidR="00DB659A" w:rsidRPr="00D808EB" w:rsidRDefault="00DB659A" w:rsidP="00DB659A"/>
    <w:p w14:paraId="38840439" w14:textId="77777777" w:rsidR="00DB659A" w:rsidRPr="00D808EB" w:rsidRDefault="00DB659A" w:rsidP="00DB659A"/>
    <w:p w14:paraId="3BA2BF39" w14:textId="77777777" w:rsidR="00DB659A" w:rsidRPr="00D808EB" w:rsidRDefault="00DB659A" w:rsidP="00DB659A"/>
    <w:p w14:paraId="6D8EB03E" w14:textId="77777777" w:rsidR="00DB659A" w:rsidRPr="00D808EB" w:rsidRDefault="00DB659A" w:rsidP="00DB659A">
      <w:pPr>
        <w:sectPr w:rsidR="00DB659A" w:rsidRPr="00D808EB" w:rsidSect="00DB659A">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titlePg/>
        </w:sectPr>
      </w:pPr>
      <w:r w:rsidRPr="00D808EB">
        <w:br w:type="page"/>
      </w:r>
    </w:p>
    <w:p w14:paraId="160C1FC1" w14:textId="77777777" w:rsidR="00DB659A" w:rsidRPr="00D808EB" w:rsidRDefault="00DB659A" w:rsidP="00DB659A">
      <w:pPr>
        <w:rPr>
          <w:b/>
          <w:bCs/>
          <w:u w:val="single"/>
        </w:rPr>
      </w:pPr>
      <w:r w:rsidRPr="00D808EB">
        <w:rPr>
          <w:rFonts w:eastAsiaTheme="minorHAnsi"/>
          <w:b/>
          <w:bCs/>
          <w:kern w:val="2"/>
          <w:szCs w:val="24"/>
          <w:lang w:eastAsia="en-US"/>
          <w14:ligatures w14:val="standardContextual"/>
        </w:rPr>
        <w:t>7.</w:t>
      </w:r>
      <w:r w:rsidRPr="00D808EB">
        <w:rPr>
          <w:rFonts w:eastAsiaTheme="minorHAnsi"/>
          <w:b/>
          <w:bCs/>
          <w:kern w:val="2"/>
          <w:szCs w:val="24"/>
          <w:lang w:eastAsia="en-US"/>
          <w14:ligatures w14:val="standardContextual"/>
        </w:rPr>
        <w:tab/>
      </w:r>
      <w:r w:rsidRPr="00D808EB">
        <w:rPr>
          <w:b/>
          <w:bCs/>
          <w:u w:val="single"/>
        </w:rPr>
        <w:t>Annex I: EP position on figures (constant and current prices) excluding NGEU repayment</w:t>
      </w:r>
    </w:p>
    <w:p w14:paraId="6A2AF1DF" w14:textId="77777777" w:rsidR="00DB659A" w:rsidRPr="00D808EB" w:rsidRDefault="00DB659A" w:rsidP="00DB659A">
      <w:pPr>
        <w:pStyle w:val="ListParagraph"/>
        <w:ind w:left="0"/>
        <w:rPr>
          <w:b/>
          <w:bCs/>
          <w:u w:val="single"/>
        </w:rPr>
      </w:pPr>
    </w:p>
    <w:tbl>
      <w:tblPr>
        <w:tblW w:w="14826" w:type="dxa"/>
        <w:tblLook w:val="04A0" w:firstRow="1" w:lastRow="0" w:firstColumn="1" w:lastColumn="0" w:noHBand="0" w:noVBand="1"/>
      </w:tblPr>
      <w:tblGrid>
        <w:gridCol w:w="4441"/>
        <w:gridCol w:w="1280"/>
        <w:gridCol w:w="1280"/>
        <w:gridCol w:w="1280"/>
        <w:gridCol w:w="1280"/>
        <w:gridCol w:w="1280"/>
        <w:gridCol w:w="1280"/>
        <w:gridCol w:w="1280"/>
        <w:gridCol w:w="1203"/>
        <w:gridCol w:w="222"/>
      </w:tblGrid>
      <w:tr w:rsidR="00DB659A" w:rsidRPr="00D808EB" w14:paraId="5854F552" w14:textId="77777777" w:rsidTr="00CC28AE">
        <w:trPr>
          <w:gridAfter w:val="1"/>
          <w:wAfter w:w="222" w:type="dxa"/>
          <w:trHeight w:val="297"/>
        </w:trPr>
        <w:tc>
          <w:tcPr>
            <w:tcW w:w="444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C8DF226" w14:textId="77777777" w:rsidR="00DB659A" w:rsidRPr="00D808EB" w:rsidRDefault="00DB659A" w:rsidP="00CC28AE">
            <w:pPr>
              <w:rPr>
                <w:b/>
                <w:bCs/>
                <w:szCs w:val="24"/>
              </w:rPr>
            </w:pPr>
            <w:r w:rsidRPr="00D808EB">
              <w:rPr>
                <w:b/>
                <w:bCs/>
                <w:szCs w:val="24"/>
              </w:rPr>
              <w:t>COMMITMENT APPROPRIATIONS</w:t>
            </w:r>
          </w:p>
        </w:tc>
        <w:tc>
          <w:tcPr>
            <w:tcW w:w="128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3C8F5221" w14:textId="77777777" w:rsidR="00DB659A" w:rsidRPr="00D808EB" w:rsidRDefault="00DB659A" w:rsidP="00CC28AE">
            <w:pPr>
              <w:jc w:val="center"/>
              <w:rPr>
                <w:b/>
                <w:bCs/>
                <w:szCs w:val="24"/>
              </w:rPr>
            </w:pPr>
            <w:r w:rsidRPr="00D808EB">
              <w:rPr>
                <w:b/>
                <w:bCs/>
                <w:szCs w:val="24"/>
              </w:rPr>
              <w:t>2028</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614E89E9" w14:textId="77777777" w:rsidR="00DB659A" w:rsidRPr="00D808EB" w:rsidRDefault="00DB659A" w:rsidP="00CC28AE">
            <w:pPr>
              <w:jc w:val="center"/>
              <w:rPr>
                <w:b/>
                <w:bCs/>
                <w:szCs w:val="24"/>
              </w:rPr>
            </w:pPr>
            <w:r w:rsidRPr="00D808EB">
              <w:rPr>
                <w:b/>
                <w:bCs/>
                <w:szCs w:val="24"/>
              </w:rPr>
              <w:t>2029</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1D0DAC41" w14:textId="77777777" w:rsidR="00DB659A" w:rsidRPr="00D808EB" w:rsidRDefault="00DB659A" w:rsidP="00CC28AE">
            <w:pPr>
              <w:jc w:val="center"/>
              <w:rPr>
                <w:b/>
                <w:bCs/>
                <w:szCs w:val="24"/>
              </w:rPr>
            </w:pPr>
            <w:r w:rsidRPr="00D808EB">
              <w:rPr>
                <w:b/>
                <w:bCs/>
                <w:szCs w:val="24"/>
              </w:rPr>
              <w:t>2030</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3095EFB6" w14:textId="77777777" w:rsidR="00DB659A" w:rsidRPr="00D808EB" w:rsidRDefault="00DB659A" w:rsidP="00CC28AE">
            <w:pPr>
              <w:jc w:val="center"/>
              <w:rPr>
                <w:b/>
                <w:bCs/>
                <w:szCs w:val="24"/>
              </w:rPr>
            </w:pPr>
            <w:r w:rsidRPr="00D808EB">
              <w:rPr>
                <w:b/>
                <w:bCs/>
                <w:szCs w:val="24"/>
              </w:rPr>
              <w:t>2031</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0319F881" w14:textId="77777777" w:rsidR="00DB659A" w:rsidRPr="00D808EB" w:rsidRDefault="00DB659A" w:rsidP="00CC28AE">
            <w:pPr>
              <w:jc w:val="center"/>
              <w:rPr>
                <w:b/>
                <w:bCs/>
                <w:szCs w:val="24"/>
              </w:rPr>
            </w:pPr>
            <w:r w:rsidRPr="00D808EB">
              <w:rPr>
                <w:b/>
                <w:bCs/>
                <w:szCs w:val="24"/>
              </w:rPr>
              <w:t>2032</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165F291C" w14:textId="77777777" w:rsidR="00DB659A" w:rsidRPr="00D808EB" w:rsidRDefault="00DB659A" w:rsidP="00CC28AE">
            <w:pPr>
              <w:jc w:val="center"/>
              <w:rPr>
                <w:b/>
                <w:bCs/>
                <w:szCs w:val="24"/>
              </w:rPr>
            </w:pPr>
            <w:r w:rsidRPr="00D808EB">
              <w:rPr>
                <w:b/>
                <w:bCs/>
                <w:szCs w:val="24"/>
              </w:rPr>
              <w:t>2033</w:t>
            </w:r>
          </w:p>
        </w:tc>
        <w:tc>
          <w:tcPr>
            <w:tcW w:w="1280"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5BB8CC26" w14:textId="77777777" w:rsidR="00DB659A" w:rsidRPr="00D808EB" w:rsidRDefault="00DB659A" w:rsidP="00CC28AE">
            <w:pPr>
              <w:jc w:val="center"/>
              <w:rPr>
                <w:b/>
                <w:bCs/>
                <w:szCs w:val="24"/>
              </w:rPr>
            </w:pPr>
            <w:r w:rsidRPr="00D808EB">
              <w:rPr>
                <w:b/>
                <w:bCs/>
                <w:szCs w:val="24"/>
              </w:rPr>
              <w:t>2034</w:t>
            </w:r>
          </w:p>
        </w:tc>
        <w:tc>
          <w:tcPr>
            <w:tcW w:w="1203" w:type="dxa"/>
            <w:tcBorders>
              <w:top w:val="single" w:sz="8" w:space="0" w:color="auto"/>
              <w:left w:val="nil"/>
              <w:bottom w:val="nil"/>
              <w:right w:val="single" w:sz="8" w:space="0" w:color="auto"/>
            </w:tcBorders>
            <w:shd w:val="clear" w:color="auto" w:fill="auto"/>
            <w:vAlign w:val="center"/>
            <w:hideMark/>
          </w:tcPr>
          <w:p w14:paraId="5B7CA864" w14:textId="77777777" w:rsidR="00DB659A" w:rsidRPr="00D808EB" w:rsidRDefault="00DB659A" w:rsidP="00CC28AE">
            <w:pPr>
              <w:jc w:val="center"/>
              <w:rPr>
                <w:b/>
                <w:bCs/>
                <w:szCs w:val="24"/>
              </w:rPr>
            </w:pPr>
            <w:r w:rsidRPr="00D808EB">
              <w:rPr>
                <w:b/>
                <w:bCs/>
                <w:szCs w:val="24"/>
              </w:rPr>
              <w:t>Total</w:t>
            </w:r>
          </w:p>
        </w:tc>
      </w:tr>
      <w:tr w:rsidR="00DB659A" w:rsidRPr="00D808EB" w14:paraId="1F8F7696" w14:textId="77777777" w:rsidTr="00CC28AE">
        <w:trPr>
          <w:gridAfter w:val="1"/>
          <w:wAfter w:w="222" w:type="dxa"/>
          <w:trHeight w:val="297"/>
        </w:trPr>
        <w:tc>
          <w:tcPr>
            <w:tcW w:w="4441" w:type="dxa"/>
            <w:vMerge/>
            <w:tcBorders>
              <w:top w:val="single" w:sz="8" w:space="0" w:color="auto"/>
              <w:left w:val="single" w:sz="8" w:space="0" w:color="auto"/>
              <w:bottom w:val="single" w:sz="8" w:space="0" w:color="000000"/>
              <w:right w:val="single" w:sz="8" w:space="0" w:color="auto"/>
            </w:tcBorders>
            <w:vAlign w:val="center"/>
            <w:hideMark/>
          </w:tcPr>
          <w:p w14:paraId="4E542155" w14:textId="77777777" w:rsidR="00DB659A" w:rsidRPr="00D808EB" w:rsidRDefault="00DB659A" w:rsidP="00CC28AE">
            <w:pPr>
              <w:rPr>
                <w:b/>
                <w:bCs/>
                <w:szCs w:val="24"/>
              </w:rPr>
            </w:pPr>
          </w:p>
        </w:tc>
        <w:tc>
          <w:tcPr>
            <w:tcW w:w="1280" w:type="dxa"/>
            <w:vMerge/>
            <w:tcBorders>
              <w:top w:val="single" w:sz="8" w:space="0" w:color="auto"/>
              <w:left w:val="single" w:sz="8" w:space="0" w:color="auto"/>
              <w:bottom w:val="single" w:sz="8" w:space="0" w:color="000000"/>
              <w:right w:val="nil"/>
            </w:tcBorders>
            <w:vAlign w:val="center"/>
            <w:hideMark/>
          </w:tcPr>
          <w:p w14:paraId="0C8F8BDB"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79F4F917"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4604F1D3"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46BDF8E7"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01029A2D"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5BE1652C"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single" w:sz="8" w:space="0" w:color="auto"/>
            </w:tcBorders>
            <w:vAlign w:val="center"/>
            <w:hideMark/>
          </w:tcPr>
          <w:p w14:paraId="70F324FF" w14:textId="77777777" w:rsidR="00DB659A" w:rsidRPr="00D808EB" w:rsidRDefault="00DB659A" w:rsidP="00CC28AE">
            <w:pPr>
              <w:rPr>
                <w:b/>
                <w:bCs/>
                <w:szCs w:val="24"/>
              </w:rPr>
            </w:pPr>
          </w:p>
        </w:tc>
        <w:tc>
          <w:tcPr>
            <w:tcW w:w="1203" w:type="dxa"/>
            <w:tcBorders>
              <w:top w:val="nil"/>
              <w:left w:val="nil"/>
              <w:bottom w:val="single" w:sz="8" w:space="0" w:color="auto"/>
              <w:right w:val="single" w:sz="8" w:space="0" w:color="auto"/>
            </w:tcBorders>
            <w:shd w:val="clear" w:color="auto" w:fill="auto"/>
            <w:vAlign w:val="center"/>
            <w:hideMark/>
          </w:tcPr>
          <w:p w14:paraId="3ADF320A" w14:textId="77777777" w:rsidR="00DB659A" w:rsidRPr="00D808EB" w:rsidRDefault="00DB659A" w:rsidP="00CC28AE">
            <w:pPr>
              <w:jc w:val="center"/>
              <w:rPr>
                <w:b/>
                <w:bCs/>
                <w:szCs w:val="24"/>
              </w:rPr>
            </w:pPr>
            <w:r w:rsidRPr="00D808EB">
              <w:rPr>
                <w:b/>
                <w:bCs/>
                <w:szCs w:val="24"/>
              </w:rPr>
              <w:t>2028-2034</w:t>
            </w:r>
          </w:p>
        </w:tc>
      </w:tr>
      <w:tr w:rsidR="00DB659A" w:rsidRPr="00D808EB" w14:paraId="40A44569" w14:textId="77777777" w:rsidTr="00CC28AE">
        <w:trPr>
          <w:gridAfter w:val="1"/>
          <w:wAfter w:w="222" w:type="dxa"/>
          <w:trHeight w:val="276"/>
        </w:trPr>
        <w:tc>
          <w:tcPr>
            <w:tcW w:w="4441" w:type="dxa"/>
            <w:vMerge w:val="restart"/>
            <w:tcBorders>
              <w:top w:val="nil"/>
              <w:left w:val="single" w:sz="8" w:space="0" w:color="auto"/>
              <w:bottom w:val="nil"/>
              <w:right w:val="single" w:sz="8" w:space="0" w:color="auto"/>
            </w:tcBorders>
            <w:shd w:val="clear" w:color="auto" w:fill="auto"/>
            <w:vAlign w:val="center"/>
            <w:hideMark/>
          </w:tcPr>
          <w:p w14:paraId="5DC520DF" w14:textId="77777777" w:rsidR="00DB659A" w:rsidRPr="00D808EB" w:rsidRDefault="00DB659A" w:rsidP="00CC28AE">
            <w:pPr>
              <w:rPr>
                <w:b/>
                <w:bCs/>
                <w:sz w:val="20"/>
              </w:rPr>
            </w:pPr>
            <w:r w:rsidRPr="00D808EB">
              <w:rPr>
                <w:b/>
                <w:bCs/>
                <w:sz w:val="20"/>
              </w:rPr>
              <w:t xml:space="preserve">1. Economic, social and territorial cohesion, agriculture and rural, maritime , prosperity and security </w:t>
            </w:r>
          </w:p>
        </w:tc>
        <w:tc>
          <w:tcPr>
            <w:tcW w:w="1280" w:type="dxa"/>
            <w:vMerge w:val="restart"/>
            <w:tcBorders>
              <w:top w:val="nil"/>
              <w:left w:val="single" w:sz="8" w:space="0" w:color="auto"/>
              <w:bottom w:val="nil"/>
              <w:right w:val="nil"/>
            </w:tcBorders>
            <w:shd w:val="clear" w:color="auto" w:fill="auto"/>
            <w:noWrap/>
            <w:vAlign w:val="center"/>
            <w:hideMark/>
          </w:tcPr>
          <w:p w14:paraId="6E8AF6AE" w14:textId="77777777" w:rsidR="00DB659A" w:rsidRPr="00D808EB" w:rsidRDefault="00DB659A" w:rsidP="00CC28AE">
            <w:pPr>
              <w:ind w:firstLineChars="100" w:firstLine="201"/>
              <w:jc w:val="right"/>
              <w:rPr>
                <w:b/>
                <w:bCs/>
                <w:sz w:val="20"/>
              </w:rPr>
            </w:pPr>
            <w:r w:rsidRPr="00D808EB">
              <w:rPr>
                <w:b/>
                <w:bCs/>
                <w:sz w:val="20"/>
              </w:rPr>
              <w:t>145 722</w:t>
            </w:r>
          </w:p>
        </w:tc>
        <w:tc>
          <w:tcPr>
            <w:tcW w:w="1280" w:type="dxa"/>
            <w:vMerge w:val="restart"/>
            <w:tcBorders>
              <w:top w:val="nil"/>
              <w:left w:val="nil"/>
              <w:bottom w:val="nil"/>
              <w:right w:val="nil"/>
            </w:tcBorders>
            <w:shd w:val="clear" w:color="auto" w:fill="auto"/>
            <w:noWrap/>
            <w:vAlign w:val="center"/>
            <w:hideMark/>
          </w:tcPr>
          <w:p w14:paraId="64267216" w14:textId="77777777" w:rsidR="00DB659A" w:rsidRPr="00D808EB" w:rsidRDefault="00DB659A" w:rsidP="00CC28AE">
            <w:pPr>
              <w:ind w:firstLineChars="100" w:firstLine="201"/>
              <w:jc w:val="right"/>
              <w:rPr>
                <w:b/>
                <w:bCs/>
                <w:sz w:val="20"/>
              </w:rPr>
            </w:pPr>
            <w:r w:rsidRPr="00D808EB">
              <w:rPr>
                <w:b/>
                <w:bCs/>
                <w:sz w:val="20"/>
              </w:rPr>
              <w:t>140 577</w:t>
            </w:r>
          </w:p>
        </w:tc>
        <w:tc>
          <w:tcPr>
            <w:tcW w:w="1280" w:type="dxa"/>
            <w:vMerge w:val="restart"/>
            <w:tcBorders>
              <w:top w:val="nil"/>
              <w:left w:val="nil"/>
              <w:bottom w:val="nil"/>
              <w:right w:val="nil"/>
            </w:tcBorders>
            <w:shd w:val="clear" w:color="auto" w:fill="auto"/>
            <w:noWrap/>
            <w:vAlign w:val="center"/>
            <w:hideMark/>
          </w:tcPr>
          <w:p w14:paraId="31F3A004" w14:textId="77777777" w:rsidR="00DB659A" w:rsidRPr="00D808EB" w:rsidRDefault="00DB659A" w:rsidP="00CC28AE">
            <w:pPr>
              <w:ind w:firstLineChars="100" w:firstLine="201"/>
              <w:jc w:val="right"/>
              <w:rPr>
                <w:b/>
                <w:bCs/>
                <w:sz w:val="20"/>
              </w:rPr>
            </w:pPr>
            <w:r w:rsidRPr="00D808EB">
              <w:rPr>
                <w:b/>
                <w:bCs/>
                <w:sz w:val="20"/>
              </w:rPr>
              <w:t>134 993</w:t>
            </w:r>
          </w:p>
        </w:tc>
        <w:tc>
          <w:tcPr>
            <w:tcW w:w="1280" w:type="dxa"/>
            <w:vMerge w:val="restart"/>
            <w:tcBorders>
              <w:top w:val="nil"/>
              <w:left w:val="nil"/>
              <w:bottom w:val="nil"/>
              <w:right w:val="nil"/>
            </w:tcBorders>
            <w:shd w:val="clear" w:color="auto" w:fill="auto"/>
            <w:noWrap/>
            <w:vAlign w:val="center"/>
            <w:hideMark/>
          </w:tcPr>
          <w:p w14:paraId="6A4E941D" w14:textId="77777777" w:rsidR="00DB659A" w:rsidRPr="00D808EB" w:rsidRDefault="00DB659A" w:rsidP="00CC28AE">
            <w:pPr>
              <w:ind w:firstLineChars="100" w:firstLine="201"/>
              <w:jc w:val="right"/>
              <w:rPr>
                <w:b/>
                <w:bCs/>
                <w:sz w:val="20"/>
              </w:rPr>
            </w:pPr>
            <w:r w:rsidRPr="00D808EB">
              <w:rPr>
                <w:b/>
                <w:bCs/>
                <w:sz w:val="20"/>
              </w:rPr>
              <w:t>129 890</w:t>
            </w:r>
          </w:p>
        </w:tc>
        <w:tc>
          <w:tcPr>
            <w:tcW w:w="1280" w:type="dxa"/>
            <w:vMerge w:val="restart"/>
            <w:tcBorders>
              <w:top w:val="nil"/>
              <w:left w:val="nil"/>
              <w:bottom w:val="nil"/>
              <w:right w:val="nil"/>
            </w:tcBorders>
            <w:shd w:val="clear" w:color="auto" w:fill="auto"/>
            <w:noWrap/>
            <w:vAlign w:val="center"/>
            <w:hideMark/>
          </w:tcPr>
          <w:p w14:paraId="6395147E" w14:textId="77777777" w:rsidR="00DB659A" w:rsidRPr="00D808EB" w:rsidRDefault="00DB659A" w:rsidP="00CC28AE">
            <w:pPr>
              <w:ind w:firstLineChars="100" w:firstLine="201"/>
              <w:jc w:val="right"/>
              <w:rPr>
                <w:b/>
                <w:bCs/>
                <w:sz w:val="20"/>
              </w:rPr>
            </w:pPr>
            <w:r w:rsidRPr="00D808EB">
              <w:rPr>
                <w:b/>
                <w:bCs/>
                <w:sz w:val="20"/>
              </w:rPr>
              <w:t>124 157</w:t>
            </w:r>
          </w:p>
        </w:tc>
        <w:tc>
          <w:tcPr>
            <w:tcW w:w="1280" w:type="dxa"/>
            <w:vMerge w:val="restart"/>
            <w:tcBorders>
              <w:top w:val="nil"/>
              <w:left w:val="nil"/>
              <w:bottom w:val="nil"/>
              <w:right w:val="nil"/>
            </w:tcBorders>
            <w:shd w:val="clear" w:color="auto" w:fill="auto"/>
            <w:noWrap/>
            <w:vAlign w:val="center"/>
            <w:hideMark/>
          </w:tcPr>
          <w:p w14:paraId="69401E8E" w14:textId="77777777" w:rsidR="00DB659A" w:rsidRPr="00D808EB" w:rsidRDefault="00DB659A" w:rsidP="00CC28AE">
            <w:pPr>
              <w:ind w:firstLineChars="100" w:firstLine="201"/>
              <w:jc w:val="right"/>
              <w:rPr>
                <w:b/>
                <w:bCs/>
                <w:sz w:val="20"/>
              </w:rPr>
            </w:pPr>
            <w:r w:rsidRPr="00D808EB">
              <w:rPr>
                <w:b/>
                <w:bCs/>
                <w:sz w:val="20"/>
              </w:rPr>
              <w:t>110 208</w:t>
            </w:r>
          </w:p>
        </w:tc>
        <w:tc>
          <w:tcPr>
            <w:tcW w:w="1280" w:type="dxa"/>
            <w:vMerge w:val="restart"/>
            <w:tcBorders>
              <w:top w:val="nil"/>
              <w:left w:val="nil"/>
              <w:bottom w:val="nil"/>
              <w:right w:val="single" w:sz="8" w:space="0" w:color="auto"/>
            </w:tcBorders>
            <w:shd w:val="clear" w:color="auto" w:fill="auto"/>
            <w:noWrap/>
            <w:vAlign w:val="center"/>
            <w:hideMark/>
          </w:tcPr>
          <w:p w14:paraId="5BE1264B" w14:textId="77777777" w:rsidR="00DB659A" w:rsidRPr="00D808EB" w:rsidRDefault="00DB659A" w:rsidP="00CC28AE">
            <w:pPr>
              <w:ind w:firstLineChars="100" w:firstLine="201"/>
              <w:jc w:val="right"/>
              <w:rPr>
                <w:b/>
                <w:bCs/>
                <w:sz w:val="20"/>
              </w:rPr>
            </w:pPr>
            <w:r w:rsidRPr="00D808EB">
              <w:rPr>
                <w:b/>
                <w:bCs/>
                <w:sz w:val="20"/>
              </w:rPr>
              <w:t>100 698</w:t>
            </w:r>
          </w:p>
        </w:tc>
        <w:tc>
          <w:tcPr>
            <w:tcW w:w="1203" w:type="dxa"/>
            <w:vMerge w:val="restart"/>
            <w:tcBorders>
              <w:top w:val="nil"/>
              <w:left w:val="single" w:sz="8" w:space="0" w:color="auto"/>
              <w:bottom w:val="nil"/>
              <w:right w:val="single" w:sz="8" w:space="0" w:color="auto"/>
            </w:tcBorders>
            <w:shd w:val="clear" w:color="auto" w:fill="auto"/>
            <w:noWrap/>
            <w:vAlign w:val="center"/>
            <w:hideMark/>
          </w:tcPr>
          <w:p w14:paraId="6786FCFC" w14:textId="77777777" w:rsidR="00DB659A" w:rsidRPr="00D808EB" w:rsidRDefault="00DB659A" w:rsidP="00CC28AE">
            <w:pPr>
              <w:ind w:firstLineChars="100" w:firstLine="201"/>
              <w:jc w:val="right"/>
              <w:rPr>
                <w:b/>
                <w:bCs/>
                <w:sz w:val="20"/>
              </w:rPr>
            </w:pPr>
            <w:r w:rsidRPr="00D808EB">
              <w:rPr>
                <w:b/>
                <w:bCs/>
                <w:sz w:val="20"/>
              </w:rPr>
              <w:t>886 247</w:t>
            </w:r>
          </w:p>
        </w:tc>
      </w:tr>
      <w:tr w:rsidR="00DB659A" w:rsidRPr="00D808EB" w14:paraId="36BFAA93" w14:textId="77777777" w:rsidTr="00CC28AE">
        <w:trPr>
          <w:trHeight w:val="180"/>
        </w:trPr>
        <w:tc>
          <w:tcPr>
            <w:tcW w:w="4441" w:type="dxa"/>
            <w:vMerge/>
            <w:tcBorders>
              <w:top w:val="nil"/>
              <w:left w:val="single" w:sz="8" w:space="0" w:color="auto"/>
              <w:bottom w:val="nil"/>
              <w:right w:val="single" w:sz="8" w:space="0" w:color="auto"/>
            </w:tcBorders>
            <w:vAlign w:val="center"/>
            <w:hideMark/>
          </w:tcPr>
          <w:p w14:paraId="79079C44" w14:textId="77777777" w:rsidR="00DB659A" w:rsidRPr="00D808EB" w:rsidRDefault="00DB659A" w:rsidP="00CC28AE">
            <w:pPr>
              <w:rPr>
                <w:b/>
                <w:bCs/>
                <w:sz w:val="20"/>
              </w:rPr>
            </w:pPr>
          </w:p>
        </w:tc>
        <w:tc>
          <w:tcPr>
            <w:tcW w:w="1280" w:type="dxa"/>
            <w:vMerge/>
            <w:tcBorders>
              <w:top w:val="nil"/>
              <w:left w:val="single" w:sz="8" w:space="0" w:color="auto"/>
              <w:bottom w:val="nil"/>
              <w:right w:val="nil"/>
            </w:tcBorders>
            <w:vAlign w:val="center"/>
            <w:hideMark/>
          </w:tcPr>
          <w:p w14:paraId="3402D5B7"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6BCD8E71"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47DE7166"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3BB122B5"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158D4CA1"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68C16BEA" w14:textId="77777777" w:rsidR="00DB659A" w:rsidRPr="00D808EB" w:rsidRDefault="00DB659A" w:rsidP="00CC28AE">
            <w:pPr>
              <w:rPr>
                <w:b/>
                <w:bCs/>
                <w:sz w:val="20"/>
              </w:rPr>
            </w:pPr>
          </w:p>
        </w:tc>
        <w:tc>
          <w:tcPr>
            <w:tcW w:w="1280" w:type="dxa"/>
            <w:vMerge/>
            <w:tcBorders>
              <w:top w:val="nil"/>
              <w:left w:val="nil"/>
              <w:bottom w:val="nil"/>
              <w:right w:val="single" w:sz="8" w:space="0" w:color="auto"/>
            </w:tcBorders>
            <w:vAlign w:val="center"/>
            <w:hideMark/>
          </w:tcPr>
          <w:p w14:paraId="5F55EF62" w14:textId="77777777" w:rsidR="00DB659A" w:rsidRPr="00D808EB" w:rsidRDefault="00DB659A" w:rsidP="00CC28AE">
            <w:pPr>
              <w:rPr>
                <w:b/>
                <w:bCs/>
                <w:sz w:val="20"/>
              </w:rPr>
            </w:pPr>
          </w:p>
        </w:tc>
        <w:tc>
          <w:tcPr>
            <w:tcW w:w="1203" w:type="dxa"/>
            <w:vMerge/>
            <w:tcBorders>
              <w:top w:val="nil"/>
              <w:left w:val="single" w:sz="8" w:space="0" w:color="auto"/>
              <w:bottom w:val="nil"/>
              <w:right w:val="single" w:sz="8" w:space="0" w:color="auto"/>
            </w:tcBorders>
            <w:vAlign w:val="center"/>
            <w:hideMark/>
          </w:tcPr>
          <w:p w14:paraId="7ECD7AB5" w14:textId="77777777" w:rsidR="00DB659A" w:rsidRPr="00D808EB" w:rsidRDefault="00DB659A" w:rsidP="00CC28AE">
            <w:pPr>
              <w:rPr>
                <w:b/>
                <w:bCs/>
                <w:sz w:val="20"/>
              </w:rPr>
            </w:pPr>
          </w:p>
        </w:tc>
        <w:tc>
          <w:tcPr>
            <w:tcW w:w="222" w:type="dxa"/>
            <w:tcBorders>
              <w:top w:val="nil"/>
              <w:left w:val="nil"/>
              <w:bottom w:val="nil"/>
              <w:right w:val="nil"/>
            </w:tcBorders>
            <w:shd w:val="clear" w:color="auto" w:fill="auto"/>
            <w:noWrap/>
            <w:vAlign w:val="bottom"/>
            <w:hideMark/>
          </w:tcPr>
          <w:p w14:paraId="2BE9787A" w14:textId="77777777" w:rsidR="00DB659A" w:rsidRPr="00D808EB" w:rsidRDefault="00DB659A" w:rsidP="00CC28AE">
            <w:pPr>
              <w:ind w:firstLineChars="100" w:firstLine="201"/>
              <w:jc w:val="right"/>
              <w:rPr>
                <w:b/>
                <w:bCs/>
                <w:sz w:val="20"/>
              </w:rPr>
            </w:pPr>
          </w:p>
        </w:tc>
      </w:tr>
      <w:tr w:rsidR="00DB659A" w:rsidRPr="00D808EB" w14:paraId="5E47B701" w14:textId="77777777" w:rsidTr="00CC28AE">
        <w:trPr>
          <w:trHeight w:val="180"/>
        </w:trPr>
        <w:tc>
          <w:tcPr>
            <w:tcW w:w="4441" w:type="dxa"/>
            <w:vMerge/>
            <w:tcBorders>
              <w:top w:val="nil"/>
              <w:left w:val="single" w:sz="8" w:space="0" w:color="auto"/>
              <w:bottom w:val="nil"/>
              <w:right w:val="single" w:sz="8" w:space="0" w:color="auto"/>
            </w:tcBorders>
            <w:vAlign w:val="center"/>
            <w:hideMark/>
          </w:tcPr>
          <w:p w14:paraId="71FFA377" w14:textId="77777777" w:rsidR="00DB659A" w:rsidRPr="00D808EB" w:rsidRDefault="00DB659A" w:rsidP="00CC28AE">
            <w:pPr>
              <w:rPr>
                <w:b/>
                <w:bCs/>
                <w:sz w:val="20"/>
              </w:rPr>
            </w:pPr>
          </w:p>
        </w:tc>
        <w:tc>
          <w:tcPr>
            <w:tcW w:w="1280" w:type="dxa"/>
            <w:vMerge/>
            <w:tcBorders>
              <w:top w:val="nil"/>
              <w:left w:val="single" w:sz="8" w:space="0" w:color="auto"/>
              <w:bottom w:val="nil"/>
              <w:right w:val="nil"/>
            </w:tcBorders>
            <w:vAlign w:val="center"/>
            <w:hideMark/>
          </w:tcPr>
          <w:p w14:paraId="772EF2CE"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5F25BC4D"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45B5AC5D"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65A2562E"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1FD12038"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34CDC156" w14:textId="77777777" w:rsidR="00DB659A" w:rsidRPr="00D808EB" w:rsidRDefault="00DB659A" w:rsidP="00CC28AE">
            <w:pPr>
              <w:rPr>
                <w:b/>
                <w:bCs/>
                <w:sz w:val="20"/>
              </w:rPr>
            </w:pPr>
          </w:p>
        </w:tc>
        <w:tc>
          <w:tcPr>
            <w:tcW w:w="1280" w:type="dxa"/>
            <w:vMerge/>
            <w:tcBorders>
              <w:top w:val="nil"/>
              <w:left w:val="nil"/>
              <w:bottom w:val="nil"/>
              <w:right w:val="single" w:sz="8" w:space="0" w:color="auto"/>
            </w:tcBorders>
            <w:vAlign w:val="center"/>
            <w:hideMark/>
          </w:tcPr>
          <w:p w14:paraId="547ED489" w14:textId="77777777" w:rsidR="00DB659A" w:rsidRPr="00D808EB" w:rsidRDefault="00DB659A" w:rsidP="00CC28AE">
            <w:pPr>
              <w:rPr>
                <w:b/>
                <w:bCs/>
                <w:sz w:val="20"/>
              </w:rPr>
            </w:pPr>
          </w:p>
        </w:tc>
        <w:tc>
          <w:tcPr>
            <w:tcW w:w="1203" w:type="dxa"/>
            <w:vMerge/>
            <w:tcBorders>
              <w:top w:val="nil"/>
              <w:left w:val="single" w:sz="8" w:space="0" w:color="auto"/>
              <w:bottom w:val="nil"/>
              <w:right w:val="single" w:sz="8" w:space="0" w:color="auto"/>
            </w:tcBorders>
            <w:vAlign w:val="center"/>
            <w:hideMark/>
          </w:tcPr>
          <w:p w14:paraId="20AC72E0" w14:textId="77777777" w:rsidR="00DB659A" w:rsidRPr="00D808EB" w:rsidRDefault="00DB659A" w:rsidP="00CC28AE">
            <w:pPr>
              <w:rPr>
                <w:b/>
                <w:bCs/>
                <w:sz w:val="20"/>
              </w:rPr>
            </w:pPr>
          </w:p>
        </w:tc>
        <w:tc>
          <w:tcPr>
            <w:tcW w:w="222" w:type="dxa"/>
            <w:tcBorders>
              <w:top w:val="nil"/>
              <w:left w:val="nil"/>
              <w:bottom w:val="nil"/>
              <w:right w:val="nil"/>
            </w:tcBorders>
            <w:shd w:val="clear" w:color="auto" w:fill="auto"/>
            <w:noWrap/>
            <w:vAlign w:val="bottom"/>
            <w:hideMark/>
          </w:tcPr>
          <w:p w14:paraId="12BFAC75" w14:textId="77777777" w:rsidR="00DB659A" w:rsidRPr="00D808EB" w:rsidRDefault="00DB659A" w:rsidP="00CC28AE">
            <w:pPr>
              <w:rPr>
                <w:sz w:val="20"/>
              </w:rPr>
            </w:pPr>
          </w:p>
        </w:tc>
      </w:tr>
      <w:tr w:rsidR="00DB659A" w:rsidRPr="00D808EB" w14:paraId="59FFAEB7" w14:textId="77777777" w:rsidTr="00CC28AE">
        <w:trPr>
          <w:trHeight w:val="327"/>
        </w:trPr>
        <w:tc>
          <w:tcPr>
            <w:tcW w:w="4441" w:type="dxa"/>
            <w:tcBorders>
              <w:top w:val="nil"/>
              <w:left w:val="single" w:sz="8" w:space="0" w:color="auto"/>
              <w:bottom w:val="nil"/>
              <w:right w:val="single" w:sz="8" w:space="0" w:color="auto"/>
            </w:tcBorders>
            <w:shd w:val="clear" w:color="auto" w:fill="auto"/>
            <w:noWrap/>
            <w:vAlign w:val="center"/>
            <w:hideMark/>
          </w:tcPr>
          <w:p w14:paraId="00448B8A" w14:textId="77777777" w:rsidR="00DB659A" w:rsidRPr="00D808EB" w:rsidRDefault="00DB659A" w:rsidP="00CC28AE">
            <w:pPr>
              <w:rPr>
                <w:b/>
                <w:bCs/>
                <w:sz w:val="20"/>
              </w:rPr>
            </w:pPr>
            <w:r w:rsidRPr="00D808EB">
              <w:rPr>
                <w:b/>
                <w:bCs/>
                <w:sz w:val="20"/>
              </w:rPr>
              <w:t>2. Competitiveness, prosperity and security</w:t>
            </w:r>
          </w:p>
        </w:tc>
        <w:tc>
          <w:tcPr>
            <w:tcW w:w="1280" w:type="dxa"/>
            <w:tcBorders>
              <w:top w:val="nil"/>
              <w:left w:val="nil"/>
              <w:bottom w:val="nil"/>
              <w:right w:val="nil"/>
            </w:tcBorders>
            <w:shd w:val="clear" w:color="auto" w:fill="auto"/>
            <w:noWrap/>
            <w:vAlign w:val="center"/>
            <w:hideMark/>
          </w:tcPr>
          <w:p w14:paraId="60A9EF5E" w14:textId="77777777" w:rsidR="00DB659A" w:rsidRPr="00D808EB" w:rsidRDefault="00DB659A" w:rsidP="00CC28AE">
            <w:pPr>
              <w:ind w:firstLineChars="100" w:firstLine="201"/>
              <w:jc w:val="right"/>
              <w:rPr>
                <w:b/>
                <w:bCs/>
                <w:sz w:val="20"/>
              </w:rPr>
            </w:pPr>
            <w:r w:rsidRPr="00D808EB">
              <w:rPr>
                <w:b/>
                <w:bCs/>
                <w:sz w:val="20"/>
              </w:rPr>
              <w:t>70 064</w:t>
            </w:r>
          </w:p>
        </w:tc>
        <w:tc>
          <w:tcPr>
            <w:tcW w:w="1280" w:type="dxa"/>
            <w:tcBorders>
              <w:top w:val="nil"/>
              <w:left w:val="nil"/>
              <w:bottom w:val="nil"/>
              <w:right w:val="nil"/>
            </w:tcBorders>
            <w:shd w:val="clear" w:color="auto" w:fill="auto"/>
            <w:noWrap/>
            <w:vAlign w:val="center"/>
            <w:hideMark/>
          </w:tcPr>
          <w:p w14:paraId="7250D8DE" w14:textId="77777777" w:rsidR="00DB659A" w:rsidRPr="00D808EB" w:rsidRDefault="00DB659A" w:rsidP="00CC28AE">
            <w:pPr>
              <w:ind w:firstLineChars="100" w:firstLine="201"/>
              <w:jc w:val="right"/>
              <w:rPr>
                <w:b/>
                <w:bCs/>
                <w:sz w:val="20"/>
              </w:rPr>
            </w:pPr>
            <w:r w:rsidRPr="00D808EB">
              <w:rPr>
                <w:b/>
                <w:bCs/>
                <w:sz w:val="20"/>
              </w:rPr>
              <w:t>83 507</w:t>
            </w:r>
          </w:p>
        </w:tc>
        <w:tc>
          <w:tcPr>
            <w:tcW w:w="1280" w:type="dxa"/>
            <w:tcBorders>
              <w:top w:val="nil"/>
              <w:left w:val="nil"/>
              <w:bottom w:val="nil"/>
              <w:right w:val="nil"/>
            </w:tcBorders>
            <w:shd w:val="clear" w:color="auto" w:fill="auto"/>
            <w:noWrap/>
            <w:vAlign w:val="center"/>
            <w:hideMark/>
          </w:tcPr>
          <w:p w14:paraId="229C9E35" w14:textId="77777777" w:rsidR="00DB659A" w:rsidRPr="00D808EB" w:rsidRDefault="00DB659A" w:rsidP="00CC28AE">
            <w:pPr>
              <w:ind w:firstLineChars="100" w:firstLine="201"/>
              <w:jc w:val="right"/>
              <w:rPr>
                <w:b/>
                <w:bCs/>
                <w:sz w:val="20"/>
              </w:rPr>
            </w:pPr>
            <w:r w:rsidRPr="00D808EB">
              <w:rPr>
                <w:b/>
                <w:bCs/>
                <w:sz w:val="20"/>
              </w:rPr>
              <w:t>83 760</w:t>
            </w:r>
          </w:p>
        </w:tc>
        <w:tc>
          <w:tcPr>
            <w:tcW w:w="1280" w:type="dxa"/>
            <w:tcBorders>
              <w:top w:val="nil"/>
              <w:left w:val="nil"/>
              <w:bottom w:val="nil"/>
              <w:right w:val="nil"/>
            </w:tcBorders>
            <w:shd w:val="clear" w:color="auto" w:fill="auto"/>
            <w:noWrap/>
            <w:vAlign w:val="center"/>
            <w:hideMark/>
          </w:tcPr>
          <w:p w14:paraId="6D6E1DE9" w14:textId="77777777" w:rsidR="00DB659A" w:rsidRPr="00D808EB" w:rsidRDefault="00DB659A" w:rsidP="00CC28AE">
            <w:pPr>
              <w:ind w:firstLineChars="100" w:firstLine="201"/>
              <w:jc w:val="right"/>
              <w:rPr>
                <w:b/>
                <w:bCs/>
                <w:sz w:val="20"/>
              </w:rPr>
            </w:pPr>
            <w:r w:rsidRPr="00D808EB">
              <w:rPr>
                <w:b/>
                <w:bCs/>
                <w:sz w:val="20"/>
              </w:rPr>
              <w:t>86 200</w:t>
            </w:r>
          </w:p>
        </w:tc>
        <w:tc>
          <w:tcPr>
            <w:tcW w:w="1280" w:type="dxa"/>
            <w:tcBorders>
              <w:top w:val="nil"/>
              <w:left w:val="nil"/>
              <w:bottom w:val="nil"/>
              <w:right w:val="nil"/>
            </w:tcBorders>
            <w:shd w:val="clear" w:color="auto" w:fill="auto"/>
            <w:noWrap/>
            <w:vAlign w:val="center"/>
            <w:hideMark/>
          </w:tcPr>
          <w:p w14:paraId="347E5880" w14:textId="77777777" w:rsidR="00DB659A" w:rsidRPr="00D808EB" w:rsidRDefault="00DB659A" w:rsidP="00CC28AE">
            <w:pPr>
              <w:ind w:firstLineChars="100" w:firstLine="201"/>
              <w:jc w:val="right"/>
              <w:rPr>
                <w:b/>
                <w:bCs/>
                <w:sz w:val="20"/>
              </w:rPr>
            </w:pPr>
            <w:r w:rsidRPr="00D808EB">
              <w:rPr>
                <w:b/>
                <w:bCs/>
                <w:sz w:val="20"/>
              </w:rPr>
              <w:t>85 768</w:t>
            </w:r>
          </w:p>
        </w:tc>
        <w:tc>
          <w:tcPr>
            <w:tcW w:w="1280" w:type="dxa"/>
            <w:tcBorders>
              <w:top w:val="nil"/>
              <w:left w:val="nil"/>
              <w:bottom w:val="nil"/>
              <w:right w:val="nil"/>
            </w:tcBorders>
            <w:shd w:val="clear" w:color="auto" w:fill="auto"/>
            <w:noWrap/>
            <w:vAlign w:val="center"/>
            <w:hideMark/>
          </w:tcPr>
          <w:p w14:paraId="6E15ECDB" w14:textId="77777777" w:rsidR="00DB659A" w:rsidRPr="00D808EB" w:rsidRDefault="00DB659A" w:rsidP="00CC28AE">
            <w:pPr>
              <w:ind w:firstLineChars="100" w:firstLine="201"/>
              <w:jc w:val="right"/>
              <w:rPr>
                <w:b/>
                <w:bCs/>
                <w:sz w:val="20"/>
              </w:rPr>
            </w:pPr>
            <w:r w:rsidRPr="00D808EB">
              <w:rPr>
                <w:b/>
                <w:bCs/>
                <w:sz w:val="20"/>
              </w:rPr>
              <w:t>86 073</w:t>
            </w:r>
          </w:p>
        </w:tc>
        <w:tc>
          <w:tcPr>
            <w:tcW w:w="1280" w:type="dxa"/>
            <w:tcBorders>
              <w:top w:val="nil"/>
              <w:left w:val="nil"/>
              <w:bottom w:val="nil"/>
              <w:right w:val="nil"/>
            </w:tcBorders>
            <w:shd w:val="clear" w:color="auto" w:fill="auto"/>
            <w:noWrap/>
            <w:vAlign w:val="center"/>
            <w:hideMark/>
          </w:tcPr>
          <w:p w14:paraId="5A2C7CE7" w14:textId="77777777" w:rsidR="00DB659A" w:rsidRPr="00D808EB" w:rsidRDefault="00DB659A" w:rsidP="00CC28AE">
            <w:pPr>
              <w:ind w:firstLineChars="100" w:firstLine="201"/>
              <w:jc w:val="right"/>
              <w:rPr>
                <w:b/>
                <w:bCs/>
                <w:sz w:val="20"/>
              </w:rPr>
            </w:pPr>
            <w:r w:rsidRPr="00D808EB">
              <w:rPr>
                <w:b/>
                <w:bCs/>
                <w:sz w:val="20"/>
              </w:rPr>
              <w:t>85 231</w:t>
            </w:r>
          </w:p>
        </w:tc>
        <w:tc>
          <w:tcPr>
            <w:tcW w:w="1203" w:type="dxa"/>
            <w:tcBorders>
              <w:top w:val="nil"/>
              <w:left w:val="single" w:sz="8" w:space="0" w:color="auto"/>
              <w:bottom w:val="nil"/>
              <w:right w:val="single" w:sz="8" w:space="0" w:color="auto"/>
            </w:tcBorders>
            <w:shd w:val="clear" w:color="auto" w:fill="auto"/>
            <w:noWrap/>
            <w:vAlign w:val="center"/>
            <w:hideMark/>
          </w:tcPr>
          <w:p w14:paraId="77C080C2" w14:textId="77777777" w:rsidR="00DB659A" w:rsidRPr="00D808EB" w:rsidRDefault="00DB659A" w:rsidP="00CC28AE">
            <w:pPr>
              <w:ind w:firstLineChars="100" w:firstLine="201"/>
              <w:jc w:val="right"/>
              <w:rPr>
                <w:b/>
                <w:bCs/>
                <w:sz w:val="20"/>
              </w:rPr>
            </w:pPr>
            <w:r w:rsidRPr="00D808EB">
              <w:rPr>
                <w:b/>
                <w:bCs/>
                <w:sz w:val="20"/>
              </w:rPr>
              <w:t>580 603</w:t>
            </w:r>
          </w:p>
        </w:tc>
        <w:tc>
          <w:tcPr>
            <w:tcW w:w="222" w:type="dxa"/>
            <w:vAlign w:val="center"/>
            <w:hideMark/>
          </w:tcPr>
          <w:p w14:paraId="2F188053" w14:textId="77777777" w:rsidR="00DB659A" w:rsidRPr="00D808EB" w:rsidRDefault="00DB659A" w:rsidP="00CC28AE">
            <w:pPr>
              <w:rPr>
                <w:sz w:val="20"/>
              </w:rPr>
            </w:pPr>
          </w:p>
        </w:tc>
      </w:tr>
      <w:tr w:rsidR="00DB659A" w:rsidRPr="00D808EB" w14:paraId="1C625F94" w14:textId="77777777" w:rsidTr="00CC28AE">
        <w:trPr>
          <w:trHeight w:val="327"/>
        </w:trPr>
        <w:tc>
          <w:tcPr>
            <w:tcW w:w="4441" w:type="dxa"/>
            <w:tcBorders>
              <w:top w:val="nil"/>
              <w:left w:val="single" w:sz="8" w:space="0" w:color="auto"/>
              <w:bottom w:val="nil"/>
              <w:right w:val="single" w:sz="8" w:space="0" w:color="auto"/>
            </w:tcBorders>
            <w:shd w:val="clear" w:color="auto" w:fill="auto"/>
            <w:noWrap/>
            <w:vAlign w:val="center"/>
            <w:hideMark/>
          </w:tcPr>
          <w:p w14:paraId="40DE9605" w14:textId="77777777" w:rsidR="00DB659A" w:rsidRPr="00D808EB" w:rsidRDefault="00DB659A" w:rsidP="00CC28AE">
            <w:pPr>
              <w:rPr>
                <w:b/>
                <w:bCs/>
                <w:sz w:val="20"/>
              </w:rPr>
            </w:pPr>
            <w:r w:rsidRPr="00D808EB">
              <w:rPr>
                <w:b/>
                <w:bCs/>
                <w:sz w:val="20"/>
              </w:rPr>
              <w:t>3. Global Europe</w:t>
            </w:r>
          </w:p>
        </w:tc>
        <w:tc>
          <w:tcPr>
            <w:tcW w:w="1280" w:type="dxa"/>
            <w:tcBorders>
              <w:top w:val="nil"/>
              <w:left w:val="nil"/>
              <w:bottom w:val="nil"/>
              <w:right w:val="nil"/>
            </w:tcBorders>
            <w:shd w:val="clear" w:color="auto" w:fill="auto"/>
            <w:noWrap/>
            <w:vAlign w:val="center"/>
            <w:hideMark/>
          </w:tcPr>
          <w:p w14:paraId="362E1B1A" w14:textId="77777777" w:rsidR="00DB659A" w:rsidRPr="00D808EB" w:rsidRDefault="00DB659A" w:rsidP="00CC28AE">
            <w:pPr>
              <w:ind w:firstLineChars="100" w:firstLine="201"/>
              <w:jc w:val="right"/>
              <w:rPr>
                <w:b/>
                <w:bCs/>
                <w:sz w:val="20"/>
              </w:rPr>
            </w:pPr>
            <w:r w:rsidRPr="00D808EB">
              <w:rPr>
                <w:b/>
                <w:bCs/>
                <w:sz w:val="20"/>
              </w:rPr>
              <w:t>25 726</w:t>
            </w:r>
          </w:p>
        </w:tc>
        <w:tc>
          <w:tcPr>
            <w:tcW w:w="1280" w:type="dxa"/>
            <w:tcBorders>
              <w:top w:val="nil"/>
              <w:left w:val="nil"/>
              <w:bottom w:val="nil"/>
              <w:right w:val="nil"/>
            </w:tcBorders>
            <w:shd w:val="clear" w:color="auto" w:fill="auto"/>
            <w:noWrap/>
            <w:vAlign w:val="center"/>
            <w:hideMark/>
          </w:tcPr>
          <w:p w14:paraId="21D293C2" w14:textId="77777777" w:rsidR="00DB659A" w:rsidRPr="00D808EB" w:rsidRDefault="00DB659A" w:rsidP="00CC28AE">
            <w:pPr>
              <w:ind w:firstLineChars="100" w:firstLine="201"/>
              <w:jc w:val="right"/>
              <w:rPr>
                <w:b/>
                <w:bCs/>
                <w:sz w:val="20"/>
              </w:rPr>
            </w:pPr>
            <w:r w:rsidRPr="00D808EB">
              <w:rPr>
                <w:b/>
                <w:bCs/>
                <w:sz w:val="20"/>
              </w:rPr>
              <w:t>25 809</w:t>
            </w:r>
          </w:p>
        </w:tc>
        <w:tc>
          <w:tcPr>
            <w:tcW w:w="1280" w:type="dxa"/>
            <w:tcBorders>
              <w:top w:val="nil"/>
              <w:left w:val="nil"/>
              <w:bottom w:val="nil"/>
              <w:right w:val="nil"/>
            </w:tcBorders>
            <w:shd w:val="clear" w:color="auto" w:fill="auto"/>
            <w:noWrap/>
            <w:vAlign w:val="center"/>
            <w:hideMark/>
          </w:tcPr>
          <w:p w14:paraId="267B2EC1" w14:textId="77777777" w:rsidR="00DB659A" w:rsidRPr="00D808EB" w:rsidRDefault="00DB659A" w:rsidP="00CC28AE">
            <w:pPr>
              <w:ind w:firstLineChars="100" w:firstLine="201"/>
              <w:jc w:val="right"/>
              <w:rPr>
                <w:b/>
                <w:bCs/>
                <w:sz w:val="20"/>
              </w:rPr>
            </w:pPr>
            <w:r w:rsidRPr="00D808EB">
              <w:rPr>
                <w:b/>
                <w:bCs/>
                <w:sz w:val="20"/>
              </w:rPr>
              <w:t>25 757</w:t>
            </w:r>
          </w:p>
        </w:tc>
        <w:tc>
          <w:tcPr>
            <w:tcW w:w="1280" w:type="dxa"/>
            <w:tcBorders>
              <w:top w:val="nil"/>
              <w:left w:val="nil"/>
              <w:bottom w:val="nil"/>
              <w:right w:val="nil"/>
            </w:tcBorders>
            <w:shd w:val="clear" w:color="auto" w:fill="auto"/>
            <w:noWrap/>
            <w:vAlign w:val="center"/>
            <w:hideMark/>
          </w:tcPr>
          <w:p w14:paraId="5EBD5B35" w14:textId="77777777" w:rsidR="00DB659A" w:rsidRPr="00D808EB" w:rsidRDefault="00DB659A" w:rsidP="00CC28AE">
            <w:pPr>
              <w:ind w:firstLineChars="100" w:firstLine="201"/>
              <w:jc w:val="right"/>
              <w:rPr>
                <w:b/>
                <w:bCs/>
                <w:sz w:val="20"/>
              </w:rPr>
            </w:pPr>
            <w:r w:rsidRPr="00D808EB">
              <w:rPr>
                <w:b/>
                <w:bCs/>
                <w:sz w:val="20"/>
              </w:rPr>
              <w:t>30 213</w:t>
            </w:r>
          </w:p>
        </w:tc>
        <w:tc>
          <w:tcPr>
            <w:tcW w:w="1280" w:type="dxa"/>
            <w:tcBorders>
              <w:top w:val="nil"/>
              <w:left w:val="nil"/>
              <w:bottom w:val="nil"/>
              <w:right w:val="nil"/>
            </w:tcBorders>
            <w:shd w:val="clear" w:color="auto" w:fill="auto"/>
            <w:noWrap/>
            <w:vAlign w:val="center"/>
            <w:hideMark/>
          </w:tcPr>
          <w:p w14:paraId="2160E9D4" w14:textId="77777777" w:rsidR="00DB659A" w:rsidRPr="00D808EB" w:rsidRDefault="00DB659A" w:rsidP="00CC28AE">
            <w:pPr>
              <w:ind w:firstLineChars="100" w:firstLine="201"/>
              <w:jc w:val="right"/>
              <w:rPr>
                <w:b/>
                <w:bCs/>
                <w:sz w:val="20"/>
              </w:rPr>
            </w:pPr>
            <w:r w:rsidRPr="00D808EB">
              <w:rPr>
                <w:b/>
                <w:bCs/>
                <w:sz w:val="20"/>
              </w:rPr>
              <w:t>34 613</w:t>
            </w:r>
          </w:p>
        </w:tc>
        <w:tc>
          <w:tcPr>
            <w:tcW w:w="1280" w:type="dxa"/>
            <w:tcBorders>
              <w:top w:val="nil"/>
              <w:left w:val="nil"/>
              <w:bottom w:val="nil"/>
              <w:right w:val="nil"/>
            </w:tcBorders>
            <w:shd w:val="clear" w:color="auto" w:fill="auto"/>
            <w:noWrap/>
            <w:vAlign w:val="center"/>
            <w:hideMark/>
          </w:tcPr>
          <w:p w14:paraId="1DF7413C" w14:textId="77777777" w:rsidR="00DB659A" w:rsidRPr="00D808EB" w:rsidRDefault="00DB659A" w:rsidP="00CC28AE">
            <w:pPr>
              <w:ind w:firstLineChars="100" w:firstLine="201"/>
              <w:jc w:val="right"/>
              <w:rPr>
                <w:b/>
                <w:bCs/>
                <w:sz w:val="20"/>
              </w:rPr>
            </w:pPr>
            <w:r w:rsidRPr="00D808EB">
              <w:rPr>
                <w:b/>
                <w:bCs/>
                <w:sz w:val="20"/>
              </w:rPr>
              <w:t>34 581</w:t>
            </w:r>
          </w:p>
        </w:tc>
        <w:tc>
          <w:tcPr>
            <w:tcW w:w="1280" w:type="dxa"/>
            <w:tcBorders>
              <w:top w:val="nil"/>
              <w:left w:val="nil"/>
              <w:bottom w:val="nil"/>
              <w:right w:val="nil"/>
            </w:tcBorders>
            <w:shd w:val="clear" w:color="auto" w:fill="auto"/>
            <w:noWrap/>
            <w:vAlign w:val="center"/>
            <w:hideMark/>
          </w:tcPr>
          <w:p w14:paraId="318E5EC2" w14:textId="77777777" w:rsidR="00DB659A" w:rsidRPr="00D808EB" w:rsidRDefault="00DB659A" w:rsidP="00CC28AE">
            <w:pPr>
              <w:ind w:firstLineChars="100" w:firstLine="201"/>
              <w:jc w:val="right"/>
              <w:rPr>
                <w:b/>
                <w:bCs/>
                <w:sz w:val="20"/>
              </w:rPr>
            </w:pPr>
            <w:r w:rsidRPr="00D808EB">
              <w:rPr>
                <w:b/>
                <w:bCs/>
                <w:sz w:val="20"/>
              </w:rPr>
              <w:t>34 549</w:t>
            </w:r>
          </w:p>
        </w:tc>
        <w:tc>
          <w:tcPr>
            <w:tcW w:w="1203" w:type="dxa"/>
            <w:tcBorders>
              <w:top w:val="nil"/>
              <w:left w:val="single" w:sz="8" w:space="0" w:color="auto"/>
              <w:bottom w:val="nil"/>
              <w:right w:val="single" w:sz="8" w:space="0" w:color="auto"/>
            </w:tcBorders>
            <w:shd w:val="clear" w:color="auto" w:fill="auto"/>
            <w:noWrap/>
            <w:vAlign w:val="center"/>
            <w:hideMark/>
          </w:tcPr>
          <w:p w14:paraId="3DD608A6" w14:textId="77777777" w:rsidR="00DB659A" w:rsidRPr="00D808EB" w:rsidRDefault="00DB659A" w:rsidP="00CC28AE">
            <w:pPr>
              <w:ind w:firstLineChars="100" w:firstLine="201"/>
              <w:jc w:val="right"/>
              <w:rPr>
                <w:b/>
                <w:bCs/>
                <w:sz w:val="20"/>
              </w:rPr>
            </w:pPr>
            <w:r w:rsidRPr="00D808EB">
              <w:rPr>
                <w:b/>
                <w:bCs/>
                <w:sz w:val="20"/>
              </w:rPr>
              <w:t>211 248</w:t>
            </w:r>
          </w:p>
        </w:tc>
        <w:tc>
          <w:tcPr>
            <w:tcW w:w="222" w:type="dxa"/>
            <w:vAlign w:val="center"/>
            <w:hideMark/>
          </w:tcPr>
          <w:p w14:paraId="5716AFC8" w14:textId="77777777" w:rsidR="00DB659A" w:rsidRPr="00D808EB" w:rsidRDefault="00DB659A" w:rsidP="00CC28AE">
            <w:pPr>
              <w:rPr>
                <w:sz w:val="20"/>
              </w:rPr>
            </w:pPr>
          </w:p>
        </w:tc>
      </w:tr>
      <w:tr w:rsidR="00DB659A" w:rsidRPr="00D808EB" w14:paraId="7E2B1A66" w14:textId="77777777" w:rsidTr="00CC28AE">
        <w:trPr>
          <w:trHeight w:val="327"/>
        </w:trPr>
        <w:tc>
          <w:tcPr>
            <w:tcW w:w="4441" w:type="dxa"/>
            <w:tcBorders>
              <w:top w:val="nil"/>
              <w:left w:val="single" w:sz="8" w:space="0" w:color="auto"/>
              <w:bottom w:val="nil"/>
              <w:right w:val="single" w:sz="8" w:space="0" w:color="auto"/>
            </w:tcBorders>
            <w:shd w:val="clear" w:color="auto" w:fill="auto"/>
            <w:noWrap/>
            <w:vAlign w:val="center"/>
            <w:hideMark/>
          </w:tcPr>
          <w:p w14:paraId="04F97507" w14:textId="77777777" w:rsidR="00DB659A" w:rsidRPr="00D808EB" w:rsidRDefault="00DB659A" w:rsidP="00CC28AE">
            <w:pPr>
              <w:rPr>
                <w:b/>
                <w:bCs/>
                <w:sz w:val="20"/>
              </w:rPr>
            </w:pPr>
            <w:r w:rsidRPr="00D808EB">
              <w:rPr>
                <w:b/>
                <w:bCs/>
                <w:sz w:val="20"/>
              </w:rPr>
              <w:t>4. Administration</w:t>
            </w:r>
          </w:p>
        </w:tc>
        <w:tc>
          <w:tcPr>
            <w:tcW w:w="1280" w:type="dxa"/>
            <w:tcBorders>
              <w:top w:val="nil"/>
              <w:left w:val="nil"/>
              <w:bottom w:val="nil"/>
              <w:right w:val="nil"/>
            </w:tcBorders>
            <w:shd w:val="clear" w:color="auto" w:fill="auto"/>
            <w:noWrap/>
            <w:vAlign w:val="center"/>
            <w:hideMark/>
          </w:tcPr>
          <w:p w14:paraId="710B5339" w14:textId="77777777" w:rsidR="00DB659A" w:rsidRPr="00D808EB" w:rsidRDefault="00DB659A" w:rsidP="00CC28AE">
            <w:pPr>
              <w:ind w:firstLineChars="100" w:firstLine="201"/>
              <w:jc w:val="right"/>
              <w:rPr>
                <w:b/>
                <w:bCs/>
                <w:sz w:val="20"/>
              </w:rPr>
            </w:pPr>
            <w:r w:rsidRPr="00D808EB">
              <w:rPr>
                <w:b/>
                <w:bCs/>
                <w:sz w:val="20"/>
              </w:rPr>
              <w:t>14 083</w:t>
            </w:r>
          </w:p>
        </w:tc>
        <w:tc>
          <w:tcPr>
            <w:tcW w:w="1280" w:type="dxa"/>
            <w:tcBorders>
              <w:top w:val="nil"/>
              <w:left w:val="nil"/>
              <w:bottom w:val="nil"/>
              <w:right w:val="nil"/>
            </w:tcBorders>
            <w:shd w:val="clear" w:color="auto" w:fill="auto"/>
            <w:noWrap/>
            <w:vAlign w:val="center"/>
            <w:hideMark/>
          </w:tcPr>
          <w:p w14:paraId="5A84AF10" w14:textId="77777777" w:rsidR="00DB659A" w:rsidRPr="00D808EB" w:rsidRDefault="00DB659A" w:rsidP="00CC28AE">
            <w:pPr>
              <w:ind w:firstLineChars="100" w:firstLine="201"/>
              <w:jc w:val="right"/>
              <w:rPr>
                <w:b/>
                <w:bCs/>
                <w:sz w:val="20"/>
              </w:rPr>
            </w:pPr>
            <w:r w:rsidRPr="00D808EB">
              <w:rPr>
                <w:b/>
                <w:bCs/>
                <w:sz w:val="20"/>
              </w:rPr>
              <w:t>14 397</w:t>
            </w:r>
          </w:p>
        </w:tc>
        <w:tc>
          <w:tcPr>
            <w:tcW w:w="1280" w:type="dxa"/>
            <w:tcBorders>
              <w:top w:val="nil"/>
              <w:left w:val="nil"/>
              <w:bottom w:val="nil"/>
              <w:right w:val="nil"/>
            </w:tcBorders>
            <w:shd w:val="clear" w:color="auto" w:fill="auto"/>
            <w:noWrap/>
            <w:vAlign w:val="center"/>
            <w:hideMark/>
          </w:tcPr>
          <w:p w14:paraId="2F3CCE4F" w14:textId="77777777" w:rsidR="00DB659A" w:rsidRPr="00D808EB" w:rsidRDefault="00DB659A" w:rsidP="00CC28AE">
            <w:pPr>
              <w:ind w:firstLineChars="100" w:firstLine="201"/>
              <w:jc w:val="right"/>
              <w:rPr>
                <w:b/>
                <w:bCs/>
                <w:sz w:val="20"/>
              </w:rPr>
            </w:pPr>
            <w:r w:rsidRPr="00D808EB">
              <w:rPr>
                <w:b/>
                <w:bCs/>
                <w:sz w:val="20"/>
              </w:rPr>
              <w:t>14 746</w:t>
            </w:r>
          </w:p>
        </w:tc>
        <w:tc>
          <w:tcPr>
            <w:tcW w:w="1280" w:type="dxa"/>
            <w:tcBorders>
              <w:top w:val="nil"/>
              <w:left w:val="nil"/>
              <w:bottom w:val="nil"/>
              <w:right w:val="nil"/>
            </w:tcBorders>
            <w:shd w:val="clear" w:color="auto" w:fill="auto"/>
            <w:noWrap/>
            <w:vAlign w:val="center"/>
            <w:hideMark/>
          </w:tcPr>
          <w:p w14:paraId="4AC369D7" w14:textId="77777777" w:rsidR="00DB659A" w:rsidRPr="00D808EB" w:rsidRDefault="00DB659A" w:rsidP="00CC28AE">
            <w:pPr>
              <w:ind w:firstLineChars="100" w:firstLine="201"/>
              <w:jc w:val="right"/>
              <w:rPr>
                <w:b/>
                <w:bCs/>
                <w:sz w:val="20"/>
              </w:rPr>
            </w:pPr>
            <w:r w:rsidRPr="00D808EB">
              <w:rPr>
                <w:b/>
                <w:bCs/>
                <w:sz w:val="20"/>
              </w:rPr>
              <w:t>14 980</w:t>
            </w:r>
          </w:p>
        </w:tc>
        <w:tc>
          <w:tcPr>
            <w:tcW w:w="1280" w:type="dxa"/>
            <w:tcBorders>
              <w:top w:val="nil"/>
              <w:left w:val="nil"/>
              <w:bottom w:val="nil"/>
              <w:right w:val="nil"/>
            </w:tcBorders>
            <w:shd w:val="clear" w:color="auto" w:fill="auto"/>
            <w:noWrap/>
            <w:vAlign w:val="center"/>
            <w:hideMark/>
          </w:tcPr>
          <w:p w14:paraId="45C03F56" w14:textId="77777777" w:rsidR="00DB659A" w:rsidRPr="00D808EB" w:rsidRDefault="00DB659A" w:rsidP="00CC28AE">
            <w:pPr>
              <w:ind w:firstLineChars="100" w:firstLine="201"/>
              <w:jc w:val="right"/>
              <w:rPr>
                <w:b/>
                <w:bCs/>
                <w:sz w:val="20"/>
              </w:rPr>
            </w:pPr>
            <w:r w:rsidRPr="00D808EB">
              <w:rPr>
                <w:b/>
                <w:bCs/>
                <w:sz w:val="20"/>
              </w:rPr>
              <w:t>15 205</w:t>
            </w:r>
          </w:p>
        </w:tc>
        <w:tc>
          <w:tcPr>
            <w:tcW w:w="1280" w:type="dxa"/>
            <w:tcBorders>
              <w:top w:val="nil"/>
              <w:left w:val="nil"/>
              <w:bottom w:val="nil"/>
              <w:right w:val="nil"/>
            </w:tcBorders>
            <w:shd w:val="clear" w:color="auto" w:fill="auto"/>
            <w:noWrap/>
            <w:vAlign w:val="center"/>
            <w:hideMark/>
          </w:tcPr>
          <w:p w14:paraId="7B4AA519" w14:textId="77777777" w:rsidR="00DB659A" w:rsidRPr="00D808EB" w:rsidRDefault="00DB659A" w:rsidP="00CC28AE">
            <w:pPr>
              <w:ind w:firstLineChars="100" w:firstLine="201"/>
              <w:jc w:val="right"/>
              <w:rPr>
                <w:b/>
                <w:bCs/>
                <w:sz w:val="20"/>
              </w:rPr>
            </w:pPr>
            <w:r w:rsidRPr="00D808EB">
              <w:rPr>
                <w:b/>
                <w:bCs/>
                <w:sz w:val="20"/>
              </w:rPr>
              <w:t>15 415</w:t>
            </w:r>
          </w:p>
        </w:tc>
        <w:tc>
          <w:tcPr>
            <w:tcW w:w="1280" w:type="dxa"/>
            <w:tcBorders>
              <w:top w:val="nil"/>
              <w:left w:val="nil"/>
              <w:bottom w:val="nil"/>
              <w:right w:val="nil"/>
            </w:tcBorders>
            <w:shd w:val="clear" w:color="auto" w:fill="auto"/>
            <w:noWrap/>
            <w:vAlign w:val="center"/>
            <w:hideMark/>
          </w:tcPr>
          <w:p w14:paraId="79ACAEA2" w14:textId="77777777" w:rsidR="00DB659A" w:rsidRPr="00D808EB" w:rsidRDefault="00DB659A" w:rsidP="00CC28AE">
            <w:pPr>
              <w:ind w:firstLineChars="100" w:firstLine="201"/>
              <w:jc w:val="right"/>
              <w:rPr>
                <w:b/>
                <w:bCs/>
                <w:sz w:val="20"/>
              </w:rPr>
            </w:pPr>
            <w:r w:rsidRPr="00D808EB">
              <w:rPr>
                <w:b/>
                <w:bCs/>
                <w:sz w:val="20"/>
              </w:rPr>
              <w:t>15 621</w:t>
            </w:r>
          </w:p>
        </w:tc>
        <w:tc>
          <w:tcPr>
            <w:tcW w:w="1203" w:type="dxa"/>
            <w:tcBorders>
              <w:top w:val="nil"/>
              <w:left w:val="single" w:sz="8" w:space="0" w:color="auto"/>
              <w:bottom w:val="nil"/>
              <w:right w:val="single" w:sz="8" w:space="0" w:color="auto"/>
            </w:tcBorders>
            <w:shd w:val="clear" w:color="auto" w:fill="auto"/>
            <w:noWrap/>
            <w:vAlign w:val="center"/>
            <w:hideMark/>
          </w:tcPr>
          <w:p w14:paraId="70B4751C" w14:textId="77777777" w:rsidR="00DB659A" w:rsidRPr="00D808EB" w:rsidRDefault="00DB659A" w:rsidP="00CC28AE">
            <w:pPr>
              <w:ind w:firstLineChars="100" w:firstLine="201"/>
              <w:jc w:val="right"/>
              <w:rPr>
                <w:b/>
                <w:bCs/>
                <w:sz w:val="20"/>
              </w:rPr>
            </w:pPr>
            <w:r w:rsidRPr="00D808EB">
              <w:rPr>
                <w:b/>
                <w:bCs/>
                <w:sz w:val="20"/>
              </w:rPr>
              <w:t>104 447</w:t>
            </w:r>
          </w:p>
        </w:tc>
        <w:tc>
          <w:tcPr>
            <w:tcW w:w="222" w:type="dxa"/>
            <w:vAlign w:val="center"/>
            <w:hideMark/>
          </w:tcPr>
          <w:p w14:paraId="55FDA18A" w14:textId="77777777" w:rsidR="00DB659A" w:rsidRPr="00D808EB" w:rsidRDefault="00DB659A" w:rsidP="00CC28AE">
            <w:pPr>
              <w:rPr>
                <w:sz w:val="20"/>
              </w:rPr>
            </w:pPr>
          </w:p>
        </w:tc>
      </w:tr>
      <w:tr w:rsidR="00DB659A" w:rsidRPr="00D808EB" w14:paraId="3D8B28ED" w14:textId="77777777" w:rsidTr="00CC28AE">
        <w:trPr>
          <w:trHeight w:val="327"/>
        </w:trPr>
        <w:tc>
          <w:tcPr>
            <w:tcW w:w="4441" w:type="dxa"/>
            <w:tcBorders>
              <w:top w:val="single" w:sz="8" w:space="0" w:color="auto"/>
              <w:left w:val="single" w:sz="8" w:space="0" w:color="auto"/>
              <w:bottom w:val="nil"/>
              <w:right w:val="single" w:sz="8" w:space="0" w:color="auto"/>
            </w:tcBorders>
            <w:shd w:val="clear" w:color="auto" w:fill="auto"/>
            <w:noWrap/>
            <w:vAlign w:val="center"/>
            <w:hideMark/>
          </w:tcPr>
          <w:p w14:paraId="56A0B124" w14:textId="77777777" w:rsidR="00DB659A" w:rsidRPr="00D808EB" w:rsidRDefault="00DB659A" w:rsidP="00CC28AE">
            <w:pPr>
              <w:ind w:firstLineChars="100" w:firstLine="201"/>
              <w:jc w:val="right"/>
              <w:rPr>
                <w:b/>
                <w:bCs/>
                <w:sz w:val="20"/>
              </w:rPr>
            </w:pPr>
            <w:r w:rsidRPr="00D808EB">
              <w:rPr>
                <w:b/>
                <w:bCs/>
                <w:sz w:val="20"/>
              </w:rPr>
              <w:t>TOTAL COMMITMENT APPROPRIATIONS</w:t>
            </w:r>
          </w:p>
        </w:tc>
        <w:tc>
          <w:tcPr>
            <w:tcW w:w="1280" w:type="dxa"/>
            <w:tcBorders>
              <w:top w:val="single" w:sz="8" w:space="0" w:color="auto"/>
              <w:left w:val="nil"/>
              <w:bottom w:val="nil"/>
              <w:right w:val="nil"/>
            </w:tcBorders>
            <w:shd w:val="clear" w:color="auto" w:fill="auto"/>
            <w:noWrap/>
            <w:vAlign w:val="center"/>
            <w:hideMark/>
          </w:tcPr>
          <w:p w14:paraId="6DB8961B" w14:textId="77777777" w:rsidR="00DB659A" w:rsidRPr="00D808EB" w:rsidRDefault="00DB659A" w:rsidP="00CC28AE">
            <w:pPr>
              <w:ind w:firstLineChars="100" w:firstLine="201"/>
              <w:jc w:val="right"/>
              <w:rPr>
                <w:b/>
                <w:bCs/>
                <w:sz w:val="20"/>
              </w:rPr>
            </w:pPr>
            <w:r w:rsidRPr="00D808EB">
              <w:rPr>
                <w:b/>
                <w:bCs/>
                <w:sz w:val="20"/>
              </w:rPr>
              <w:t>255 595</w:t>
            </w:r>
          </w:p>
        </w:tc>
        <w:tc>
          <w:tcPr>
            <w:tcW w:w="1280" w:type="dxa"/>
            <w:tcBorders>
              <w:top w:val="single" w:sz="8" w:space="0" w:color="auto"/>
              <w:left w:val="nil"/>
              <w:bottom w:val="nil"/>
              <w:right w:val="nil"/>
            </w:tcBorders>
            <w:shd w:val="clear" w:color="auto" w:fill="auto"/>
            <w:noWrap/>
            <w:vAlign w:val="center"/>
            <w:hideMark/>
          </w:tcPr>
          <w:p w14:paraId="5D637674" w14:textId="77777777" w:rsidR="00DB659A" w:rsidRPr="00D808EB" w:rsidRDefault="00DB659A" w:rsidP="00CC28AE">
            <w:pPr>
              <w:ind w:firstLineChars="100" w:firstLine="201"/>
              <w:jc w:val="right"/>
              <w:rPr>
                <w:b/>
                <w:bCs/>
                <w:sz w:val="20"/>
              </w:rPr>
            </w:pPr>
            <w:r w:rsidRPr="00D808EB">
              <w:rPr>
                <w:b/>
                <w:bCs/>
                <w:sz w:val="20"/>
              </w:rPr>
              <w:t>264 290</w:t>
            </w:r>
          </w:p>
        </w:tc>
        <w:tc>
          <w:tcPr>
            <w:tcW w:w="1280" w:type="dxa"/>
            <w:tcBorders>
              <w:top w:val="single" w:sz="8" w:space="0" w:color="auto"/>
              <w:left w:val="nil"/>
              <w:bottom w:val="nil"/>
              <w:right w:val="nil"/>
            </w:tcBorders>
            <w:shd w:val="clear" w:color="auto" w:fill="auto"/>
            <w:noWrap/>
            <w:vAlign w:val="center"/>
            <w:hideMark/>
          </w:tcPr>
          <w:p w14:paraId="4BC428AA" w14:textId="77777777" w:rsidR="00DB659A" w:rsidRPr="00D808EB" w:rsidRDefault="00DB659A" w:rsidP="00CC28AE">
            <w:pPr>
              <w:ind w:firstLineChars="100" w:firstLine="201"/>
              <w:jc w:val="right"/>
              <w:rPr>
                <w:b/>
                <w:bCs/>
                <w:sz w:val="20"/>
              </w:rPr>
            </w:pPr>
            <w:r w:rsidRPr="00D808EB">
              <w:rPr>
                <w:b/>
                <w:bCs/>
                <w:sz w:val="20"/>
              </w:rPr>
              <w:t>259 256</w:t>
            </w:r>
          </w:p>
        </w:tc>
        <w:tc>
          <w:tcPr>
            <w:tcW w:w="1280" w:type="dxa"/>
            <w:tcBorders>
              <w:top w:val="single" w:sz="8" w:space="0" w:color="auto"/>
              <w:left w:val="nil"/>
              <w:bottom w:val="nil"/>
              <w:right w:val="nil"/>
            </w:tcBorders>
            <w:shd w:val="clear" w:color="auto" w:fill="auto"/>
            <w:noWrap/>
            <w:vAlign w:val="center"/>
            <w:hideMark/>
          </w:tcPr>
          <w:p w14:paraId="3F58EA82" w14:textId="77777777" w:rsidR="00DB659A" w:rsidRPr="00D808EB" w:rsidRDefault="00DB659A" w:rsidP="00CC28AE">
            <w:pPr>
              <w:ind w:firstLineChars="100" w:firstLine="201"/>
              <w:jc w:val="right"/>
              <w:rPr>
                <w:b/>
                <w:bCs/>
                <w:sz w:val="20"/>
              </w:rPr>
            </w:pPr>
            <w:r w:rsidRPr="00D808EB">
              <w:rPr>
                <w:b/>
                <w:bCs/>
                <w:sz w:val="20"/>
              </w:rPr>
              <w:t>261 283</w:t>
            </w:r>
          </w:p>
        </w:tc>
        <w:tc>
          <w:tcPr>
            <w:tcW w:w="1280" w:type="dxa"/>
            <w:tcBorders>
              <w:top w:val="single" w:sz="8" w:space="0" w:color="auto"/>
              <w:left w:val="nil"/>
              <w:bottom w:val="nil"/>
              <w:right w:val="nil"/>
            </w:tcBorders>
            <w:shd w:val="clear" w:color="auto" w:fill="auto"/>
            <w:noWrap/>
            <w:vAlign w:val="center"/>
            <w:hideMark/>
          </w:tcPr>
          <w:p w14:paraId="51295484" w14:textId="77777777" w:rsidR="00DB659A" w:rsidRPr="00D808EB" w:rsidRDefault="00DB659A" w:rsidP="00CC28AE">
            <w:pPr>
              <w:ind w:firstLineChars="100" w:firstLine="201"/>
              <w:jc w:val="right"/>
              <w:rPr>
                <w:b/>
                <w:bCs/>
                <w:sz w:val="20"/>
              </w:rPr>
            </w:pPr>
            <w:r w:rsidRPr="00D808EB">
              <w:rPr>
                <w:b/>
                <w:bCs/>
                <w:sz w:val="20"/>
              </w:rPr>
              <w:t>259 744</w:t>
            </w:r>
          </w:p>
        </w:tc>
        <w:tc>
          <w:tcPr>
            <w:tcW w:w="1280" w:type="dxa"/>
            <w:tcBorders>
              <w:top w:val="single" w:sz="8" w:space="0" w:color="auto"/>
              <w:left w:val="nil"/>
              <w:bottom w:val="nil"/>
              <w:right w:val="nil"/>
            </w:tcBorders>
            <w:shd w:val="clear" w:color="auto" w:fill="auto"/>
            <w:noWrap/>
            <w:vAlign w:val="center"/>
            <w:hideMark/>
          </w:tcPr>
          <w:p w14:paraId="399C3D3F" w14:textId="77777777" w:rsidR="00DB659A" w:rsidRPr="00D808EB" w:rsidRDefault="00DB659A" w:rsidP="00CC28AE">
            <w:pPr>
              <w:ind w:firstLineChars="100" w:firstLine="201"/>
              <w:jc w:val="right"/>
              <w:rPr>
                <w:b/>
                <w:bCs/>
                <w:sz w:val="20"/>
              </w:rPr>
            </w:pPr>
            <w:r w:rsidRPr="00D808EB">
              <w:rPr>
                <w:b/>
                <w:bCs/>
                <w:sz w:val="20"/>
              </w:rPr>
              <w:t>246 278</w:t>
            </w:r>
          </w:p>
        </w:tc>
        <w:tc>
          <w:tcPr>
            <w:tcW w:w="1280" w:type="dxa"/>
            <w:tcBorders>
              <w:top w:val="single" w:sz="8" w:space="0" w:color="auto"/>
              <w:left w:val="nil"/>
              <w:bottom w:val="nil"/>
              <w:right w:val="nil"/>
            </w:tcBorders>
            <w:shd w:val="clear" w:color="auto" w:fill="auto"/>
            <w:noWrap/>
            <w:vAlign w:val="center"/>
            <w:hideMark/>
          </w:tcPr>
          <w:p w14:paraId="39E665F1" w14:textId="77777777" w:rsidR="00DB659A" w:rsidRPr="00D808EB" w:rsidRDefault="00DB659A" w:rsidP="00CC28AE">
            <w:pPr>
              <w:ind w:firstLineChars="100" w:firstLine="201"/>
              <w:jc w:val="right"/>
              <w:rPr>
                <w:b/>
                <w:bCs/>
                <w:sz w:val="20"/>
              </w:rPr>
            </w:pPr>
            <w:r w:rsidRPr="00D808EB">
              <w:rPr>
                <w:b/>
                <w:bCs/>
                <w:sz w:val="20"/>
              </w:rPr>
              <w:t>236 099</w:t>
            </w:r>
          </w:p>
        </w:tc>
        <w:tc>
          <w:tcPr>
            <w:tcW w:w="1203" w:type="dxa"/>
            <w:tcBorders>
              <w:top w:val="single" w:sz="8" w:space="0" w:color="auto"/>
              <w:left w:val="single" w:sz="8" w:space="0" w:color="auto"/>
              <w:bottom w:val="nil"/>
              <w:right w:val="single" w:sz="8" w:space="0" w:color="auto"/>
            </w:tcBorders>
            <w:shd w:val="clear" w:color="auto" w:fill="auto"/>
            <w:noWrap/>
            <w:vAlign w:val="center"/>
            <w:hideMark/>
          </w:tcPr>
          <w:p w14:paraId="56E19009" w14:textId="77777777" w:rsidR="00DB659A" w:rsidRPr="00D808EB" w:rsidRDefault="00DB659A" w:rsidP="00CC28AE">
            <w:pPr>
              <w:ind w:firstLineChars="100" w:firstLine="201"/>
              <w:jc w:val="right"/>
              <w:rPr>
                <w:b/>
                <w:bCs/>
                <w:sz w:val="20"/>
              </w:rPr>
            </w:pPr>
            <w:r w:rsidRPr="00D808EB">
              <w:rPr>
                <w:b/>
                <w:bCs/>
                <w:sz w:val="20"/>
              </w:rPr>
              <w:t>1782 544</w:t>
            </w:r>
          </w:p>
        </w:tc>
        <w:tc>
          <w:tcPr>
            <w:tcW w:w="222" w:type="dxa"/>
            <w:vAlign w:val="center"/>
            <w:hideMark/>
          </w:tcPr>
          <w:p w14:paraId="265FA008" w14:textId="77777777" w:rsidR="00DB659A" w:rsidRPr="00D808EB" w:rsidRDefault="00DB659A" w:rsidP="00CC28AE">
            <w:pPr>
              <w:rPr>
                <w:sz w:val="20"/>
              </w:rPr>
            </w:pPr>
          </w:p>
        </w:tc>
      </w:tr>
      <w:tr w:rsidR="00DB659A" w:rsidRPr="00D808EB" w14:paraId="052ED7B0" w14:textId="77777777" w:rsidTr="00CC28AE">
        <w:trPr>
          <w:trHeight w:val="315"/>
        </w:trPr>
        <w:tc>
          <w:tcPr>
            <w:tcW w:w="4441" w:type="dxa"/>
            <w:tcBorders>
              <w:top w:val="single" w:sz="8" w:space="0" w:color="auto"/>
              <w:left w:val="single" w:sz="8" w:space="0" w:color="auto"/>
              <w:bottom w:val="nil"/>
              <w:right w:val="single" w:sz="8" w:space="0" w:color="auto"/>
            </w:tcBorders>
            <w:shd w:val="clear" w:color="auto" w:fill="auto"/>
            <w:noWrap/>
            <w:vAlign w:val="center"/>
            <w:hideMark/>
          </w:tcPr>
          <w:p w14:paraId="1EADD3A8"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0D9D996B"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721358FD"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6B49C7CF"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0883519B"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30DE4F19"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5B8D36DD"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537EB2BF" w14:textId="77777777" w:rsidR="00DB659A" w:rsidRPr="00D808EB" w:rsidRDefault="00DB659A" w:rsidP="00CC28AE">
            <w:pPr>
              <w:ind w:firstLineChars="100" w:firstLine="201"/>
              <w:jc w:val="right"/>
              <w:rPr>
                <w:b/>
                <w:bCs/>
                <w:sz w:val="20"/>
              </w:rPr>
            </w:pPr>
            <w:r w:rsidRPr="00D808EB">
              <w:rPr>
                <w:b/>
                <w:bCs/>
                <w:sz w:val="20"/>
              </w:rPr>
              <w:t> </w:t>
            </w:r>
          </w:p>
        </w:tc>
        <w:tc>
          <w:tcPr>
            <w:tcW w:w="1203" w:type="dxa"/>
            <w:tcBorders>
              <w:top w:val="single" w:sz="8" w:space="0" w:color="auto"/>
              <w:left w:val="single" w:sz="8" w:space="0" w:color="auto"/>
              <w:bottom w:val="nil"/>
              <w:right w:val="single" w:sz="8" w:space="0" w:color="auto"/>
            </w:tcBorders>
            <w:shd w:val="clear" w:color="auto" w:fill="auto"/>
            <w:noWrap/>
            <w:vAlign w:val="center"/>
            <w:hideMark/>
          </w:tcPr>
          <w:p w14:paraId="3E9C29E5" w14:textId="77777777" w:rsidR="00DB659A" w:rsidRPr="00D808EB" w:rsidRDefault="00DB659A" w:rsidP="00CC28AE">
            <w:pPr>
              <w:ind w:firstLineChars="100" w:firstLine="201"/>
              <w:jc w:val="right"/>
              <w:rPr>
                <w:b/>
                <w:bCs/>
                <w:sz w:val="20"/>
              </w:rPr>
            </w:pPr>
            <w:r w:rsidRPr="00D808EB">
              <w:rPr>
                <w:b/>
                <w:bCs/>
                <w:sz w:val="20"/>
              </w:rPr>
              <w:t> </w:t>
            </w:r>
          </w:p>
        </w:tc>
        <w:tc>
          <w:tcPr>
            <w:tcW w:w="222" w:type="dxa"/>
            <w:vAlign w:val="center"/>
            <w:hideMark/>
          </w:tcPr>
          <w:p w14:paraId="08000E3C" w14:textId="77777777" w:rsidR="00DB659A" w:rsidRPr="00D808EB" w:rsidRDefault="00DB659A" w:rsidP="00CC28AE">
            <w:pPr>
              <w:rPr>
                <w:sz w:val="20"/>
              </w:rPr>
            </w:pPr>
          </w:p>
        </w:tc>
      </w:tr>
      <w:tr w:rsidR="00DB659A" w:rsidRPr="00D808EB" w14:paraId="783105DA" w14:textId="77777777" w:rsidTr="00CC28AE">
        <w:trPr>
          <w:trHeight w:val="323"/>
        </w:trPr>
        <w:tc>
          <w:tcPr>
            <w:tcW w:w="44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151DC7" w14:textId="77777777" w:rsidR="00DB659A" w:rsidRPr="00D808EB" w:rsidRDefault="00DB659A" w:rsidP="00CC28AE">
            <w:pPr>
              <w:ind w:firstLineChars="100" w:firstLine="201"/>
              <w:jc w:val="right"/>
              <w:rPr>
                <w:b/>
                <w:bCs/>
                <w:sz w:val="20"/>
              </w:rPr>
            </w:pPr>
            <w:r w:rsidRPr="00D808EB">
              <w:rPr>
                <w:b/>
                <w:bCs/>
                <w:sz w:val="20"/>
              </w:rPr>
              <w:t>TOTAL PAYMENT APPROPRIATIONS</w:t>
            </w:r>
          </w:p>
        </w:tc>
        <w:tc>
          <w:tcPr>
            <w:tcW w:w="1280" w:type="dxa"/>
            <w:tcBorders>
              <w:top w:val="single" w:sz="8" w:space="0" w:color="auto"/>
              <w:left w:val="nil"/>
              <w:bottom w:val="single" w:sz="8" w:space="0" w:color="auto"/>
              <w:right w:val="nil"/>
            </w:tcBorders>
            <w:shd w:val="clear" w:color="auto" w:fill="auto"/>
            <w:noWrap/>
            <w:vAlign w:val="center"/>
            <w:hideMark/>
          </w:tcPr>
          <w:p w14:paraId="522446E4" w14:textId="77777777" w:rsidR="00DB659A" w:rsidRPr="00D808EB" w:rsidRDefault="00DB659A" w:rsidP="00CC28AE">
            <w:pPr>
              <w:ind w:firstLineChars="100" w:firstLine="201"/>
              <w:jc w:val="right"/>
              <w:rPr>
                <w:b/>
                <w:bCs/>
                <w:sz w:val="20"/>
              </w:rPr>
            </w:pPr>
            <w:r w:rsidRPr="00D808EB">
              <w:rPr>
                <w:b/>
                <w:bCs/>
                <w:sz w:val="20"/>
              </w:rPr>
              <w:t>254 642</w:t>
            </w:r>
          </w:p>
        </w:tc>
        <w:tc>
          <w:tcPr>
            <w:tcW w:w="1280" w:type="dxa"/>
            <w:tcBorders>
              <w:top w:val="single" w:sz="8" w:space="0" w:color="auto"/>
              <w:left w:val="nil"/>
              <w:bottom w:val="single" w:sz="8" w:space="0" w:color="auto"/>
              <w:right w:val="nil"/>
            </w:tcBorders>
            <w:shd w:val="clear" w:color="auto" w:fill="auto"/>
            <w:noWrap/>
            <w:vAlign w:val="center"/>
            <w:hideMark/>
          </w:tcPr>
          <w:p w14:paraId="54C06C5F" w14:textId="77777777" w:rsidR="00DB659A" w:rsidRPr="00D808EB" w:rsidRDefault="00DB659A" w:rsidP="00CC28AE">
            <w:pPr>
              <w:ind w:firstLineChars="100" w:firstLine="201"/>
              <w:jc w:val="right"/>
              <w:rPr>
                <w:b/>
                <w:bCs/>
                <w:sz w:val="20"/>
              </w:rPr>
            </w:pPr>
            <w:r w:rsidRPr="00D808EB">
              <w:rPr>
                <w:b/>
                <w:bCs/>
                <w:sz w:val="20"/>
              </w:rPr>
              <w:t>280 970</w:t>
            </w:r>
          </w:p>
        </w:tc>
        <w:tc>
          <w:tcPr>
            <w:tcW w:w="1280" w:type="dxa"/>
            <w:tcBorders>
              <w:top w:val="single" w:sz="8" w:space="0" w:color="auto"/>
              <w:left w:val="nil"/>
              <w:bottom w:val="single" w:sz="8" w:space="0" w:color="auto"/>
              <w:right w:val="nil"/>
            </w:tcBorders>
            <w:shd w:val="clear" w:color="auto" w:fill="auto"/>
            <w:noWrap/>
            <w:vAlign w:val="center"/>
            <w:hideMark/>
          </w:tcPr>
          <w:p w14:paraId="750A66A7" w14:textId="77777777" w:rsidR="00DB659A" w:rsidRPr="00D808EB" w:rsidRDefault="00DB659A" w:rsidP="00CC28AE">
            <w:pPr>
              <w:ind w:firstLineChars="100" w:firstLine="201"/>
              <w:jc w:val="right"/>
              <w:rPr>
                <w:b/>
                <w:bCs/>
                <w:sz w:val="20"/>
              </w:rPr>
            </w:pPr>
            <w:r w:rsidRPr="00D808EB">
              <w:rPr>
                <w:b/>
                <w:bCs/>
                <w:sz w:val="20"/>
              </w:rPr>
              <w:t>271 744</w:t>
            </w:r>
          </w:p>
        </w:tc>
        <w:tc>
          <w:tcPr>
            <w:tcW w:w="1280" w:type="dxa"/>
            <w:tcBorders>
              <w:top w:val="single" w:sz="8" w:space="0" w:color="auto"/>
              <w:left w:val="nil"/>
              <w:bottom w:val="single" w:sz="8" w:space="0" w:color="auto"/>
              <w:right w:val="nil"/>
            </w:tcBorders>
            <w:shd w:val="clear" w:color="auto" w:fill="auto"/>
            <w:noWrap/>
            <w:vAlign w:val="center"/>
            <w:hideMark/>
          </w:tcPr>
          <w:p w14:paraId="2B111552" w14:textId="77777777" w:rsidR="00DB659A" w:rsidRPr="00D808EB" w:rsidRDefault="00DB659A" w:rsidP="00CC28AE">
            <w:pPr>
              <w:ind w:firstLineChars="100" w:firstLine="201"/>
              <w:jc w:val="right"/>
              <w:rPr>
                <w:b/>
                <w:bCs/>
                <w:sz w:val="20"/>
              </w:rPr>
            </w:pPr>
            <w:r w:rsidRPr="00D808EB">
              <w:rPr>
                <w:b/>
                <w:bCs/>
                <w:sz w:val="20"/>
              </w:rPr>
              <w:t>262 166</w:t>
            </w:r>
          </w:p>
        </w:tc>
        <w:tc>
          <w:tcPr>
            <w:tcW w:w="1280" w:type="dxa"/>
            <w:tcBorders>
              <w:top w:val="single" w:sz="8" w:space="0" w:color="auto"/>
              <w:left w:val="nil"/>
              <w:bottom w:val="single" w:sz="8" w:space="0" w:color="auto"/>
              <w:right w:val="nil"/>
            </w:tcBorders>
            <w:shd w:val="clear" w:color="auto" w:fill="auto"/>
            <w:noWrap/>
            <w:vAlign w:val="center"/>
            <w:hideMark/>
          </w:tcPr>
          <w:p w14:paraId="496BBFFB" w14:textId="77777777" w:rsidR="00DB659A" w:rsidRPr="00D808EB" w:rsidRDefault="00DB659A" w:rsidP="00CC28AE">
            <w:pPr>
              <w:ind w:firstLineChars="100" w:firstLine="201"/>
              <w:jc w:val="right"/>
              <w:rPr>
                <w:b/>
                <w:bCs/>
                <w:sz w:val="20"/>
              </w:rPr>
            </w:pPr>
            <w:r w:rsidRPr="00D808EB">
              <w:rPr>
                <w:b/>
                <w:bCs/>
                <w:sz w:val="20"/>
              </w:rPr>
              <w:t>242 178</w:t>
            </w:r>
          </w:p>
        </w:tc>
        <w:tc>
          <w:tcPr>
            <w:tcW w:w="1280" w:type="dxa"/>
            <w:tcBorders>
              <w:top w:val="single" w:sz="8" w:space="0" w:color="auto"/>
              <w:left w:val="nil"/>
              <w:bottom w:val="single" w:sz="8" w:space="0" w:color="auto"/>
              <w:right w:val="nil"/>
            </w:tcBorders>
            <w:shd w:val="clear" w:color="auto" w:fill="auto"/>
            <w:noWrap/>
            <w:vAlign w:val="center"/>
            <w:hideMark/>
          </w:tcPr>
          <w:p w14:paraId="45B0EE2E" w14:textId="77777777" w:rsidR="00DB659A" w:rsidRPr="00D808EB" w:rsidRDefault="00DB659A" w:rsidP="00CC28AE">
            <w:pPr>
              <w:ind w:firstLineChars="100" w:firstLine="201"/>
              <w:jc w:val="right"/>
              <w:rPr>
                <w:b/>
                <w:bCs/>
                <w:sz w:val="20"/>
              </w:rPr>
            </w:pPr>
            <w:r w:rsidRPr="00D808EB">
              <w:rPr>
                <w:b/>
                <w:bCs/>
                <w:sz w:val="20"/>
              </w:rPr>
              <w:t>234 788</w:t>
            </w:r>
          </w:p>
        </w:tc>
        <w:tc>
          <w:tcPr>
            <w:tcW w:w="1280" w:type="dxa"/>
            <w:tcBorders>
              <w:top w:val="single" w:sz="8" w:space="0" w:color="auto"/>
              <w:left w:val="nil"/>
              <w:bottom w:val="single" w:sz="8" w:space="0" w:color="auto"/>
              <w:right w:val="nil"/>
            </w:tcBorders>
            <w:shd w:val="clear" w:color="auto" w:fill="auto"/>
            <w:noWrap/>
            <w:vAlign w:val="center"/>
            <w:hideMark/>
          </w:tcPr>
          <w:p w14:paraId="2FAE2710" w14:textId="77777777" w:rsidR="00DB659A" w:rsidRPr="00D808EB" w:rsidRDefault="00DB659A" w:rsidP="00CC28AE">
            <w:pPr>
              <w:ind w:firstLineChars="100" w:firstLine="201"/>
              <w:jc w:val="right"/>
              <w:rPr>
                <w:b/>
                <w:bCs/>
                <w:sz w:val="20"/>
              </w:rPr>
            </w:pPr>
            <w:r w:rsidRPr="00D808EB">
              <w:rPr>
                <w:b/>
                <w:bCs/>
                <w:sz w:val="20"/>
              </w:rPr>
              <w:t>223 490</w:t>
            </w:r>
          </w:p>
        </w:tc>
        <w:tc>
          <w:tcPr>
            <w:tcW w:w="12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D6E2C" w14:textId="77777777" w:rsidR="00DB659A" w:rsidRPr="00D808EB" w:rsidRDefault="00DB659A" w:rsidP="00CC28AE">
            <w:pPr>
              <w:ind w:firstLineChars="100" w:firstLine="201"/>
              <w:jc w:val="right"/>
              <w:rPr>
                <w:b/>
                <w:bCs/>
                <w:sz w:val="20"/>
              </w:rPr>
            </w:pPr>
            <w:r w:rsidRPr="00D808EB">
              <w:rPr>
                <w:b/>
                <w:bCs/>
                <w:sz w:val="20"/>
              </w:rPr>
              <w:t>1769 979</w:t>
            </w:r>
          </w:p>
        </w:tc>
        <w:tc>
          <w:tcPr>
            <w:tcW w:w="222" w:type="dxa"/>
            <w:vAlign w:val="center"/>
            <w:hideMark/>
          </w:tcPr>
          <w:p w14:paraId="4F187443" w14:textId="77777777" w:rsidR="00DB659A" w:rsidRPr="00D808EB" w:rsidRDefault="00DB659A" w:rsidP="00CC28AE">
            <w:pPr>
              <w:rPr>
                <w:sz w:val="20"/>
              </w:rPr>
            </w:pPr>
          </w:p>
        </w:tc>
      </w:tr>
      <w:tr w:rsidR="00DB659A" w:rsidRPr="00D808EB" w14:paraId="126470F6" w14:textId="77777777" w:rsidTr="00CC28AE">
        <w:trPr>
          <w:gridAfter w:val="1"/>
          <w:wAfter w:w="222" w:type="dxa"/>
          <w:trHeight w:val="297"/>
        </w:trPr>
        <w:tc>
          <w:tcPr>
            <w:tcW w:w="444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BBA8265" w14:textId="77777777" w:rsidR="00DB659A" w:rsidRPr="00D808EB" w:rsidRDefault="00DB659A" w:rsidP="00CC28AE">
            <w:pPr>
              <w:rPr>
                <w:b/>
                <w:bCs/>
                <w:szCs w:val="24"/>
              </w:rPr>
            </w:pPr>
            <w:r w:rsidRPr="00D808EB">
              <w:rPr>
                <w:b/>
                <w:bCs/>
                <w:szCs w:val="24"/>
              </w:rPr>
              <w:t>COMMITMENT APPROPRIATIONS</w:t>
            </w:r>
          </w:p>
        </w:tc>
        <w:tc>
          <w:tcPr>
            <w:tcW w:w="128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0D291C75" w14:textId="77777777" w:rsidR="00DB659A" w:rsidRPr="00D808EB" w:rsidRDefault="00DB659A" w:rsidP="00CC28AE">
            <w:pPr>
              <w:jc w:val="center"/>
              <w:rPr>
                <w:b/>
                <w:bCs/>
                <w:szCs w:val="24"/>
              </w:rPr>
            </w:pPr>
            <w:r w:rsidRPr="00D808EB">
              <w:rPr>
                <w:b/>
                <w:bCs/>
                <w:szCs w:val="24"/>
              </w:rPr>
              <w:t>2028</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7D357E15" w14:textId="77777777" w:rsidR="00DB659A" w:rsidRPr="00D808EB" w:rsidRDefault="00DB659A" w:rsidP="00CC28AE">
            <w:pPr>
              <w:jc w:val="center"/>
              <w:rPr>
                <w:b/>
                <w:bCs/>
                <w:szCs w:val="24"/>
              </w:rPr>
            </w:pPr>
            <w:r w:rsidRPr="00D808EB">
              <w:rPr>
                <w:b/>
                <w:bCs/>
                <w:szCs w:val="24"/>
              </w:rPr>
              <w:t>2029</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0832D3B5" w14:textId="77777777" w:rsidR="00DB659A" w:rsidRPr="00D808EB" w:rsidRDefault="00DB659A" w:rsidP="00CC28AE">
            <w:pPr>
              <w:jc w:val="center"/>
              <w:rPr>
                <w:b/>
                <w:bCs/>
                <w:szCs w:val="24"/>
              </w:rPr>
            </w:pPr>
            <w:r w:rsidRPr="00D808EB">
              <w:rPr>
                <w:b/>
                <w:bCs/>
                <w:szCs w:val="24"/>
              </w:rPr>
              <w:t>2030</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20F085C5" w14:textId="77777777" w:rsidR="00DB659A" w:rsidRPr="00D808EB" w:rsidRDefault="00DB659A" w:rsidP="00CC28AE">
            <w:pPr>
              <w:jc w:val="center"/>
              <w:rPr>
                <w:b/>
                <w:bCs/>
                <w:szCs w:val="24"/>
              </w:rPr>
            </w:pPr>
            <w:r w:rsidRPr="00D808EB">
              <w:rPr>
                <w:b/>
                <w:bCs/>
                <w:szCs w:val="24"/>
              </w:rPr>
              <w:t>2031</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4648A730" w14:textId="77777777" w:rsidR="00DB659A" w:rsidRPr="00D808EB" w:rsidRDefault="00DB659A" w:rsidP="00CC28AE">
            <w:pPr>
              <w:jc w:val="center"/>
              <w:rPr>
                <w:b/>
                <w:bCs/>
                <w:szCs w:val="24"/>
              </w:rPr>
            </w:pPr>
            <w:r w:rsidRPr="00D808EB">
              <w:rPr>
                <w:b/>
                <w:bCs/>
                <w:szCs w:val="24"/>
              </w:rPr>
              <w:t>2032</w:t>
            </w:r>
          </w:p>
        </w:tc>
        <w:tc>
          <w:tcPr>
            <w:tcW w:w="1280" w:type="dxa"/>
            <w:vMerge w:val="restart"/>
            <w:tcBorders>
              <w:top w:val="single" w:sz="8" w:space="0" w:color="auto"/>
              <w:left w:val="nil"/>
              <w:bottom w:val="single" w:sz="8" w:space="0" w:color="000000"/>
              <w:right w:val="nil"/>
            </w:tcBorders>
            <w:shd w:val="clear" w:color="auto" w:fill="auto"/>
            <w:noWrap/>
            <w:vAlign w:val="center"/>
            <w:hideMark/>
          </w:tcPr>
          <w:p w14:paraId="6C42C75C" w14:textId="77777777" w:rsidR="00DB659A" w:rsidRPr="00D808EB" w:rsidRDefault="00DB659A" w:rsidP="00CC28AE">
            <w:pPr>
              <w:jc w:val="center"/>
              <w:rPr>
                <w:b/>
                <w:bCs/>
                <w:szCs w:val="24"/>
              </w:rPr>
            </w:pPr>
            <w:r w:rsidRPr="00D808EB">
              <w:rPr>
                <w:b/>
                <w:bCs/>
                <w:szCs w:val="24"/>
              </w:rPr>
              <w:t>2033</w:t>
            </w:r>
          </w:p>
        </w:tc>
        <w:tc>
          <w:tcPr>
            <w:tcW w:w="1280"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58E6F5FA" w14:textId="77777777" w:rsidR="00DB659A" w:rsidRPr="00D808EB" w:rsidRDefault="00DB659A" w:rsidP="00CC28AE">
            <w:pPr>
              <w:jc w:val="center"/>
              <w:rPr>
                <w:b/>
                <w:bCs/>
                <w:szCs w:val="24"/>
              </w:rPr>
            </w:pPr>
            <w:r w:rsidRPr="00D808EB">
              <w:rPr>
                <w:b/>
                <w:bCs/>
                <w:szCs w:val="24"/>
              </w:rPr>
              <w:t>2034</w:t>
            </w:r>
          </w:p>
        </w:tc>
        <w:tc>
          <w:tcPr>
            <w:tcW w:w="1203" w:type="dxa"/>
            <w:tcBorders>
              <w:top w:val="single" w:sz="8" w:space="0" w:color="auto"/>
              <w:left w:val="nil"/>
              <w:bottom w:val="nil"/>
              <w:right w:val="single" w:sz="8" w:space="0" w:color="auto"/>
            </w:tcBorders>
            <w:shd w:val="clear" w:color="auto" w:fill="auto"/>
            <w:vAlign w:val="center"/>
            <w:hideMark/>
          </w:tcPr>
          <w:p w14:paraId="2F7764D8" w14:textId="77777777" w:rsidR="00DB659A" w:rsidRPr="00D808EB" w:rsidRDefault="00DB659A" w:rsidP="00CC28AE">
            <w:pPr>
              <w:jc w:val="center"/>
              <w:rPr>
                <w:b/>
                <w:bCs/>
                <w:szCs w:val="24"/>
              </w:rPr>
            </w:pPr>
            <w:r w:rsidRPr="00D808EB">
              <w:rPr>
                <w:b/>
                <w:bCs/>
                <w:szCs w:val="24"/>
              </w:rPr>
              <w:t>Total</w:t>
            </w:r>
          </w:p>
        </w:tc>
      </w:tr>
      <w:tr w:rsidR="00DB659A" w:rsidRPr="00D808EB" w14:paraId="12B63939" w14:textId="77777777" w:rsidTr="00CC28AE">
        <w:trPr>
          <w:gridAfter w:val="1"/>
          <w:wAfter w:w="222" w:type="dxa"/>
          <w:trHeight w:val="297"/>
        </w:trPr>
        <w:tc>
          <w:tcPr>
            <w:tcW w:w="4441" w:type="dxa"/>
            <w:vMerge/>
            <w:tcBorders>
              <w:top w:val="single" w:sz="8" w:space="0" w:color="auto"/>
              <w:left w:val="single" w:sz="8" w:space="0" w:color="auto"/>
              <w:bottom w:val="single" w:sz="8" w:space="0" w:color="000000"/>
              <w:right w:val="single" w:sz="8" w:space="0" w:color="auto"/>
            </w:tcBorders>
            <w:vAlign w:val="center"/>
            <w:hideMark/>
          </w:tcPr>
          <w:p w14:paraId="324E5393" w14:textId="77777777" w:rsidR="00DB659A" w:rsidRPr="00D808EB" w:rsidRDefault="00DB659A" w:rsidP="00CC28AE">
            <w:pPr>
              <w:rPr>
                <w:b/>
                <w:bCs/>
                <w:szCs w:val="24"/>
              </w:rPr>
            </w:pPr>
          </w:p>
        </w:tc>
        <w:tc>
          <w:tcPr>
            <w:tcW w:w="1280" w:type="dxa"/>
            <w:vMerge/>
            <w:tcBorders>
              <w:top w:val="single" w:sz="8" w:space="0" w:color="auto"/>
              <w:left w:val="single" w:sz="8" w:space="0" w:color="auto"/>
              <w:bottom w:val="single" w:sz="8" w:space="0" w:color="000000"/>
              <w:right w:val="nil"/>
            </w:tcBorders>
            <w:vAlign w:val="center"/>
            <w:hideMark/>
          </w:tcPr>
          <w:p w14:paraId="01E90FD0"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65105722"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3EEB9283"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6E60904A"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098C6BE2"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nil"/>
            </w:tcBorders>
            <w:vAlign w:val="center"/>
            <w:hideMark/>
          </w:tcPr>
          <w:p w14:paraId="6B138076" w14:textId="77777777" w:rsidR="00DB659A" w:rsidRPr="00D808EB" w:rsidRDefault="00DB659A" w:rsidP="00CC28AE">
            <w:pPr>
              <w:rPr>
                <w:b/>
                <w:bCs/>
                <w:szCs w:val="24"/>
              </w:rPr>
            </w:pPr>
          </w:p>
        </w:tc>
        <w:tc>
          <w:tcPr>
            <w:tcW w:w="1280" w:type="dxa"/>
            <w:vMerge/>
            <w:tcBorders>
              <w:top w:val="single" w:sz="8" w:space="0" w:color="auto"/>
              <w:left w:val="nil"/>
              <w:bottom w:val="single" w:sz="8" w:space="0" w:color="000000"/>
              <w:right w:val="single" w:sz="8" w:space="0" w:color="auto"/>
            </w:tcBorders>
            <w:vAlign w:val="center"/>
            <w:hideMark/>
          </w:tcPr>
          <w:p w14:paraId="66341405" w14:textId="77777777" w:rsidR="00DB659A" w:rsidRPr="00D808EB" w:rsidRDefault="00DB659A" w:rsidP="00CC28AE">
            <w:pPr>
              <w:rPr>
                <w:b/>
                <w:bCs/>
                <w:szCs w:val="24"/>
              </w:rPr>
            </w:pPr>
          </w:p>
        </w:tc>
        <w:tc>
          <w:tcPr>
            <w:tcW w:w="1203" w:type="dxa"/>
            <w:tcBorders>
              <w:top w:val="nil"/>
              <w:left w:val="nil"/>
              <w:bottom w:val="single" w:sz="8" w:space="0" w:color="auto"/>
              <w:right w:val="single" w:sz="8" w:space="0" w:color="auto"/>
            </w:tcBorders>
            <w:shd w:val="clear" w:color="auto" w:fill="auto"/>
            <w:vAlign w:val="center"/>
            <w:hideMark/>
          </w:tcPr>
          <w:p w14:paraId="76F0E60B" w14:textId="77777777" w:rsidR="00DB659A" w:rsidRPr="00D808EB" w:rsidRDefault="00DB659A" w:rsidP="00CC28AE">
            <w:pPr>
              <w:jc w:val="center"/>
              <w:rPr>
                <w:b/>
                <w:bCs/>
                <w:szCs w:val="24"/>
              </w:rPr>
            </w:pPr>
            <w:r w:rsidRPr="00D808EB">
              <w:rPr>
                <w:b/>
                <w:bCs/>
                <w:szCs w:val="24"/>
              </w:rPr>
              <w:t>2028-2034</w:t>
            </w:r>
          </w:p>
        </w:tc>
      </w:tr>
      <w:tr w:rsidR="00DB659A" w:rsidRPr="00D808EB" w14:paraId="107A5AF7" w14:textId="77777777" w:rsidTr="00CC28AE">
        <w:trPr>
          <w:gridAfter w:val="1"/>
          <w:wAfter w:w="222" w:type="dxa"/>
          <w:trHeight w:val="276"/>
        </w:trPr>
        <w:tc>
          <w:tcPr>
            <w:tcW w:w="4441" w:type="dxa"/>
            <w:vMerge w:val="restart"/>
            <w:tcBorders>
              <w:top w:val="nil"/>
              <w:left w:val="single" w:sz="8" w:space="0" w:color="auto"/>
              <w:bottom w:val="nil"/>
              <w:right w:val="single" w:sz="8" w:space="0" w:color="auto"/>
            </w:tcBorders>
            <w:shd w:val="clear" w:color="auto" w:fill="auto"/>
            <w:vAlign w:val="center"/>
            <w:hideMark/>
          </w:tcPr>
          <w:p w14:paraId="73BDF1AE" w14:textId="77777777" w:rsidR="00DB659A" w:rsidRPr="00D808EB" w:rsidRDefault="00DB659A" w:rsidP="00CC28AE">
            <w:pPr>
              <w:rPr>
                <w:b/>
                <w:bCs/>
                <w:sz w:val="20"/>
              </w:rPr>
            </w:pPr>
            <w:r w:rsidRPr="00D808EB">
              <w:rPr>
                <w:b/>
                <w:bCs/>
                <w:sz w:val="20"/>
              </w:rPr>
              <w:t xml:space="preserve">1. Economic, social and territorial cohesion, agriculture and rural, maritime , prosperity and security </w:t>
            </w:r>
          </w:p>
        </w:tc>
        <w:tc>
          <w:tcPr>
            <w:tcW w:w="1280" w:type="dxa"/>
            <w:vMerge w:val="restart"/>
            <w:tcBorders>
              <w:top w:val="nil"/>
              <w:left w:val="single" w:sz="8" w:space="0" w:color="auto"/>
              <w:bottom w:val="nil"/>
              <w:right w:val="nil"/>
            </w:tcBorders>
            <w:shd w:val="clear" w:color="auto" w:fill="auto"/>
            <w:noWrap/>
            <w:vAlign w:val="center"/>
            <w:hideMark/>
          </w:tcPr>
          <w:p w14:paraId="58EDA655" w14:textId="77777777" w:rsidR="00DB659A" w:rsidRPr="00D808EB" w:rsidRDefault="00DB659A" w:rsidP="00CC28AE">
            <w:pPr>
              <w:ind w:firstLineChars="100" w:firstLine="201"/>
              <w:jc w:val="right"/>
              <w:rPr>
                <w:b/>
                <w:bCs/>
                <w:sz w:val="20"/>
              </w:rPr>
            </w:pPr>
            <w:r w:rsidRPr="00D808EB">
              <w:rPr>
                <w:b/>
                <w:bCs/>
                <w:sz w:val="20"/>
              </w:rPr>
              <w:t xml:space="preserve"> 154 642 </w:t>
            </w:r>
          </w:p>
        </w:tc>
        <w:tc>
          <w:tcPr>
            <w:tcW w:w="1280" w:type="dxa"/>
            <w:vMerge w:val="restart"/>
            <w:tcBorders>
              <w:top w:val="nil"/>
              <w:left w:val="nil"/>
              <w:bottom w:val="nil"/>
              <w:right w:val="nil"/>
            </w:tcBorders>
            <w:shd w:val="clear" w:color="auto" w:fill="auto"/>
            <w:noWrap/>
            <w:vAlign w:val="center"/>
            <w:hideMark/>
          </w:tcPr>
          <w:p w14:paraId="3012EA1D" w14:textId="77777777" w:rsidR="00DB659A" w:rsidRPr="00D808EB" w:rsidRDefault="00DB659A" w:rsidP="00CC28AE">
            <w:pPr>
              <w:ind w:firstLineChars="100" w:firstLine="201"/>
              <w:jc w:val="right"/>
              <w:rPr>
                <w:b/>
                <w:bCs/>
                <w:sz w:val="20"/>
              </w:rPr>
            </w:pPr>
            <w:r w:rsidRPr="00D808EB">
              <w:rPr>
                <w:b/>
                <w:bCs/>
                <w:sz w:val="20"/>
              </w:rPr>
              <w:t xml:space="preserve"> 152 165 </w:t>
            </w:r>
          </w:p>
        </w:tc>
        <w:tc>
          <w:tcPr>
            <w:tcW w:w="1280" w:type="dxa"/>
            <w:vMerge w:val="restart"/>
            <w:tcBorders>
              <w:top w:val="nil"/>
              <w:left w:val="nil"/>
              <w:bottom w:val="nil"/>
              <w:right w:val="nil"/>
            </w:tcBorders>
            <w:shd w:val="clear" w:color="auto" w:fill="auto"/>
            <w:noWrap/>
            <w:vAlign w:val="center"/>
            <w:hideMark/>
          </w:tcPr>
          <w:p w14:paraId="60AC2F34" w14:textId="77777777" w:rsidR="00DB659A" w:rsidRPr="00D808EB" w:rsidRDefault="00DB659A" w:rsidP="00CC28AE">
            <w:pPr>
              <w:ind w:firstLineChars="100" w:firstLine="201"/>
              <w:jc w:val="right"/>
              <w:rPr>
                <w:b/>
                <w:bCs/>
                <w:sz w:val="20"/>
              </w:rPr>
            </w:pPr>
            <w:r w:rsidRPr="00D808EB">
              <w:rPr>
                <w:b/>
                <w:bCs/>
                <w:sz w:val="20"/>
              </w:rPr>
              <w:t xml:space="preserve"> 149 043 </w:t>
            </w:r>
          </w:p>
        </w:tc>
        <w:tc>
          <w:tcPr>
            <w:tcW w:w="1280" w:type="dxa"/>
            <w:vMerge w:val="restart"/>
            <w:tcBorders>
              <w:top w:val="nil"/>
              <w:left w:val="nil"/>
              <w:bottom w:val="nil"/>
              <w:right w:val="nil"/>
            </w:tcBorders>
            <w:shd w:val="clear" w:color="auto" w:fill="auto"/>
            <w:noWrap/>
            <w:vAlign w:val="center"/>
            <w:hideMark/>
          </w:tcPr>
          <w:p w14:paraId="489BC178" w14:textId="77777777" w:rsidR="00DB659A" w:rsidRPr="00D808EB" w:rsidRDefault="00DB659A" w:rsidP="00CC28AE">
            <w:pPr>
              <w:ind w:firstLineChars="100" w:firstLine="201"/>
              <w:jc w:val="right"/>
              <w:rPr>
                <w:b/>
                <w:bCs/>
                <w:sz w:val="20"/>
              </w:rPr>
            </w:pPr>
            <w:r w:rsidRPr="00D808EB">
              <w:rPr>
                <w:b/>
                <w:bCs/>
                <w:sz w:val="20"/>
              </w:rPr>
              <w:t xml:space="preserve"> 146 277 </w:t>
            </w:r>
          </w:p>
        </w:tc>
        <w:tc>
          <w:tcPr>
            <w:tcW w:w="1280" w:type="dxa"/>
            <w:vMerge w:val="restart"/>
            <w:tcBorders>
              <w:top w:val="nil"/>
              <w:left w:val="nil"/>
              <w:bottom w:val="nil"/>
              <w:right w:val="nil"/>
            </w:tcBorders>
            <w:shd w:val="clear" w:color="auto" w:fill="auto"/>
            <w:noWrap/>
            <w:vAlign w:val="center"/>
            <w:hideMark/>
          </w:tcPr>
          <w:p w14:paraId="1A5A01CC" w14:textId="77777777" w:rsidR="00DB659A" w:rsidRPr="00D808EB" w:rsidRDefault="00DB659A" w:rsidP="00CC28AE">
            <w:pPr>
              <w:ind w:firstLineChars="100" w:firstLine="201"/>
              <w:jc w:val="right"/>
              <w:rPr>
                <w:b/>
                <w:bCs/>
                <w:sz w:val="20"/>
              </w:rPr>
            </w:pPr>
            <w:r w:rsidRPr="00D808EB">
              <w:rPr>
                <w:b/>
                <w:bCs/>
                <w:sz w:val="20"/>
              </w:rPr>
              <w:t xml:space="preserve"> 142 618 </w:t>
            </w:r>
          </w:p>
        </w:tc>
        <w:tc>
          <w:tcPr>
            <w:tcW w:w="1280" w:type="dxa"/>
            <w:vMerge w:val="restart"/>
            <w:tcBorders>
              <w:top w:val="nil"/>
              <w:left w:val="nil"/>
              <w:bottom w:val="nil"/>
              <w:right w:val="nil"/>
            </w:tcBorders>
            <w:shd w:val="clear" w:color="auto" w:fill="auto"/>
            <w:noWrap/>
            <w:vAlign w:val="center"/>
            <w:hideMark/>
          </w:tcPr>
          <w:p w14:paraId="0A03A37D" w14:textId="77777777" w:rsidR="00DB659A" w:rsidRPr="00D808EB" w:rsidRDefault="00DB659A" w:rsidP="00CC28AE">
            <w:pPr>
              <w:ind w:firstLineChars="100" w:firstLine="201"/>
              <w:jc w:val="right"/>
              <w:rPr>
                <w:b/>
                <w:bCs/>
                <w:sz w:val="20"/>
              </w:rPr>
            </w:pPr>
            <w:r w:rsidRPr="00D808EB">
              <w:rPr>
                <w:b/>
                <w:bCs/>
                <w:sz w:val="20"/>
              </w:rPr>
              <w:t xml:space="preserve"> 129 126 </w:t>
            </w:r>
          </w:p>
        </w:tc>
        <w:tc>
          <w:tcPr>
            <w:tcW w:w="1280" w:type="dxa"/>
            <w:vMerge w:val="restart"/>
            <w:tcBorders>
              <w:top w:val="nil"/>
              <w:left w:val="nil"/>
              <w:bottom w:val="nil"/>
              <w:right w:val="single" w:sz="8" w:space="0" w:color="auto"/>
            </w:tcBorders>
            <w:shd w:val="clear" w:color="auto" w:fill="auto"/>
            <w:noWrap/>
            <w:vAlign w:val="center"/>
            <w:hideMark/>
          </w:tcPr>
          <w:p w14:paraId="48A3A49D" w14:textId="77777777" w:rsidR="00DB659A" w:rsidRPr="00D808EB" w:rsidRDefault="00DB659A" w:rsidP="00CC28AE">
            <w:pPr>
              <w:ind w:firstLineChars="100" w:firstLine="201"/>
              <w:jc w:val="right"/>
              <w:rPr>
                <w:b/>
                <w:bCs/>
                <w:sz w:val="20"/>
              </w:rPr>
            </w:pPr>
            <w:r w:rsidRPr="00D808EB">
              <w:rPr>
                <w:b/>
                <w:bCs/>
                <w:sz w:val="20"/>
              </w:rPr>
              <w:t xml:space="preserve"> 120 344 </w:t>
            </w:r>
          </w:p>
        </w:tc>
        <w:tc>
          <w:tcPr>
            <w:tcW w:w="1203" w:type="dxa"/>
            <w:vMerge w:val="restart"/>
            <w:tcBorders>
              <w:top w:val="nil"/>
              <w:left w:val="single" w:sz="8" w:space="0" w:color="auto"/>
              <w:bottom w:val="nil"/>
              <w:right w:val="single" w:sz="8" w:space="0" w:color="auto"/>
            </w:tcBorders>
            <w:shd w:val="clear" w:color="auto" w:fill="auto"/>
            <w:noWrap/>
            <w:vAlign w:val="center"/>
            <w:hideMark/>
          </w:tcPr>
          <w:p w14:paraId="48EEE956" w14:textId="77777777" w:rsidR="00DB659A" w:rsidRPr="00D808EB" w:rsidRDefault="00DB659A" w:rsidP="00CC28AE">
            <w:pPr>
              <w:ind w:firstLineChars="100" w:firstLine="201"/>
              <w:jc w:val="right"/>
              <w:rPr>
                <w:b/>
                <w:bCs/>
                <w:sz w:val="20"/>
              </w:rPr>
            </w:pPr>
            <w:r w:rsidRPr="00D808EB">
              <w:rPr>
                <w:b/>
                <w:bCs/>
                <w:sz w:val="20"/>
              </w:rPr>
              <w:t xml:space="preserve"> 994 216 </w:t>
            </w:r>
          </w:p>
        </w:tc>
      </w:tr>
      <w:tr w:rsidR="00DB659A" w:rsidRPr="00D808EB" w14:paraId="6AB2523E" w14:textId="77777777" w:rsidTr="00CC28AE">
        <w:trPr>
          <w:trHeight w:val="180"/>
        </w:trPr>
        <w:tc>
          <w:tcPr>
            <w:tcW w:w="4441" w:type="dxa"/>
            <w:vMerge/>
            <w:tcBorders>
              <w:top w:val="nil"/>
              <w:left w:val="single" w:sz="8" w:space="0" w:color="auto"/>
              <w:bottom w:val="nil"/>
              <w:right w:val="single" w:sz="8" w:space="0" w:color="auto"/>
            </w:tcBorders>
            <w:vAlign w:val="center"/>
            <w:hideMark/>
          </w:tcPr>
          <w:p w14:paraId="41007D96" w14:textId="77777777" w:rsidR="00DB659A" w:rsidRPr="00D808EB" w:rsidRDefault="00DB659A" w:rsidP="00CC28AE">
            <w:pPr>
              <w:rPr>
                <w:b/>
                <w:bCs/>
                <w:sz w:val="20"/>
              </w:rPr>
            </w:pPr>
          </w:p>
        </w:tc>
        <w:tc>
          <w:tcPr>
            <w:tcW w:w="1280" w:type="dxa"/>
            <w:vMerge/>
            <w:tcBorders>
              <w:top w:val="nil"/>
              <w:left w:val="single" w:sz="8" w:space="0" w:color="auto"/>
              <w:bottom w:val="nil"/>
              <w:right w:val="nil"/>
            </w:tcBorders>
            <w:vAlign w:val="center"/>
            <w:hideMark/>
          </w:tcPr>
          <w:p w14:paraId="4ADEC4C0"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5F2ECABF"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2124E8CA"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20035A56"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3BAD5DA0"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04ED8870" w14:textId="77777777" w:rsidR="00DB659A" w:rsidRPr="00D808EB" w:rsidRDefault="00DB659A" w:rsidP="00CC28AE">
            <w:pPr>
              <w:rPr>
                <w:b/>
                <w:bCs/>
                <w:sz w:val="20"/>
              </w:rPr>
            </w:pPr>
          </w:p>
        </w:tc>
        <w:tc>
          <w:tcPr>
            <w:tcW w:w="1280" w:type="dxa"/>
            <w:vMerge/>
            <w:tcBorders>
              <w:top w:val="nil"/>
              <w:left w:val="nil"/>
              <w:bottom w:val="nil"/>
              <w:right w:val="single" w:sz="8" w:space="0" w:color="auto"/>
            </w:tcBorders>
            <w:vAlign w:val="center"/>
            <w:hideMark/>
          </w:tcPr>
          <w:p w14:paraId="2797E4D7" w14:textId="77777777" w:rsidR="00DB659A" w:rsidRPr="00D808EB" w:rsidRDefault="00DB659A" w:rsidP="00CC28AE">
            <w:pPr>
              <w:rPr>
                <w:b/>
                <w:bCs/>
                <w:sz w:val="20"/>
              </w:rPr>
            </w:pPr>
          </w:p>
        </w:tc>
        <w:tc>
          <w:tcPr>
            <w:tcW w:w="1203" w:type="dxa"/>
            <w:vMerge/>
            <w:tcBorders>
              <w:top w:val="nil"/>
              <w:left w:val="single" w:sz="8" w:space="0" w:color="auto"/>
              <w:bottom w:val="nil"/>
              <w:right w:val="single" w:sz="8" w:space="0" w:color="auto"/>
            </w:tcBorders>
            <w:vAlign w:val="center"/>
            <w:hideMark/>
          </w:tcPr>
          <w:p w14:paraId="0932CFC5" w14:textId="77777777" w:rsidR="00DB659A" w:rsidRPr="00D808EB" w:rsidRDefault="00DB659A" w:rsidP="00CC28AE">
            <w:pPr>
              <w:rPr>
                <w:b/>
                <w:bCs/>
                <w:sz w:val="20"/>
              </w:rPr>
            </w:pPr>
          </w:p>
        </w:tc>
        <w:tc>
          <w:tcPr>
            <w:tcW w:w="222" w:type="dxa"/>
            <w:tcBorders>
              <w:top w:val="nil"/>
              <w:left w:val="nil"/>
              <w:bottom w:val="nil"/>
              <w:right w:val="nil"/>
            </w:tcBorders>
            <w:shd w:val="clear" w:color="auto" w:fill="auto"/>
            <w:noWrap/>
            <w:vAlign w:val="bottom"/>
            <w:hideMark/>
          </w:tcPr>
          <w:p w14:paraId="7D596CDD" w14:textId="77777777" w:rsidR="00DB659A" w:rsidRPr="00D808EB" w:rsidRDefault="00DB659A" w:rsidP="00CC28AE">
            <w:pPr>
              <w:ind w:firstLineChars="100" w:firstLine="201"/>
              <w:jc w:val="right"/>
              <w:rPr>
                <w:b/>
                <w:bCs/>
                <w:sz w:val="20"/>
              </w:rPr>
            </w:pPr>
          </w:p>
        </w:tc>
      </w:tr>
      <w:tr w:rsidR="00DB659A" w:rsidRPr="00D808EB" w14:paraId="43A08981" w14:textId="77777777" w:rsidTr="00CC28AE">
        <w:trPr>
          <w:trHeight w:val="180"/>
        </w:trPr>
        <w:tc>
          <w:tcPr>
            <w:tcW w:w="4441" w:type="dxa"/>
            <w:vMerge/>
            <w:tcBorders>
              <w:top w:val="nil"/>
              <w:left w:val="single" w:sz="8" w:space="0" w:color="auto"/>
              <w:bottom w:val="nil"/>
              <w:right w:val="single" w:sz="8" w:space="0" w:color="auto"/>
            </w:tcBorders>
            <w:vAlign w:val="center"/>
            <w:hideMark/>
          </w:tcPr>
          <w:p w14:paraId="560A0D62" w14:textId="77777777" w:rsidR="00DB659A" w:rsidRPr="00D808EB" w:rsidRDefault="00DB659A" w:rsidP="00CC28AE">
            <w:pPr>
              <w:rPr>
                <w:b/>
                <w:bCs/>
                <w:sz w:val="20"/>
              </w:rPr>
            </w:pPr>
          </w:p>
        </w:tc>
        <w:tc>
          <w:tcPr>
            <w:tcW w:w="1280" w:type="dxa"/>
            <w:vMerge/>
            <w:tcBorders>
              <w:top w:val="nil"/>
              <w:left w:val="single" w:sz="8" w:space="0" w:color="auto"/>
              <w:bottom w:val="nil"/>
              <w:right w:val="nil"/>
            </w:tcBorders>
            <w:vAlign w:val="center"/>
            <w:hideMark/>
          </w:tcPr>
          <w:p w14:paraId="5AB041EA"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36DD9BA1"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6EA83F5C"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47939E63"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05302073" w14:textId="77777777" w:rsidR="00DB659A" w:rsidRPr="00D808EB" w:rsidRDefault="00DB659A" w:rsidP="00CC28AE">
            <w:pPr>
              <w:rPr>
                <w:b/>
                <w:bCs/>
                <w:sz w:val="20"/>
              </w:rPr>
            </w:pPr>
          </w:p>
        </w:tc>
        <w:tc>
          <w:tcPr>
            <w:tcW w:w="1280" w:type="dxa"/>
            <w:vMerge/>
            <w:tcBorders>
              <w:top w:val="nil"/>
              <w:left w:val="nil"/>
              <w:bottom w:val="nil"/>
              <w:right w:val="nil"/>
            </w:tcBorders>
            <w:vAlign w:val="center"/>
            <w:hideMark/>
          </w:tcPr>
          <w:p w14:paraId="22597F25" w14:textId="77777777" w:rsidR="00DB659A" w:rsidRPr="00D808EB" w:rsidRDefault="00DB659A" w:rsidP="00CC28AE">
            <w:pPr>
              <w:rPr>
                <w:b/>
                <w:bCs/>
                <w:sz w:val="20"/>
              </w:rPr>
            </w:pPr>
          </w:p>
        </w:tc>
        <w:tc>
          <w:tcPr>
            <w:tcW w:w="1280" w:type="dxa"/>
            <w:vMerge/>
            <w:tcBorders>
              <w:top w:val="nil"/>
              <w:left w:val="nil"/>
              <w:bottom w:val="nil"/>
              <w:right w:val="single" w:sz="8" w:space="0" w:color="auto"/>
            </w:tcBorders>
            <w:vAlign w:val="center"/>
            <w:hideMark/>
          </w:tcPr>
          <w:p w14:paraId="5E6F7E17" w14:textId="77777777" w:rsidR="00DB659A" w:rsidRPr="00D808EB" w:rsidRDefault="00DB659A" w:rsidP="00CC28AE">
            <w:pPr>
              <w:rPr>
                <w:b/>
                <w:bCs/>
                <w:sz w:val="20"/>
              </w:rPr>
            </w:pPr>
          </w:p>
        </w:tc>
        <w:tc>
          <w:tcPr>
            <w:tcW w:w="1203" w:type="dxa"/>
            <w:vMerge/>
            <w:tcBorders>
              <w:top w:val="nil"/>
              <w:left w:val="single" w:sz="8" w:space="0" w:color="auto"/>
              <w:bottom w:val="nil"/>
              <w:right w:val="single" w:sz="8" w:space="0" w:color="auto"/>
            </w:tcBorders>
            <w:vAlign w:val="center"/>
            <w:hideMark/>
          </w:tcPr>
          <w:p w14:paraId="7645156A" w14:textId="77777777" w:rsidR="00DB659A" w:rsidRPr="00D808EB" w:rsidRDefault="00DB659A" w:rsidP="00CC28AE">
            <w:pPr>
              <w:rPr>
                <w:b/>
                <w:bCs/>
                <w:sz w:val="20"/>
              </w:rPr>
            </w:pPr>
          </w:p>
        </w:tc>
        <w:tc>
          <w:tcPr>
            <w:tcW w:w="222" w:type="dxa"/>
            <w:tcBorders>
              <w:top w:val="nil"/>
              <w:left w:val="nil"/>
              <w:bottom w:val="nil"/>
              <w:right w:val="nil"/>
            </w:tcBorders>
            <w:shd w:val="clear" w:color="auto" w:fill="auto"/>
            <w:noWrap/>
            <w:vAlign w:val="bottom"/>
            <w:hideMark/>
          </w:tcPr>
          <w:p w14:paraId="53537446" w14:textId="77777777" w:rsidR="00DB659A" w:rsidRPr="00D808EB" w:rsidRDefault="00DB659A" w:rsidP="00CC28AE">
            <w:pPr>
              <w:rPr>
                <w:sz w:val="20"/>
              </w:rPr>
            </w:pPr>
          </w:p>
        </w:tc>
      </w:tr>
      <w:tr w:rsidR="00DB659A" w:rsidRPr="00D808EB" w14:paraId="46FADD61" w14:textId="77777777" w:rsidTr="00CC28AE">
        <w:trPr>
          <w:trHeight w:val="327"/>
        </w:trPr>
        <w:tc>
          <w:tcPr>
            <w:tcW w:w="4441" w:type="dxa"/>
            <w:tcBorders>
              <w:top w:val="nil"/>
              <w:left w:val="single" w:sz="8" w:space="0" w:color="auto"/>
              <w:bottom w:val="nil"/>
              <w:right w:val="single" w:sz="8" w:space="0" w:color="auto"/>
            </w:tcBorders>
            <w:shd w:val="clear" w:color="auto" w:fill="auto"/>
            <w:noWrap/>
            <w:vAlign w:val="center"/>
            <w:hideMark/>
          </w:tcPr>
          <w:p w14:paraId="00C7FF2C" w14:textId="77777777" w:rsidR="00DB659A" w:rsidRPr="00D808EB" w:rsidRDefault="00DB659A" w:rsidP="00CC28AE">
            <w:pPr>
              <w:rPr>
                <w:b/>
                <w:bCs/>
                <w:sz w:val="20"/>
              </w:rPr>
            </w:pPr>
            <w:r w:rsidRPr="00D808EB">
              <w:rPr>
                <w:b/>
                <w:bCs/>
                <w:sz w:val="20"/>
              </w:rPr>
              <w:t>2. Competitiveness, prosperity and security</w:t>
            </w:r>
          </w:p>
        </w:tc>
        <w:tc>
          <w:tcPr>
            <w:tcW w:w="1280" w:type="dxa"/>
            <w:tcBorders>
              <w:top w:val="nil"/>
              <w:left w:val="nil"/>
              <w:bottom w:val="nil"/>
              <w:right w:val="nil"/>
            </w:tcBorders>
            <w:shd w:val="clear" w:color="auto" w:fill="auto"/>
            <w:noWrap/>
            <w:vAlign w:val="center"/>
            <w:hideMark/>
          </w:tcPr>
          <w:p w14:paraId="1394DE47" w14:textId="77777777" w:rsidR="00DB659A" w:rsidRPr="00D808EB" w:rsidRDefault="00DB659A" w:rsidP="00CC28AE">
            <w:pPr>
              <w:ind w:firstLineChars="100" w:firstLine="201"/>
              <w:jc w:val="right"/>
              <w:rPr>
                <w:b/>
                <w:bCs/>
                <w:sz w:val="20"/>
              </w:rPr>
            </w:pPr>
            <w:r w:rsidRPr="00D808EB">
              <w:rPr>
                <w:b/>
                <w:bCs/>
                <w:sz w:val="20"/>
              </w:rPr>
              <w:t xml:space="preserve"> 74 353 </w:t>
            </w:r>
          </w:p>
        </w:tc>
        <w:tc>
          <w:tcPr>
            <w:tcW w:w="1280" w:type="dxa"/>
            <w:tcBorders>
              <w:top w:val="nil"/>
              <w:left w:val="nil"/>
              <w:bottom w:val="nil"/>
              <w:right w:val="nil"/>
            </w:tcBorders>
            <w:shd w:val="clear" w:color="auto" w:fill="auto"/>
            <w:noWrap/>
            <w:vAlign w:val="center"/>
            <w:hideMark/>
          </w:tcPr>
          <w:p w14:paraId="51201279" w14:textId="77777777" w:rsidR="00DB659A" w:rsidRPr="00D808EB" w:rsidRDefault="00DB659A" w:rsidP="00CC28AE">
            <w:pPr>
              <w:ind w:firstLineChars="100" w:firstLine="201"/>
              <w:jc w:val="right"/>
              <w:rPr>
                <w:b/>
                <w:bCs/>
                <w:sz w:val="20"/>
              </w:rPr>
            </w:pPr>
            <w:r w:rsidRPr="00D808EB">
              <w:rPr>
                <w:b/>
                <w:bCs/>
                <w:sz w:val="20"/>
              </w:rPr>
              <w:t xml:space="preserve"> 90 391 </w:t>
            </w:r>
          </w:p>
        </w:tc>
        <w:tc>
          <w:tcPr>
            <w:tcW w:w="1280" w:type="dxa"/>
            <w:tcBorders>
              <w:top w:val="nil"/>
              <w:left w:val="nil"/>
              <w:bottom w:val="nil"/>
              <w:right w:val="nil"/>
            </w:tcBorders>
            <w:shd w:val="clear" w:color="auto" w:fill="auto"/>
            <w:noWrap/>
            <w:vAlign w:val="center"/>
            <w:hideMark/>
          </w:tcPr>
          <w:p w14:paraId="567198A4" w14:textId="77777777" w:rsidR="00DB659A" w:rsidRPr="00D808EB" w:rsidRDefault="00DB659A" w:rsidP="00CC28AE">
            <w:pPr>
              <w:ind w:firstLineChars="100" w:firstLine="201"/>
              <w:jc w:val="right"/>
              <w:rPr>
                <w:b/>
                <w:bCs/>
                <w:sz w:val="20"/>
              </w:rPr>
            </w:pPr>
            <w:r w:rsidRPr="00D808EB">
              <w:rPr>
                <w:b/>
                <w:bCs/>
                <w:sz w:val="20"/>
              </w:rPr>
              <w:t xml:space="preserve"> 92 477 </w:t>
            </w:r>
          </w:p>
        </w:tc>
        <w:tc>
          <w:tcPr>
            <w:tcW w:w="1280" w:type="dxa"/>
            <w:tcBorders>
              <w:top w:val="nil"/>
              <w:left w:val="nil"/>
              <w:bottom w:val="nil"/>
              <w:right w:val="nil"/>
            </w:tcBorders>
            <w:shd w:val="clear" w:color="auto" w:fill="auto"/>
            <w:noWrap/>
            <w:vAlign w:val="center"/>
            <w:hideMark/>
          </w:tcPr>
          <w:p w14:paraId="5EF9A44B" w14:textId="77777777" w:rsidR="00DB659A" w:rsidRPr="00D808EB" w:rsidRDefault="00DB659A" w:rsidP="00CC28AE">
            <w:pPr>
              <w:ind w:firstLineChars="100" w:firstLine="201"/>
              <w:jc w:val="right"/>
              <w:rPr>
                <w:b/>
                <w:bCs/>
                <w:sz w:val="20"/>
              </w:rPr>
            </w:pPr>
            <w:r w:rsidRPr="00D808EB">
              <w:rPr>
                <w:b/>
                <w:bCs/>
                <w:sz w:val="20"/>
              </w:rPr>
              <w:t xml:space="preserve"> 97 075 </w:t>
            </w:r>
          </w:p>
        </w:tc>
        <w:tc>
          <w:tcPr>
            <w:tcW w:w="1280" w:type="dxa"/>
            <w:tcBorders>
              <w:top w:val="nil"/>
              <w:left w:val="nil"/>
              <w:bottom w:val="nil"/>
              <w:right w:val="nil"/>
            </w:tcBorders>
            <w:shd w:val="clear" w:color="auto" w:fill="auto"/>
            <w:noWrap/>
            <w:vAlign w:val="center"/>
            <w:hideMark/>
          </w:tcPr>
          <w:p w14:paraId="2A20AD7C" w14:textId="77777777" w:rsidR="00DB659A" w:rsidRPr="00D808EB" w:rsidRDefault="00DB659A" w:rsidP="00CC28AE">
            <w:pPr>
              <w:ind w:firstLineChars="100" w:firstLine="201"/>
              <w:jc w:val="right"/>
              <w:rPr>
                <w:b/>
                <w:bCs/>
                <w:sz w:val="20"/>
              </w:rPr>
            </w:pPr>
            <w:r w:rsidRPr="00D808EB">
              <w:rPr>
                <w:b/>
                <w:bCs/>
                <w:sz w:val="20"/>
              </w:rPr>
              <w:t xml:space="preserve"> 98 520 </w:t>
            </w:r>
          </w:p>
        </w:tc>
        <w:tc>
          <w:tcPr>
            <w:tcW w:w="1280" w:type="dxa"/>
            <w:tcBorders>
              <w:top w:val="nil"/>
              <w:left w:val="nil"/>
              <w:bottom w:val="nil"/>
              <w:right w:val="nil"/>
            </w:tcBorders>
            <w:shd w:val="clear" w:color="auto" w:fill="auto"/>
            <w:noWrap/>
            <w:vAlign w:val="center"/>
            <w:hideMark/>
          </w:tcPr>
          <w:p w14:paraId="42AC3887" w14:textId="77777777" w:rsidR="00DB659A" w:rsidRPr="00D808EB" w:rsidRDefault="00DB659A" w:rsidP="00CC28AE">
            <w:pPr>
              <w:ind w:firstLineChars="100" w:firstLine="201"/>
              <w:jc w:val="right"/>
              <w:rPr>
                <w:b/>
                <w:bCs/>
                <w:sz w:val="20"/>
              </w:rPr>
            </w:pPr>
            <w:r w:rsidRPr="00D808EB">
              <w:rPr>
                <w:b/>
                <w:bCs/>
                <w:sz w:val="20"/>
              </w:rPr>
              <w:t xml:space="preserve"> 100 849 </w:t>
            </w:r>
          </w:p>
        </w:tc>
        <w:tc>
          <w:tcPr>
            <w:tcW w:w="1280" w:type="dxa"/>
            <w:tcBorders>
              <w:top w:val="nil"/>
              <w:left w:val="nil"/>
              <w:bottom w:val="nil"/>
              <w:right w:val="nil"/>
            </w:tcBorders>
            <w:shd w:val="clear" w:color="auto" w:fill="auto"/>
            <w:noWrap/>
            <w:vAlign w:val="center"/>
            <w:hideMark/>
          </w:tcPr>
          <w:p w14:paraId="64015BA6" w14:textId="77777777" w:rsidR="00DB659A" w:rsidRPr="00D808EB" w:rsidRDefault="00DB659A" w:rsidP="00CC28AE">
            <w:pPr>
              <w:ind w:firstLineChars="100" w:firstLine="201"/>
              <w:jc w:val="right"/>
              <w:rPr>
                <w:b/>
                <w:bCs/>
                <w:sz w:val="20"/>
              </w:rPr>
            </w:pPr>
            <w:r w:rsidRPr="00D808EB">
              <w:rPr>
                <w:b/>
                <w:bCs/>
                <w:sz w:val="20"/>
              </w:rPr>
              <w:t xml:space="preserve"> 101 858 </w:t>
            </w:r>
          </w:p>
        </w:tc>
        <w:tc>
          <w:tcPr>
            <w:tcW w:w="1203" w:type="dxa"/>
            <w:tcBorders>
              <w:top w:val="nil"/>
              <w:left w:val="single" w:sz="8" w:space="0" w:color="auto"/>
              <w:bottom w:val="nil"/>
              <w:right w:val="single" w:sz="8" w:space="0" w:color="auto"/>
            </w:tcBorders>
            <w:shd w:val="clear" w:color="auto" w:fill="auto"/>
            <w:noWrap/>
            <w:vAlign w:val="center"/>
            <w:hideMark/>
          </w:tcPr>
          <w:p w14:paraId="2325C985" w14:textId="77777777" w:rsidR="00DB659A" w:rsidRPr="00D808EB" w:rsidRDefault="00DB659A" w:rsidP="00CC28AE">
            <w:pPr>
              <w:ind w:firstLineChars="100" w:firstLine="201"/>
              <w:jc w:val="right"/>
              <w:rPr>
                <w:b/>
                <w:bCs/>
                <w:sz w:val="20"/>
              </w:rPr>
            </w:pPr>
            <w:r w:rsidRPr="00D808EB">
              <w:rPr>
                <w:b/>
                <w:bCs/>
                <w:sz w:val="20"/>
              </w:rPr>
              <w:t xml:space="preserve"> 655 523 </w:t>
            </w:r>
          </w:p>
        </w:tc>
        <w:tc>
          <w:tcPr>
            <w:tcW w:w="222" w:type="dxa"/>
            <w:vAlign w:val="center"/>
            <w:hideMark/>
          </w:tcPr>
          <w:p w14:paraId="7BB0C177" w14:textId="77777777" w:rsidR="00DB659A" w:rsidRPr="00D808EB" w:rsidRDefault="00DB659A" w:rsidP="00CC28AE">
            <w:pPr>
              <w:rPr>
                <w:sz w:val="20"/>
              </w:rPr>
            </w:pPr>
          </w:p>
        </w:tc>
      </w:tr>
      <w:tr w:rsidR="00DB659A" w:rsidRPr="00D808EB" w14:paraId="5CF75A41" w14:textId="77777777" w:rsidTr="00CC28AE">
        <w:trPr>
          <w:trHeight w:val="327"/>
        </w:trPr>
        <w:tc>
          <w:tcPr>
            <w:tcW w:w="4441" w:type="dxa"/>
            <w:tcBorders>
              <w:top w:val="nil"/>
              <w:left w:val="single" w:sz="8" w:space="0" w:color="auto"/>
              <w:bottom w:val="nil"/>
              <w:right w:val="single" w:sz="8" w:space="0" w:color="auto"/>
            </w:tcBorders>
            <w:shd w:val="clear" w:color="auto" w:fill="auto"/>
            <w:noWrap/>
            <w:vAlign w:val="center"/>
            <w:hideMark/>
          </w:tcPr>
          <w:p w14:paraId="210BA27D" w14:textId="77777777" w:rsidR="00DB659A" w:rsidRPr="00D808EB" w:rsidRDefault="00DB659A" w:rsidP="00CC28AE">
            <w:pPr>
              <w:rPr>
                <w:b/>
                <w:bCs/>
                <w:sz w:val="20"/>
              </w:rPr>
            </w:pPr>
            <w:r w:rsidRPr="00D808EB">
              <w:rPr>
                <w:b/>
                <w:bCs/>
                <w:sz w:val="20"/>
              </w:rPr>
              <w:t>3. Global Europe</w:t>
            </w:r>
          </w:p>
        </w:tc>
        <w:tc>
          <w:tcPr>
            <w:tcW w:w="1280" w:type="dxa"/>
            <w:tcBorders>
              <w:top w:val="nil"/>
              <w:left w:val="nil"/>
              <w:bottom w:val="nil"/>
              <w:right w:val="nil"/>
            </w:tcBorders>
            <w:shd w:val="clear" w:color="auto" w:fill="auto"/>
            <w:noWrap/>
            <w:vAlign w:val="center"/>
            <w:hideMark/>
          </w:tcPr>
          <w:p w14:paraId="56655D7D" w14:textId="77777777" w:rsidR="00DB659A" w:rsidRPr="00D808EB" w:rsidRDefault="00DB659A" w:rsidP="00CC28AE">
            <w:pPr>
              <w:ind w:firstLineChars="100" w:firstLine="201"/>
              <w:jc w:val="right"/>
              <w:rPr>
                <w:b/>
                <w:bCs/>
                <w:sz w:val="20"/>
              </w:rPr>
            </w:pPr>
            <w:r w:rsidRPr="00D808EB">
              <w:rPr>
                <w:b/>
                <w:bCs/>
                <w:sz w:val="20"/>
              </w:rPr>
              <w:t xml:space="preserve"> 27 300 </w:t>
            </w:r>
          </w:p>
        </w:tc>
        <w:tc>
          <w:tcPr>
            <w:tcW w:w="1280" w:type="dxa"/>
            <w:tcBorders>
              <w:top w:val="nil"/>
              <w:left w:val="nil"/>
              <w:bottom w:val="nil"/>
              <w:right w:val="nil"/>
            </w:tcBorders>
            <w:shd w:val="clear" w:color="auto" w:fill="auto"/>
            <w:noWrap/>
            <w:vAlign w:val="center"/>
            <w:hideMark/>
          </w:tcPr>
          <w:p w14:paraId="09C07A93" w14:textId="77777777" w:rsidR="00DB659A" w:rsidRPr="00D808EB" w:rsidRDefault="00DB659A" w:rsidP="00CC28AE">
            <w:pPr>
              <w:ind w:firstLineChars="100" w:firstLine="201"/>
              <w:jc w:val="right"/>
              <w:rPr>
                <w:b/>
                <w:bCs/>
                <w:sz w:val="20"/>
              </w:rPr>
            </w:pPr>
            <w:r w:rsidRPr="00D808EB">
              <w:rPr>
                <w:b/>
                <w:bCs/>
                <w:sz w:val="20"/>
              </w:rPr>
              <w:t xml:space="preserve"> 27 936 </w:t>
            </w:r>
          </w:p>
        </w:tc>
        <w:tc>
          <w:tcPr>
            <w:tcW w:w="1280" w:type="dxa"/>
            <w:tcBorders>
              <w:top w:val="nil"/>
              <w:left w:val="nil"/>
              <w:bottom w:val="nil"/>
              <w:right w:val="nil"/>
            </w:tcBorders>
            <w:shd w:val="clear" w:color="auto" w:fill="auto"/>
            <w:noWrap/>
            <w:vAlign w:val="center"/>
            <w:hideMark/>
          </w:tcPr>
          <w:p w14:paraId="382B1E0A" w14:textId="77777777" w:rsidR="00DB659A" w:rsidRPr="00D808EB" w:rsidRDefault="00DB659A" w:rsidP="00CC28AE">
            <w:pPr>
              <w:ind w:firstLineChars="100" w:firstLine="201"/>
              <w:jc w:val="right"/>
              <w:rPr>
                <w:b/>
                <w:bCs/>
                <w:sz w:val="20"/>
              </w:rPr>
            </w:pPr>
            <w:r w:rsidRPr="00D808EB">
              <w:rPr>
                <w:b/>
                <w:bCs/>
                <w:sz w:val="20"/>
              </w:rPr>
              <w:t xml:space="preserve"> 28 437 </w:t>
            </w:r>
          </w:p>
        </w:tc>
        <w:tc>
          <w:tcPr>
            <w:tcW w:w="1280" w:type="dxa"/>
            <w:tcBorders>
              <w:top w:val="nil"/>
              <w:left w:val="nil"/>
              <w:bottom w:val="nil"/>
              <w:right w:val="nil"/>
            </w:tcBorders>
            <w:shd w:val="clear" w:color="auto" w:fill="auto"/>
            <w:noWrap/>
            <w:vAlign w:val="center"/>
            <w:hideMark/>
          </w:tcPr>
          <w:p w14:paraId="692C27CB" w14:textId="77777777" w:rsidR="00DB659A" w:rsidRPr="00D808EB" w:rsidRDefault="00DB659A" w:rsidP="00CC28AE">
            <w:pPr>
              <w:ind w:firstLineChars="100" w:firstLine="201"/>
              <w:jc w:val="right"/>
              <w:rPr>
                <w:b/>
                <w:bCs/>
                <w:sz w:val="20"/>
              </w:rPr>
            </w:pPr>
            <w:r w:rsidRPr="00D808EB">
              <w:rPr>
                <w:b/>
                <w:bCs/>
                <w:sz w:val="20"/>
              </w:rPr>
              <w:t xml:space="preserve"> 34 025 </w:t>
            </w:r>
          </w:p>
        </w:tc>
        <w:tc>
          <w:tcPr>
            <w:tcW w:w="1280" w:type="dxa"/>
            <w:tcBorders>
              <w:top w:val="nil"/>
              <w:left w:val="nil"/>
              <w:bottom w:val="nil"/>
              <w:right w:val="nil"/>
            </w:tcBorders>
            <w:shd w:val="clear" w:color="auto" w:fill="auto"/>
            <w:noWrap/>
            <w:vAlign w:val="center"/>
            <w:hideMark/>
          </w:tcPr>
          <w:p w14:paraId="5DFF7F7F" w14:textId="77777777" w:rsidR="00DB659A" w:rsidRPr="00D808EB" w:rsidRDefault="00DB659A" w:rsidP="00CC28AE">
            <w:pPr>
              <w:ind w:firstLineChars="100" w:firstLine="201"/>
              <w:jc w:val="right"/>
              <w:rPr>
                <w:b/>
                <w:bCs/>
                <w:sz w:val="20"/>
              </w:rPr>
            </w:pPr>
            <w:r w:rsidRPr="00D808EB">
              <w:rPr>
                <w:b/>
                <w:bCs/>
                <w:sz w:val="20"/>
              </w:rPr>
              <w:t xml:space="preserve"> 39 760 </w:t>
            </w:r>
          </w:p>
        </w:tc>
        <w:tc>
          <w:tcPr>
            <w:tcW w:w="1280" w:type="dxa"/>
            <w:tcBorders>
              <w:top w:val="nil"/>
              <w:left w:val="nil"/>
              <w:bottom w:val="nil"/>
              <w:right w:val="nil"/>
            </w:tcBorders>
            <w:shd w:val="clear" w:color="auto" w:fill="auto"/>
            <w:noWrap/>
            <w:vAlign w:val="center"/>
            <w:hideMark/>
          </w:tcPr>
          <w:p w14:paraId="2DCB026E" w14:textId="77777777" w:rsidR="00DB659A" w:rsidRPr="00D808EB" w:rsidRDefault="00DB659A" w:rsidP="00CC28AE">
            <w:pPr>
              <w:ind w:firstLineChars="100" w:firstLine="201"/>
              <w:jc w:val="right"/>
              <w:rPr>
                <w:b/>
                <w:bCs/>
                <w:sz w:val="20"/>
              </w:rPr>
            </w:pPr>
            <w:r w:rsidRPr="00D808EB">
              <w:rPr>
                <w:b/>
                <w:bCs/>
                <w:sz w:val="20"/>
              </w:rPr>
              <w:t xml:space="preserve"> 40 517 </w:t>
            </w:r>
          </w:p>
        </w:tc>
        <w:tc>
          <w:tcPr>
            <w:tcW w:w="1280" w:type="dxa"/>
            <w:tcBorders>
              <w:top w:val="nil"/>
              <w:left w:val="nil"/>
              <w:bottom w:val="nil"/>
              <w:right w:val="nil"/>
            </w:tcBorders>
            <w:shd w:val="clear" w:color="auto" w:fill="auto"/>
            <w:noWrap/>
            <w:vAlign w:val="center"/>
            <w:hideMark/>
          </w:tcPr>
          <w:p w14:paraId="602900E3" w14:textId="77777777" w:rsidR="00DB659A" w:rsidRPr="00D808EB" w:rsidRDefault="00DB659A" w:rsidP="00CC28AE">
            <w:pPr>
              <w:ind w:firstLineChars="100" w:firstLine="201"/>
              <w:jc w:val="right"/>
              <w:rPr>
                <w:b/>
                <w:bCs/>
                <w:sz w:val="20"/>
              </w:rPr>
            </w:pPr>
            <w:r w:rsidRPr="00D808EB">
              <w:rPr>
                <w:b/>
                <w:bCs/>
                <w:sz w:val="20"/>
              </w:rPr>
              <w:t xml:space="preserve"> 41 289 </w:t>
            </w:r>
          </w:p>
        </w:tc>
        <w:tc>
          <w:tcPr>
            <w:tcW w:w="1203" w:type="dxa"/>
            <w:tcBorders>
              <w:top w:val="nil"/>
              <w:left w:val="single" w:sz="8" w:space="0" w:color="auto"/>
              <w:bottom w:val="nil"/>
              <w:right w:val="single" w:sz="8" w:space="0" w:color="auto"/>
            </w:tcBorders>
            <w:shd w:val="clear" w:color="auto" w:fill="auto"/>
            <w:noWrap/>
            <w:vAlign w:val="center"/>
            <w:hideMark/>
          </w:tcPr>
          <w:p w14:paraId="2013F6E2" w14:textId="77777777" w:rsidR="00DB659A" w:rsidRPr="00D808EB" w:rsidRDefault="00DB659A" w:rsidP="00CC28AE">
            <w:pPr>
              <w:ind w:firstLineChars="100" w:firstLine="201"/>
              <w:jc w:val="right"/>
              <w:rPr>
                <w:b/>
                <w:bCs/>
                <w:sz w:val="20"/>
              </w:rPr>
            </w:pPr>
            <w:r w:rsidRPr="00D808EB">
              <w:rPr>
                <w:b/>
                <w:bCs/>
                <w:sz w:val="20"/>
              </w:rPr>
              <w:t xml:space="preserve"> 239 265 </w:t>
            </w:r>
          </w:p>
        </w:tc>
        <w:tc>
          <w:tcPr>
            <w:tcW w:w="222" w:type="dxa"/>
            <w:vAlign w:val="center"/>
            <w:hideMark/>
          </w:tcPr>
          <w:p w14:paraId="38F2FD97" w14:textId="77777777" w:rsidR="00DB659A" w:rsidRPr="00D808EB" w:rsidRDefault="00DB659A" w:rsidP="00CC28AE">
            <w:pPr>
              <w:rPr>
                <w:sz w:val="20"/>
              </w:rPr>
            </w:pPr>
          </w:p>
        </w:tc>
      </w:tr>
      <w:tr w:rsidR="00DB659A" w:rsidRPr="00D808EB" w14:paraId="64BEA378" w14:textId="77777777" w:rsidTr="00CC28AE">
        <w:trPr>
          <w:trHeight w:val="327"/>
        </w:trPr>
        <w:tc>
          <w:tcPr>
            <w:tcW w:w="4441" w:type="dxa"/>
            <w:tcBorders>
              <w:top w:val="nil"/>
              <w:left w:val="single" w:sz="8" w:space="0" w:color="auto"/>
              <w:bottom w:val="nil"/>
              <w:right w:val="single" w:sz="8" w:space="0" w:color="auto"/>
            </w:tcBorders>
            <w:shd w:val="clear" w:color="auto" w:fill="auto"/>
            <w:noWrap/>
            <w:vAlign w:val="center"/>
            <w:hideMark/>
          </w:tcPr>
          <w:p w14:paraId="184E45A2" w14:textId="77777777" w:rsidR="00DB659A" w:rsidRPr="00D808EB" w:rsidRDefault="00DB659A" w:rsidP="00CC28AE">
            <w:pPr>
              <w:rPr>
                <w:b/>
                <w:bCs/>
                <w:sz w:val="20"/>
              </w:rPr>
            </w:pPr>
            <w:r w:rsidRPr="00D808EB">
              <w:rPr>
                <w:b/>
                <w:bCs/>
                <w:sz w:val="20"/>
              </w:rPr>
              <w:t>4. Administration</w:t>
            </w:r>
          </w:p>
        </w:tc>
        <w:tc>
          <w:tcPr>
            <w:tcW w:w="1280" w:type="dxa"/>
            <w:tcBorders>
              <w:top w:val="nil"/>
              <w:left w:val="nil"/>
              <w:bottom w:val="nil"/>
              <w:right w:val="nil"/>
            </w:tcBorders>
            <w:shd w:val="clear" w:color="auto" w:fill="auto"/>
            <w:noWrap/>
            <w:vAlign w:val="center"/>
            <w:hideMark/>
          </w:tcPr>
          <w:p w14:paraId="0DD21F69" w14:textId="77777777" w:rsidR="00DB659A" w:rsidRPr="00D808EB" w:rsidRDefault="00DB659A" w:rsidP="00CC28AE">
            <w:pPr>
              <w:ind w:firstLineChars="100" w:firstLine="201"/>
              <w:jc w:val="right"/>
              <w:rPr>
                <w:b/>
                <w:bCs/>
                <w:sz w:val="20"/>
              </w:rPr>
            </w:pPr>
            <w:r w:rsidRPr="00D808EB">
              <w:rPr>
                <w:b/>
                <w:bCs/>
                <w:sz w:val="20"/>
              </w:rPr>
              <w:t xml:space="preserve"> 14 945 </w:t>
            </w:r>
          </w:p>
        </w:tc>
        <w:tc>
          <w:tcPr>
            <w:tcW w:w="1280" w:type="dxa"/>
            <w:tcBorders>
              <w:top w:val="nil"/>
              <w:left w:val="nil"/>
              <w:bottom w:val="nil"/>
              <w:right w:val="nil"/>
            </w:tcBorders>
            <w:shd w:val="clear" w:color="auto" w:fill="auto"/>
            <w:noWrap/>
            <w:vAlign w:val="center"/>
            <w:hideMark/>
          </w:tcPr>
          <w:p w14:paraId="510BC487" w14:textId="77777777" w:rsidR="00DB659A" w:rsidRPr="00D808EB" w:rsidRDefault="00DB659A" w:rsidP="00CC28AE">
            <w:pPr>
              <w:ind w:firstLineChars="100" w:firstLine="201"/>
              <w:jc w:val="right"/>
              <w:rPr>
                <w:b/>
                <w:bCs/>
                <w:sz w:val="20"/>
              </w:rPr>
            </w:pPr>
            <w:r w:rsidRPr="00D808EB">
              <w:rPr>
                <w:b/>
                <w:bCs/>
                <w:sz w:val="20"/>
              </w:rPr>
              <w:t xml:space="preserve"> 15 584 </w:t>
            </w:r>
          </w:p>
        </w:tc>
        <w:tc>
          <w:tcPr>
            <w:tcW w:w="1280" w:type="dxa"/>
            <w:tcBorders>
              <w:top w:val="nil"/>
              <w:left w:val="nil"/>
              <w:bottom w:val="nil"/>
              <w:right w:val="nil"/>
            </w:tcBorders>
            <w:shd w:val="clear" w:color="auto" w:fill="auto"/>
            <w:noWrap/>
            <w:vAlign w:val="center"/>
            <w:hideMark/>
          </w:tcPr>
          <w:p w14:paraId="4B7F5086" w14:textId="77777777" w:rsidR="00DB659A" w:rsidRPr="00D808EB" w:rsidRDefault="00DB659A" w:rsidP="00CC28AE">
            <w:pPr>
              <w:ind w:firstLineChars="100" w:firstLine="201"/>
              <w:jc w:val="right"/>
              <w:rPr>
                <w:b/>
                <w:bCs/>
                <w:sz w:val="20"/>
              </w:rPr>
            </w:pPr>
            <w:r w:rsidRPr="00D808EB">
              <w:rPr>
                <w:b/>
                <w:bCs/>
                <w:sz w:val="20"/>
              </w:rPr>
              <w:t xml:space="preserve"> 16 281 </w:t>
            </w:r>
          </w:p>
        </w:tc>
        <w:tc>
          <w:tcPr>
            <w:tcW w:w="1280" w:type="dxa"/>
            <w:tcBorders>
              <w:top w:val="nil"/>
              <w:left w:val="nil"/>
              <w:bottom w:val="nil"/>
              <w:right w:val="nil"/>
            </w:tcBorders>
            <w:shd w:val="clear" w:color="auto" w:fill="auto"/>
            <w:noWrap/>
            <w:vAlign w:val="center"/>
            <w:hideMark/>
          </w:tcPr>
          <w:p w14:paraId="6E410A94" w14:textId="77777777" w:rsidR="00DB659A" w:rsidRPr="00D808EB" w:rsidRDefault="00DB659A" w:rsidP="00CC28AE">
            <w:pPr>
              <w:ind w:firstLineChars="100" w:firstLine="201"/>
              <w:jc w:val="right"/>
              <w:rPr>
                <w:b/>
                <w:bCs/>
                <w:sz w:val="20"/>
              </w:rPr>
            </w:pPr>
            <w:r w:rsidRPr="00D808EB">
              <w:rPr>
                <w:b/>
                <w:bCs/>
                <w:sz w:val="20"/>
              </w:rPr>
              <w:t xml:space="preserve"> 16 870 </w:t>
            </w:r>
          </w:p>
        </w:tc>
        <w:tc>
          <w:tcPr>
            <w:tcW w:w="1280" w:type="dxa"/>
            <w:tcBorders>
              <w:top w:val="nil"/>
              <w:left w:val="nil"/>
              <w:bottom w:val="nil"/>
              <w:right w:val="nil"/>
            </w:tcBorders>
            <w:shd w:val="clear" w:color="auto" w:fill="auto"/>
            <w:noWrap/>
            <w:vAlign w:val="center"/>
            <w:hideMark/>
          </w:tcPr>
          <w:p w14:paraId="503FD12B" w14:textId="77777777" w:rsidR="00DB659A" w:rsidRPr="00D808EB" w:rsidRDefault="00DB659A" w:rsidP="00CC28AE">
            <w:pPr>
              <w:ind w:firstLineChars="100" w:firstLine="201"/>
              <w:jc w:val="right"/>
              <w:rPr>
                <w:b/>
                <w:bCs/>
                <w:sz w:val="20"/>
              </w:rPr>
            </w:pPr>
            <w:r w:rsidRPr="00D808EB">
              <w:rPr>
                <w:b/>
                <w:bCs/>
                <w:sz w:val="20"/>
              </w:rPr>
              <w:t xml:space="preserve"> 17 466 </w:t>
            </w:r>
          </w:p>
        </w:tc>
        <w:tc>
          <w:tcPr>
            <w:tcW w:w="1280" w:type="dxa"/>
            <w:tcBorders>
              <w:top w:val="nil"/>
              <w:left w:val="nil"/>
              <w:bottom w:val="nil"/>
              <w:right w:val="nil"/>
            </w:tcBorders>
            <w:shd w:val="clear" w:color="auto" w:fill="auto"/>
            <w:noWrap/>
            <w:vAlign w:val="center"/>
            <w:hideMark/>
          </w:tcPr>
          <w:p w14:paraId="3B482CC6" w14:textId="77777777" w:rsidR="00DB659A" w:rsidRPr="00D808EB" w:rsidRDefault="00DB659A" w:rsidP="00CC28AE">
            <w:pPr>
              <w:ind w:firstLineChars="100" w:firstLine="201"/>
              <w:jc w:val="right"/>
              <w:rPr>
                <w:b/>
                <w:bCs/>
                <w:sz w:val="20"/>
              </w:rPr>
            </w:pPr>
            <w:r w:rsidRPr="00D808EB">
              <w:rPr>
                <w:b/>
                <w:bCs/>
                <w:sz w:val="20"/>
              </w:rPr>
              <w:t xml:space="preserve"> 18 061 </w:t>
            </w:r>
          </w:p>
        </w:tc>
        <w:tc>
          <w:tcPr>
            <w:tcW w:w="1280" w:type="dxa"/>
            <w:tcBorders>
              <w:top w:val="nil"/>
              <w:left w:val="nil"/>
              <w:bottom w:val="nil"/>
              <w:right w:val="nil"/>
            </w:tcBorders>
            <w:shd w:val="clear" w:color="auto" w:fill="auto"/>
            <w:noWrap/>
            <w:vAlign w:val="center"/>
            <w:hideMark/>
          </w:tcPr>
          <w:p w14:paraId="5AEA6CB6" w14:textId="77777777" w:rsidR="00DB659A" w:rsidRPr="00D808EB" w:rsidRDefault="00DB659A" w:rsidP="00CC28AE">
            <w:pPr>
              <w:ind w:firstLineChars="100" w:firstLine="201"/>
              <w:jc w:val="right"/>
              <w:rPr>
                <w:b/>
                <w:bCs/>
                <w:sz w:val="20"/>
              </w:rPr>
            </w:pPr>
            <w:r w:rsidRPr="00D808EB">
              <w:rPr>
                <w:b/>
                <w:bCs/>
                <w:sz w:val="20"/>
              </w:rPr>
              <w:t xml:space="preserve"> 18 669 </w:t>
            </w:r>
          </w:p>
        </w:tc>
        <w:tc>
          <w:tcPr>
            <w:tcW w:w="1203" w:type="dxa"/>
            <w:tcBorders>
              <w:top w:val="nil"/>
              <w:left w:val="single" w:sz="8" w:space="0" w:color="auto"/>
              <w:bottom w:val="nil"/>
              <w:right w:val="single" w:sz="8" w:space="0" w:color="auto"/>
            </w:tcBorders>
            <w:shd w:val="clear" w:color="auto" w:fill="auto"/>
            <w:noWrap/>
            <w:vAlign w:val="center"/>
            <w:hideMark/>
          </w:tcPr>
          <w:p w14:paraId="6E597894" w14:textId="77777777" w:rsidR="00DB659A" w:rsidRPr="00D808EB" w:rsidRDefault="00DB659A" w:rsidP="00CC28AE">
            <w:pPr>
              <w:ind w:firstLineChars="100" w:firstLine="201"/>
              <w:jc w:val="right"/>
              <w:rPr>
                <w:b/>
                <w:bCs/>
                <w:sz w:val="20"/>
              </w:rPr>
            </w:pPr>
            <w:r w:rsidRPr="00D808EB">
              <w:rPr>
                <w:b/>
                <w:bCs/>
                <w:sz w:val="20"/>
              </w:rPr>
              <w:t xml:space="preserve"> 117 875 </w:t>
            </w:r>
          </w:p>
        </w:tc>
        <w:tc>
          <w:tcPr>
            <w:tcW w:w="222" w:type="dxa"/>
            <w:vAlign w:val="center"/>
            <w:hideMark/>
          </w:tcPr>
          <w:p w14:paraId="7973A645" w14:textId="77777777" w:rsidR="00DB659A" w:rsidRPr="00D808EB" w:rsidRDefault="00DB659A" w:rsidP="00CC28AE">
            <w:pPr>
              <w:rPr>
                <w:sz w:val="20"/>
              </w:rPr>
            </w:pPr>
          </w:p>
        </w:tc>
      </w:tr>
      <w:tr w:rsidR="00DB659A" w:rsidRPr="00D808EB" w14:paraId="0AEE5F13" w14:textId="77777777" w:rsidTr="00CC28AE">
        <w:trPr>
          <w:trHeight w:val="327"/>
        </w:trPr>
        <w:tc>
          <w:tcPr>
            <w:tcW w:w="4441" w:type="dxa"/>
            <w:tcBorders>
              <w:top w:val="single" w:sz="8" w:space="0" w:color="auto"/>
              <w:left w:val="single" w:sz="8" w:space="0" w:color="auto"/>
              <w:bottom w:val="nil"/>
              <w:right w:val="single" w:sz="8" w:space="0" w:color="auto"/>
            </w:tcBorders>
            <w:shd w:val="clear" w:color="auto" w:fill="auto"/>
            <w:noWrap/>
            <w:vAlign w:val="center"/>
            <w:hideMark/>
          </w:tcPr>
          <w:p w14:paraId="00921CEC" w14:textId="77777777" w:rsidR="00DB659A" w:rsidRPr="00D808EB" w:rsidRDefault="00DB659A" w:rsidP="00CC28AE">
            <w:pPr>
              <w:ind w:firstLineChars="100" w:firstLine="201"/>
              <w:jc w:val="right"/>
              <w:rPr>
                <w:b/>
                <w:bCs/>
                <w:sz w:val="20"/>
              </w:rPr>
            </w:pPr>
            <w:r w:rsidRPr="00D808EB">
              <w:rPr>
                <w:b/>
                <w:bCs/>
                <w:sz w:val="20"/>
              </w:rPr>
              <w:t>TOTAL COMMITMENT APPROPRIATIONS</w:t>
            </w:r>
          </w:p>
        </w:tc>
        <w:tc>
          <w:tcPr>
            <w:tcW w:w="1280" w:type="dxa"/>
            <w:tcBorders>
              <w:top w:val="single" w:sz="8" w:space="0" w:color="auto"/>
              <w:left w:val="nil"/>
              <w:bottom w:val="nil"/>
              <w:right w:val="nil"/>
            </w:tcBorders>
            <w:shd w:val="clear" w:color="auto" w:fill="auto"/>
            <w:noWrap/>
            <w:vAlign w:val="center"/>
            <w:hideMark/>
          </w:tcPr>
          <w:p w14:paraId="006C338C" w14:textId="77777777" w:rsidR="00DB659A" w:rsidRPr="00D808EB" w:rsidRDefault="00DB659A" w:rsidP="00CC28AE">
            <w:pPr>
              <w:ind w:firstLineChars="100" w:firstLine="201"/>
              <w:jc w:val="right"/>
              <w:rPr>
                <w:b/>
                <w:bCs/>
                <w:sz w:val="20"/>
              </w:rPr>
            </w:pPr>
            <w:r w:rsidRPr="00D808EB">
              <w:rPr>
                <w:b/>
                <w:bCs/>
                <w:sz w:val="20"/>
              </w:rPr>
              <w:t xml:space="preserve"> 271 239 </w:t>
            </w:r>
          </w:p>
        </w:tc>
        <w:tc>
          <w:tcPr>
            <w:tcW w:w="1280" w:type="dxa"/>
            <w:tcBorders>
              <w:top w:val="single" w:sz="8" w:space="0" w:color="auto"/>
              <w:left w:val="nil"/>
              <w:bottom w:val="nil"/>
              <w:right w:val="nil"/>
            </w:tcBorders>
            <w:shd w:val="clear" w:color="auto" w:fill="auto"/>
            <w:noWrap/>
            <w:vAlign w:val="center"/>
            <w:hideMark/>
          </w:tcPr>
          <w:p w14:paraId="520242F9" w14:textId="77777777" w:rsidR="00DB659A" w:rsidRPr="00D808EB" w:rsidRDefault="00DB659A" w:rsidP="00CC28AE">
            <w:pPr>
              <w:ind w:firstLineChars="100" w:firstLine="201"/>
              <w:jc w:val="right"/>
              <w:rPr>
                <w:b/>
                <w:bCs/>
                <w:sz w:val="20"/>
              </w:rPr>
            </w:pPr>
            <w:r w:rsidRPr="00D808EB">
              <w:rPr>
                <w:b/>
                <w:bCs/>
                <w:sz w:val="20"/>
              </w:rPr>
              <w:t xml:space="preserve"> 286 076 </w:t>
            </w:r>
          </w:p>
        </w:tc>
        <w:tc>
          <w:tcPr>
            <w:tcW w:w="1280" w:type="dxa"/>
            <w:tcBorders>
              <w:top w:val="single" w:sz="8" w:space="0" w:color="auto"/>
              <w:left w:val="nil"/>
              <w:bottom w:val="nil"/>
              <w:right w:val="nil"/>
            </w:tcBorders>
            <w:shd w:val="clear" w:color="auto" w:fill="auto"/>
            <w:noWrap/>
            <w:vAlign w:val="center"/>
            <w:hideMark/>
          </w:tcPr>
          <w:p w14:paraId="3BD029E0" w14:textId="77777777" w:rsidR="00DB659A" w:rsidRPr="00D808EB" w:rsidRDefault="00DB659A" w:rsidP="00CC28AE">
            <w:pPr>
              <w:ind w:firstLineChars="100" w:firstLine="201"/>
              <w:jc w:val="right"/>
              <w:rPr>
                <w:b/>
                <w:bCs/>
                <w:sz w:val="20"/>
              </w:rPr>
            </w:pPr>
            <w:r w:rsidRPr="00D808EB">
              <w:rPr>
                <w:b/>
                <w:bCs/>
                <w:sz w:val="20"/>
              </w:rPr>
              <w:t xml:space="preserve"> 286 239 </w:t>
            </w:r>
          </w:p>
        </w:tc>
        <w:tc>
          <w:tcPr>
            <w:tcW w:w="1280" w:type="dxa"/>
            <w:tcBorders>
              <w:top w:val="single" w:sz="8" w:space="0" w:color="auto"/>
              <w:left w:val="nil"/>
              <w:bottom w:val="nil"/>
              <w:right w:val="nil"/>
            </w:tcBorders>
            <w:shd w:val="clear" w:color="auto" w:fill="auto"/>
            <w:noWrap/>
            <w:vAlign w:val="center"/>
            <w:hideMark/>
          </w:tcPr>
          <w:p w14:paraId="3BE358AE" w14:textId="77777777" w:rsidR="00DB659A" w:rsidRPr="00D808EB" w:rsidRDefault="00DB659A" w:rsidP="00CC28AE">
            <w:pPr>
              <w:ind w:firstLineChars="100" w:firstLine="201"/>
              <w:jc w:val="right"/>
              <w:rPr>
                <w:b/>
                <w:bCs/>
                <w:sz w:val="20"/>
              </w:rPr>
            </w:pPr>
            <w:r w:rsidRPr="00D808EB">
              <w:rPr>
                <w:b/>
                <w:bCs/>
                <w:sz w:val="20"/>
              </w:rPr>
              <w:t xml:space="preserve"> 294 247 </w:t>
            </w:r>
          </w:p>
        </w:tc>
        <w:tc>
          <w:tcPr>
            <w:tcW w:w="1280" w:type="dxa"/>
            <w:tcBorders>
              <w:top w:val="single" w:sz="8" w:space="0" w:color="auto"/>
              <w:left w:val="nil"/>
              <w:bottom w:val="nil"/>
              <w:right w:val="nil"/>
            </w:tcBorders>
            <w:shd w:val="clear" w:color="auto" w:fill="auto"/>
            <w:noWrap/>
            <w:vAlign w:val="center"/>
            <w:hideMark/>
          </w:tcPr>
          <w:p w14:paraId="1BCDF10B" w14:textId="77777777" w:rsidR="00DB659A" w:rsidRPr="00D808EB" w:rsidRDefault="00DB659A" w:rsidP="00CC28AE">
            <w:pPr>
              <w:ind w:firstLineChars="100" w:firstLine="201"/>
              <w:jc w:val="right"/>
              <w:rPr>
                <w:b/>
                <w:bCs/>
                <w:sz w:val="20"/>
              </w:rPr>
            </w:pPr>
            <w:r w:rsidRPr="00D808EB">
              <w:rPr>
                <w:b/>
                <w:bCs/>
                <w:sz w:val="20"/>
              </w:rPr>
              <w:t xml:space="preserve"> 298 364 </w:t>
            </w:r>
          </w:p>
        </w:tc>
        <w:tc>
          <w:tcPr>
            <w:tcW w:w="1280" w:type="dxa"/>
            <w:tcBorders>
              <w:top w:val="single" w:sz="8" w:space="0" w:color="auto"/>
              <w:left w:val="nil"/>
              <w:bottom w:val="nil"/>
              <w:right w:val="nil"/>
            </w:tcBorders>
            <w:shd w:val="clear" w:color="auto" w:fill="auto"/>
            <w:noWrap/>
            <w:vAlign w:val="center"/>
            <w:hideMark/>
          </w:tcPr>
          <w:p w14:paraId="46A4E0B4" w14:textId="77777777" w:rsidR="00DB659A" w:rsidRPr="00D808EB" w:rsidRDefault="00DB659A" w:rsidP="00CC28AE">
            <w:pPr>
              <w:ind w:firstLineChars="100" w:firstLine="201"/>
              <w:jc w:val="right"/>
              <w:rPr>
                <w:b/>
                <w:bCs/>
                <w:sz w:val="20"/>
              </w:rPr>
            </w:pPr>
            <w:r w:rsidRPr="00D808EB">
              <w:rPr>
                <w:b/>
                <w:bCs/>
                <w:sz w:val="20"/>
              </w:rPr>
              <w:t xml:space="preserve"> 288 554 </w:t>
            </w:r>
          </w:p>
        </w:tc>
        <w:tc>
          <w:tcPr>
            <w:tcW w:w="1280" w:type="dxa"/>
            <w:tcBorders>
              <w:top w:val="single" w:sz="8" w:space="0" w:color="auto"/>
              <w:left w:val="nil"/>
              <w:bottom w:val="nil"/>
              <w:right w:val="nil"/>
            </w:tcBorders>
            <w:shd w:val="clear" w:color="auto" w:fill="auto"/>
            <w:noWrap/>
            <w:vAlign w:val="center"/>
            <w:hideMark/>
          </w:tcPr>
          <w:p w14:paraId="3E4D2B96" w14:textId="77777777" w:rsidR="00DB659A" w:rsidRPr="00D808EB" w:rsidRDefault="00DB659A" w:rsidP="00CC28AE">
            <w:pPr>
              <w:ind w:firstLineChars="100" w:firstLine="201"/>
              <w:jc w:val="right"/>
              <w:rPr>
                <w:b/>
                <w:bCs/>
                <w:sz w:val="20"/>
              </w:rPr>
            </w:pPr>
            <w:r w:rsidRPr="00D808EB">
              <w:rPr>
                <w:b/>
                <w:bCs/>
                <w:sz w:val="20"/>
              </w:rPr>
              <w:t xml:space="preserve"> 282 160 </w:t>
            </w:r>
          </w:p>
        </w:tc>
        <w:tc>
          <w:tcPr>
            <w:tcW w:w="1203" w:type="dxa"/>
            <w:tcBorders>
              <w:top w:val="single" w:sz="8" w:space="0" w:color="auto"/>
              <w:left w:val="single" w:sz="8" w:space="0" w:color="auto"/>
              <w:bottom w:val="nil"/>
              <w:right w:val="single" w:sz="8" w:space="0" w:color="auto"/>
            </w:tcBorders>
            <w:shd w:val="clear" w:color="auto" w:fill="auto"/>
            <w:noWrap/>
            <w:vAlign w:val="center"/>
            <w:hideMark/>
          </w:tcPr>
          <w:p w14:paraId="318DFD4C" w14:textId="77777777" w:rsidR="00DB659A" w:rsidRPr="00D808EB" w:rsidRDefault="00DB659A" w:rsidP="00CC28AE">
            <w:pPr>
              <w:ind w:firstLineChars="100" w:firstLine="201"/>
              <w:jc w:val="right"/>
              <w:rPr>
                <w:b/>
                <w:bCs/>
                <w:sz w:val="20"/>
              </w:rPr>
            </w:pPr>
            <w:r w:rsidRPr="00D808EB">
              <w:rPr>
                <w:b/>
                <w:bCs/>
                <w:sz w:val="20"/>
              </w:rPr>
              <w:t xml:space="preserve">2 006 879 </w:t>
            </w:r>
          </w:p>
        </w:tc>
        <w:tc>
          <w:tcPr>
            <w:tcW w:w="222" w:type="dxa"/>
            <w:vAlign w:val="center"/>
            <w:hideMark/>
          </w:tcPr>
          <w:p w14:paraId="2F3B245A" w14:textId="77777777" w:rsidR="00DB659A" w:rsidRPr="00D808EB" w:rsidRDefault="00DB659A" w:rsidP="00CC28AE">
            <w:pPr>
              <w:rPr>
                <w:sz w:val="20"/>
              </w:rPr>
            </w:pPr>
          </w:p>
        </w:tc>
      </w:tr>
      <w:tr w:rsidR="00DB659A" w:rsidRPr="00D808EB" w14:paraId="570FF4C1" w14:textId="77777777" w:rsidTr="00CC28AE">
        <w:trPr>
          <w:trHeight w:val="315"/>
        </w:trPr>
        <w:tc>
          <w:tcPr>
            <w:tcW w:w="4441" w:type="dxa"/>
            <w:tcBorders>
              <w:top w:val="single" w:sz="8" w:space="0" w:color="auto"/>
              <w:left w:val="single" w:sz="8" w:space="0" w:color="auto"/>
              <w:bottom w:val="nil"/>
              <w:right w:val="single" w:sz="8" w:space="0" w:color="auto"/>
            </w:tcBorders>
            <w:shd w:val="clear" w:color="auto" w:fill="auto"/>
            <w:noWrap/>
            <w:vAlign w:val="center"/>
            <w:hideMark/>
          </w:tcPr>
          <w:p w14:paraId="75C20F3A"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30CF0E2C"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125F6941"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7155B016"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7F513526"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6970E811"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2B83B85B" w14:textId="77777777" w:rsidR="00DB659A" w:rsidRPr="00D808EB" w:rsidRDefault="00DB659A" w:rsidP="00CC28AE">
            <w:pPr>
              <w:ind w:firstLineChars="100" w:firstLine="201"/>
              <w:jc w:val="right"/>
              <w:rPr>
                <w:b/>
                <w:bCs/>
                <w:sz w:val="20"/>
              </w:rPr>
            </w:pPr>
            <w:r w:rsidRPr="00D808EB">
              <w:rPr>
                <w:b/>
                <w:bCs/>
                <w:sz w:val="20"/>
              </w:rPr>
              <w:t> </w:t>
            </w:r>
          </w:p>
        </w:tc>
        <w:tc>
          <w:tcPr>
            <w:tcW w:w="1280" w:type="dxa"/>
            <w:tcBorders>
              <w:top w:val="single" w:sz="8" w:space="0" w:color="auto"/>
              <w:left w:val="nil"/>
              <w:bottom w:val="nil"/>
              <w:right w:val="nil"/>
            </w:tcBorders>
            <w:shd w:val="clear" w:color="auto" w:fill="auto"/>
            <w:noWrap/>
            <w:vAlign w:val="center"/>
            <w:hideMark/>
          </w:tcPr>
          <w:p w14:paraId="77444F46" w14:textId="77777777" w:rsidR="00DB659A" w:rsidRPr="00D808EB" w:rsidRDefault="00DB659A" w:rsidP="00CC28AE">
            <w:pPr>
              <w:ind w:firstLineChars="100" w:firstLine="201"/>
              <w:jc w:val="right"/>
              <w:rPr>
                <w:b/>
                <w:bCs/>
                <w:sz w:val="20"/>
              </w:rPr>
            </w:pPr>
            <w:r w:rsidRPr="00D808EB">
              <w:rPr>
                <w:b/>
                <w:bCs/>
                <w:sz w:val="20"/>
              </w:rPr>
              <w:t> </w:t>
            </w:r>
          </w:p>
        </w:tc>
        <w:tc>
          <w:tcPr>
            <w:tcW w:w="1203" w:type="dxa"/>
            <w:tcBorders>
              <w:top w:val="single" w:sz="8" w:space="0" w:color="auto"/>
              <w:left w:val="single" w:sz="8" w:space="0" w:color="auto"/>
              <w:bottom w:val="nil"/>
              <w:right w:val="single" w:sz="8" w:space="0" w:color="auto"/>
            </w:tcBorders>
            <w:shd w:val="clear" w:color="auto" w:fill="auto"/>
            <w:noWrap/>
            <w:vAlign w:val="center"/>
            <w:hideMark/>
          </w:tcPr>
          <w:p w14:paraId="12A236EE" w14:textId="77777777" w:rsidR="00DB659A" w:rsidRPr="00D808EB" w:rsidRDefault="00DB659A" w:rsidP="00CC28AE">
            <w:pPr>
              <w:ind w:firstLineChars="100" w:firstLine="201"/>
              <w:jc w:val="right"/>
              <w:rPr>
                <w:b/>
                <w:bCs/>
                <w:sz w:val="20"/>
              </w:rPr>
            </w:pPr>
            <w:r w:rsidRPr="00D808EB">
              <w:rPr>
                <w:b/>
                <w:bCs/>
                <w:sz w:val="20"/>
              </w:rPr>
              <w:t> </w:t>
            </w:r>
          </w:p>
        </w:tc>
        <w:tc>
          <w:tcPr>
            <w:tcW w:w="222" w:type="dxa"/>
            <w:vAlign w:val="center"/>
            <w:hideMark/>
          </w:tcPr>
          <w:p w14:paraId="7421FDBB" w14:textId="77777777" w:rsidR="00DB659A" w:rsidRPr="00D808EB" w:rsidRDefault="00DB659A" w:rsidP="00CC28AE">
            <w:pPr>
              <w:rPr>
                <w:sz w:val="20"/>
              </w:rPr>
            </w:pPr>
          </w:p>
        </w:tc>
      </w:tr>
      <w:tr w:rsidR="00DB659A" w:rsidRPr="00D808EB" w14:paraId="003C1139" w14:textId="77777777" w:rsidTr="00CC28AE">
        <w:trPr>
          <w:trHeight w:val="327"/>
        </w:trPr>
        <w:tc>
          <w:tcPr>
            <w:tcW w:w="44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2D79D7" w14:textId="77777777" w:rsidR="00DB659A" w:rsidRPr="00D808EB" w:rsidRDefault="00DB659A" w:rsidP="00CC28AE">
            <w:pPr>
              <w:ind w:firstLineChars="100" w:firstLine="201"/>
              <w:jc w:val="right"/>
              <w:rPr>
                <w:b/>
                <w:bCs/>
                <w:sz w:val="20"/>
              </w:rPr>
            </w:pPr>
            <w:r w:rsidRPr="00D808EB">
              <w:rPr>
                <w:b/>
                <w:bCs/>
                <w:sz w:val="20"/>
              </w:rPr>
              <w:t>TOTAL PAYMENT APPROPRIATIONS</w:t>
            </w:r>
          </w:p>
        </w:tc>
        <w:tc>
          <w:tcPr>
            <w:tcW w:w="1280" w:type="dxa"/>
            <w:tcBorders>
              <w:top w:val="single" w:sz="8" w:space="0" w:color="auto"/>
              <w:left w:val="nil"/>
              <w:bottom w:val="single" w:sz="8" w:space="0" w:color="auto"/>
              <w:right w:val="nil"/>
            </w:tcBorders>
            <w:shd w:val="clear" w:color="auto" w:fill="auto"/>
            <w:noWrap/>
            <w:vAlign w:val="center"/>
            <w:hideMark/>
          </w:tcPr>
          <w:p w14:paraId="5DA7EBE5" w14:textId="77777777" w:rsidR="00DB659A" w:rsidRPr="00D808EB" w:rsidRDefault="00DB659A" w:rsidP="00CC28AE">
            <w:pPr>
              <w:ind w:firstLineChars="100" w:firstLine="201"/>
              <w:jc w:val="right"/>
              <w:rPr>
                <w:b/>
                <w:bCs/>
                <w:sz w:val="20"/>
              </w:rPr>
            </w:pPr>
            <w:r w:rsidRPr="00D808EB">
              <w:rPr>
                <w:b/>
                <w:bCs/>
                <w:sz w:val="20"/>
              </w:rPr>
              <w:t xml:space="preserve"> 270 228 </w:t>
            </w:r>
          </w:p>
        </w:tc>
        <w:tc>
          <w:tcPr>
            <w:tcW w:w="1280" w:type="dxa"/>
            <w:tcBorders>
              <w:top w:val="single" w:sz="8" w:space="0" w:color="auto"/>
              <w:left w:val="nil"/>
              <w:bottom w:val="single" w:sz="8" w:space="0" w:color="auto"/>
              <w:right w:val="nil"/>
            </w:tcBorders>
            <w:shd w:val="clear" w:color="auto" w:fill="auto"/>
            <w:noWrap/>
            <w:vAlign w:val="center"/>
            <w:hideMark/>
          </w:tcPr>
          <w:p w14:paraId="0E119247" w14:textId="77777777" w:rsidR="00DB659A" w:rsidRPr="00D808EB" w:rsidRDefault="00DB659A" w:rsidP="00CC28AE">
            <w:pPr>
              <w:ind w:firstLineChars="100" w:firstLine="201"/>
              <w:jc w:val="right"/>
              <w:rPr>
                <w:b/>
                <w:bCs/>
                <w:sz w:val="20"/>
              </w:rPr>
            </w:pPr>
            <w:r w:rsidRPr="00D808EB">
              <w:rPr>
                <w:b/>
                <w:bCs/>
                <w:sz w:val="20"/>
              </w:rPr>
              <w:t xml:space="preserve"> 304 131 </w:t>
            </w:r>
          </w:p>
        </w:tc>
        <w:tc>
          <w:tcPr>
            <w:tcW w:w="1280" w:type="dxa"/>
            <w:tcBorders>
              <w:top w:val="single" w:sz="8" w:space="0" w:color="auto"/>
              <w:left w:val="nil"/>
              <w:bottom w:val="single" w:sz="8" w:space="0" w:color="auto"/>
              <w:right w:val="nil"/>
            </w:tcBorders>
            <w:shd w:val="clear" w:color="auto" w:fill="auto"/>
            <w:noWrap/>
            <w:vAlign w:val="center"/>
            <w:hideMark/>
          </w:tcPr>
          <w:p w14:paraId="5325585A" w14:textId="77777777" w:rsidR="00DB659A" w:rsidRPr="00D808EB" w:rsidRDefault="00DB659A" w:rsidP="00CC28AE">
            <w:pPr>
              <w:ind w:firstLineChars="100" w:firstLine="201"/>
              <w:jc w:val="right"/>
              <w:rPr>
                <w:b/>
                <w:bCs/>
                <w:sz w:val="20"/>
              </w:rPr>
            </w:pPr>
            <w:r w:rsidRPr="00D808EB">
              <w:rPr>
                <w:b/>
                <w:bCs/>
                <w:sz w:val="20"/>
              </w:rPr>
              <w:t xml:space="preserve"> 300 027 </w:t>
            </w:r>
          </w:p>
        </w:tc>
        <w:tc>
          <w:tcPr>
            <w:tcW w:w="1280" w:type="dxa"/>
            <w:tcBorders>
              <w:top w:val="single" w:sz="8" w:space="0" w:color="auto"/>
              <w:left w:val="nil"/>
              <w:bottom w:val="single" w:sz="8" w:space="0" w:color="auto"/>
              <w:right w:val="nil"/>
            </w:tcBorders>
            <w:shd w:val="clear" w:color="auto" w:fill="auto"/>
            <w:noWrap/>
            <w:vAlign w:val="center"/>
            <w:hideMark/>
          </w:tcPr>
          <w:p w14:paraId="5ABB5520" w14:textId="77777777" w:rsidR="00DB659A" w:rsidRPr="00D808EB" w:rsidRDefault="00DB659A" w:rsidP="00CC28AE">
            <w:pPr>
              <w:ind w:firstLineChars="100" w:firstLine="201"/>
              <w:jc w:val="right"/>
              <w:rPr>
                <w:b/>
                <w:bCs/>
                <w:sz w:val="20"/>
              </w:rPr>
            </w:pPr>
            <w:r w:rsidRPr="00D808EB">
              <w:rPr>
                <w:b/>
                <w:bCs/>
                <w:sz w:val="20"/>
              </w:rPr>
              <w:t xml:space="preserve"> 295 242 </w:t>
            </w:r>
          </w:p>
        </w:tc>
        <w:tc>
          <w:tcPr>
            <w:tcW w:w="1280" w:type="dxa"/>
            <w:tcBorders>
              <w:top w:val="single" w:sz="8" w:space="0" w:color="auto"/>
              <w:left w:val="nil"/>
              <w:bottom w:val="single" w:sz="8" w:space="0" w:color="auto"/>
              <w:right w:val="nil"/>
            </w:tcBorders>
            <w:shd w:val="clear" w:color="auto" w:fill="auto"/>
            <w:noWrap/>
            <w:vAlign w:val="center"/>
            <w:hideMark/>
          </w:tcPr>
          <w:p w14:paraId="5FBDA40F" w14:textId="77777777" w:rsidR="00DB659A" w:rsidRPr="00D808EB" w:rsidRDefault="00DB659A" w:rsidP="00CC28AE">
            <w:pPr>
              <w:ind w:firstLineChars="100" w:firstLine="201"/>
              <w:jc w:val="right"/>
              <w:rPr>
                <w:b/>
                <w:bCs/>
                <w:sz w:val="20"/>
              </w:rPr>
            </w:pPr>
            <w:r w:rsidRPr="00D808EB">
              <w:rPr>
                <w:b/>
                <w:bCs/>
                <w:sz w:val="20"/>
              </w:rPr>
              <w:t xml:space="preserve"> 278 186 </w:t>
            </w:r>
          </w:p>
        </w:tc>
        <w:tc>
          <w:tcPr>
            <w:tcW w:w="1280" w:type="dxa"/>
            <w:tcBorders>
              <w:top w:val="single" w:sz="8" w:space="0" w:color="auto"/>
              <w:left w:val="nil"/>
              <w:bottom w:val="single" w:sz="8" w:space="0" w:color="auto"/>
              <w:right w:val="nil"/>
            </w:tcBorders>
            <w:shd w:val="clear" w:color="auto" w:fill="auto"/>
            <w:noWrap/>
            <w:vAlign w:val="center"/>
            <w:hideMark/>
          </w:tcPr>
          <w:p w14:paraId="094BC1D2" w14:textId="77777777" w:rsidR="00DB659A" w:rsidRPr="00D808EB" w:rsidRDefault="00DB659A" w:rsidP="00CC28AE">
            <w:pPr>
              <w:ind w:firstLineChars="100" w:firstLine="201"/>
              <w:jc w:val="right"/>
              <w:rPr>
                <w:b/>
                <w:bCs/>
                <w:sz w:val="20"/>
              </w:rPr>
            </w:pPr>
            <w:r w:rsidRPr="00D808EB">
              <w:rPr>
                <w:b/>
                <w:bCs/>
                <w:sz w:val="20"/>
              </w:rPr>
              <w:t xml:space="preserve"> 275 092 </w:t>
            </w:r>
          </w:p>
        </w:tc>
        <w:tc>
          <w:tcPr>
            <w:tcW w:w="1280" w:type="dxa"/>
            <w:tcBorders>
              <w:top w:val="single" w:sz="8" w:space="0" w:color="auto"/>
              <w:left w:val="nil"/>
              <w:bottom w:val="single" w:sz="8" w:space="0" w:color="auto"/>
              <w:right w:val="nil"/>
            </w:tcBorders>
            <w:shd w:val="clear" w:color="auto" w:fill="auto"/>
            <w:noWrap/>
            <w:vAlign w:val="center"/>
            <w:hideMark/>
          </w:tcPr>
          <w:p w14:paraId="3A575E1F" w14:textId="77777777" w:rsidR="00DB659A" w:rsidRPr="00D808EB" w:rsidRDefault="00DB659A" w:rsidP="00CC28AE">
            <w:pPr>
              <w:ind w:firstLineChars="100" w:firstLine="201"/>
              <w:jc w:val="right"/>
              <w:rPr>
                <w:b/>
                <w:bCs/>
                <w:sz w:val="20"/>
              </w:rPr>
            </w:pPr>
            <w:r w:rsidRPr="00D808EB">
              <w:rPr>
                <w:b/>
                <w:bCs/>
                <w:sz w:val="20"/>
              </w:rPr>
              <w:t xml:space="preserve"> 267 092 </w:t>
            </w:r>
          </w:p>
        </w:tc>
        <w:tc>
          <w:tcPr>
            <w:tcW w:w="12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C29404" w14:textId="77777777" w:rsidR="00DB659A" w:rsidRPr="00D808EB" w:rsidRDefault="00DB659A" w:rsidP="00CC28AE">
            <w:pPr>
              <w:ind w:firstLineChars="100" w:firstLine="201"/>
              <w:jc w:val="right"/>
              <w:rPr>
                <w:b/>
                <w:bCs/>
                <w:sz w:val="20"/>
              </w:rPr>
            </w:pPr>
            <w:r w:rsidRPr="00D808EB">
              <w:rPr>
                <w:b/>
                <w:bCs/>
                <w:sz w:val="20"/>
              </w:rPr>
              <w:t xml:space="preserve">1 989 998 </w:t>
            </w:r>
          </w:p>
        </w:tc>
        <w:tc>
          <w:tcPr>
            <w:tcW w:w="222" w:type="dxa"/>
            <w:vAlign w:val="center"/>
            <w:hideMark/>
          </w:tcPr>
          <w:p w14:paraId="77B5459A" w14:textId="77777777" w:rsidR="00DB659A" w:rsidRPr="00D808EB" w:rsidRDefault="00DB659A" w:rsidP="00CC28AE">
            <w:pPr>
              <w:rPr>
                <w:sz w:val="20"/>
              </w:rPr>
            </w:pPr>
          </w:p>
        </w:tc>
      </w:tr>
    </w:tbl>
    <w:p w14:paraId="1B6D56F4" w14:textId="77777777" w:rsidR="00DB659A" w:rsidRPr="00D808EB" w:rsidRDefault="00DB659A" w:rsidP="00DB659A">
      <w:pPr>
        <w:pStyle w:val="ListParagraph"/>
        <w:ind w:left="0"/>
        <w:rPr>
          <w:b/>
          <w:bCs/>
          <w:u w:val="single"/>
        </w:rPr>
      </w:pPr>
    </w:p>
    <w:p w14:paraId="4CAD9EAA" w14:textId="77777777" w:rsidR="00DB659A" w:rsidRPr="00D808EB" w:rsidRDefault="00DB659A" w:rsidP="00DB659A">
      <w:pPr>
        <w:rPr>
          <w:b/>
          <w:bCs/>
          <w:u w:val="single"/>
        </w:rPr>
      </w:pPr>
      <w:r w:rsidRPr="00D808EB">
        <w:rPr>
          <w:rFonts w:eastAsiaTheme="minorHAnsi"/>
          <w:b/>
          <w:bCs/>
          <w:kern w:val="2"/>
          <w:szCs w:val="24"/>
          <w:lang w:eastAsia="en-US"/>
          <w14:ligatures w14:val="standardContextual"/>
        </w:rPr>
        <w:t>8.</w:t>
      </w:r>
      <w:r w:rsidRPr="00D808EB">
        <w:rPr>
          <w:rFonts w:eastAsiaTheme="minorHAnsi"/>
          <w:b/>
          <w:bCs/>
          <w:kern w:val="2"/>
          <w:szCs w:val="24"/>
          <w:lang w:eastAsia="en-US"/>
          <w14:ligatures w14:val="standardContextual"/>
        </w:rPr>
        <w:tab/>
      </w:r>
      <w:r w:rsidRPr="00D808EB">
        <w:rPr>
          <w:b/>
          <w:bCs/>
          <w:u w:val="single"/>
        </w:rPr>
        <w:t>Annex II: Breakdown per programme (constant prices)</w:t>
      </w:r>
    </w:p>
    <w:p w14:paraId="3BACC7AF" w14:textId="77777777" w:rsidR="00DB659A" w:rsidRPr="00D808EB" w:rsidRDefault="00DB659A" w:rsidP="00DB659A"/>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70"/>
        <w:gridCol w:w="671"/>
        <w:gridCol w:w="7090"/>
        <w:gridCol w:w="1946"/>
        <w:gridCol w:w="1946"/>
        <w:gridCol w:w="1943"/>
      </w:tblGrid>
      <w:tr w:rsidR="00DB659A" w:rsidRPr="00D808EB" w14:paraId="0CEDAFF5" w14:textId="77777777" w:rsidTr="00CC28AE">
        <w:trPr>
          <w:trHeight w:val="1088"/>
        </w:trPr>
        <w:tc>
          <w:tcPr>
            <w:tcW w:w="2955" w:type="pct"/>
            <w:gridSpan w:val="3"/>
            <w:shd w:val="clear" w:color="auto" w:fill="auto"/>
            <w:noWrap/>
            <w:vAlign w:val="center"/>
            <w:hideMark/>
          </w:tcPr>
          <w:p w14:paraId="6E755BF0" w14:textId="77777777" w:rsidR="00DB659A" w:rsidRPr="00D808EB" w:rsidRDefault="00DB659A" w:rsidP="00CC28AE">
            <w:pPr>
              <w:rPr>
                <w:rFonts w:ascii="Calibri" w:hAnsi="Calibri" w:cs="Calibri"/>
                <w:b/>
                <w:bCs/>
                <w:color w:val="000000"/>
                <w:szCs w:val="24"/>
              </w:rPr>
            </w:pPr>
            <w:r w:rsidRPr="00D808EB">
              <w:rPr>
                <w:rFonts w:ascii="Calibri" w:hAnsi="Calibri" w:cs="Calibri"/>
                <w:b/>
                <w:bCs/>
                <w:color w:val="000000"/>
                <w:szCs w:val="24"/>
              </w:rPr>
              <w:t>Commitment appropriations (2025 constant prices, billion)</w:t>
            </w:r>
          </w:p>
        </w:tc>
        <w:tc>
          <w:tcPr>
            <w:tcW w:w="682" w:type="pct"/>
            <w:shd w:val="clear" w:color="auto" w:fill="auto"/>
            <w:vAlign w:val="center"/>
            <w:hideMark/>
          </w:tcPr>
          <w:p w14:paraId="2754FE73"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MFF proposal</w:t>
            </w:r>
          </w:p>
        </w:tc>
        <w:tc>
          <w:tcPr>
            <w:tcW w:w="682" w:type="pct"/>
            <w:shd w:val="clear" w:color="auto" w:fill="auto"/>
            <w:vAlign w:val="center"/>
            <w:hideMark/>
          </w:tcPr>
          <w:p w14:paraId="02B249CA"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EP Position (1.27% GNI, excluding NGEU repayment)</w:t>
            </w:r>
          </w:p>
        </w:tc>
        <w:tc>
          <w:tcPr>
            <w:tcW w:w="682" w:type="pct"/>
            <w:shd w:val="clear" w:color="auto" w:fill="auto"/>
            <w:vAlign w:val="center"/>
            <w:hideMark/>
          </w:tcPr>
          <w:p w14:paraId="0CC56CDA"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Nominal change</w:t>
            </w:r>
          </w:p>
        </w:tc>
      </w:tr>
      <w:tr w:rsidR="00DB659A" w:rsidRPr="00D808EB" w14:paraId="111BA845" w14:textId="77777777" w:rsidTr="00CC28AE">
        <w:trPr>
          <w:trHeight w:val="480"/>
        </w:trPr>
        <w:tc>
          <w:tcPr>
            <w:tcW w:w="2955" w:type="pct"/>
            <w:gridSpan w:val="3"/>
            <w:shd w:val="clear" w:color="000000" w:fill="D9D9D9"/>
            <w:noWrap/>
            <w:vAlign w:val="center"/>
            <w:hideMark/>
          </w:tcPr>
          <w:p w14:paraId="1583FC6D"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Multiannual Financial Framework</w:t>
            </w:r>
          </w:p>
        </w:tc>
        <w:tc>
          <w:tcPr>
            <w:tcW w:w="682" w:type="pct"/>
            <w:shd w:val="clear" w:color="000000" w:fill="D9D9D9"/>
            <w:vAlign w:val="center"/>
            <w:hideMark/>
          </w:tcPr>
          <w:p w14:paraId="03778F30"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1.613,71</w:t>
            </w:r>
          </w:p>
        </w:tc>
        <w:tc>
          <w:tcPr>
            <w:tcW w:w="682" w:type="pct"/>
            <w:shd w:val="clear" w:color="000000" w:fill="D9D9D9"/>
            <w:vAlign w:val="center"/>
            <w:hideMark/>
          </w:tcPr>
          <w:p w14:paraId="1CBCC9C1"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1.782,50</w:t>
            </w:r>
          </w:p>
        </w:tc>
        <w:tc>
          <w:tcPr>
            <w:tcW w:w="682" w:type="pct"/>
            <w:shd w:val="clear" w:color="000000" w:fill="D9D9D9"/>
            <w:vAlign w:val="center"/>
            <w:hideMark/>
          </w:tcPr>
          <w:p w14:paraId="1194B620"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168,79</w:t>
            </w:r>
          </w:p>
        </w:tc>
      </w:tr>
      <w:tr w:rsidR="00DB659A" w:rsidRPr="00D808EB" w14:paraId="5D0942EA" w14:textId="77777777" w:rsidTr="00CC28AE">
        <w:trPr>
          <w:trHeight w:val="420"/>
        </w:trPr>
        <w:tc>
          <w:tcPr>
            <w:tcW w:w="2955" w:type="pct"/>
            <w:gridSpan w:val="3"/>
            <w:shd w:val="clear" w:color="000000" w:fill="F2F2F2"/>
            <w:noWrap/>
            <w:vAlign w:val="center"/>
            <w:hideMark/>
          </w:tcPr>
          <w:p w14:paraId="6D130CD8" w14:textId="4C966ABD" w:rsidR="00DB659A" w:rsidRPr="00D808EB" w:rsidRDefault="00DB659A" w:rsidP="00CC28AE">
            <w:pPr>
              <w:rPr>
                <w:rFonts w:ascii="Calibri" w:hAnsi="Calibri" w:cs="Calibri"/>
                <w:b/>
                <w:bCs/>
                <w:color w:val="000000"/>
                <w:szCs w:val="24"/>
              </w:rPr>
            </w:pPr>
            <w:r w:rsidRPr="00D808EB">
              <w:rPr>
                <w:rFonts w:ascii="Calibri" w:hAnsi="Calibri" w:cs="Calibri"/>
                <w:b/>
                <w:bCs/>
                <w:color w:val="000000"/>
                <w:szCs w:val="24"/>
              </w:rPr>
              <w:t>Heading 1: Europe</w:t>
            </w:r>
            <w:r w:rsidR="00C728B7">
              <w:rPr>
                <w:rFonts w:ascii="Calibri" w:hAnsi="Calibri" w:cs="Calibri"/>
                <w:b/>
                <w:bCs/>
                <w:color w:val="000000"/>
                <w:szCs w:val="24"/>
              </w:rPr>
              <w:t>’</w:t>
            </w:r>
            <w:r w:rsidRPr="00D808EB">
              <w:rPr>
                <w:rFonts w:ascii="Calibri" w:hAnsi="Calibri" w:cs="Calibri"/>
                <w:b/>
                <w:bCs/>
                <w:color w:val="000000"/>
                <w:szCs w:val="24"/>
              </w:rPr>
              <w:t xml:space="preserve">s Social model and quality of life, excluding NGEU </w:t>
            </w:r>
          </w:p>
        </w:tc>
        <w:tc>
          <w:tcPr>
            <w:tcW w:w="682" w:type="pct"/>
            <w:shd w:val="clear" w:color="000000" w:fill="F2F2F2"/>
            <w:vAlign w:val="center"/>
            <w:hideMark/>
          </w:tcPr>
          <w:p w14:paraId="0EE0BA00"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797,11</w:t>
            </w:r>
          </w:p>
        </w:tc>
        <w:tc>
          <w:tcPr>
            <w:tcW w:w="682" w:type="pct"/>
            <w:shd w:val="clear" w:color="000000" w:fill="F2F2F2"/>
            <w:vAlign w:val="center"/>
            <w:hideMark/>
          </w:tcPr>
          <w:p w14:paraId="5E4C4B78"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886,25</w:t>
            </w:r>
          </w:p>
        </w:tc>
        <w:tc>
          <w:tcPr>
            <w:tcW w:w="682" w:type="pct"/>
            <w:shd w:val="clear" w:color="000000" w:fill="F2F2F2"/>
            <w:vAlign w:val="center"/>
            <w:hideMark/>
          </w:tcPr>
          <w:p w14:paraId="2FF820A6"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89,14</w:t>
            </w:r>
          </w:p>
        </w:tc>
      </w:tr>
      <w:tr w:rsidR="00DB659A" w:rsidRPr="00D808EB" w14:paraId="6751012B" w14:textId="77777777" w:rsidTr="00CC28AE">
        <w:trPr>
          <w:trHeight w:val="420"/>
        </w:trPr>
        <w:tc>
          <w:tcPr>
            <w:tcW w:w="235" w:type="pct"/>
            <w:shd w:val="clear" w:color="auto" w:fill="auto"/>
            <w:noWrap/>
            <w:vAlign w:val="center"/>
            <w:hideMark/>
          </w:tcPr>
          <w:p w14:paraId="4758F734"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02</w:t>
            </w:r>
          </w:p>
        </w:tc>
        <w:tc>
          <w:tcPr>
            <w:tcW w:w="235" w:type="pct"/>
            <w:shd w:val="clear" w:color="auto" w:fill="auto"/>
            <w:noWrap/>
            <w:vAlign w:val="center"/>
            <w:hideMark/>
          </w:tcPr>
          <w:p w14:paraId="3B106AD2"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02</w:t>
            </w:r>
          </w:p>
        </w:tc>
        <w:tc>
          <w:tcPr>
            <w:tcW w:w="2485" w:type="pct"/>
            <w:shd w:val="clear" w:color="auto" w:fill="auto"/>
            <w:vAlign w:val="center"/>
            <w:hideMark/>
          </w:tcPr>
          <w:p w14:paraId="7FDEC776"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National and Regional Partnership Plans and Interreg Plan - Operational Expenditure</w:t>
            </w:r>
          </w:p>
        </w:tc>
        <w:tc>
          <w:tcPr>
            <w:tcW w:w="682" w:type="pct"/>
            <w:shd w:val="clear" w:color="auto" w:fill="auto"/>
            <w:vAlign w:val="center"/>
            <w:hideMark/>
          </w:tcPr>
          <w:p w14:paraId="2096FD85"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771,32</w:t>
            </w:r>
          </w:p>
        </w:tc>
        <w:tc>
          <w:tcPr>
            <w:tcW w:w="682" w:type="pct"/>
            <w:shd w:val="clear" w:color="auto" w:fill="auto"/>
            <w:vAlign w:val="center"/>
            <w:hideMark/>
          </w:tcPr>
          <w:p w14:paraId="5B889056"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860,41</w:t>
            </w:r>
          </w:p>
        </w:tc>
        <w:tc>
          <w:tcPr>
            <w:tcW w:w="682" w:type="pct"/>
            <w:shd w:val="clear" w:color="auto" w:fill="auto"/>
            <w:vAlign w:val="center"/>
            <w:hideMark/>
          </w:tcPr>
          <w:p w14:paraId="211615DA"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89,09</w:t>
            </w:r>
          </w:p>
        </w:tc>
      </w:tr>
      <w:tr w:rsidR="00DB659A" w:rsidRPr="00D808EB" w14:paraId="11B4CB59" w14:textId="77777777" w:rsidTr="00CC28AE">
        <w:trPr>
          <w:trHeight w:val="420"/>
        </w:trPr>
        <w:tc>
          <w:tcPr>
            <w:tcW w:w="235" w:type="pct"/>
            <w:shd w:val="clear" w:color="auto" w:fill="auto"/>
            <w:noWrap/>
            <w:vAlign w:val="center"/>
            <w:hideMark/>
          </w:tcPr>
          <w:p w14:paraId="29A6B892"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35" w:type="pct"/>
            <w:shd w:val="clear" w:color="auto" w:fill="auto"/>
            <w:noWrap/>
            <w:vAlign w:val="center"/>
            <w:hideMark/>
          </w:tcPr>
          <w:p w14:paraId="7C038CBB"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485" w:type="pct"/>
            <w:shd w:val="clear" w:color="auto" w:fill="auto"/>
            <w:vAlign w:val="center"/>
            <w:hideMark/>
          </w:tcPr>
          <w:p w14:paraId="2F3ADE04"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Support to the Turkish-Cypriot Community</w:t>
            </w:r>
          </w:p>
        </w:tc>
        <w:tc>
          <w:tcPr>
            <w:tcW w:w="682" w:type="pct"/>
            <w:shd w:val="clear" w:color="auto" w:fill="auto"/>
            <w:vAlign w:val="center"/>
            <w:hideMark/>
          </w:tcPr>
          <w:p w14:paraId="00641181"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0,39</w:t>
            </w:r>
          </w:p>
        </w:tc>
        <w:tc>
          <w:tcPr>
            <w:tcW w:w="682" w:type="pct"/>
            <w:shd w:val="clear" w:color="auto" w:fill="auto"/>
            <w:vAlign w:val="center"/>
            <w:hideMark/>
          </w:tcPr>
          <w:p w14:paraId="1A00315F"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0,43</w:t>
            </w:r>
          </w:p>
        </w:tc>
        <w:tc>
          <w:tcPr>
            <w:tcW w:w="682" w:type="pct"/>
            <w:shd w:val="clear" w:color="auto" w:fill="auto"/>
            <w:vAlign w:val="center"/>
            <w:hideMark/>
          </w:tcPr>
          <w:p w14:paraId="1472C323"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0,04</w:t>
            </w:r>
          </w:p>
        </w:tc>
      </w:tr>
      <w:tr w:rsidR="00DB659A" w:rsidRPr="00D808EB" w14:paraId="5905AECE" w14:textId="77777777" w:rsidTr="00CC28AE">
        <w:trPr>
          <w:trHeight w:val="420"/>
        </w:trPr>
        <w:tc>
          <w:tcPr>
            <w:tcW w:w="235" w:type="pct"/>
            <w:shd w:val="clear" w:color="auto" w:fill="auto"/>
            <w:noWrap/>
            <w:vAlign w:val="center"/>
            <w:hideMark/>
          </w:tcPr>
          <w:p w14:paraId="5FE9D2C1"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35" w:type="pct"/>
            <w:shd w:val="clear" w:color="auto" w:fill="auto"/>
            <w:noWrap/>
            <w:vAlign w:val="center"/>
            <w:hideMark/>
          </w:tcPr>
          <w:p w14:paraId="284715B4"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485" w:type="pct"/>
            <w:shd w:val="clear" w:color="auto" w:fill="auto"/>
            <w:vAlign w:val="center"/>
            <w:hideMark/>
          </w:tcPr>
          <w:p w14:paraId="4A187368"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Others</w:t>
            </w:r>
          </w:p>
        </w:tc>
        <w:tc>
          <w:tcPr>
            <w:tcW w:w="682" w:type="pct"/>
            <w:shd w:val="clear" w:color="auto" w:fill="auto"/>
            <w:vAlign w:val="center"/>
            <w:hideMark/>
          </w:tcPr>
          <w:p w14:paraId="27102E88"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20,24</w:t>
            </w:r>
          </w:p>
        </w:tc>
        <w:tc>
          <w:tcPr>
            <w:tcW w:w="682" w:type="pct"/>
            <w:shd w:val="clear" w:color="auto" w:fill="auto"/>
            <w:vAlign w:val="center"/>
            <w:hideMark/>
          </w:tcPr>
          <w:p w14:paraId="32D5D167"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20,24</w:t>
            </w:r>
          </w:p>
        </w:tc>
        <w:tc>
          <w:tcPr>
            <w:tcW w:w="682" w:type="pct"/>
            <w:shd w:val="clear" w:color="auto" w:fill="auto"/>
            <w:vAlign w:val="center"/>
            <w:hideMark/>
          </w:tcPr>
          <w:p w14:paraId="4FCF2685"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0,00</w:t>
            </w:r>
          </w:p>
        </w:tc>
      </w:tr>
      <w:tr w:rsidR="00DB659A" w:rsidRPr="00D808EB" w14:paraId="53E11263" w14:textId="77777777" w:rsidTr="00CC28AE">
        <w:trPr>
          <w:trHeight w:val="420"/>
        </w:trPr>
        <w:tc>
          <w:tcPr>
            <w:tcW w:w="235" w:type="pct"/>
            <w:shd w:val="clear" w:color="auto" w:fill="auto"/>
            <w:noWrap/>
            <w:vAlign w:val="center"/>
            <w:hideMark/>
          </w:tcPr>
          <w:p w14:paraId="4A1003A8"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35" w:type="pct"/>
            <w:shd w:val="clear" w:color="auto" w:fill="auto"/>
            <w:noWrap/>
            <w:vAlign w:val="center"/>
            <w:hideMark/>
          </w:tcPr>
          <w:p w14:paraId="6369104E"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485" w:type="pct"/>
            <w:shd w:val="clear" w:color="auto" w:fill="auto"/>
            <w:vAlign w:val="center"/>
            <w:hideMark/>
          </w:tcPr>
          <w:p w14:paraId="50A37D17"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Margins</w:t>
            </w:r>
          </w:p>
        </w:tc>
        <w:tc>
          <w:tcPr>
            <w:tcW w:w="682" w:type="pct"/>
            <w:shd w:val="clear" w:color="auto" w:fill="auto"/>
            <w:vAlign w:val="center"/>
            <w:hideMark/>
          </w:tcPr>
          <w:p w14:paraId="2B02C5C1"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5,16</w:t>
            </w:r>
          </w:p>
        </w:tc>
        <w:tc>
          <w:tcPr>
            <w:tcW w:w="682" w:type="pct"/>
            <w:shd w:val="clear" w:color="auto" w:fill="auto"/>
            <w:vAlign w:val="center"/>
            <w:hideMark/>
          </w:tcPr>
          <w:p w14:paraId="24695442"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5,16</w:t>
            </w:r>
          </w:p>
        </w:tc>
        <w:tc>
          <w:tcPr>
            <w:tcW w:w="682" w:type="pct"/>
            <w:shd w:val="clear" w:color="auto" w:fill="auto"/>
            <w:vAlign w:val="center"/>
            <w:hideMark/>
          </w:tcPr>
          <w:p w14:paraId="77D224F7"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0,00</w:t>
            </w:r>
          </w:p>
        </w:tc>
      </w:tr>
      <w:tr w:rsidR="00DB659A" w:rsidRPr="00D808EB" w14:paraId="5ED6218F" w14:textId="77777777" w:rsidTr="00CC28AE">
        <w:trPr>
          <w:trHeight w:val="420"/>
        </w:trPr>
        <w:tc>
          <w:tcPr>
            <w:tcW w:w="2955" w:type="pct"/>
            <w:gridSpan w:val="3"/>
            <w:shd w:val="clear" w:color="000000" w:fill="F2F2F2"/>
            <w:noWrap/>
            <w:vAlign w:val="center"/>
            <w:hideMark/>
          </w:tcPr>
          <w:p w14:paraId="7C8B4723" w14:textId="77777777" w:rsidR="00DB659A" w:rsidRPr="00D808EB" w:rsidRDefault="00DB659A" w:rsidP="00CC28AE">
            <w:pPr>
              <w:rPr>
                <w:rFonts w:ascii="Calibri" w:hAnsi="Calibri" w:cs="Calibri"/>
                <w:b/>
                <w:bCs/>
                <w:color w:val="000000"/>
                <w:szCs w:val="24"/>
              </w:rPr>
            </w:pPr>
            <w:r w:rsidRPr="00D808EB">
              <w:rPr>
                <w:rFonts w:ascii="Calibri" w:hAnsi="Calibri" w:cs="Calibri"/>
                <w:b/>
                <w:bCs/>
                <w:color w:val="000000"/>
                <w:szCs w:val="24"/>
              </w:rPr>
              <w:t>Heading 2: Competitiveness, Prosperity, and Security</w:t>
            </w:r>
          </w:p>
        </w:tc>
        <w:tc>
          <w:tcPr>
            <w:tcW w:w="682" w:type="pct"/>
            <w:shd w:val="clear" w:color="000000" w:fill="F2F2F2"/>
            <w:vAlign w:val="center"/>
            <w:hideMark/>
          </w:tcPr>
          <w:p w14:paraId="06350E7E"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522,21</w:t>
            </w:r>
          </w:p>
        </w:tc>
        <w:tc>
          <w:tcPr>
            <w:tcW w:w="682" w:type="pct"/>
            <w:shd w:val="clear" w:color="000000" w:fill="F2F2F2"/>
            <w:vAlign w:val="center"/>
            <w:hideMark/>
          </w:tcPr>
          <w:p w14:paraId="3C79A628"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580,60</w:t>
            </w:r>
          </w:p>
        </w:tc>
        <w:tc>
          <w:tcPr>
            <w:tcW w:w="682" w:type="pct"/>
            <w:shd w:val="clear" w:color="000000" w:fill="F2F2F2"/>
            <w:vAlign w:val="center"/>
            <w:hideMark/>
          </w:tcPr>
          <w:p w14:paraId="21E810B8"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58,40</w:t>
            </w:r>
          </w:p>
        </w:tc>
      </w:tr>
      <w:tr w:rsidR="00DB659A" w:rsidRPr="00D808EB" w14:paraId="7892A298" w14:textId="77777777" w:rsidTr="00CC28AE">
        <w:trPr>
          <w:trHeight w:val="420"/>
        </w:trPr>
        <w:tc>
          <w:tcPr>
            <w:tcW w:w="235" w:type="pct"/>
            <w:shd w:val="clear" w:color="auto" w:fill="auto"/>
            <w:noWrap/>
            <w:vAlign w:val="center"/>
            <w:hideMark/>
          </w:tcPr>
          <w:p w14:paraId="57D24610"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04</w:t>
            </w:r>
          </w:p>
        </w:tc>
        <w:tc>
          <w:tcPr>
            <w:tcW w:w="235" w:type="pct"/>
            <w:shd w:val="clear" w:color="auto" w:fill="auto"/>
            <w:noWrap/>
            <w:vAlign w:val="center"/>
            <w:hideMark/>
          </w:tcPr>
          <w:p w14:paraId="38D6A8DB"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02</w:t>
            </w:r>
          </w:p>
        </w:tc>
        <w:tc>
          <w:tcPr>
            <w:tcW w:w="2485" w:type="pct"/>
            <w:shd w:val="clear" w:color="auto" w:fill="auto"/>
            <w:vAlign w:val="center"/>
            <w:hideMark/>
          </w:tcPr>
          <w:p w14:paraId="1E18B99E"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European Competitiveness Fund</w:t>
            </w:r>
          </w:p>
        </w:tc>
        <w:tc>
          <w:tcPr>
            <w:tcW w:w="682" w:type="pct"/>
            <w:shd w:val="clear" w:color="auto" w:fill="auto"/>
            <w:vAlign w:val="center"/>
            <w:hideMark/>
          </w:tcPr>
          <w:p w14:paraId="3595B6FE"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207,40</w:t>
            </w:r>
          </w:p>
        </w:tc>
        <w:tc>
          <w:tcPr>
            <w:tcW w:w="682" w:type="pct"/>
            <w:shd w:val="clear" w:color="auto" w:fill="auto"/>
            <w:vAlign w:val="center"/>
            <w:hideMark/>
          </w:tcPr>
          <w:p w14:paraId="4B9A0AE2"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231,42</w:t>
            </w:r>
          </w:p>
        </w:tc>
        <w:tc>
          <w:tcPr>
            <w:tcW w:w="682" w:type="pct"/>
            <w:shd w:val="clear" w:color="auto" w:fill="auto"/>
            <w:vAlign w:val="center"/>
            <w:hideMark/>
          </w:tcPr>
          <w:p w14:paraId="6FA06D6B"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24,02</w:t>
            </w:r>
          </w:p>
        </w:tc>
      </w:tr>
      <w:tr w:rsidR="00DB659A" w:rsidRPr="00D808EB" w14:paraId="5E78D3A4" w14:textId="77777777" w:rsidTr="00CC28AE">
        <w:trPr>
          <w:trHeight w:val="420"/>
        </w:trPr>
        <w:tc>
          <w:tcPr>
            <w:tcW w:w="235" w:type="pct"/>
            <w:shd w:val="clear" w:color="auto" w:fill="auto"/>
            <w:noWrap/>
            <w:vAlign w:val="center"/>
            <w:hideMark/>
          </w:tcPr>
          <w:p w14:paraId="2C74A3D2"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04</w:t>
            </w:r>
          </w:p>
        </w:tc>
        <w:tc>
          <w:tcPr>
            <w:tcW w:w="235" w:type="pct"/>
            <w:shd w:val="clear" w:color="auto" w:fill="auto"/>
            <w:noWrap/>
            <w:vAlign w:val="center"/>
            <w:hideMark/>
          </w:tcPr>
          <w:p w14:paraId="11BD79D9"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03</w:t>
            </w:r>
          </w:p>
        </w:tc>
        <w:tc>
          <w:tcPr>
            <w:tcW w:w="2485" w:type="pct"/>
            <w:shd w:val="clear" w:color="auto" w:fill="auto"/>
            <w:vAlign w:val="center"/>
            <w:hideMark/>
          </w:tcPr>
          <w:p w14:paraId="2CF8230B"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Horizon Europe</w:t>
            </w:r>
          </w:p>
        </w:tc>
        <w:tc>
          <w:tcPr>
            <w:tcW w:w="682" w:type="pct"/>
            <w:shd w:val="clear" w:color="auto" w:fill="auto"/>
            <w:vAlign w:val="center"/>
            <w:hideMark/>
          </w:tcPr>
          <w:p w14:paraId="46653317"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154,88</w:t>
            </w:r>
          </w:p>
        </w:tc>
        <w:tc>
          <w:tcPr>
            <w:tcW w:w="682" w:type="pct"/>
            <w:shd w:val="clear" w:color="auto" w:fill="auto"/>
            <w:vAlign w:val="center"/>
            <w:hideMark/>
          </w:tcPr>
          <w:p w14:paraId="3365C7E2"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172,82</w:t>
            </w:r>
          </w:p>
        </w:tc>
        <w:tc>
          <w:tcPr>
            <w:tcW w:w="682" w:type="pct"/>
            <w:shd w:val="clear" w:color="auto" w:fill="auto"/>
            <w:vAlign w:val="center"/>
            <w:hideMark/>
          </w:tcPr>
          <w:p w14:paraId="62B1EA5D"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17,94</w:t>
            </w:r>
          </w:p>
        </w:tc>
      </w:tr>
      <w:tr w:rsidR="00DB659A" w:rsidRPr="00D808EB" w14:paraId="303C884E" w14:textId="77777777" w:rsidTr="00CC28AE">
        <w:trPr>
          <w:trHeight w:val="420"/>
        </w:trPr>
        <w:tc>
          <w:tcPr>
            <w:tcW w:w="235" w:type="pct"/>
            <w:shd w:val="clear" w:color="auto" w:fill="auto"/>
            <w:noWrap/>
            <w:vAlign w:val="center"/>
            <w:hideMark/>
          </w:tcPr>
          <w:p w14:paraId="5C5C1CF5"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04</w:t>
            </w:r>
          </w:p>
        </w:tc>
        <w:tc>
          <w:tcPr>
            <w:tcW w:w="235" w:type="pct"/>
            <w:shd w:val="clear" w:color="auto" w:fill="auto"/>
            <w:noWrap/>
            <w:vAlign w:val="center"/>
            <w:hideMark/>
          </w:tcPr>
          <w:p w14:paraId="54CFCFCD"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04</w:t>
            </w:r>
          </w:p>
        </w:tc>
        <w:tc>
          <w:tcPr>
            <w:tcW w:w="2485" w:type="pct"/>
            <w:shd w:val="clear" w:color="auto" w:fill="auto"/>
            <w:vAlign w:val="center"/>
            <w:hideMark/>
          </w:tcPr>
          <w:p w14:paraId="4363BB6C"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EURATOM/ITER</w:t>
            </w:r>
          </w:p>
        </w:tc>
        <w:tc>
          <w:tcPr>
            <w:tcW w:w="682" w:type="pct"/>
            <w:shd w:val="clear" w:color="auto" w:fill="auto"/>
            <w:vAlign w:val="center"/>
            <w:hideMark/>
          </w:tcPr>
          <w:p w14:paraId="6419F0CE"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8,71</w:t>
            </w:r>
          </w:p>
        </w:tc>
        <w:tc>
          <w:tcPr>
            <w:tcW w:w="682" w:type="pct"/>
            <w:shd w:val="clear" w:color="auto" w:fill="auto"/>
            <w:vAlign w:val="center"/>
            <w:hideMark/>
          </w:tcPr>
          <w:p w14:paraId="5237EF1E"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9,71</w:t>
            </w:r>
          </w:p>
        </w:tc>
        <w:tc>
          <w:tcPr>
            <w:tcW w:w="682" w:type="pct"/>
            <w:shd w:val="clear" w:color="auto" w:fill="auto"/>
            <w:vAlign w:val="center"/>
            <w:hideMark/>
          </w:tcPr>
          <w:p w14:paraId="46DD3B66"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1,01</w:t>
            </w:r>
          </w:p>
        </w:tc>
      </w:tr>
      <w:tr w:rsidR="00DB659A" w:rsidRPr="00D808EB" w14:paraId="05DDC3EE" w14:textId="77777777" w:rsidTr="00CC28AE">
        <w:trPr>
          <w:trHeight w:val="420"/>
        </w:trPr>
        <w:tc>
          <w:tcPr>
            <w:tcW w:w="235" w:type="pct"/>
            <w:shd w:val="clear" w:color="auto" w:fill="auto"/>
            <w:noWrap/>
            <w:vAlign w:val="center"/>
            <w:hideMark/>
          </w:tcPr>
          <w:p w14:paraId="1D45E06B"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 xml:space="preserve">04 </w:t>
            </w:r>
          </w:p>
        </w:tc>
        <w:tc>
          <w:tcPr>
            <w:tcW w:w="235" w:type="pct"/>
            <w:shd w:val="clear" w:color="auto" w:fill="auto"/>
            <w:noWrap/>
            <w:vAlign w:val="center"/>
            <w:hideMark/>
          </w:tcPr>
          <w:p w14:paraId="1CBF38AC"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05</w:t>
            </w:r>
          </w:p>
        </w:tc>
        <w:tc>
          <w:tcPr>
            <w:tcW w:w="2485" w:type="pct"/>
            <w:shd w:val="clear" w:color="auto" w:fill="auto"/>
            <w:vAlign w:val="center"/>
            <w:hideMark/>
          </w:tcPr>
          <w:p w14:paraId="6EEDE31E"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 xml:space="preserve"> INSC-D (Instrument for Nuclear Safety Cooperation - Decommissioning)</w:t>
            </w:r>
          </w:p>
        </w:tc>
        <w:tc>
          <w:tcPr>
            <w:tcW w:w="682" w:type="pct"/>
            <w:shd w:val="clear" w:color="auto" w:fill="auto"/>
            <w:vAlign w:val="center"/>
            <w:hideMark/>
          </w:tcPr>
          <w:p w14:paraId="372EDE6D"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0,85</w:t>
            </w:r>
          </w:p>
        </w:tc>
        <w:tc>
          <w:tcPr>
            <w:tcW w:w="682" w:type="pct"/>
            <w:shd w:val="clear" w:color="auto" w:fill="auto"/>
            <w:vAlign w:val="center"/>
            <w:hideMark/>
          </w:tcPr>
          <w:p w14:paraId="1C17BE10"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0,95</w:t>
            </w:r>
          </w:p>
        </w:tc>
        <w:tc>
          <w:tcPr>
            <w:tcW w:w="682" w:type="pct"/>
            <w:shd w:val="clear" w:color="auto" w:fill="auto"/>
            <w:vAlign w:val="center"/>
            <w:hideMark/>
          </w:tcPr>
          <w:p w14:paraId="55E323B5"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0,10</w:t>
            </w:r>
          </w:p>
        </w:tc>
      </w:tr>
      <w:tr w:rsidR="00DB659A" w:rsidRPr="00D808EB" w14:paraId="0F037872" w14:textId="77777777" w:rsidTr="00CC28AE">
        <w:trPr>
          <w:trHeight w:val="420"/>
        </w:trPr>
        <w:tc>
          <w:tcPr>
            <w:tcW w:w="235" w:type="pct"/>
            <w:shd w:val="clear" w:color="auto" w:fill="auto"/>
            <w:noWrap/>
            <w:vAlign w:val="center"/>
            <w:hideMark/>
          </w:tcPr>
          <w:p w14:paraId="27B22787"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 xml:space="preserve">04 </w:t>
            </w:r>
          </w:p>
        </w:tc>
        <w:tc>
          <w:tcPr>
            <w:tcW w:w="235" w:type="pct"/>
            <w:shd w:val="clear" w:color="auto" w:fill="auto"/>
            <w:noWrap/>
            <w:vAlign w:val="center"/>
            <w:hideMark/>
          </w:tcPr>
          <w:p w14:paraId="78A32401"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06</w:t>
            </w:r>
          </w:p>
        </w:tc>
        <w:tc>
          <w:tcPr>
            <w:tcW w:w="2485" w:type="pct"/>
            <w:shd w:val="clear" w:color="auto" w:fill="auto"/>
            <w:vAlign w:val="center"/>
            <w:hideMark/>
          </w:tcPr>
          <w:p w14:paraId="25A942E2"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Ignalina Programme</w:t>
            </w:r>
          </w:p>
        </w:tc>
        <w:tc>
          <w:tcPr>
            <w:tcW w:w="682" w:type="pct"/>
            <w:shd w:val="clear" w:color="auto" w:fill="auto"/>
            <w:vAlign w:val="center"/>
            <w:hideMark/>
          </w:tcPr>
          <w:p w14:paraId="6977B024"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0,60</w:t>
            </w:r>
          </w:p>
        </w:tc>
        <w:tc>
          <w:tcPr>
            <w:tcW w:w="682" w:type="pct"/>
            <w:shd w:val="clear" w:color="auto" w:fill="auto"/>
            <w:vAlign w:val="center"/>
            <w:hideMark/>
          </w:tcPr>
          <w:p w14:paraId="2FAD3F54"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0,67</w:t>
            </w:r>
          </w:p>
        </w:tc>
        <w:tc>
          <w:tcPr>
            <w:tcW w:w="682" w:type="pct"/>
            <w:shd w:val="clear" w:color="auto" w:fill="auto"/>
            <w:vAlign w:val="center"/>
            <w:hideMark/>
          </w:tcPr>
          <w:p w14:paraId="246342B9"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0,07</w:t>
            </w:r>
          </w:p>
        </w:tc>
      </w:tr>
      <w:tr w:rsidR="00DB659A" w:rsidRPr="00D808EB" w14:paraId="7DED9167" w14:textId="77777777" w:rsidTr="00CC28AE">
        <w:trPr>
          <w:trHeight w:val="420"/>
        </w:trPr>
        <w:tc>
          <w:tcPr>
            <w:tcW w:w="235" w:type="pct"/>
            <w:shd w:val="clear" w:color="auto" w:fill="auto"/>
            <w:noWrap/>
            <w:vAlign w:val="center"/>
            <w:hideMark/>
          </w:tcPr>
          <w:p w14:paraId="13305A99"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05</w:t>
            </w:r>
          </w:p>
        </w:tc>
        <w:tc>
          <w:tcPr>
            <w:tcW w:w="235" w:type="pct"/>
            <w:shd w:val="clear" w:color="auto" w:fill="auto"/>
            <w:noWrap/>
            <w:vAlign w:val="center"/>
            <w:hideMark/>
          </w:tcPr>
          <w:p w14:paraId="4110675D"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02</w:t>
            </w:r>
          </w:p>
        </w:tc>
        <w:tc>
          <w:tcPr>
            <w:tcW w:w="2485" w:type="pct"/>
            <w:shd w:val="clear" w:color="auto" w:fill="auto"/>
            <w:vAlign w:val="center"/>
            <w:hideMark/>
          </w:tcPr>
          <w:p w14:paraId="2D5A3513"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CEF (Transport, Energy, Military Mobility)</w:t>
            </w:r>
          </w:p>
        </w:tc>
        <w:tc>
          <w:tcPr>
            <w:tcW w:w="682" w:type="pct"/>
            <w:shd w:val="clear" w:color="auto" w:fill="auto"/>
            <w:vAlign w:val="center"/>
            <w:hideMark/>
          </w:tcPr>
          <w:p w14:paraId="78B2EF05"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72,25</w:t>
            </w:r>
          </w:p>
        </w:tc>
        <w:tc>
          <w:tcPr>
            <w:tcW w:w="682" w:type="pct"/>
            <w:shd w:val="clear" w:color="auto" w:fill="auto"/>
            <w:vAlign w:val="center"/>
            <w:hideMark/>
          </w:tcPr>
          <w:p w14:paraId="038879D9"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80,62</w:t>
            </w:r>
          </w:p>
        </w:tc>
        <w:tc>
          <w:tcPr>
            <w:tcW w:w="682" w:type="pct"/>
            <w:shd w:val="clear" w:color="auto" w:fill="auto"/>
            <w:vAlign w:val="center"/>
            <w:hideMark/>
          </w:tcPr>
          <w:p w14:paraId="25B72405"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8,37</w:t>
            </w:r>
          </w:p>
        </w:tc>
      </w:tr>
      <w:tr w:rsidR="00DB659A" w:rsidRPr="00D808EB" w14:paraId="0156DF16" w14:textId="77777777" w:rsidTr="00CC28AE">
        <w:trPr>
          <w:trHeight w:val="420"/>
        </w:trPr>
        <w:tc>
          <w:tcPr>
            <w:tcW w:w="235" w:type="pct"/>
            <w:shd w:val="clear" w:color="auto" w:fill="auto"/>
            <w:noWrap/>
            <w:vAlign w:val="center"/>
            <w:hideMark/>
          </w:tcPr>
          <w:p w14:paraId="1DF02876"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05</w:t>
            </w:r>
          </w:p>
        </w:tc>
        <w:tc>
          <w:tcPr>
            <w:tcW w:w="235" w:type="pct"/>
            <w:shd w:val="clear" w:color="auto" w:fill="auto"/>
            <w:noWrap/>
            <w:vAlign w:val="center"/>
            <w:hideMark/>
          </w:tcPr>
          <w:p w14:paraId="214CFD14"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03</w:t>
            </w:r>
          </w:p>
        </w:tc>
        <w:tc>
          <w:tcPr>
            <w:tcW w:w="2485" w:type="pct"/>
            <w:shd w:val="clear" w:color="auto" w:fill="auto"/>
            <w:vAlign w:val="center"/>
            <w:hideMark/>
          </w:tcPr>
          <w:p w14:paraId="2195A350"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Single Market and Customs Programme</w:t>
            </w:r>
          </w:p>
        </w:tc>
        <w:tc>
          <w:tcPr>
            <w:tcW w:w="682" w:type="pct"/>
            <w:shd w:val="clear" w:color="auto" w:fill="auto"/>
            <w:vAlign w:val="center"/>
            <w:hideMark/>
          </w:tcPr>
          <w:p w14:paraId="04A6ECA3"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5,54</w:t>
            </w:r>
          </w:p>
        </w:tc>
        <w:tc>
          <w:tcPr>
            <w:tcW w:w="682" w:type="pct"/>
            <w:shd w:val="clear" w:color="auto" w:fill="auto"/>
            <w:vAlign w:val="center"/>
            <w:hideMark/>
          </w:tcPr>
          <w:p w14:paraId="12D0E203"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6,18</w:t>
            </w:r>
          </w:p>
        </w:tc>
        <w:tc>
          <w:tcPr>
            <w:tcW w:w="682" w:type="pct"/>
            <w:shd w:val="clear" w:color="auto" w:fill="auto"/>
            <w:vAlign w:val="center"/>
            <w:hideMark/>
          </w:tcPr>
          <w:p w14:paraId="727B5ACA"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0,64</w:t>
            </w:r>
          </w:p>
        </w:tc>
      </w:tr>
      <w:tr w:rsidR="00DB659A" w:rsidRPr="00D808EB" w14:paraId="393573AF" w14:textId="77777777" w:rsidTr="00CC28AE">
        <w:trPr>
          <w:trHeight w:val="420"/>
        </w:trPr>
        <w:tc>
          <w:tcPr>
            <w:tcW w:w="235" w:type="pct"/>
            <w:shd w:val="clear" w:color="auto" w:fill="auto"/>
            <w:noWrap/>
            <w:vAlign w:val="center"/>
            <w:hideMark/>
          </w:tcPr>
          <w:p w14:paraId="7CB91173"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05</w:t>
            </w:r>
          </w:p>
        </w:tc>
        <w:tc>
          <w:tcPr>
            <w:tcW w:w="235" w:type="pct"/>
            <w:shd w:val="clear" w:color="auto" w:fill="auto"/>
            <w:noWrap/>
            <w:vAlign w:val="center"/>
            <w:hideMark/>
          </w:tcPr>
          <w:p w14:paraId="62DF6D66"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04</w:t>
            </w:r>
          </w:p>
        </w:tc>
        <w:tc>
          <w:tcPr>
            <w:tcW w:w="2485" w:type="pct"/>
            <w:shd w:val="clear" w:color="auto" w:fill="auto"/>
            <w:vAlign w:val="center"/>
            <w:hideMark/>
          </w:tcPr>
          <w:p w14:paraId="3074DAC4"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Pericles (protection of the Euro)</w:t>
            </w:r>
          </w:p>
        </w:tc>
        <w:tc>
          <w:tcPr>
            <w:tcW w:w="682" w:type="pct"/>
            <w:shd w:val="clear" w:color="auto" w:fill="auto"/>
            <w:vAlign w:val="center"/>
            <w:hideMark/>
          </w:tcPr>
          <w:p w14:paraId="0DF95C96"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0,01</w:t>
            </w:r>
          </w:p>
        </w:tc>
        <w:tc>
          <w:tcPr>
            <w:tcW w:w="682" w:type="pct"/>
            <w:shd w:val="clear" w:color="auto" w:fill="auto"/>
            <w:vAlign w:val="center"/>
            <w:hideMark/>
          </w:tcPr>
          <w:p w14:paraId="32618FA1"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0,01</w:t>
            </w:r>
          </w:p>
        </w:tc>
        <w:tc>
          <w:tcPr>
            <w:tcW w:w="682" w:type="pct"/>
            <w:shd w:val="clear" w:color="auto" w:fill="auto"/>
            <w:vAlign w:val="center"/>
            <w:hideMark/>
          </w:tcPr>
          <w:p w14:paraId="63CFE29C"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0,00</w:t>
            </w:r>
          </w:p>
        </w:tc>
      </w:tr>
      <w:tr w:rsidR="00DB659A" w:rsidRPr="00D808EB" w14:paraId="365D892A" w14:textId="77777777" w:rsidTr="00CC28AE">
        <w:trPr>
          <w:trHeight w:val="420"/>
        </w:trPr>
        <w:tc>
          <w:tcPr>
            <w:tcW w:w="235" w:type="pct"/>
            <w:shd w:val="clear" w:color="auto" w:fill="auto"/>
            <w:noWrap/>
            <w:vAlign w:val="center"/>
            <w:hideMark/>
          </w:tcPr>
          <w:p w14:paraId="52A3C176"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06</w:t>
            </w:r>
          </w:p>
        </w:tc>
        <w:tc>
          <w:tcPr>
            <w:tcW w:w="235" w:type="pct"/>
            <w:shd w:val="clear" w:color="auto" w:fill="auto"/>
            <w:noWrap/>
            <w:vAlign w:val="center"/>
            <w:hideMark/>
          </w:tcPr>
          <w:p w14:paraId="6F41B13E"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02</w:t>
            </w:r>
          </w:p>
        </w:tc>
        <w:tc>
          <w:tcPr>
            <w:tcW w:w="2485" w:type="pct"/>
            <w:shd w:val="clear" w:color="auto" w:fill="auto"/>
            <w:vAlign w:val="center"/>
            <w:hideMark/>
          </w:tcPr>
          <w:p w14:paraId="46398E82"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Erasmus+</w:t>
            </w:r>
          </w:p>
        </w:tc>
        <w:tc>
          <w:tcPr>
            <w:tcW w:w="682" w:type="pct"/>
            <w:shd w:val="clear" w:color="auto" w:fill="auto"/>
            <w:vAlign w:val="center"/>
            <w:hideMark/>
          </w:tcPr>
          <w:p w14:paraId="291CFC27"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36,19</w:t>
            </w:r>
          </w:p>
        </w:tc>
        <w:tc>
          <w:tcPr>
            <w:tcW w:w="682" w:type="pct"/>
            <w:shd w:val="clear" w:color="auto" w:fill="auto"/>
            <w:vAlign w:val="center"/>
            <w:hideMark/>
          </w:tcPr>
          <w:p w14:paraId="58021F5C"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40,38</w:t>
            </w:r>
          </w:p>
        </w:tc>
        <w:tc>
          <w:tcPr>
            <w:tcW w:w="682" w:type="pct"/>
            <w:shd w:val="clear" w:color="auto" w:fill="auto"/>
            <w:vAlign w:val="center"/>
            <w:hideMark/>
          </w:tcPr>
          <w:p w14:paraId="6479F94A"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4,19</w:t>
            </w:r>
          </w:p>
        </w:tc>
      </w:tr>
      <w:tr w:rsidR="00DB659A" w:rsidRPr="00D808EB" w14:paraId="4F741D35" w14:textId="77777777" w:rsidTr="00CC28AE">
        <w:trPr>
          <w:trHeight w:val="420"/>
        </w:trPr>
        <w:tc>
          <w:tcPr>
            <w:tcW w:w="235" w:type="pct"/>
            <w:shd w:val="clear" w:color="auto" w:fill="auto"/>
            <w:noWrap/>
            <w:vAlign w:val="center"/>
            <w:hideMark/>
          </w:tcPr>
          <w:p w14:paraId="3D63DEB5"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06</w:t>
            </w:r>
          </w:p>
        </w:tc>
        <w:tc>
          <w:tcPr>
            <w:tcW w:w="235" w:type="pct"/>
            <w:shd w:val="clear" w:color="auto" w:fill="auto"/>
            <w:noWrap/>
            <w:vAlign w:val="center"/>
            <w:hideMark/>
          </w:tcPr>
          <w:p w14:paraId="3B63A669"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03</w:t>
            </w:r>
          </w:p>
        </w:tc>
        <w:tc>
          <w:tcPr>
            <w:tcW w:w="2485" w:type="pct"/>
            <w:shd w:val="clear" w:color="auto" w:fill="auto"/>
            <w:vAlign w:val="center"/>
            <w:hideMark/>
          </w:tcPr>
          <w:p w14:paraId="78F3F01E"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AgoraEU</w:t>
            </w:r>
          </w:p>
        </w:tc>
        <w:tc>
          <w:tcPr>
            <w:tcW w:w="682" w:type="pct"/>
            <w:shd w:val="clear" w:color="auto" w:fill="auto"/>
            <w:vAlign w:val="center"/>
            <w:hideMark/>
          </w:tcPr>
          <w:p w14:paraId="414FB745"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7,61</w:t>
            </w:r>
          </w:p>
        </w:tc>
        <w:tc>
          <w:tcPr>
            <w:tcW w:w="682" w:type="pct"/>
            <w:shd w:val="clear" w:color="auto" w:fill="auto"/>
            <w:vAlign w:val="center"/>
            <w:hideMark/>
          </w:tcPr>
          <w:p w14:paraId="2A369C06"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8,49</w:t>
            </w:r>
          </w:p>
        </w:tc>
        <w:tc>
          <w:tcPr>
            <w:tcW w:w="682" w:type="pct"/>
            <w:shd w:val="clear" w:color="auto" w:fill="auto"/>
            <w:vAlign w:val="center"/>
            <w:hideMark/>
          </w:tcPr>
          <w:p w14:paraId="0C0C5060"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0,88</w:t>
            </w:r>
          </w:p>
        </w:tc>
      </w:tr>
      <w:tr w:rsidR="00DB659A" w:rsidRPr="00D808EB" w14:paraId="07D4B02C" w14:textId="77777777" w:rsidTr="00CC28AE">
        <w:trPr>
          <w:trHeight w:val="420"/>
        </w:trPr>
        <w:tc>
          <w:tcPr>
            <w:tcW w:w="235" w:type="pct"/>
            <w:shd w:val="clear" w:color="auto" w:fill="auto"/>
            <w:noWrap/>
            <w:vAlign w:val="center"/>
            <w:hideMark/>
          </w:tcPr>
          <w:p w14:paraId="34916C25"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06</w:t>
            </w:r>
          </w:p>
        </w:tc>
        <w:tc>
          <w:tcPr>
            <w:tcW w:w="235" w:type="pct"/>
            <w:shd w:val="clear" w:color="auto" w:fill="auto"/>
            <w:noWrap/>
            <w:vAlign w:val="center"/>
            <w:hideMark/>
          </w:tcPr>
          <w:p w14:paraId="49EEA4E0"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04</w:t>
            </w:r>
          </w:p>
        </w:tc>
        <w:tc>
          <w:tcPr>
            <w:tcW w:w="2485" w:type="pct"/>
            <w:shd w:val="clear" w:color="auto" w:fill="auto"/>
            <w:vAlign w:val="center"/>
            <w:hideMark/>
          </w:tcPr>
          <w:p w14:paraId="6338129E"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UCPM+ (EU Civil Protection Mechanism and health preparedness)</w:t>
            </w:r>
          </w:p>
        </w:tc>
        <w:tc>
          <w:tcPr>
            <w:tcW w:w="682" w:type="pct"/>
            <w:shd w:val="clear" w:color="auto" w:fill="auto"/>
            <w:vAlign w:val="center"/>
            <w:hideMark/>
          </w:tcPr>
          <w:p w14:paraId="792F3127"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9,46</w:t>
            </w:r>
          </w:p>
        </w:tc>
        <w:tc>
          <w:tcPr>
            <w:tcW w:w="682" w:type="pct"/>
            <w:shd w:val="clear" w:color="auto" w:fill="auto"/>
            <w:vAlign w:val="center"/>
            <w:hideMark/>
          </w:tcPr>
          <w:p w14:paraId="227DABBE"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10,55</w:t>
            </w:r>
          </w:p>
        </w:tc>
        <w:tc>
          <w:tcPr>
            <w:tcW w:w="682" w:type="pct"/>
            <w:shd w:val="clear" w:color="auto" w:fill="auto"/>
            <w:vAlign w:val="center"/>
            <w:hideMark/>
          </w:tcPr>
          <w:p w14:paraId="4A325431"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1,10</w:t>
            </w:r>
          </w:p>
        </w:tc>
      </w:tr>
      <w:tr w:rsidR="00DB659A" w:rsidRPr="00D808EB" w14:paraId="50F86079" w14:textId="77777777" w:rsidTr="00CC28AE">
        <w:trPr>
          <w:trHeight w:val="420"/>
        </w:trPr>
        <w:tc>
          <w:tcPr>
            <w:tcW w:w="235" w:type="pct"/>
            <w:shd w:val="clear" w:color="auto" w:fill="auto"/>
            <w:noWrap/>
            <w:vAlign w:val="center"/>
            <w:hideMark/>
          </w:tcPr>
          <w:p w14:paraId="05774FB2"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06</w:t>
            </w:r>
          </w:p>
        </w:tc>
        <w:tc>
          <w:tcPr>
            <w:tcW w:w="235" w:type="pct"/>
            <w:shd w:val="clear" w:color="auto" w:fill="auto"/>
            <w:noWrap/>
            <w:vAlign w:val="center"/>
            <w:hideMark/>
          </w:tcPr>
          <w:p w14:paraId="4D390C9F"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05</w:t>
            </w:r>
          </w:p>
        </w:tc>
        <w:tc>
          <w:tcPr>
            <w:tcW w:w="2485" w:type="pct"/>
            <w:shd w:val="clear" w:color="auto" w:fill="auto"/>
            <w:vAlign w:val="center"/>
            <w:hideMark/>
          </w:tcPr>
          <w:p w14:paraId="20A60901"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Justice</w:t>
            </w:r>
          </w:p>
        </w:tc>
        <w:tc>
          <w:tcPr>
            <w:tcW w:w="682" w:type="pct"/>
            <w:shd w:val="clear" w:color="auto" w:fill="auto"/>
            <w:vAlign w:val="center"/>
            <w:hideMark/>
          </w:tcPr>
          <w:p w14:paraId="1CB42BA7"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0,71</w:t>
            </w:r>
          </w:p>
        </w:tc>
        <w:tc>
          <w:tcPr>
            <w:tcW w:w="682" w:type="pct"/>
            <w:shd w:val="clear" w:color="auto" w:fill="auto"/>
            <w:vAlign w:val="center"/>
            <w:hideMark/>
          </w:tcPr>
          <w:p w14:paraId="46FB79AA"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0,79</w:t>
            </w:r>
          </w:p>
        </w:tc>
        <w:tc>
          <w:tcPr>
            <w:tcW w:w="682" w:type="pct"/>
            <w:shd w:val="clear" w:color="auto" w:fill="auto"/>
            <w:vAlign w:val="center"/>
            <w:hideMark/>
          </w:tcPr>
          <w:p w14:paraId="387739FD"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0,08</w:t>
            </w:r>
          </w:p>
        </w:tc>
      </w:tr>
      <w:tr w:rsidR="00DB659A" w:rsidRPr="00D808EB" w14:paraId="4BBE7A25" w14:textId="77777777" w:rsidTr="00CC28AE">
        <w:trPr>
          <w:trHeight w:val="420"/>
        </w:trPr>
        <w:tc>
          <w:tcPr>
            <w:tcW w:w="235" w:type="pct"/>
            <w:shd w:val="clear" w:color="auto" w:fill="auto"/>
            <w:noWrap/>
            <w:vAlign w:val="center"/>
            <w:hideMark/>
          </w:tcPr>
          <w:p w14:paraId="6399D952"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35" w:type="pct"/>
            <w:shd w:val="clear" w:color="auto" w:fill="auto"/>
            <w:noWrap/>
            <w:vAlign w:val="center"/>
            <w:hideMark/>
          </w:tcPr>
          <w:p w14:paraId="2033170D"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485" w:type="pct"/>
            <w:shd w:val="clear" w:color="auto" w:fill="auto"/>
            <w:vAlign w:val="center"/>
            <w:hideMark/>
          </w:tcPr>
          <w:p w14:paraId="630815A7"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Others</w:t>
            </w:r>
          </w:p>
        </w:tc>
        <w:tc>
          <w:tcPr>
            <w:tcW w:w="682" w:type="pct"/>
            <w:shd w:val="clear" w:color="auto" w:fill="auto"/>
            <w:vAlign w:val="center"/>
            <w:hideMark/>
          </w:tcPr>
          <w:p w14:paraId="48338FE5"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10,92</w:t>
            </w:r>
          </w:p>
        </w:tc>
        <w:tc>
          <w:tcPr>
            <w:tcW w:w="682" w:type="pct"/>
            <w:shd w:val="clear" w:color="auto" w:fill="auto"/>
            <w:vAlign w:val="center"/>
            <w:hideMark/>
          </w:tcPr>
          <w:p w14:paraId="7D241110"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10,92</w:t>
            </w:r>
          </w:p>
        </w:tc>
        <w:tc>
          <w:tcPr>
            <w:tcW w:w="682" w:type="pct"/>
            <w:shd w:val="clear" w:color="auto" w:fill="auto"/>
            <w:vAlign w:val="center"/>
            <w:hideMark/>
          </w:tcPr>
          <w:p w14:paraId="6BAFA0F3"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0,00</w:t>
            </w:r>
          </w:p>
        </w:tc>
      </w:tr>
      <w:tr w:rsidR="00DB659A" w:rsidRPr="00D808EB" w14:paraId="5D88FD6A" w14:textId="77777777" w:rsidTr="00CC28AE">
        <w:trPr>
          <w:trHeight w:val="420"/>
        </w:trPr>
        <w:tc>
          <w:tcPr>
            <w:tcW w:w="235" w:type="pct"/>
            <w:shd w:val="clear" w:color="auto" w:fill="auto"/>
            <w:noWrap/>
            <w:vAlign w:val="center"/>
            <w:hideMark/>
          </w:tcPr>
          <w:p w14:paraId="6560BE9F"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35" w:type="pct"/>
            <w:shd w:val="clear" w:color="auto" w:fill="auto"/>
            <w:noWrap/>
            <w:vAlign w:val="center"/>
            <w:hideMark/>
          </w:tcPr>
          <w:p w14:paraId="4B7DCA27"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485" w:type="pct"/>
            <w:shd w:val="clear" w:color="auto" w:fill="auto"/>
            <w:vAlign w:val="center"/>
            <w:hideMark/>
          </w:tcPr>
          <w:p w14:paraId="33C125B1"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Margins</w:t>
            </w:r>
          </w:p>
        </w:tc>
        <w:tc>
          <w:tcPr>
            <w:tcW w:w="682" w:type="pct"/>
            <w:shd w:val="clear" w:color="auto" w:fill="auto"/>
            <w:vAlign w:val="center"/>
            <w:hideMark/>
          </w:tcPr>
          <w:p w14:paraId="13CFC3E1"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7,09</w:t>
            </w:r>
          </w:p>
        </w:tc>
        <w:tc>
          <w:tcPr>
            <w:tcW w:w="682" w:type="pct"/>
            <w:shd w:val="clear" w:color="auto" w:fill="auto"/>
            <w:vAlign w:val="center"/>
            <w:hideMark/>
          </w:tcPr>
          <w:p w14:paraId="249A5AA5"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7,09</w:t>
            </w:r>
          </w:p>
        </w:tc>
        <w:tc>
          <w:tcPr>
            <w:tcW w:w="682" w:type="pct"/>
            <w:shd w:val="clear" w:color="auto" w:fill="auto"/>
            <w:vAlign w:val="center"/>
            <w:hideMark/>
          </w:tcPr>
          <w:p w14:paraId="50941F7E"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0,00</w:t>
            </w:r>
          </w:p>
        </w:tc>
      </w:tr>
      <w:tr w:rsidR="00DB659A" w:rsidRPr="00D808EB" w14:paraId="63C333BD" w14:textId="77777777" w:rsidTr="00CC28AE">
        <w:trPr>
          <w:trHeight w:val="420"/>
        </w:trPr>
        <w:tc>
          <w:tcPr>
            <w:tcW w:w="2955" w:type="pct"/>
            <w:gridSpan w:val="3"/>
            <w:shd w:val="clear" w:color="000000" w:fill="F2F2F2"/>
            <w:noWrap/>
            <w:vAlign w:val="center"/>
            <w:hideMark/>
          </w:tcPr>
          <w:p w14:paraId="6B6EA0C6" w14:textId="77777777" w:rsidR="00DB659A" w:rsidRPr="00D808EB" w:rsidRDefault="00DB659A" w:rsidP="00CC28AE">
            <w:pPr>
              <w:rPr>
                <w:rFonts w:ascii="Calibri" w:hAnsi="Calibri" w:cs="Calibri"/>
                <w:b/>
                <w:bCs/>
                <w:color w:val="000000"/>
                <w:szCs w:val="24"/>
              </w:rPr>
            </w:pPr>
            <w:r w:rsidRPr="00D808EB">
              <w:rPr>
                <w:rFonts w:ascii="Calibri" w:hAnsi="Calibri" w:cs="Calibri"/>
                <w:b/>
                <w:bCs/>
                <w:color w:val="000000"/>
                <w:szCs w:val="24"/>
              </w:rPr>
              <w:t>Heading 3: Global Europe</w:t>
            </w:r>
          </w:p>
        </w:tc>
        <w:tc>
          <w:tcPr>
            <w:tcW w:w="682" w:type="pct"/>
            <w:shd w:val="clear" w:color="000000" w:fill="F2F2F2"/>
            <w:vAlign w:val="center"/>
            <w:hideMark/>
          </w:tcPr>
          <w:p w14:paraId="0E1AC0E5"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190,00</w:t>
            </w:r>
          </w:p>
        </w:tc>
        <w:tc>
          <w:tcPr>
            <w:tcW w:w="682" w:type="pct"/>
            <w:shd w:val="clear" w:color="000000" w:fill="F2F2F2"/>
            <w:vAlign w:val="center"/>
            <w:hideMark/>
          </w:tcPr>
          <w:p w14:paraId="3366D980"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211,25</w:t>
            </w:r>
          </w:p>
        </w:tc>
        <w:tc>
          <w:tcPr>
            <w:tcW w:w="682" w:type="pct"/>
            <w:shd w:val="clear" w:color="000000" w:fill="F2F2F2"/>
            <w:vAlign w:val="center"/>
            <w:hideMark/>
          </w:tcPr>
          <w:p w14:paraId="0BB2C1D8"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21,25</w:t>
            </w:r>
          </w:p>
        </w:tc>
      </w:tr>
      <w:tr w:rsidR="00DB659A" w:rsidRPr="00D808EB" w14:paraId="435AF056" w14:textId="77777777" w:rsidTr="00CC28AE">
        <w:trPr>
          <w:trHeight w:val="420"/>
        </w:trPr>
        <w:tc>
          <w:tcPr>
            <w:tcW w:w="235" w:type="pct"/>
            <w:shd w:val="clear" w:color="auto" w:fill="auto"/>
            <w:noWrap/>
            <w:vAlign w:val="center"/>
            <w:hideMark/>
          </w:tcPr>
          <w:p w14:paraId="52A4C34F"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07</w:t>
            </w:r>
          </w:p>
        </w:tc>
        <w:tc>
          <w:tcPr>
            <w:tcW w:w="235" w:type="pct"/>
            <w:shd w:val="clear" w:color="auto" w:fill="auto"/>
            <w:noWrap/>
            <w:vAlign w:val="center"/>
            <w:hideMark/>
          </w:tcPr>
          <w:p w14:paraId="15E58BE3"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485" w:type="pct"/>
            <w:shd w:val="clear" w:color="auto" w:fill="auto"/>
            <w:vAlign w:val="center"/>
            <w:hideMark/>
          </w:tcPr>
          <w:p w14:paraId="2234434E"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Global Europe</w:t>
            </w:r>
          </w:p>
        </w:tc>
        <w:tc>
          <w:tcPr>
            <w:tcW w:w="682" w:type="pct"/>
            <w:shd w:val="clear" w:color="auto" w:fill="auto"/>
            <w:vAlign w:val="center"/>
            <w:hideMark/>
          </w:tcPr>
          <w:p w14:paraId="4A06D7E2"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176,83</w:t>
            </w:r>
          </w:p>
        </w:tc>
        <w:tc>
          <w:tcPr>
            <w:tcW w:w="682" w:type="pct"/>
            <w:shd w:val="clear" w:color="auto" w:fill="auto"/>
            <w:vAlign w:val="center"/>
            <w:hideMark/>
          </w:tcPr>
          <w:p w14:paraId="0394DD0F"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197,49</w:t>
            </w:r>
          </w:p>
        </w:tc>
        <w:tc>
          <w:tcPr>
            <w:tcW w:w="682" w:type="pct"/>
            <w:shd w:val="clear" w:color="auto" w:fill="auto"/>
            <w:vAlign w:val="center"/>
            <w:hideMark/>
          </w:tcPr>
          <w:p w14:paraId="00F147C5"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20,66</w:t>
            </w:r>
          </w:p>
        </w:tc>
      </w:tr>
      <w:tr w:rsidR="00DB659A" w:rsidRPr="00D808EB" w14:paraId="672A3D37" w14:textId="77777777" w:rsidTr="00CC28AE">
        <w:trPr>
          <w:trHeight w:val="420"/>
        </w:trPr>
        <w:tc>
          <w:tcPr>
            <w:tcW w:w="235" w:type="pct"/>
            <w:shd w:val="clear" w:color="auto" w:fill="auto"/>
            <w:noWrap/>
            <w:vAlign w:val="center"/>
            <w:hideMark/>
          </w:tcPr>
          <w:p w14:paraId="12C2EDAF"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08</w:t>
            </w:r>
          </w:p>
        </w:tc>
        <w:tc>
          <w:tcPr>
            <w:tcW w:w="235" w:type="pct"/>
            <w:shd w:val="clear" w:color="auto" w:fill="auto"/>
            <w:noWrap/>
            <w:vAlign w:val="center"/>
            <w:hideMark/>
          </w:tcPr>
          <w:p w14:paraId="5B251ABB"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02</w:t>
            </w:r>
          </w:p>
        </w:tc>
        <w:tc>
          <w:tcPr>
            <w:tcW w:w="2485" w:type="pct"/>
            <w:shd w:val="clear" w:color="auto" w:fill="auto"/>
            <w:vAlign w:val="center"/>
            <w:hideMark/>
          </w:tcPr>
          <w:p w14:paraId="397F4EB4"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Common Foreign and Security Policy</w:t>
            </w:r>
          </w:p>
        </w:tc>
        <w:tc>
          <w:tcPr>
            <w:tcW w:w="682" w:type="pct"/>
            <w:shd w:val="clear" w:color="auto" w:fill="auto"/>
            <w:vAlign w:val="center"/>
            <w:hideMark/>
          </w:tcPr>
          <w:p w14:paraId="63FB0FE7"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2,99</w:t>
            </w:r>
          </w:p>
        </w:tc>
        <w:tc>
          <w:tcPr>
            <w:tcW w:w="682" w:type="pct"/>
            <w:shd w:val="clear" w:color="auto" w:fill="auto"/>
            <w:vAlign w:val="center"/>
            <w:hideMark/>
          </w:tcPr>
          <w:p w14:paraId="319DF9D2"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3,34</w:t>
            </w:r>
          </w:p>
        </w:tc>
        <w:tc>
          <w:tcPr>
            <w:tcW w:w="682" w:type="pct"/>
            <w:shd w:val="clear" w:color="auto" w:fill="auto"/>
            <w:vAlign w:val="center"/>
            <w:hideMark/>
          </w:tcPr>
          <w:p w14:paraId="1485AC28"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0,35</w:t>
            </w:r>
          </w:p>
        </w:tc>
      </w:tr>
      <w:tr w:rsidR="00DB659A" w:rsidRPr="00D808EB" w14:paraId="099384BF" w14:textId="77777777" w:rsidTr="00CC28AE">
        <w:trPr>
          <w:trHeight w:val="420"/>
        </w:trPr>
        <w:tc>
          <w:tcPr>
            <w:tcW w:w="235" w:type="pct"/>
            <w:shd w:val="clear" w:color="auto" w:fill="auto"/>
            <w:noWrap/>
            <w:vAlign w:val="center"/>
            <w:hideMark/>
          </w:tcPr>
          <w:p w14:paraId="5A7B5A25"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08</w:t>
            </w:r>
          </w:p>
        </w:tc>
        <w:tc>
          <w:tcPr>
            <w:tcW w:w="235" w:type="pct"/>
            <w:shd w:val="clear" w:color="auto" w:fill="auto"/>
            <w:noWrap/>
            <w:vAlign w:val="center"/>
            <w:hideMark/>
          </w:tcPr>
          <w:p w14:paraId="493E1E40"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03</w:t>
            </w:r>
          </w:p>
        </w:tc>
        <w:tc>
          <w:tcPr>
            <w:tcW w:w="2485" w:type="pct"/>
            <w:shd w:val="clear" w:color="auto" w:fill="auto"/>
            <w:vAlign w:val="center"/>
            <w:hideMark/>
          </w:tcPr>
          <w:p w14:paraId="6F1B4ACC"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Overseas countries and territories</w:t>
            </w:r>
          </w:p>
        </w:tc>
        <w:tc>
          <w:tcPr>
            <w:tcW w:w="682" w:type="pct"/>
            <w:shd w:val="clear" w:color="auto" w:fill="auto"/>
            <w:vAlign w:val="center"/>
            <w:hideMark/>
          </w:tcPr>
          <w:p w14:paraId="0511743E"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0,89</w:t>
            </w:r>
          </w:p>
        </w:tc>
        <w:tc>
          <w:tcPr>
            <w:tcW w:w="682" w:type="pct"/>
            <w:shd w:val="clear" w:color="auto" w:fill="auto"/>
            <w:vAlign w:val="center"/>
            <w:hideMark/>
          </w:tcPr>
          <w:p w14:paraId="09A51304"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0,99</w:t>
            </w:r>
          </w:p>
        </w:tc>
        <w:tc>
          <w:tcPr>
            <w:tcW w:w="682" w:type="pct"/>
            <w:shd w:val="clear" w:color="auto" w:fill="auto"/>
            <w:vAlign w:val="center"/>
            <w:hideMark/>
          </w:tcPr>
          <w:p w14:paraId="1CD7458A"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0,10</w:t>
            </w:r>
          </w:p>
        </w:tc>
      </w:tr>
      <w:tr w:rsidR="00DB659A" w:rsidRPr="00D808EB" w14:paraId="274A0366" w14:textId="77777777" w:rsidTr="00CC28AE">
        <w:trPr>
          <w:trHeight w:val="420"/>
        </w:trPr>
        <w:tc>
          <w:tcPr>
            <w:tcW w:w="235" w:type="pct"/>
            <w:shd w:val="clear" w:color="auto" w:fill="auto"/>
            <w:noWrap/>
            <w:vAlign w:val="center"/>
            <w:hideMark/>
          </w:tcPr>
          <w:p w14:paraId="7B583D0B"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XX</w:t>
            </w:r>
          </w:p>
        </w:tc>
        <w:tc>
          <w:tcPr>
            <w:tcW w:w="235" w:type="pct"/>
            <w:shd w:val="clear" w:color="auto" w:fill="auto"/>
            <w:noWrap/>
            <w:vAlign w:val="center"/>
            <w:hideMark/>
          </w:tcPr>
          <w:p w14:paraId="032ACEE7" w14:textId="77777777" w:rsidR="00DB659A" w:rsidRPr="00D808EB" w:rsidRDefault="00DB659A" w:rsidP="00CC28AE">
            <w:pPr>
              <w:jc w:val="center"/>
              <w:rPr>
                <w:rFonts w:ascii="Calibri" w:hAnsi="Calibri" w:cs="Calibri"/>
                <w:i/>
                <w:iCs/>
                <w:color w:val="000000"/>
                <w:szCs w:val="24"/>
              </w:rPr>
            </w:pPr>
            <w:r w:rsidRPr="00D808EB">
              <w:rPr>
                <w:rFonts w:ascii="Calibri" w:hAnsi="Calibri" w:cs="Calibri"/>
                <w:i/>
                <w:iCs/>
                <w:color w:val="000000"/>
                <w:szCs w:val="24"/>
              </w:rPr>
              <w:t>XX</w:t>
            </w:r>
          </w:p>
        </w:tc>
        <w:tc>
          <w:tcPr>
            <w:tcW w:w="2485" w:type="pct"/>
            <w:shd w:val="clear" w:color="auto" w:fill="auto"/>
            <w:vAlign w:val="center"/>
            <w:hideMark/>
          </w:tcPr>
          <w:p w14:paraId="1C5029CB"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Sustainable Fisheries Partnership Agreements (SFPAS) And Regional Fisheries Management Organisations (RFMOS)</w:t>
            </w:r>
          </w:p>
        </w:tc>
        <w:tc>
          <w:tcPr>
            <w:tcW w:w="682" w:type="pct"/>
            <w:shd w:val="clear" w:color="auto" w:fill="auto"/>
            <w:vAlign w:val="center"/>
            <w:hideMark/>
          </w:tcPr>
          <w:p w14:paraId="4A601B3A"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1,18</w:t>
            </w:r>
          </w:p>
        </w:tc>
        <w:tc>
          <w:tcPr>
            <w:tcW w:w="682" w:type="pct"/>
            <w:shd w:val="clear" w:color="auto" w:fill="auto"/>
            <w:vAlign w:val="center"/>
            <w:hideMark/>
          </w:tcPr>
          <w:p w14:paraId="64015FAD"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1,32</w:t>
            </w:r>
          </w:p>
        </w:tc>
        <w:tc>
          <w:tcPr>
            <w:tcW w:w="682" w:type="pct"/>
            <w:shd w:val="clear" w:color="auto" w:fill="auto"/>
            <w:vAlign w:val="center"/>
            <w:hideMark/>
          </w:tcPr>
          <w:p w14:paraId="23C0675C"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0,14</w:t>
            </w:r>
          </w:p>
        </w:tc>
      </w:tr>
      <w:tr w:rsidR="00DB659A" w:rsidRPr="00D808EB" w14:paraId="2298C7B5" w14:textId="77777777" w:rsidTr="00CC28AE">
        <w:trPr>
          <w:trHeight w:val="420"/>
        </w:trPr>
        <w:tc>
          <w:tcPr>
            <w:tcW w:w="235" w:type="pct"/>
            <w:shd w:val="clear" w:color="auto" w:fill="auto"/>
            <w:noWrap/>
            <w:vAlign w:val="center"/>
            <w:hideMark/>
          </w:tcPr>
          <w:p w14:paraId="5D7124C3"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35" w:type="pct"/>
            <w:shd w:val="clear" w:color="auto" w:fill="auto"/>
            <w:noWrap/>
            <w:vAlign w:val="center"/>
            <w:hideMark/>
          </w:tcPr>
          <w:p w14:paraId="589C3C55"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485" w:type="pct"/>
            <w:shd w:val="clear" w:color="auto" w:fill="auto"/>
            <w:vAlign w:val="center"/>
            <w:hideMark/>
          </w:tcPr>
          <w:p w14:paraId="7CC36D81"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Others</w:t>
            </w:r>
          </w:p>
        </w:tc>
        <w:tc>
          <w:tcPr>
            <w:tcW w:w="682" w:type="pct"/>
            <w:shd w:val="clear" w:color="auto" w:fill="auto"/>
            <w:vAlign w:val="center"/>
            <w:hideMark/>
          </w:tcPr>
          <w:p w14:paraId="704CEBE4"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1,00</w:t>
            </w:r>
          </w:p>
        </w:tc>
        <w:tc>
          <w:tcPr>
            <w:tcW w:w="682" w:type="pct"/>
            <w:shd w:val="clear" w:color="auto" w:fill="auto"/>
            <w:vAlign w:val="center"/>
            <w:hideMark/>
          </w:tcPr>
          <w:p w14:paraId="520277BF"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1,00</w:t>
            </w:r>
          </w:p>
        </w:tc>
        <w:tc>
          <w:tcPr>
            <w:tcW w:w="682" w:type="pct"/>
            <w:shd w:val="clear" w:color="auto" w:fill="auto"/>
            <w:vAlign w:val="center"/>
            <w:hideMark/>
          </w:tcPr>
          <w:p w14:paraId="43B8C635"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0,00</w:t>
            </w:r>
          </w:p>
        </w:tc>
      </w:tr>
      <w:tr w:rsidR="00DB659A" w:rsidRPr="00D808EB" w14:paraId="62867C61" w14:textId="77777777" w:rsidTr="00CC28AE">
        <w:trPr>
          <w:trHeight w:val="420"/>
        </w:trPr>
        <w:tc>
          <w:tcPr>
            <w:tcW w:w="235" w:type="pct"/>
            <w:shd w:val="clear" w:color="auto" w:fill="auto"/>
            <w:noWrap/>
            <w:vAlign w:val="center"/>
            <w:hideMark/>
          </w:tcPr>
          <w:p w14:paraId="5A32262C"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35" w:type="pct"/>
            <w:shd w:val="clear" w:color="auto" w:fill="auto"/>
            <w:noWrap/>
            <w:vAlign w:val="center"/>
            <w:hideMark/>
          </w:tcPr>
          <w:p w14:paraId="50EF4165" w14:textId="77777777" w:rsidR="00DB659A" w:rsidRPr="00D808EB" w:rsidRDefault="00DB659A" w:rsidP="00CC28AE">
            <w:pPr>
              <w:jc w:val="center"/>
              <w:rPr>
                <w:rFonts w:ascii="Calibri" w:hAnsi="Calibri" w:cs="Calibri"/>
                <w:b/>
                <w:bCs/>
                <w:color w:val="000000"/>
                <w:szCs w:val="24"/>
              </w:rPr>
            </w:pPr>
            <w:r w:rsidRPr="00D808EB">
              <w:rPr>
                <w:rFonts w:ascii="Calibri" w:hAnsi="Calibri" w:cs="Calibri"/>
                <w:b/>
                <w:bCs/>
                <w:color w:val="000000"/>
                <w:szCs w:val="24"/>
              </w:rPr>
              <w:t> </w:t>
            </w:r>
          </w:p>
        </w:tc>
        <w:tc>
          <w:tcPr>
            <w:tcW w:w="2485" w:type="pct"/>
            <w:shd w:val="clear" w:color="auto" w:fill="auto"/>
            <w:vAlign w:val="center"/>
            <w:hideMark/>
          </w:tcPr>
          <w:p w14:paraId="05ACB09D" w14:textId="77777777" w:rsidR="00DB659A" w:rsidRPr="00D808EB" w:rsidRDefault="00DB659A" w:rsidP="00CC28AE">
            <w:pPr>
              <w:rPr>
                <w:rFonts w:ascii="Calibri" w:hAnsi="Calibri" w:cs="Calibri"/>
                <w:i/>
                <w:iCs/>
                <w:color w:val="000000"/>
                <w:szCs w:val="24"/>
              </w:rPr>
            </w:pPr>
            <w:r w:rsidRPr="00D808EB">
              <w:rPr>
                <w:rFonts w:ascii="Calibri" w:hAnsi="Calibri" w:cs="Calibri"/>
                <w:i/>
                <w:iCs/>
                <w:color w:val="000000"/>
                <w:szCs w:val="24"/>
              </w:rPr>
              <w:t>Margins</w:t>
            </w:r>
          </w:p>
        </w:tc>
        <w:tc>
          <w:tcPr>
            <w:tcW w:w="682" w:type="pct"/>
            <w:shd w:val="clear" w:color="auto" w:fill="auto"/>
            <w:vAlign w:val="center"/>
            <w:hideMark/>
          </w:tcPr>
          <w:p w14:paraId="4D00203F"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7,12</w:t>
            </w:r>
          </w:p>
        </w:tc>
        <w:tc>
          <w:tcPr>
            <w:tcW w:w="682" w:type="pct"/>
            <w:shd w:val="clear" w:color="auto" w:fill="auto"/>
            <w:vAlign w:val="center"/>
            <w:hideMark/>
          </w:tcPr>
          <w:p w14:paraId="18E1E6FB" w14:textId="77777777" w:rsidR="00DB659A" w:rsidRPr="00D808EB" w:rsidRDefault="00DB659A" w:rsidP="00CC28AE">
            <w:pPr>
              <w:jc w:val="right"/>
              <w:rPr>
                <w:rFonts w:ascii="Calibri" w:hAnsi="Calibri" w:cs="Calibri"/>
                <w:i/>
                <w:iCs/>
                <w:szCs w:val="24"/>
              </w:rPr>
            </w:pPr>
            <w:r w:rsidRPr="00D808EB">
              <w:rPr>
                <w:rFonts w:ascii="Calibri" w:hAnsi="Calibri" w:cs="Calibri"/>
                <w:i/>
                <w:iCs/>
                <w:szCs w:val="24"/>
              </w:rPr>
              <w:t>7,12</w:t>
            </w:r>
          </w:p>
        </w:tc>
        <w:tc>
          <w:tcPr>
            <w:tcW w:w="682" w:type="pct"/>
            <w:shd w:val="clear" w:color="auto" w:fill="auto"/>
            <w:vAlign w:val="center"/>
            <w:hideMark/>
          </w:tcPr>
          <w:p w14:paraId="2D66F9B6"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0,00</w:t>
            </w:r>
          </w:p>
        </w:tc>
      </w:tr>
      <w:tr w:rsidR="00DB659A" w:rsidRPr="00D808EB" w14:paraId="19D80E96" w14:textId="77777777" w:rsidTr="00CC28AE">
        <w:trPr>
          <w:trHeight w:val="420"/>
        </w:trPr>
        <w:tc>
          <w:tcPr>
            <w:tcW w:w="2955" w:type="pct"/>
            <w:gridSpan w:val="3"/>
            <w:shd w:val="clear" w:color="000000" w:fill="F2F2F2"/>
            <w:noWrap/>
            <w:vAlign w:val="center"/>
            <w:hideMark/>
          </w:tcPr>
          <w:p w14:paraId="5C5E7718" w14:textId="77777777" w:rsidR="00DB659A" w:rsidRPr="00D808EB" w:rsidRDefault="00DB659A" w:rsidP="00CC28AE">
            <w:pPr>
              <w:rPr>
                <w:rFonts w:ascii="Calibri" w:hAnsi="Calibri" w:cs="Calibri"/>
                <w:b/>
                <w:bCs/>
                <w:color w:val="000000"/>
                <w:szCs w:val="24"/>
              </w:rPr>
            </w:pPr>
            <w:r w:rsidRPr="00D808EB">
              <w:rPr>
                <w:rFonts w:ascii="Calibri" w:hAnsi="Calibri" w:cs="Calibri"/>
                <w:b/>
                <w:bCs/>
                <w:color w:val="000000"/>
                <w:szCs w:val="24"/>
              </w:rPr>
              <w:t>Heading 4: Administration</w:t>
            </w:r>
          </w:p>
        </w:tc>
        <w:tc>
          <w:tcPr>
            <w:tcW w:w="682" w:type="pct"/>
            <w:shd w:val="clear" w:color="000000" w:fill="F2F2F2"/>
            <w:vAlign w:val="center"/>
            <w:hideMark/>
          </w:tcPr>
          <w:p w14:paraId="2F0BB61A"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104,40</w:t>
            </w:r>
          </w:p>
        </w:tc>
        <w:tc>
          <w:tcPr>
            <w:tcW w:w="682" w:type="pct"/>
            <w:shd w:val="clear" w:color="000000" w:fill="F2F2F2"/>
            <w:vAlign w:val="center"/>
            <w:hideMark/>
          </w:tcPr>
          <w:p w14:paraId="6F55C9E0"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104,40</w:t>
            </w:r>
          </w:p>
        </w:tc>
        <w:tc>
          <w:tcPr>
            <w:tcW w:w="682" w:type="pct"/>
            <w:shd w:val="clear" w:color="000000" w:fill="F2F2F2"/>
            <w:vAlign w:val="center"/>
            <w:hideMark/>
          </w:tcPr>
          <w:p w14:paraId="492E8CB0" w14:textId="77777777" w:rsidR="00DB659A" w:rsidRPr="00D808EB" w:rsidRDefault="00DB659A" w:rsidP="00CC28AE">
            <w:pPr>
              <w:jc w:val="right"/>
              <w:rPr>
                <w:rFonts w:ascii="Calibri" w:hAnsi="Calibri" w:cs="Calibri"/>
                <w:b/>
                <w:bCs/>
                <w:szCs w:val="24"/>
              </w:rPr>
            </w:pPr>
            <w:r w:rsidRPr="00D808EB">
              <w:rPr>
                <w:rFonts w:ascii="Calibri" w:hAnsi="Calibri" w:cs="Calibri"/>
                <w:b/>
                <w:bCs/>
                <w:szCs w:val="24"/>
              </w:rPr>
              <w:t>0,00</w:t>
            </w:r>
          </w:p>
        </w:tc>
      </w:tr>
    </w:tbl>
    <w:p w14:paraId="10B45162" w14:textId="77777777" w:rsidR="00DB659A" w:rsidRPr="00D808EB" w:rsidRDefault="00DB659A" w:rsidP="00DB659A"/>
    <w:p w14:paraId="70A2DB9D" w14:textId="77777777" w:rsidR="00DB659A" w:rsidRPr="00D808EB" w:rsidRDefault="00DB659A" w:rsidP="00DB659A">
      <w:r w:rsidRPr="00D808EB">
        <w:br w:type="page"/>
      </w:r>
    </w:p>
    <w:p w14:paraId="32D00D06" w14:textId="77777777" w:rsidR="00DB659A" w:rsidRPr="00D808EB" w:rsidRDefault="00DB659A" w:rsidP="00DB659A">
      <w:pPr>
        <w:rPr>
          <w:b/>
          <w:bCs/>
          <w:u w:val="single"/>
        </w:rPr>
      </w:pPr>
      <w:r w:rsidRPr="00D808EB">
        <w:rPr>
          <w:rFonts w:eastAsiaTheme="minorHAnsi"/>
          <w:b/>
          <w:bCs/>
          <w:kern w:val="2"/>
          <w:szCs w:val="24"/>
          <w:lang w:eastAsia="en-US"/>
          <w14:ligatures w14:val="standardContextual"/>
        </w:rPr>
        <w:t>9.</w:t>
      </w:r>
      <w:r w:rsidRPr="00D808EB">
        <w:rPr>
          <w:rFonts w:eastAsiaTheme="minorHAnsi"/>
          <w:b/>
          <w:bCs/>
          <w:kern w:val="2"/>
          <w:szCs w:val="24"/>
          <w:lang w:eastAsia="en-US"/>
          <w14:ligatures w14:val="standardContextual"/>
        </w:rPr>
        <w:tab/>
      </w:r>
      <w:r w:rsidRPr="00D808EB">
        <w:rPr>
          <w:b/>
          <w:bCs/>
          <w:u w:val="single"/>
        </w:rPr>
        <w:t>Annex III: Indicative nomenclature (without pre-empting the outcome of the respective ordinary legislative procedures)</w:t>
      </w:r>
    </w:p>
    <w:p w14:paraId="729063BC" w14:textId="77777777" w:rsidR="00DB659A" w:rsidRPr="00D808EB" w:rsidRDefault="00DB659A" w:rsidP="00DB659A">
      <w:pPr>
        <w:pStyle w:val="ListParagraph"/>
        <w:ind w:left="0"/>
      </w:pPr>
    </w:p>
    <w:p w14:paraId="284F2B38" w14:textId="77777777" w:rsidR="00DB659A" w:rsidRPr="00D808EB" w:rsidRDefault="00DB659A" w:rsidP="00DB659A">
      <w:pPr>
        <w:pStyle w:val="ListParagraph"/>
        <w:ind w:left="0"/>
      </w:pPr>
    </w:p>
    <w:tbl>
      <w:tblPr>
        <w:tblW w:w="5000" w:type="pct"/>
        <w:tblLook w:val="04A0" w:firstRow="1" w:lastRow="0" w:firstColumn="1" w:lastColumn="0" w:noHBand="0" w:noVBand="1"/>
      </w:tblPr>
      <w:tblGrid>
        <w:gridCol w:w="500"/>
        <w:gridCol w:w="499"/>
        <w:gridCol w:w="499"/>
        <w:gridCol w:w="499"/>
        <w:gridCol w:w="12269"/>
      </w:tblGrid>
      <w:tr w:rsidR="00DB659A" w:rsidRPr="00D808EB" w14:paraId="440746DB" w14:textId="77777777" w:rsidTr="00CC28AE">
        <w:trPr>
          <w:trHeight w:val="360"/>
        </w:trPr>
        <w:tc>
          <w:tcPr>
            <w:tcW w:w="5000" w:type="pct"/>
            <w:gridSpan w:val="5"/>
            <w:tcBorders>
              <w:top w:val="single" w:sz="8" w:space="0" w:color="000000"/>
              <w:left w:val="single" w:sz="8" w:space="0" w:color="000000"/>
              <w:bottom w:val="nil"/>
              <w:right w:val="single" w:sz="8" w:space="0" w:color="000000"/>
            </w:tcBorders>
            <w:shd w:val="clear" w:color="auto" w:fill="auto"/>
            <w:noWrap/>
            <w:vAlign w:val="center"/>
            <w:hideMark/>
          </w:tcPr>
          <w:p w14:paraId="0039CA01" w14:textId="5BC70159" w:rsidR="00DB659A" w:rsidRPr="00D808EB" w:rsidRDefault="00DB659A" w:rsidP="00CC28AE">
            <w:pPr>
              <w:rPr>
                <w:b/>
                <w:bCs/>
                <w:color w:val="000000"/>
                <w:sz w:val="28"/>
                <w:szCs w:val="28"/>
              </w:rPr>
            </w:pPr>
            <w:r w:rsidRPr="00D808EB">
              <w:rPr>
                <w:b/>
                <w:bCs/>
                <w:color w:val="000000"/>
                <w:sz w:val="28"/>
                <w:szCs w:val="28"/>
              </w:rPr>
              <w:t>Heading 1: Europe</w:t>
            </w:r>
            <w:r w:rsidR="00C728B7">
              <w:rPr>
                <w:b/>
                <w:bCs/>
                <w:color w:val="000000"/>
                <w:sz w:val="28"/>
                <w:szCs w:val="28"/>
              </w:rPr>
              <w:t>’</w:t>
            </w:r>
            <w:r w:rsidRPr="00D808EB">
              <w:rPr>
                <w:b/>
                <w:bCs/>
                <w:color w:val="000000"/>
                <w:sz w:val="28"/>
                <w:szCs w:val="28"/>
              </w:rPr>
              <w:t>s Social model and quality of life</w:t>
            </w:r>
          </w:p>
        </w:tc>
      </w:tr>
      <w:tr w:rsidR="00DB659A" w:rsidRPr="00D808EB" w14:paraId="41656DCB" w14:textId="77777777" w:rsidTr="00CC28AE">
        <w:trPr>
          <w:trHeight w:val="600"/>
        </w:trPr>
        <w:tc>
          <w:tcPr>
            <w:tcW w:w="175"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63605C4" w14:textId="77777777" w:rsidR="00DB659A" w:rsidRPr="00D808EB" w:rsidRDefault="00DB659A" w:rsidP="00CC28AE">
            <w:pPr>
              <w:jc w:val="center"/>
              <w:rPr>
                <w:b/>
                <w:bCs/>
                <w:color w:val="000000"/>
              </w:rPr>
            </w:pPr>
            <w:r w:rsidRPr="00D808EB">
              <w:rPr>
                <w:b/>
                <w:bCs/>
                <w:color w:val="000000"/>
              </w:rPr>
              <w:t>02</w:t>
            </w:r>
          </w:p>
        </w:tc>
        <w:tc>
          <w:tcPr>
            <w:tcW w:w="175" w:type="pct"/>
            <w:tcBorders>
              <w:top w:val="single" w:sz="4" w:space="0" w:color="auto"/>
              <w:left w:val="nil"/>
              <w:bottom w:val="single" w:sz="4" w:space="0" w:color="auto"/>
              <w:right w:val="single" w:sz="4" w:space="0" w:color="auto"/>
            </w:tcBorders>
            <w:shd w:val="clear" w:color="000000" w:fill="A6A6A6"/>
            <w:noWrap/>
            <w:vAlign w:val="center"/>
            <w:hideMark/>
          </w:tcPr>
          <w:p w14:paraId="41881FFF" w14:textId="77777777" w:rsidR="00DB659A" w:rsidRPr="00D808EB" w:rsidRDefault="00DB659A" w:rsidP="00CC28AE">
            <w:pPr>
              <w:jc w:val="center"/>
              <w:rPr>
                <w:b/>
                <w:bCs/>
                <w:color w:val="000000"/>
              </w:rPr>
            </w:pPr>
            <w:r w:rsidRPr="00D808EB">
              <w:rPr>
                <w:b/>
                <w:bCs/>
                <w:color w:val="000000"/>
              </w:rPr>
              <w:t> </w:t>
            </w:r>
          </w:p>
        </w:tc>
        <w:tc>
          <w:tcPr>
            <w:tcW w:w="175" w:type="pct"/>
            <w:tcBorders>
              <w:top w:val="single" w:sz="4" w:space="0" w:color="auto"/>
              <w:left w:val="nil"/>
              <w:bottom w:val="single" w:sz="4" w:space="0" w:color="auto"/>
              <w:right w:val="single" w:sz="4" w:space="0" w:color="auto"/>
            </w:tcBorders>
            <w:shd w:val="clear" w:color="000000" w:fill="A6A6A6"/>
            <w:noWrap/>
            <w:vAlign w:val="center"/>
            <w:hideMark/>
          </w:tcPr>
          <w:p w14:paraId="1E4053C7" w14:textId="77777777" w:rsidR="00DB659A" w:rsidRPr="00D808EB" w:rsidRDefault="00DB659A" w:rsidP="00CC28AE">
            <w:pPr>
              <w:jc w:val="center"/>
              <w:rPr>
                <w:b/>
                <w:bCs/>
                <w:color w:val="000000"/>
              </w:rPr>
            </w:pPr>
            <w:r w:rsidRPr="00D808EB">
              <w:rPr>
                <w:b/>
                <w:bCs/>
                <w:color w:val="000000"/>
              </w:rPr>
              <w:t> </w:t>
            </w:r>
          </w:p>
        </w:tc>
        <w:tc>
          <w:tcPr>
            <w:tcW w:w="175" w:type="pct"/>
            <w:tcBorders>
              <w:top w:val="single" w:sz="4" w:space="0" w:color="auto"/>
              <w:left w:val="nil"/>
              <w:bottom w:val="single" w:sz="4" w:space="0" w:color="auto"/>
              <w:right w:val="single" w:sz="4" w:space="0" w:color="auto"/>
            </w:tcBorders>
            <w:shd w:val="clear" w:color="000000" w:fill="A6A6A6"/>
            <w:noWrap/>
            <w:vAlign w:val="center"/>
            <w:hideMark/>
          </w:tcPr>
          <w:p w14:paraId="24DAC07A" w14:textId="77777777" w:rsidR="00DB659A" w:rsidRPr="00D808EB" w:rsidRDefault="00DB659A" w:rsidP="00CC28AE">
            <w:pPr>
              <w:jc w:val="center"/>
              <w:rPr>
                <w:b/>
                <w:bCs/>
                <w:color w:val="000000"/>
              </w:rPr>
            </w:pPr>
            <w:r w:rsidRPr="00D808EB">
              <w:rPr>
                <w:b/>
                <w:bCs/>
                <w:color w:val="000000"/>
              </w:rPr>
              <w:t> </w:t>
            </w:r>
          </w:p>
        </w:tc>
        <w:tc>
          <w:tcPr>
            <w:tcW w:w="4299" w:type="pct"/>
            <w:tcBorders>
              <w:top w:val="single" w:sz="4" w:space="0" w:color="auto"/>
              <w:left w:val="nil"/>
              <w:bottom w:val="single" w:sz="4" w:space="0" w:color="auto"/>
              <w:right w:val="single" w:sz="4" w:space="0" w:color="auto"/>
            </w:tcBorders>
            <w:shd w:val="clear" w:color="000000" w:fill="A6A6A6"/>
            <w:vAlign w:val="center"/>
            <w:hideMark/>
          </w:tcPr>
          <w:p w14:paraId="7716D139" w14:textId="77777777" w:rsidR="00DB659A" w:rsidRPr="00D808EB" w:rsidRDefault="00DB659A" w:rsidP="00CC28AE">
            <w:pPr>
              <w:rPr>
                <w:b/>
                <w:bCs/>
                <w:color w:val="000000"/>
              </w:rPr>
            </w:pPr>
            <w:r w:rsidRPr="00D808EB">
              <w:rPr>
                <w:b/>
                <w:bCs/>
                <w:color w:val="000000"/>
              </w:rPr>
              <w:t>European Fund for Economic, Territorial, Social Cohesion, Agriculture and Rural, Fisheries and Maritime, Prosperity and Security</w:t>
            </w:r>
          </w:p>
        </w:tc>
      </w:tr>
      <w:tr w:rsidR="00DB659A" w:rsidRPr="00D808EB" w14:paraId="0523C373"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D0D0D0"/>
            <w:noWrap/>
            <w:vAlign w:val="center"/>
            <w:hideMark/>
          </w:tcPr>
          <w:p w14:paraId="6B31E8C6" w14:textId="77777777" w:rsidR="00DB659A" w:rsidRPr="00D808EB" w:rsidRDefault="00DB659A" w:rsidP="00CC28AE">
            <w:pPr>
              <w:jc w:val="center"/>
              <w:rPr>
                <w:i/>
                <w:iCs/>
                <w:color w:val="000000"/>
              </w:rPr>
            </w:pPr>
            <w:r w:rsidRPr="00D808EB">
              <w:rPr>
                <w:i/>
                <w:iCs/>
                <w:color w:val="000000"/>
              </w:rPr>
              <w:t>02</w:t>
            </w:r>
          </w:p>
        </w:tc>
        <w:tc>
          <w:tcPr>
            <w:tcW w:w="175" w:type="pct"/>
            <w:tcBorders>
              <w:top w:val="nil"/>
              <w:left w:val="nil"/>
              <w:bottom w:val="single" w:sz="4" w:space="0" w:color="auto"/>
              <w:right w:val="single" w:sz="4" w:space="0" w:color="auto"/>
            </w:tcBorders>
            <w:shd w:val="clear" w:color="000000" w:fill="D0D0D0"/>
            <w:noWrap/>
            <w:vAlign w:val="center"/>
            <w:hideMark/>
          </w:tcPr>
          <w:p w14:paraId="74BBE093" w14:textId="77777777" w:rsidR="00DB659A" w:rsidRPr="00D808EB" w:rsidRDefault="00DB659A" w:rsidP="00CC28AE">
            <w:pPr>
              <w:jc w:val="center"/>
              <w:rPr>
                <w:i/>
                <w:iCs/>
                <w:color w:val="000000"/>
              </w:rPr>
            </w:pPr>
            <w:r w:rsidRPr="00D808EB">
              <w:rPr>
                <w:i/>
                <w:iCs/>
                <w:color w:val="000000"/>
              </w:rPr>
              <w:t>01</w:t>
            </w:r>
          </w:p>
        </w:tc>
        <w:tc>
          <w:tcPr>
            <w:tcW w:w="175" w:type="pct"/>
            <w:tcBorders>
              <w:top w:val="nil"/>
              <w:left w:val="nil"/>
              <w:bottom w:val="single" w:sz="4" w:space="0" w:color="auto"/>
              <w:right w:val="single" w:sz="4" w:space="0" w:color="auto"/>
            </w:tcBorders>
            <w:shd w:val="clear" w:color="000000" w:fill="D0D0D0"/>
            <w:noWrap/>
            <w:vAlign w:val="center"/>
            <w:hideMark/>
          </w:tcPr>
          <w:p w14:paraId="66A34FED" w14:textId="77777777" w:rsidR="00DB659A" w:rsidRPr="00D808EB" w:rsidRDefault="00DB659A" w:rsidP="00CC28AE">
            <w:pPr>
              <w:jc w:val="center"/>
              <w:rPr>
                <w:i/>
                <w:iCs/>
                <w:color w:val="000000"/>
              </w:rPr>
            </w:pPr>
            <w:r w:rsidRPr="00D808EB">
              <w:rPr>
                <w:i/>
                <w:iCs/>
                <w:color w:val="000000"/>
              </w:rPr>
              <w:t> </w:t>
            </w:r>
          </w:p>
        </w:tc>
        <w:tc>
          <w:tcPr>
            <w:tcW w:w="175" w:type="pct"/>
            <w:tcBorders>
              <w:top w:val="nil"/>
              <w:left w:val="nil"/>
              <w:bottom w:val="single" w:sz="4" w:space="0" w:color="auto"/>
              <w:right w:val="single" w:sz="4" w:space="0" w:color="auto"/>
            </w:tcBorders>
            <w:shd w:val="clear" w:color="000000" w:fill="D0D0D0"/>
            <w:noWrap/>
            <w:vAlign w:val="center"/>
            <w:hideMark/>
          </w:tcPr>
          <w:p w14:paraId="223E1FED" w14:textId="77777777" w:rsidR="00DB659A" w:rsidRPr="00D808EB" w:rsidRDefault="00DB659A" w:rsidP="00CC28AE">
            <w:pPr>
              <w:jc w:val="center"/>
              <w:rPr>
                <w:i/>
                <w:iCs/>
                <w:color w:val="000000"/>
              </w:rPr>
            </w:pPr>
            <w:r w:rsidRPr="00D808EB">
              <w:rPr>
                <w:i/>
                <w:iCs/>
                <w:color w:val="000000"/>
              </w:rPr>
              <w:t> </w:t>
            </w:r>
          </w:p>
        </w:tc>
        <w:tc>
          <w:tcPr>
            <w:tcW w:w="4299" w:type="pct"/>
            <w:tcBorders>
              <w:top w:val="nil"/>
              <w:left w:val="nil"/>
              <w:bottom w:val="single" w:sz="4" w:space="0" w:color="auto"/>
              <w:right w:val="single" w:sz="4" w:space="0" w:color="auto"/>
            </w:tcBorders>
            <w:shd w:val="clear" w:color="000000" w:fill="D0D0D0"/>
            <w:vAlign w:val="center"/>
            <w:hideMark/>
          </w:tcPr>
          <w:p w14:paraId="445B7EFF" w14:textId="77777777" w:rsidR="00DB659A" w:rsidRPr="00D808EB" w:rsidRDefault="00DB659A" w:rsidP="00CC28AE">
            <w:pPr>
              <w:rPr>
                <w:i/>
                <w:iCs/>
                <w:color w:val="000000"/>
              </w:rPr>
            </w:pPr>
            <w:r w:rsidRPr="00D808EB">
              <w:rPr>
                <w:i/>
                <w:iCs/>
                <w:color w:val="000000"/>
              </w:rPr>
              <w:t>Support expenditure of the National and Regional Partnership Fund</w:t>
            </w:r>
          </w:p>
        </w:tc>
      </w:tr>
      <w:tr w:rsidR="00DB659A" w:rsidRPr="00D808EB" w14:paraId="516172ED"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480DB8D7"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5178F46F" w14:textId="77777777" w:rsidR="00DB659A" w:rsidRPr="00D808EB" w:rsidRDefault="00DB659A" w:rsidP="00CC28AE">
            <w:pPr>
              <w:jc w:val="center"/>
              <w:rPr>
                <w:color w:val="000000"/>
              </w:rPr>
            </w:pPr>
            <w:r w:rsidRPr="00D808EB">
              <w:rPr>
                <w:color w:val="000000"/>
              </w:rPr>
              <w:t xml:space="preserve">01 </w:t>
            </w:r>
          </w:p>
        </w:tc>
        <w:tc>
          <w:tcPr>
            <w:tcW w:w="175" w:type="pct"/>
            <w:tcBorders>
              <w:top w:val="nil"/>
              <w:left w:val="nil"/>
              <w:bottom w:val="single" w:sz="4" w:space="0" w:color="auto"/>
              <w:right w:val="single" w:sz="4" w:space="0" w:color="auto"/>
            </w:tcBorders>
            <w:shd w:val="clear" w:color="000000" w:fill="F2F2F2"/>
            <w:noWrap/>
            <w:vAlign w:val="center"/>
            <w:hideMark/>
          </w:tcPr>
          <w:p w14:paraId="2846287B" w14:textId="77777777" w:rsidR="00DB659A" w:rsidRPr="00D808EB" w:rsidRDefault="00DB659A" w:rsidP="00CC28AE">
            <w:pPr>
              <w:jc w:val="center"/>
              <w:rPr>
                <w:color w:val="000000"/>
              </w:rPr>
            </w:pPr>
            <w:r w:rsidRPr="00D808EB">
              <w:rPr>
                <w:color w:val="000000"/>
              </w:rPr>
              <w:t xml:space="preserve">02 </w:t>
            </w:r>
          </w:p>
        </w:tc>
        <w:tc>
          <w:tcPr>
            <w:tcW w:w="175" w:type="pct"/>
            <w:tcBorders>
              <w:top w:val="nil"/>
              <w:left w:val="nil"/>
              <w:bottom w:val="single" w:sz="4" w:space="0" w:color="auto"/>
              <w:right w:val="single" w:sz="4" w:space="0" w:color="auto"/>
            </w:tcBorders>
            <w:shd w:val="clear" w:color="000000" w:fill="F2F2F2"/>
            <w:noWrap/>
            <w:vAlign w:val="center"/>
            <w:hideMark/>
          </w:tcPr>
          <w:p w14:paraId="268BCE94"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5C80B9B6" w14:textId="77777777" w:rsidR="00DB659A" w:rsidRPr="00D808EB" w:rsidRDefault="00DB659A" w:rsidP="00CC28AE">
            <w:pPr>
              <w:rPr>
                <w:color w:val="000000"/>
              </w:rPr>
            </w:pPr>
            <w:r w:rsidRPr="00D808EB">
              <w:rPr>
                <w:color w:val="000000"/>
              </w:rPr>
              <w:t xml:space="preserve">Social Climate Plans Chapter - administrative expenditure </w:t>
            </w:r>
          </w:p>
        </w:tc>
      </w:tr>
      <w:tr w:rsidR="00DB659A" w:rsidRPr="00D808EB" w14:paraId="6310A1F4"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D0D0D0"/>
            <w:noWrap/>
            <w:vAlign w:val="center"/>
            <w:hideMark/>
          </w:tcPr>
          <w:p w14:paraId="2282D8F3" w14:textId="77777777" w:rsidR="00DB659A" w:rsidRPr="00D808EB" w:rsidRDefault="00DB659A" w:rsidP="00CC28AE">
            <w:pPr>
              <w:jc w:val="center"/>
              <w:rPr>
                <w:i/>
                <w:iCs/>
                <w:color w:val="000000"/>
              </w:rPr>
            </w:pPr>
            <w:r w:rsidRPr="00D808EB">
              <w:rPr>
                <w:i/>
                <w:iCs/>
                <w:color w:val="000000"/>
              </w:rPr>
              <w:t>02</w:t>
            </w:r>
          </w:p>
        </w:tc>
        <w:tc>
          <w:tcPr>
            <w:tcW w:w="175" w:type="pct"/>
            <w:tcBorders>
              <w:top w:val="nil"/>
              <w:left w:val="nil"/>
              <w:bottom w:val="single" w:sz="4" w:space="0" w:color="auto"/>
              <w:right w:val="single" w:sz="4" w:space="0" w:color="auto"/>
            </w:tcBorders>
            <w:shd w:val="clear" w:color="000000" w:fill="D0D0D0"/>
            <w:noWrap/>
            <w:vAlign w:val="center"/>
            <w:hideMark/>
          </w:tcPr>
          <w:p w14:paraId="10C99681" w14:textId="77777777" w:rsidR="00DB659A" w:rsidRPr="00D808EB" w:rsidRDefault="00DB659A" w:rsidP="00CC28AE">
            <w:pPr>
              <w:jc w:val="center"/>
              <w:rPr>
                <w:i/>
                <w:iCs/>
                <w:color w:val="000000"/>
              </w:rPr>
            </w:pPr>
            <w:r w:rsidRPr="00D808EB">
              <w:rPr>
                <w:i/>
                <w:iCs/>
                <w:color w:val="000000"/>
              </w:rPr>
              <w:t>02</w:t>
            </w:r>
          </w:p>
        </w:tc>
        <w:tc>
          <w:tcPr>
            <w:tcW w:w="175" w:type="pct"/>
            <w:tcBorders>
              <w:top w:val="nil"/>
              <w:left w:val="nil"/>
              <w:bottom w:val="single" w:sz="4" w:space="0" w:color="auto"/>
              <w:right w:val="single" w:sz="4" w:space="0" w:color="auto"/>
            </w:tcBorders>
            <w:shd w:val="clear" w:color="000000" w:fill="D0D0D0"/>
            <w:noWrap/>
            <w:vAlign w:val="center"/>
            <w:hideMark/>
          </w:tcPr>
          <w:p w14:paraId="209F9D7E" w14:textId="77777777" w:rsidR="00DB659A" w:rsidRPr="00D808EB" w:rsidRDefault="00DB659A" w:rsidP="00CC28AE">
            <w:pPr>
              <w:jc w:val="center"/>
              <w:rPr>
                <w:i/>
                <w:iCs/>
                <w:color w:val="000000"/>
              </w:rPr>
            </w:pPr>
            <w:r w:rsidRPr="00D808EB">
              <w:rPr>
                <w:i/>
                <w:iCs/>
                <w:color w:val="000000"/>
              </w:rPr>
              <w:t> </w:t>
            </w:r>
          </w:p>
        </w:tc>
        <w:tc>
          <w:tcPr>
            <w:tcW w:w="175" w:type="pct"/>
            <w:tcBorders>
              <w:top w:val="nil"/>
              <w:left w:val="nil"/>
              <w:bottom w:val="single" w:sz="4" w:space="0" w:color="auto"/>
              <w:right w:val="single" w:sz="4" w:space="0" w:color="auto"/>
            </w:tcBorders>
            <w:shd w:val="clear" w:color="000000" w:fill="D0D0D0"/>
            <w:noWrap/>
            <w:vAlign w:val="center"/>
            <w:hideMark/>
          </w:tcPr>
          <w:p w14:paraId="2669C151" w14:textId="77777777" w:rsidR="00DB659A" w:rsidRPr="00D808EB" w:rsidRDefault="00DB659A" w:rsidP="00CC28AE">
            <w:pPr>
              <w:jc w:val="center"/>
              <w:rPr>
                <w:i/>
                <w:iCs/>
                <w:color w:val="000000"/>
              </w:rPr>
            </w:pPr>
            <w:r w:rsidRPr="00D808EB">
              <w:rPr>
                <w:i/>
                <w:iCs/>
                <w:color w:val="000000"/>
              </w:rPr>
              <w:t> </w:t>
            </w:r>
          </w:p>
        </w:tc>
        <w:tc>
          <w:tcPr>
            <w:tcW w:w="4299" w:type="pct"/>
            <w:tcBorders>
              <w:top w:val="nil"/>
              <w:left w:val="nil"/>
              <w:bottom w:val="single" w:sz="4" w:space="0" w:color="auto"/>
              <w:right w:val="single" w:sz="4" w:space="0" w:color="auto"/>
            </w:tcBorders>
            <w:shd w:val="clear" w:color="000000" w:fill="D0D0D0"/>
            <w:vAlign w:val="center"/>
            <w:hideMark/>
          </w:tcPr>
          <w:p w14:paraId="422A1266" w14:textId="77777777" w:rsidR="00DB659A" w:rsidRPr="00D808EB" w:rsidRDefault="00DB659A" w:rsidP="00CC28AE">
            <w:pPr>
              <w:rPr>
                <w:i/>
                <w:iCs/>
                <w:color w:val="000000"/>
              </w:rPr>
            </w:pPr>
            <w:r w:rsidRPr="00D808EB">
              <w:rPr>
                <w:i/>
                <w:iCs/>
                <w:color w:val="000000"/>
              </w:rPr>
              <w:t>National and Regional Partnership Plans and Interreg Plan - Operational Expenditure</w:t>
            </w:r>
          </w:p>
        </w:tc>
      </w:tr>
      <w:tr w:rsidR="00DB659A" w:rsidRPr="00D808EB" w14:paraId="03CAA040"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1021F1C0"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0143F9A4"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27CCC678" w14:textId="77777777" w:rsidR="00DB659A" w:rsidRPr="00D808EB" w:rsidRDefault="00DB659A" w:rsidP="00CC28AE">
            <w:pPr>
              <w:jc w:val="center"/>
              <w:rPr>
                <w:color w:val="000000"/>
              </w:rPr>
            </w:pPr>
            <w:r w:rsidRPr="00D808EB">
              <w:rPr>
                <w:color w:val="000000"/>
              </w:rPr>
              <w:t>01</w:t>
            </w:r>
          </w:p>
        </w:tc>
        <w:tc>
          <w:tcPr>
            <w:tcW w:w="175" w:type="pct"/>
            <w:tcBorders>
              <w:top w:val="nil"/>
              <w:left w:val="nil"/>
              <w:bottom w:val="single" w:sz="4" w:space="0" w:color="auto"/>
              <w:right w:val="single" w:sz="4" w:space="0" w:color="auto"/>
            </w:tcBorders>
            <w:shd w:val="clear" w:color="000000" w:fill="F2F2F2"/>
            <w:noWrap/>
            <w:vAlign w:val="center"/>
            <w:hideMark/>
          </w:tcPr>
          <w:p w14:paraId="75E6C4C8"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3118142C" w14:textId="14B014C0" w:rsidR="00DB659A" w:rsidRPr="00D808EB" w:rsidRDefault="00DB659A" w:rsidP="00CC28AE">
            <w:pPr>
              <w:rPr>
                <w:color w:val="000000"/>
              </w:rPr>
            </w:pPr>
            <w:r w:rsidRPr="00D808EB">
              <w:rPr>
                <w:color w:val="000000"/>
              </w:rPr>
              <w:t>Europe</w:t>
            </w:r>
            <w:r w:rsidR="00C728B7">
              <w:rPr>
                <w:color w:val="000000"/>
              </w:rPr>
              <w:t>’</w:t>
            </w:r>
            <w:r w:rsidRPr="00D808EB">
              <w:rPr>
                <w:color w:val="000000"/>
              </w:rPr>
              <w:t>s sustainable prosperity</w:t>
            </w:r>
          </w:p>
        </w:tc>
      </w:tr>
      <w:tr w:rsidR="00DB659A" w:rsidRPr="00D808EB" w14:paraId="61A10D5E"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0F725693" w14:textId="77777777" w:rsidR="00DB659A" w:rsidRPr="00D808EB" w:rsidRDefault="00DB659A" w:rsidP="00CC28AE">
            <w:pPr>
              <w:jc w:val="center"/>
              <w:rPr>
                <w:color w:val="000000"/>
              </w:rPr>
            </w:pPr>
            <w:r w:rsidRPr="00D808EB">
              <w:rPr>
                <w:color w:val="000000"/>
              </w:rPr>
              <w:t xml:space="preserve">02 </w:t>
            </w:r>
          </w:p>
        </w:tc>
        <w:tc>
          <w:tcPr>
            <w:tcW w:w="175" w:type="pct"/>
            <w:tcBorders>
              <w:top w:val="nil"/>
              <w:left w:val="nil"/>
              <w:bottom w:val="single" w:sz="4" w:space="0" w:color="auto"/>
              <w:right w:val="single" w:sz="4" w:space="0" w:color="auto"/>
            </w:tcBorders>
            <w:shd w:val="clear" w:color="000000" w:fill="F2F2F2"/>
            <w:noWrap/>
            <w:vAlign w:val="center"/>
            <w:hideMark/>
          </w:tcPr>
          <w:p w14:paraId="306FF608" w14:textId="77777777" w:rsidR="00DB659A" w:rsidRPr="00D808EB" w:rsidRDefault="00DB659A" w:rsidP="00CC28AE">
            <w:pPr>
              <w:jc w:val="center"/>
              <w:rPr>
                <w:color w:val="000000"/>
              </w:rPr>
            </w:pPr>
            <w:r w:rsidRPr="00D808EB">
              <w:rPr>
                <w:color w:val="000000"/>
              </w:rPr>
              <w:t xml:space="preserve">02 </w:t>
            </w:r>
          </w:p>
        </w:tc>
        <w:tc>
          <w:tcPr>
            <w:tcW w:w="175" w:type="pct"/>
            <w:tcBorders>
              <w:top w:val="nil"/>
              <w:left w:val="nil"/>
              <w:bottom w:val="single" w:sz="4" w:space="0" w:color="auto"/>
              <w:right w:val="single" w:sz="4" w:space="0" w:color="auto"/>
            </w:tcBorders>
            <w:shd w:val="clear" w:color="000000" w:fill="F2F2F2"/>
            <w:noWrap/>
            <w:vAlign w:val="center"/>
            <w:hideMark/>
          </w:tcPr>
          <w:p w14:paraId="523E6653"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3EE85AB0"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72EBF849" w14:textId="494B7550" w:rsidR="00DB659A" w:rsidRPr="00D808EB" w:rsidRDefault="00DB659A" w:rsidP="00CC28AE">
            <w:pPr>
              <w:rPr>
                <w:color w:val="000000"/>
              </w:rPr>
            </w:pPr>
            <w:r w:rsidRPr="00D808EB">
              <w:rPr>
                <w:color w:val="000000"/>
              </w:rPr>
              <w:t>Europe</w:t>
            </w:r>
            <w:r w:rsidR="00C728B7">
              <w:rPr>
                <w:color w:val="000000"/>
              </w:rPr>
              <w:t>’</w:t>
            </w:r>
            <w:r w:rsidRPr="00D808EB">
              <w:rPr>
                <w:color w:val="000000"/>
              </w:rPr>
              <w:t>s defence capabilities and security</w:t>
            </w:r>
          </w:p>
        </w:tc>
      </w:tr>
      <w:tr w:rsidR="00DB659A" w:rsidRPr="00D808EB" w14:paraId="172CFECC"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7A8AAAEF" w14:textId="77777777" w:rsidR="00DB659A" w:rsidRPr="00D808EB" w:rsidRDefault="00DB659A" w:rsidP="00CC28AE">
            <w:pPr>
              <w:jc w:val="center"/>
              <w:rPr>
                <w:color w:val="000000"/>
              </w:rPr>
            </w:pPr>
            <w:r w:rsidRPr="00D808EB">
              <w:rPr>
                <w:color w:val="000000"/>
              </w:rPr>
              <w:t xml:space="preserve">02 </w:t>
            </w:r>
          </w:p>
        </w:tc>
        <w:tc>
          <w:tcPr>
            <w:tcW w:w="175" w:type="pct"/>
            <w:tcBorders>
              <w:top w:val="nil"/>
              <w:left w:val="nil"/>
              <w:bottom w:val="single" w:sz="4" w:space="0" w:color="auto"/>
              <w:right w:val="single" w:sz="4" w:space="0" w:color="auto"/>
            </w:tcBorders>
            <w:shd w:val="clear" w:color="000000" w:fill="FFFFFF"/>
            <w:noWrap/>
            <w:vAlign w:val="center"/>
            <w:hideMark/>
          </w:tcPr>
          <w:p w14:paraId="34CC8038" w14:textId="77777777" w:rsidR="00DB659A" w:rsidRPr="00D808EB" w:rsidRDefault="00DB659A" w:rsidP="00CC28AE">
            <w:pPr>
              <w:jc w:val="center"/>
              <w:rPr>
                <w:color w:val="000000"/>
              </w:rPr>
            </w:pPr>
            <w:r w:rsidRPr="00D808EB">
              <w:rPr>
                <w:color w:val="000000"/>
              </w:rPr>
              <w:t xml:space="preserve">02 </w:t>
            </w:r>
          </w:p>
        </w:tc>
        <w:tc>
          <w:tcPr>
            <w:tcW w:w="175" w:type="pct"/>
            <w:tcBorders>
              <w:top w:val="nil"/>
              <w:left w:val="nil"/>
              <w:bottom w:val="single" w:sz="4" w:space="0" w:color="auto"/>
              <w:right w:val="single" w:sz="4" w:space="0" w:color="auto"/>
            </w:tcBorders>
            <w:shd w:val="clear" w:color="000000" w:fill="FFFFFF"/>
            <w:noWrap/>
            <w:vAlign w:val="center"/>
            <w:hideMark/>
          </w:tcPr>
          <w:p w14:paraId="245FC5AD"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092F55D1" w14:textId="77777777" w:rsidR="00DB659A" w:rsidRPr="00D808EB" w:rsidRDefault="00DB659A" w:rsidP="00CC28AE">
            <w:pPr>
              <w:jc w:val="center"/>
              <w:rPr>
                <w:color w:val="000000"/>
              </w:rPr>
            </w:pPr>
            <w:r w:rsidRPr="00D808EB">
              <w:rPr>
                <w:color w:val="000000"/>
              </w:rPr>
              <w:t>01</w:t>
            </w:r>
          </w:p>
        </w:tc>
        <w:tc>
          <w:tcPr>
            <w:tcW w:w="4299" w:type="pct"/>
            <w:tcBorders>
              <w:top w:val="nil"/>
              <w:left w:val="nil"/>
              <w:bottom w:val="single" w:sz="4" w:space="0" w:color="auto"/>
              <w:right w:val="single" w:sz="4" w:space="0" w:color="auto"/>
            </w:tcBorders>
            <w:shd w:val="clear" w:color="000000" w:fill="FFFFFF"/>
            <w:vAlign w:val="center"/>
            <w:hideMark/>
          </w:tcPr>
          <w:p w14:paraId="77FBEFD7" w14:textId="77777777" w:rsidR="00DB659A" w:rsidRPr="00D808EB" w:rsidRDefault="00DB659A" w:rsidP="00CC28AE">
            <w:pPr>
              <w:rPr>
                <w:color w:val="000000"/>
              </w:rPr>
            </w:pPr>
            <w:r w:rsidRPr="00D808EB">
              <w:rPr>
                <w:color w:val="000000"/>
              </w:rPr>
              <w:t>Migration, asylum, border management, visa and internal security</w:t>
            </w:r>
          </w:p>
        </w:tc>
      </w:tr>
      <w:tr w:rsidR="00DB659A" w:rsidRPr="00D808EB" w14:paraId="11EAF92B"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34379CF8" w14:textId="77777777" w:rsidR="00DB659A" w:rsidRPr="00D808EB" w:rsidRDefault="00DB659A" w:rsidP="00CC28AE">
            <w:pPr>
              <w:jc w:val="center"/>
              <w:rPr>
                <w:color w:val="000000"/>
              </w:rPr>
            </w:pPr>
            <w:r w:rsidRPr="00D808EB">
              <w:rPr>
                <w:color w:val="000000"/>
              </w:rPr>
              <w:t xml:space="preserve">02 </w:t>
            </w:r>
          </w:p>
        </w:tc>
        <w:tc>
          <w:tcPr>
            <w:tcW w:w="175" w:type="pct"/>
            <w:tcBorders>
              <w:top w:val="nil"/>
              <w:left w:val="nil"/>
              <w:bottom w:val="single" w:sz="4" w:space="0" w:color="auto"/>
              <w:right w:val="single" w:sz="4" w:space="0" w:color="auto"/>
            </w:tcBorders>
            <w:shd w:val="clear" w:color="000000" w:fill="FFFFFF"/>
            <w:noWrap/>
            <w:vAlign w:val="center"/>
            <w:hideMark/>
          </w:tcPr>
          <w:p w14:paraId="548DAD29" w14:textId="77777777" w:rsidR="00DB659A" w:rsidRPr="00D808EB" w:rsidRDefault="00DB659A" w:rsidP="00CC28AE">
            <w:pPr>
              <w:jc w:val="center"/>
              <w:rPr>
                <w:color w:val="000000"/>
              </w:rPr>
            </w:pPr>
            <w:r w:rsidRPr="00D808EB">
              <w:rPr>
                <w:color w:val="000000"/>
              </w:rPr>
              <w:t xml:space="preserve">02 </w:t>
            </w:r>
          </w:p>
        </w:tc>
        <w:tc>
          <w:tcPr>
            <w:tcW w:w="175" w:type="pct"/>
            <w:tcBorders>
              <w:top w:val="nil"/>
              <w:left w:val="nil"/>
              <w:bottom w:val="single" w:sz="4" w:space="0" w:color="auto"/>
              <w:right w:val="single" w:sz="4" w:space="0" w:color="auto"/>
            </w:tcBorders>
            <w:shd w:val="clear" w:color="000000" w:fill="FFFFFF"/>
            <w:noWrap/>
            <w:vAlign w:val="center"/>
            <w:hideMark/>
          </w:tcPr>
          <w:p w14:paraId="5A38DA48"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521AD492" w14:textId="77777777" w:rsidR="00DB659A" w:rsidRPr="00D808EB" w:rsidRDefault="00DB659A" w:rsidP="00CC28AE">
            <w:pPr>
              <w:jc w:val="center"/>
              <w:rPr>
                <w:color w:val="000000"/>
              </w:rPr>
            </w:pPr>
            <w:r w:rsidRPr="00D808EB">
              <w:rPr>
                <w:color w:val="000000"/>
              </w:rPr>
              <w:t>02</w:t>
            </w:r>
          </w:p>
        </w:tc>
        <w:tc>
          <w:tcPr>
            <w:tcW w:w="4299" w:type="pct"/>
            <w:tcBorders>
              <w:top w:val="nil"/>
              <w:left w:val="nil"/>
              <w:bottom w:val="single" w:sz="4" w:space="0" w:color="auto"/>
              <w:right w:val="single" w:sz="4" w:space="0" w:color="auto"/>
            </w:tcBorders>
            <w:shd w:val="clear" w:color="000000" w:fill="FFFFFF"/>
            <w:vAlign w:val="center"/>
            <w:hideMark/>
          </w:tcPr>
          <w:p w14:paraId="6A59CBC3" w14:textId="77777777" w:rsidR="00DB659A" w:rsidRPr="00D808EB" w:rsidRDefault="00DB659A" w:rsidP="00CC28AE">
            <w:pPr>
              <w:rPr>
                <w:color w:val="000000"/>
              </w:rPr>
            </w:pPr>
            <w:r w:rsidRPr="00D808EB">
              <w:rPr>
                <w:color w:val="000000"/>
              </w:rPr>
              <w:t>Other</w:t>
            </w:r>
          </w:p>
        </w:tc>
      </w:tr>
      <w:tr w:rsidR="00DB659A" w:rsidRPr="00D808EB" w14:paraId="2D3C73A3"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7E65ADB9"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1DC6A0DF"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68165EDB" w14:textId="77777777" w:rsidR="00DB659A" w:rsidRPr="00D808EB" w:rsidRDefault="00DB659A" w:rsidP="00CC28AE">
            <w:pPr>
              <w:jc w:val="center"/>
              <w:rPr>
                <w:color w:val="000000"/>
              </w:rPr>
            </w:pPr>
            <w:r w:rsidRPr="00D808EB">
              <w:rPr>
                <w:color w:val="000000"/>
              </w:rPr>
              <w:t>03</w:t>
            </w:r>
          </w:p>
        </w:tc>
        <w:tc>
          <w:tcPr>
            <w:tcW w:w="175" w:type="pct"/>
            <w:tcBorders>
              <w:top w:val="nil"/>
              <w:left w:val="nil"/>
              <w:bottom w:val="single" w:sz="4" w:space="0" w:color="auto"/>
              <w:right w:val="single" w:sz="4" w:space="0" w:color="auto"/>
            </w:tcBorders>
            <w:shd w:val="clear" w:color="000000" w:fill="F2F2F2"/>
            <w:noWrap/>
            <w:vAlign w:val="center"/>
            <w:hideMark/>
          </w:tcPr>
          <w:p w14:paraId="3D41DB37"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228396C9" w14:textId="231C245E" w:rsidR="00DB659A" w:rsidRPr="00D808EB" w:rsidRDefault="00DB659A" w:rsidP="00CC28AE">
            <w:pPr>
              <w:rPr>
                <w:color w:val="000000"/>
              </w:rPr>
            </w:pPr>
            <w:r w:rsidRPr="00D808EB">
              <w:rPr>
                <w:color w:val="000000"/>
              </w:rPr>
              <w:t>Supporting people, strengthening Europe</w:t>
            </w:r>
            <w:r w:rsidR="00C728B7">
              <w:rPr>
                <w:color w:val="000000"/>
              </w:rPr>
              <w:t>’</w:t>
            </w:r>
            <w:r w:rsidRPr="00D808EB">
              <w:rPr>
                <w:color w:val="000000"/>
              </w:rPr>
              <w:t>s societies and Europe</w:t>
            </w:r>
            <w:r w:rsidR="00C728B7">
              <w:rPr>
                <w:color w:val="000000"/>
              </w:rPr>
              <w:t>’</w:t>
            </w:r>
            <w:r w:rsidRPr="00D808EB">
              <w:rPr>
                <w:color w:val="000000"/>
              </w:rPr>
              <w:t>s social model</w:t>
            </w:r>
          </w:p>
        </w:tc>
      </w:tr>
      <w:tr w:rsidR="00DB659A" w:rsidRPr="00D808EB" w14:paraId="598E1985"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032D0D29"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725E824F"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2EB9F52F" w14:textId="77777777" w:rsidR="00DB659A" w:rsidRPr="00D808EB" w:rsidRDefault="00DB659A" w:rsidP="00CC28AE">
            <w:pPr>
              <w:jc w:val="center"/>
              <w:rPr>
                <w:color w:val="000000"/>
              </w:rPr>
            </w:pPr>
            <w:r w:rsidRPr="00D808EB">
              <w:rPr>
                <w:color w:val="000000"/>
              </w:rPr>
              <w:t>03</w:t>
            </w:r>
          </w:p>
        </w:tc>
        <w:tc>
          <w:tcPr>
            <w:tcW w:w="175" w:type="pct"/>
            <w:tcBorders>
              <w:top w:val="nil"/>
              <w:left w:val="nil"/>
              <w:bottom w:val="single" w:sz="4" w:space="0" w:color="auto"/>
              <w:right w:val="single" w:sz="4" w:space="0" w:color="auto"/>
            </w:tcBorders>
            <w:shd w:val="clear" w:color="000000" w:fill="FFFFFF"/>
            <w:noWrap/>
            <w:vAlign w:val="center"/>
            <w:hideMark/>
          </w:tcPr>
          <w:p w14:paraId="2EFFC672" w14:textId="77777777" w:rsidR="00DB659A" w:rsidRPr="00D808EB" w:rsidRDefault="00DB659A" w:rsidP="00CC28AE">
            <w:pPr>
              <w:jc w:val="center"/>
              <w:rPr>
                <w:color w:val="000000"/>
              </w:rPr>
            </w:pPr>
            <w:r w:rsidRPr="00D808EB">
              <w:rPr>
                <w:color w:val="000000"/>
              </w:rPr>
              <w:t>01</w:t>
            </w:r>
          </w:p>
        </w:tc>
        <w:tc>
          <w:tcPr>
            <w:tcW w:w="4299" w:type="pct"/>
            <w:tcBorders>
              <w:top w:val="nil"/>
              <w:left w:val="nil"/>
              <w:bottom w:val="single" w:sz="4" w:space="0" w:color="auto"/>
              <w:right w:val="single" w:sz="4" w:space="0" w:color="auto"/>
            </w:tcBorders>
            <w:shd w:val="clear" w:color="000000" w:fill="FFFFFF"/>
            <w:noWrap/>
            <w:vAlign w:val="center"/>
            <w:hideMark/>
          </w:tcPr>
          <w:p w14:paraId="256CCA00" w14:textId="77777777" w:rsidR="00DB659A" w:rsidRPr="00D808EB" w:rsidRDefault="00DB659A" w:rsidP="00CC28AE">
            <w:r w:rsidRPr="00D808EB">
              <w:t xml:space="preserve">Resources from the Social Climate Fund / Social Climate Plan Chapter - Operational Expenditure </w:t>
            </w:r>
          </w:p>
        </w:tc>
      </w:tr>
      <w:tr w:rsidR="00DB659A" w:rsidRPr="00D808EB" w14:paraId="32E8C980"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3B75F402"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371ED1C2"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3461E1EF" w14:textId="77777777" w:rsidR="00DB659A" w:rsidRPr="00D808EB" w:rsidRDefault="00DB659A" w:rsidP="00CC28AE">
            <w:pPr>
              <w:jc w:val="center"/>
              <w:rPr>
                <w:color w:val="000000"/>
              </w:rPr>
            </w:pPr>
            <w:r w:rsidRPr="00D808EB">
              <w:rPr>
                <w:color w:val="000000"/>
              </w:rPr>
              <w:t>03</w:t>
            </w:r>
          </w:p>
        </w:tc>
        <w:tc>
          <w:tcPr>
            <w:tcW w:w="175" w:type="pct"/>
            <w:tcBorders>
              <w:top w:val="nil"/>
              <w:left w:val="nil"/>
              <w:bottom w:val="single" w:sz="4" w:space="0" w:color="auto"/>
              <w:right w:val="single" w:sz="4" w:space="0" w:color="auto"/>
            </w:tcBorders>
            <w:shd w:val="clear" w:color="000000" w:fill="FFFFFF"/>
            <w:noWrap/>
            <w:vAlign w:val="center"/>
            <w:hideMark/>
          </w:tcPr>
          <w:p w14:paraId="2A255B3A" w14:textId="77777777" w:rsidR="00DB659A" w:rsidRPr="00D808EB" w:rsidRDefault="00DB659A" w:rsidP="00CC28AE">
            <w:pPr>
              <w:jc w:val="center"/>
              <w:rPr>
                <w:color w:val="000000"/>
              </w:rPr>
            </w:pPr>
            <w:r w:rsidRPr="00D808EB">
              <w:rPr>
                <w:color w:val="000000"/>
              </w:rPr>
              <w:t>02</w:t>
            </w:r>
          </w:p>
        </w:tc>
        <w:tc>
          <w:tcPr>
            <w:tcW w:w="4299" w:type="pct"/>
            <w:tcBorders>
              <w:top w:val="nil"/>
              <w:left w:val="nil"/>
              <w:bottom w:val="single" w:sz="4" w:space="0" w:color="auto"/>
              <w:right w:val="single" w:sz="4" w:space="0" w:color="auto"/>
            </w:tcBorders>
            <w:shd w:val="clear" w:color="000000" w:fill="FFFFFF"/>
            <w:noWrap/>
            <w:vAlign w:val="center"/>
            <w:hideMark/>
          </w:tcPr>
          <w:p w14:paraId="76298BE5" w14:textId="77777777" w:rsidR="00DB659A" w:rsidRPr="00D808EB" w:rsidRDefault="00DB659A" w:rsidP="00CC28AE">
            <w:r w:rsidRPr="00D808EB">
              <w:t>Other</w:t>
            </w:r>
          </w:p>
        </w:tc>
      </w:tr>
      <w:tr w:rsidR="00DB659A" w:rsidRPr="00D808EB" w14:paraId="1B4BA6CF"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27871057"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038A8F1C"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75A0CCCE" w14:textId="77777777" w:rsidR="00DB659A" w:rsidRPr="00D808EB" w:rsidRDefault="00DB659A" w:rsidP="00CC28AE">
            <w:pPr>
              <w:jc w:val="center"/>
              <w:rPr>
                <w:color w:val="000000"/>
              </w:rPr>
            </w:pPr>
            <w:r w:rsidRPr="00D808EB">
              <w:rPr>
                <w:color w:val="000000"/>
              </w:rPr>
              <w:t>04</w:t>
            </w:r>
          </w:p>
        </w:tc>
        <w:tc>
          <w:tcPr>
            <w:tcW w:w="175" w:type="pct"/>
            <w:tcBorders>
              <w:top w:val="nil"/>
              <w:left w:val="nil"/>
              <w:bottom w:val="single" w:sz="4" w:space="0" w:color="auto"/>
              <w:right w:val="single" w:sz="4" w:space="0" w:color="auto"/>
            </w:tcBorders>
            <w:shd w:val="clear" w:color="000000" w:fill="F2F2F2"/>
            <w:noWrap/>
            <w:vAlign w:val="center"/>
            <w:hideMark/>
          </w:tcPr>
          <w:p w14:paraId="34DDFE69"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4375DA7C" w14:textId="236D3D43" w:rsidR="00DB659A" w:rsidRPr="00D808EB" w:rsidRDefault="00DB659A" w:rsidP="00CC28AE">
            <w:pPr>
              <w:rPr>
                <w:color w:val="000000"/>
              </w:rPr>
            </w:pPr>
            <w:r w:rsidRPr="00D808EB">
              <w:rPr>
                <w:color w:val="000000"/>
              </w:rPr>
              <w:t>Sustaining Europe</w:t>
            </w:r>
            <w:r w:rsidR="00C728B7">
              <w:rPr>
                <w:color w:val="000000"/>
              </w:rPr>
              <w:t>’</w:t>
            </w:r>
            <w:r w:rsidRPr="00D808EB">
              <w:rPr>
                <w:color w:val="000000"/>
              </w:rPr>
              <w:t>s quality of life</w:t>
            </w:r>
          </w:p>
        </w:tc>
      </w:tr>
      <w:tr w:rsidR="00DB659A" w:rsidRPr="00D808EB" w14:paraId="3E447A9E"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404B0BEC"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1A152378"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37FE780E" w14:textId="77777777" w:rsidR="00DB659A" w:rsidRPr="00D808EB" w:rsidRDefault="00DB659A" w:rsidP="00CC28AE">
            <w:pPr>
              <w:jc w:val="center"/>
              <w:rPr>
                <w:color w:val="000000"/>
              </w:rPr>
            </w:pPr>
            <w:r w:rsidRPr="00D808EB">
              <w:rPr>
                <w:color w:val="000000"/>
              </w:rPr>
              <w:t>04</w:t>
            </w:r>
          </w:p>
        </w:tc>
        <w:tc>
          <w:tcPr>
            <w:tcW w:w="175" w:type="pct"/>
            <w:tcBorders>
              <w:top w:val="nil"/>
              <w:left w:val="nil"/>
              <w:bottom w:val="single" w:sz="4" w:space="0" w:color="auto"/>
              <w:right w:val="single" w:sz="4" w:space="0" w:color="auto"/>
            </w:tcBorders>
            <w:shd w:val="clear" w:color="000000" w:fill="FFFFFF"/>
            <w:noWrap/>
            <w:vAlign w:val="center"/>
            <w:hideMark/>
          </w:tcPr>
          <w:p w14:paraId="3850732C" w14:textId="77777777" w:rsidR="00DB659A" w:rsidRPr="00D808EB" w:rsidRDefault="00DB659A" w:rsidP="00CC28AE">
            <w:pPr>
              <w:jc w:val="center"/>
              <w:rPr>
                <w:color w:val="000000"/>
              </w:rPr>
            </w:pPr>
            <w:r w:rsidRPr="00D808EB">
              <w:rPr>
                <w:color w:val="000000"/>
              </w:rPr>
              <w:t>01</w:t>
            </w:r>
          </w:p>
        </w:tc>
        <w:tc>
          <w:tcPr>
            <w:tcW w:w="4299" w:type="pct"/>
            <w:tcBorders>
              <w:top w:val="nil"/>
              <w:left w:val="nil"/>
              <w:bottom w:val="single" w:sz="4" w:space="0" w:color="auto"/>
              <w:right w:val="single" w:sz="4" w:space="0" w:color="auto"/>
            </w:tcBorders>
            <w:shd w:val="clear" w:color="000000" w:fill="FFFFFF"/>
            <w:vAlign w:val="center"/>
            <w:hideMark/>
          </w:tcPr>
          <w:p w14:paraId="015F40C5" w14:textId="77777777" w:rsidR="00DB659A" w:rsidRPr="00D808EB" w:rsidRDefault="00DB659A" w:rsidP="00CC28AE">
            <w:pPr>
              <w:rPr>
                <w:color w:val="000000"/>
              </w:rPr>
            </w:pPr>
            <w:r w:rsidRPr="00D808EB">
              <w:rPr>
                <w:color w:val="000000"/>
              </w:rPr>
              <w:t>CAP and CFP interventions</w:t>
            </w:r>
          </w:p>
        </w:tc>
      </w:tr>
      <w:tr w:rsidR="00DB659A" w:rsidRPr="00D808EB" w14:paraId="18674506"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6420C9F4"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58F070AD"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1B1F914A" w14:textId="77777777" w:rsidR="00DB659A" w:rsidRPr="00D808EB" w:rsidRDefault="00DB659A" w:rsidP="00CC28AE">
            <w:pPr>
              <w:jc w:val="center"/>
              <w:rPr>
                <w:color w:val="000000"/>
              </w:rPr>
            </w:pPr>
            <w:r w:rsidRPr="00D808EB">
              <w:rPr>
                <w:color w:val="000000"/>
              </w:rPr>
              <w:t>04</w:t>
            </w:r>
          </w:p>
        </w:tc>
        <w:tc>
          <w:tcPr>
            <w:tcW w:w="175" w:type="pct"/>
            <w:tcBorders>
              <w:top w:val="nil"/>
              <w:left w:val="nil"/>
              <w:bottom w:val="single" w:sz="4" w:space="0" w:color="auto"/>
              <w:right w:val="single" w:sz="4" w:space="0" w:color="auto"/>
            </w:tcBorders>
            <w:shd w:val="clear" w:color="000000" w:fill="FFFFFF"/>
            <w:noWrap/>
            <w:vAlign w:val="center"/>
            <w:hideMark/>
          </w:tcPr>
          <w:p w14:paraId="251581B3" w14:textId="77777777" w:rsidR="00DB659A" w:rsidRPr="00D808EB" w:rsidRDefault="00DB659A" w:rsidP="00CC28AE">
            <w:pPr>
              <w:jc w:val="center"/>
              <w:rPr>
                <w:color w:val="000000"/>
              </w:rPr>
            </w:pPr>
            <w:r w:rsidRPr="00D808EB">
              <w:rPr>
                <w:color w:val="000000"/>
              </w:rPr>
              <w:t>02</w:t>
            </w:r>
          </w:p>
        </w:tc>
        <w:tc>
          <w:tcPr>
            <w:tcW w:w="4299" w:type="pct"/>
            <w:tcBorders>
              <w:top w:val="nil"/>
              <w:left w:val="nil"/>
              <w:bottom w:val="single" w:sz="4" w:space="0" w:color="auto"/>
              <w:right w:val="single" w:sz="4" w:space="0" w:color="auto"/>
            </w:tcBorders>
            <w:shd w:val="clear" w:color="000000" w:fill="FFFFFF"/>
            <w:vAlign w:val="center"/>
            <w:hideMark/>
          </w:tcPr>
          <w:p w14:paraId="451D843F" w14:textId="77777777" w:rsidR="00DB659A" w:rsidRPr="00D808EB" w:rsidRDefault="00DB659A" w:rsidP="00CC28AE">
            <w:pPr>
              <w:rPr>
                <w:color w:val="000000"/>
              </w:rPr>
            </w:pPr>
            <w:r w:rsidRPr="00D808EB">
              <w:rPr>
                <w:color w:val="000000"/>
              </w:rPr>
              <w:t xml:space="preserve">Other </w:t>
            </w:r>
          </w:p>
        </w:tc>
      </w:tr>
      <w:tr w:rsidR="00DB659A" w:rsidRPr="00D808EB" w14:paraId="22533542"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4CCFAC61"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5614DDBA"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798B1643" w14:textId="77777777" w:rsidR="00DB659A" w:rsidRPr="00D808EB" w:rsidRDefault="00DB659A" w:rsidP="00CC28AE">
            <w:pPr>
              <w:jc w:val="center"/>
              <w:rPr>
                <w:color w:val="000000"/>
              </w:rPr>
            </w:pPr>
            <w:r w:rsidRPr="00D808EB">
              <w:rPr>
                <w:color w:val="000000"/>
              </w:rPr>
              <w:t>05</w:t>
            </w:r>
          </w:p>
        </w:tc>
        <w:tc>
          <w:tcPr>
            <w:tcW w:w="175" w:type="pct"/>
            <w:tcBorders>
              <w:top w:val="nil"/>
              <w:left w:val="nil"/>
              <w:bottom w:val="single" w:sz="4" w:space="0" w:color="auto"/>
              <w:right w:val="single" w:sz="4" w:space="0" w:color="auto"/>
            </w:tcBorders>
            <w:shd w:val="clear" w:color="000000" w:fill="F2F2F2"/>
            <w:noWrap/>
            <w:vAlign w:val="center"/>
            <w:hideMark/>
          </w:tcPr>
          <w:p w14:paraId="67E2058B"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64FB936A" w14:textId="4ECE94A1" w:rsidR="00DB659A" w:rsidRPr="00D808EB" w:rsidRDefault="00DB659A" w:rsidP="00CC28AE">
            <w:pPr>
              <w:rPr>
                <w:color w:val="000000"/>
              </w:rPr>
            </w:pPr>
            <w:r w:rsidRPr="00D808EB">
              <w:rPr>
                <w:color w:val="000000"/>
              </w:rPr>
              <w:t>Protecting Union</w:t>
            </w:r>
            <w:r w:rsidR="00C728B7">
              <w:rPr>
                <w:color w:val="000000"/>
              </w:rPr>
              <w:t>’</w:t>
            </w:r>
            <w:r w:rsidRPr="00D808EB">
              <w:rPr>
                <w:color w:val="000000"/>
              </w:rPr>
              <w:t>s democracy, rule of law and uphold Union values</w:t>
            </w:r>
          </w:p>
        </w:tc>
      </w:tr>
      <w:tr w:rsidR="00DB659A" w:rsidRPr="00D808EB" w14:paraId="444630DA"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6D2EE018"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3A57DE9F"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580454CC" w14:textId="77777777" w:rsidR="00DB659A" w:rsidRPr="00D808EB" w:rsidRDefault="00DB659A" w:rsidP="00CC28AE">
            <w:pPr>
              <w:jc w:val="center"/>
              <w:rPr>
                <w:color w:val="000000"/>
              </w:rPr>
            </w:pPr>
            <w:r w:rsidRPr="00D808EB">
              <w:rPr>
                <w:color w:val="000000"/>
              </w:rPr>
              <w:t>06</w:t>
            </w:r>
          </w:p>
        </w:tc>
        <w:tc>
          <w:tcPr>
            <w:tcW w:w="175" w:type="pct"/>
            <w:tcBorders>
              <w:top w:val="nil"/>
              <w:left w:val="nil"/>
              <w:bottom w:val="single" w:sz="4" w:space="0" w:color="auto"/>
              <w:right w:val="single" w:sz="4" w:space="0" w:color="auto"/>
            </w:tcBorders>
            <w:shd w:val="clear" w:color="000000" w:fill="F2F2F2"/>
            <w:noWrap/>
            <w:vAlign w:val="center"/>
            <w:hideMark/>
          </w:tcPr>
          <w:p w14:paraId="39360A8C"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693F8109" w14:textId="77777777" w:rsidR="00DB659A" w:rsidRPr="00D808EB" w:rsidRDefault="00DB659A" w:rsidP="00CC28AE">
            <w:pPr>
              <w:rPr>
                <w:color w:val="000000"/>
              </w:rPr>
            </w:pPr>
            <w:r w:rsidRPr="00D808EB">
              <w:rPr>
                <w:color w:val="000000"/>
              </w:rPr>
              <w:t>Flexibility</w:t>
            </w:r>
          </w:p>
        </w:tc>
      </w:tr>
      <w:tr w:rsidR="00DB659A" w:rsidRPr="00D808EB" w14:paraId="7AFFC85D"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53CCFB54"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79D2A113"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207A54C2" w14:textId="77777777" w:rsidR="00DB659A" w:rsidRPr="00D808EB" w:rsidRDefault="00DB659A" w:rsidP="00CC28AE">
            <w:pPr>
              <w:jc w:val="center"/>
              <w:rPr>
                <w:color w:val="000000"/>
              </w:rPr>
            </w:pPr>
            <w:r w:rsidRPr="00D808EB">
              <w:rPr>
                <w:color w:val="000000"/>
              </w:rPr>
              <w:t>07</w:t>
            </w:r>
          </w:p>
        </w:tc>
        <w:tc>
          <w:tcPr>
            <w:tcW w:w="175" w:type="pct"/>
            <w:tcBorders>
              <w:top w:val="nil"/>
              <w:left w:val="nil"/>
              <w:bottom w:val="single" w:sz="4" w:space="0" w:color="auto"/>
              <w:right w:val="single" w:sz="4" w:space="0" w:color="auto"/>
            </w:tcBorders>
            <w:shd w:val="clear" w:color="000000" w:fill="F2F2F2"/>
            <w:noWrap/>
            <w:vAlign w:val="center"/>
            <w:hideMark/>
          </w:tcPr>
          <w:p w14:paraId="10125DE3"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2BA884EA" w14:textId="77777777" w:rsidR="00DB659A" w:rsidRPr="00D808EB" w:rsidRDefault="00DB659A" w:rsidP="00CC28AE">
            <w:pPr>
              <w:rPr>
                <w:color w:val="000000"/>
              </w:rPr>
            </w:pPr>
            <w:r w:rsidRPr="00D808EB">
              <w:rPr>
                <w:color w:val="000000"/>
              </w:rPr>
              <w:t>Interreg Plan</w:t>
            </w:r>
          </w:p>
        </w:tc>
      </w:tr>
      <w:tr w:rsidR="00DB659A" w:rsidRPr="00D808EB" w14:paraId="178D9BD7"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41B6A34D"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16A3A335"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1EB8E0C1" w14:textId="77777777" w:rsidR="00DB659A" w:rsidRPr="00D808EB" w:rsidRDefault="00DB659A" w:rsidP="00CC28AE">
            <w:pPr>
              <w:jc w:val="center"/>
              <w:rPr>
                <w:color w:val="000000"/>
              </w:rPr>
            </w:pPr>
            <w:r w:rsidRPr="00D808EB">
              <w:rPr>
                <w:color w:val="000000"/>
              </w:rPr>
              <w:t>08</w:t>
            </w:r>
          </w:p>
        </w:tc>
        <w:tc>
          <w:tcPr>
            <w:tcW w:w="175" w:type="pct"/>
            <w:tcBorders>
              <w:top w:val="nil"/>
              <w:left w:val="nil"/>
              <w:bottom w:val="single" w:sz="4" w:space="0" w:color="auto"/>
              <w:right w:val="single" w:sz="4" w:space="0" w:color="auto"/>
            </w:tcBorders>
            <w:shd w:val="clear" w:color="000000" w:fill="F2F2F2"/>
            <w:noWrap/>
            <w:vAlign w:val="center"/>
            <w:hideMark/>
          </w:tcPr>
          <w:p w14:paraId="3592FDF1"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6324D85F" w14:textId="77777777" w:rsidR="00DB659A" w:rsidRPr="00D808EB" w:rsidRDefault="00DB659A" w:rsidP="00CC28AE">
            <w:pPr>
              <w:rPr>
                <w:color w:val="000000"/>
              </w:rPr>
            </w:pPr>
            <w:r w:rsidRPr="00D808EB">
              <w:rPr>
                <w:color w:val="000000"/>
              </w:rPr>
              <w:t>Technical assistance at the initiative of the Commission</w:t>
            </w:r>
          </w:p>
        </w:tc>
      </w:tr>
      <w:tr w:rsidR="00DB659A" w:rsidRPr="00D808EB" w14:paraId="33A82AD7"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D0D0D0"/>
            <w:noWrap/>
            <w:vAlign w:val="center"/>
            <w:hideMark/>
          </w:tcPr>
          <w:p w14:paraId="2EA04D17" w14:textId="77777777" w:rsidR="00DB659A" w:rsidRPr="00D808EB" w:rsidRDefault="00DB659A" w:rsidP="00CC28AE">
            <w:pPr>
              <w:jc w:val="center"/>
              <w:rPr>
                <w:i/>
                <w:iCs/>
                <w:color w:val="000000"/>
              </w:rPr>
            </w:pPr>
            <w:r w:rsidRPr="00D808EB">
              <w:rPr>
                <w:i/>
                <w:iCs/>
                <w:color w:val="000000"/>
              </w:rPr>
              <w:t>02</w:t>
            </w:r>
          </w:p>
        </w:tc>
        <w:tc>
          <w:tcPr>
            <w:tcW w:w="175" w:type="pct"/>
            <w:tcBorders>
              <w:top w:val="nil"/>
              <w:left w:val="nil"/>
              <w:bottom w:val="single" w:sz="4" w:space="0" w:color="auto"/>
              <w:right w:val="single" w:sz="4" w:space="0" w:color="auto"/>
            </w:tcBorders>
            <w:shd w:val="clear" w:color="000000" w:fill="D0D0D0"/>
            <w:noWrap/>
            <w:vAlign w:val="center"/>
            <w:hideMark/>
          </w:tcPr>
          <w:p w14:paraId="56BA37DB" w14:textId="77777777" w:rsidR="00DB659A" w:rsidRPr="00D808EB" w:rsidRDefault="00DB659A" w:rsidP="00CC28AE">
            <w:pPr>
              <w:jc w:val="center"/>
              <w:rPr>
                <w:i/>
                <w:iCs/>
                <w:color w:val="000000"/>
              </w:rPr>
            </w:pPr>
            <w:r w:rsidRPr="00D808EB">
              <w:rPr>
                <w:i/>
                <w:iCs/>
                <w:color w:val="000000"/>
              </w:rPr>
              <w:t>03</w:t>
            </w:r>
          </w:p>
        </w:tc>
        <w:tc>
          <w:tcPr>
            <w:tcW w:w="175" w:type="pct"/>
            <w:tcBorders>
              <w:top w:val="nil"/>
              <w:left w:val="nil"/>
              <w:bottom w:val="single" w:sz="4" w:space="0" w:color="auto"/>
              <w:right w:val="single" w:sz="4" w:space="0" w:color="auto"/>
            </w:tcBorders>
            <w:shd w:val="clear" w:color="000000" w:fill="D0D0D0"/>
            <w:noWrap/>
            <w:vAlign w:val="center"/>
            <w:hideMark/>
          </w:tcPr>
          <w:p w14:paraId="40FDB7DB" w14:textId="77777777" w:rsidR="00DB659A" w:rsidRPr="00D808EB" w:rsidRDefault="00DB659A" w:rsidP="00CC28AE">
            <w:pPr>
              <w:jc w:val="center"/>
              <w:rPr>
                <w:i/>
                <w:iCs/>
                <w:color w:val="000000"/>
              </w:rPr>
            </w:pPr>
            <w:r w:rsidRPr="00D808EB">
              <w:rPr>
                <w:i/>
                <w:iCs/>
                <w:color w:val="000000"/>
              </w:rPr>
              <w:t> </w:t>
            </w:r>
          </w:p>
        </w:tc>
        <w:tc>
          <w:tcPr>
            <w:tcW w:w="175" w:type="pct"/>
            <w:tcBorders>
              <w:top w:val="nil"/>
              <w:left w:val="nil"/>
              <w:bottom w:val="single" w:sz="4" w:space="0" w:color="auto"/>
              <w:right w:val="single" w:sz="4" w:space="0" w:color="auto"/>
            </w:tcBorders>
            <w:shd w:val="clear" w:color="000000" w:fill="D0D0D0"/>
            <w:noWrap/>
            <w:vAlign w:val="center"/>
            <w:hideMark/>
          </w:tcPr>
          <w:p w14:paraId="60832A98" w14:textId="77777777" w:rsidR="00DB659A" w:rsidRPr="00D808EB" w:rsidRDefault="00DB659A" w:rsidP="00CC28AE">
            <w:pPr>
              <w:jc w:val="center"/>
              <w:rPr>
                <w:i/>
                <w:iCs/>
                <w:color w:val="000000"/>
              </w:rPr>
            </w:pPr>
            <w:r w:rsidRPr="00D808EB">
              <w:rPr>
                <w:i/>
                <w:iCs/>
                <w:color w:val="000000"/>
              </w:rPr>
              <w:t> </w:t>
            </w:r>
          </w:p>
        </w:tc>
        <w:tc>
          <w:tcPr>
            <w:tcW w:w="4299" w:type="pct"/>
            <w:tcBorders>
              <w:top w:val="nil"/>
              <w:left w:val="nil"/>
              <w:bottom w:val="single" w:sz="4" w:space="0" w:color="auto"/>
              <w:right w:val="single" w:sz="4" w:space="0" w:color="auto"/>
            </w:tcBorders>
            <w:shd w:val="clear" w:color="000000" w:fill="D0D0D0"/>
            <w:vAlign w:val="center"/>
            <w:hideMark/>
          </w:tcPr>
          <w:p w14:paraId="2305E17D" w14:textId="77777777" w:rsidR="00DB659A" w:rsidRPr="00D808EB" w:rsidRDefault="00DB659A" w:rsidP="00CC28AE">
            <w:pPr>
              <w:rPr>
                <w:i/>
                <w:iCs/>
                <w:color w:val="000000"/>
              </w:rPr>
            </w:pPr>
            <w:r w:rsidRPr="00D808EB">
              <w:rPr>
                <w:i/>
                <w:iCs/>
                <w:color w:val="000000"/>
              </w:rPr>
              <w:t xml:space="preserve">EU Facility </w:t>
            </w:r>
          </w:p>
        </w:tc>
      </w:tr>
      <w:tr w:rsidR="00DB659A" w:rsidRPr="00D808EB" w14:paraId="50B43F40"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558036F2"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32C8CEA3" w14:textId="77777777" w:rsidR="00DB659A" w:rsidRPr="00D808EB" w:rsidRDefault="00DB659A" w:rsidP="00CC28AE">
            <w:pPr>
              <w:jc w:val="center"/>
              <w:rPr>
                <w:color w:val="000000"/>
              </w:rPr>
            </w:pPr>
            <w:r w:rsidRPr="00D808EB">
              <w:rPr>
                <w:color w:val="000000"/>
              </w:rPr>
              <w:t>03</w:t>
            </w:r>
          </w:p>
        </w:tc>
        <w:tc>
          <w:tcPr>
            <w:tcW w:w="175" w:type="pct"/>
            <w:tcBorders>
              <w:top w:val="nil"/>
              <w:left w:val="nil"/>
              <w:bottom w:val="single" w:sz="4" w:space="0" w:color="auto"/>
              <w:right w:val="single" w:sz="4" w:space="0" w:color="auto"/>
            </w:tcBorders>
            <w:shd w:val="clear" w:color="000000" w:fill="F2F2F2"/>
            <w:noWrap/>
            <w:vAlign w:val="center"/>
            <w:hideMark/>
          </w:tcPr>
          <w:p w14:paraId="5CAC0C32" w14:textId="77777777" w:rsidR="00DB659A" w:rsidRPr="00D808EB" w:rsidRDefault="00DB659A" w:rsidP="00CC28AE">
            <w:pPr>
              <w:jc w:val="center"/>
              <w:rPr>
                <w:color w:val="000000"/>
              </w:rPr>
            </w:pPr>
            <w:r w:rsidRPr="00D808EB">
              <w:rPr>
                <w:color w:val="000000"/>
              </w:rPr>
              <w:t>01</w:t>
            </w:r>
          </w:p>
        </w:tc>
        <w:tc>
          <w:tcPr>
            <w:tcW w:w="175" w:type="pct"/>
            <w:tcBorders>
              <w:top w:val="nil"/>
              <w:left w:val="nil"/>
              <w:bottom w:val="single" w:sz="4" w:space="0" w:color="auto"/>
              <w:right w:val="single" w:sz="4" w:space="0" w:color="auto"/>
            </w:tcBorders>
            <w:shd w:val="clear" w:color="000000" w:fill="F2F2F2"/>
            <w:noWrap/>
            <w:vAlign w:val="center"/>
            <w:hideMark/>
          </w:tcPr>
          <w:p w14:paraId="4F5CB0DB"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31F9A178" w14:textId="77777777" w:rsidR="00DB659A" w:rsidRPr="00D808EB" w:rsidRDefault="00DB659A" w:rsidP="00CC28AE">
            <w:pPr>
              <w:rPr>
                <w:color w:val="000000"/>
              </w:rPr>
            </w:pPr>
            <w:r w:rsidRPr="00D808EB">
              <w:rPr>
                <w:color w:val="000000"/>
              </w:rPr>
              <w:t>Union actions</w:t>
            </w:r>
          </w:p>
        </w:tc>
      </w:tr>
      <w:tr w:rsidR="00DB659A" w:rsidRPr="00D808EB" w14:paraId="43541D8B"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2DEB5F1B"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39AC5504" w14:textId="77777777" w:rsidR="00DB659A" w:rsidRPr="00D808EB" w:rsidRDefault="00DB659A" w:rsidP="00CC28AE">
            <w:pPr>
              <w:jc w:val="center"/>
              <w:rPr>
                <w:color w:val="000000"/>
              </w:rPr>
            </w:pPr>
            <w:r w:rsidRPr="00D808EB">
              <w:rPr>
                <w:color w:val="000000"/>
              </w:rPr>
              <w:t>03</w:t>
            </w:r>
          </w:p>
        </w:tc>
        <w:tc>
          <w:tcPr>
            <w:tcW w:w="175" w:type="pct"/>
            <w:tcBorders>
              <w:top w:val="nil"/>
              <w:left w:val="nil"/>
              <w:bottom w:val="single" w:sz="4" w:space="0" w:color="auto"/>
              <w:right w:val="single" w:sz="4" w:space="0" w:color="auto"/>
            </w:tcBorders>
            <w:shd w:val="clear" w:color="000000" w:fill="FFFFFF"/>
            <w:noWrap/>
            <w:vAlign w:val="center"/>
            <w:hideMark/>
          </w:tcPr>
          <w:p w14:paraId="23465BDD" w14:textId="77777777" w:rsidR="00DB659A" w:rsidRPr="00D808EB" w:rsidRDefault="00DB659A" w:rsidP="00CC28AE">
            <w:pPr>
              <w:jc w:val="center"/>
              <w:rPr>
                <w:color w:val="000000"/>
              </w:rPr>
            </w:pPr>
            <w:r w:rsidRPr="00D808EB">
              <w:rPr>
                <w:color w:val="000000"/>
              </w:rPr>
              <w:t>01</w:t>
            </w:r>
          </w:p>
        </w:tc>
        <w:tc>
          <w:tcPr>
            <w:tcW w:w="175" w:type="pct"/>
            <w:tcBorders>
              <w:top w:val="nil"/>
              <w:left w:val="nil"/>
              <w:bottom w:val="single" w:sz="4" w:space="0" w:color="auto"/>
              <w:right w:val="single" w:sz="4" w:space="0" w:color="auto"/>
            </w:tcBorders>
            <w:shd w:val="clear" w:color="000000" w:fill="FFFFFF"/>
            <w:noWrap/>
            <w:vAlign w:val="center"/>
            <w:hideMark/>
          </w:tcPr>
          <w:p w14:paraId="5D3EE5DB" w14:textId="77777777" w:rsidR="00DB659A" w:rsidRPr="00D808EB" w:rsidRDefault="00DB659A" w:rsidP="00CC28AE">
            <w:pPr>
              <w:jc w:val="center"/>
              <w:rPr>
                <w:color w:val="000000"/>
              </w:rPr>
            </w:pPr>
            <w:r w:rsidRPr="00D808EB">
              <w:rPr>
                <w:color w:val="000000"/>
              </w:rPr>
              <w:t>01</w:t>
            </w:r>
          </w:p>
        </w:tc>
        <w:tc>
          <w:tcPr>
            <w:tcW w:w="4299" w:type="pct"/>
            <w:tcBorders>
              <w:top w:val="nil"/>
              <w:left w:val="nil"/>
              <w:bottom w:val="single" w:sz="4" w:space="0" w:color="auto"/>
              <w:right w:val="single" w:sz="4" w:space="0" w:color="auto"/>
            </w:tcBorders>
            <w:shd w:val="clear" w:color="000000" w:fill="FFFFFF"/>
            <w:vAlign w:val="center"/>
            <w:hideMark/>
          </w:tcPr>
          <w:p w14:paraId="5104E1B8" w14:textId="77777777" w:rsidR="00DB659A" w:rsidRPr="00D808EB" w:rsidRDefault="00DB659A" w:rsidP="00CC28AE">
            <w:pPr>
              <w:rPr>
                <w:color w:val="000000"/>
              </w:rPr>
            </w:pPr>
            <w:r w:rsidRPr="00D808EB">
              <w:rPr>
                <w:color w:val="000000"/>
              </w:rPr>
              <w:t>Crisis situation - European Union Solidarity</w:t>
            </w:r>
          </w:p>
        </w:tc>
      </w:tr>
      <w:tr w:rsidR="00DB659A" w:rsidRPr="00D808EB" w14:paraId="59B2B150"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0CFE4533"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11B177FE" w14:textId="77777777" w:rsidR="00DB659A" w:rsidRPr="00D808EB" w:rsidRDefault="00DB659A" w:rsidP="00CC28AE">
            <w:pPr>
              <w:jc w:val="center"/>
              <w:rPr>
                <w:color w:val="000000"/>
              </w:rPr>
            </w:pPr>
            <w:r w:rsidRPr="00D808EB">
              <w:rPr>
                <w:color w:val="000000"/>
              </w:rPr>
              <w:t>03</w:t>
            </w:r>
          </w:p>
        </w:tc>
        <w:tc>
          <w:tcPr>
            <w:tcW w:w="175" w:type="pct"/>
            <w:tcBorders>
              <w:top w:val="nil"/>
              <w:left w:val="nil"/>
              <w:bottom w:val="single" w:sz="4" w:space="0" w:color="auto"/>
              <w:right w:val="single" w:sz="4" w:space="0" w:color="auto"/>
            </w:tcBorders>
            <w:shd w:val="clear" w:color="000000" w:fill="FFFFFF"/>
            <w:noWrap/>
            <w:vAlign w:val="center"/>
            <w:hideMark/>
          </w:tcPr>
          <w:p w14:paraId="6055032B" w14:textId="77777777" w:rsidR="00DB659A" w:rsidRPr="00D808EB" w:rsidRDefault="00DB659A" w:rsidP="00CC28AE">
            <w:pPr>
              <w:jc w:val="center"/>
              <w:rPr>
                <w:color w:val="000000"/>
              </w:rPr>
            </w:pPr>
            <w:r w:rsidRPr="00D808EB">
              <w:rPr>
                <w:color w:val="000000"/>
              </w:rPr>
              <w:t>01</w:t>
            </w:r>
          </w:p>
        </w:tc>
        <w:tc>
          <w:tcPr>
            <w:tcW w:w="175" w:type="pct"/>
            <w:tcBorders>
              <w:top w:val="nil"/>
              <w:left w:val="nil"/>
              <w:bottom w:val="single" w:sz="4" w:space="0" w:color="auto"/>
              <w:right w:val="single" w:sz="4" w:space="0" w:color="auto"/>
            </w:tcBorders>
            <w:shd w:val="clear" w:color="000000" w:fill="FFFFFF"/>
            <w:noWrap/>
            <w:vAlign w:val="center"/>
            <w:hideMark/>
          </w:tcPr>
          <w:p w14:paraId="386775CB" w14:textId="77777777" w:rsidR="00DB659A" w:rsidRPr="00D808EB" w:rsidRDefault="00DB659A" w:rsidP="00CC28AE">
            <w:pPr>
              <w:jc w:val="center"/>
              <w:rPr>
                <w:color w:val="000000"/>
              </w:rPr>
            </w:pPr>
            <w:r w:rsidRPr="00D808EB">
              <w:rPr>
                <w:color w:val="000000"/>
              </w:rPr>
              <w:t>02</w:t>
            </w:r>
          </w:p>
        </w:tc>
        <w:tc>
          <w:tcPr>
            <w:tcW w:w="4299" w:type="pct"/>
            <w:tcBorders>
              <w:top w:val="nil"/>
              <w:left w:val="nil"/>
              <w:bottom w:val="single" w:sz="4" w:space="0" w:color="auto"/>
              <w:right w:val="single" w:sz="4" w:space="0" w:color="auto"/>
            </w:tcBorders>
            <w:shd w:val="clear" w:color="000000" w:fill="FFFFFF"/>
            <w:vAlign w:val="center"/>
            <w:hideMark/>
          </w:tcPr>
          <w:p w14:paraId="741EB92C" w14:textId="77777777" w:rsidR="00DB659A" w:rsidRPr="00D808EB" w:rsidRDefault="00DB659A" w:rsidP="00CC28AE">
            <w:pPr>
              <w:rPr>
                <w:color w:val="000000"/>
              </w:rPr>
            </w:pPr>
            <w:r w:rsidRPr="00D808EB">
              <w:rPr>
                <w:color w:val="000000"/>
              </w:rPr>
              <w:t>Unity safety net (Stabilisation of agricultural markets)</w:t>
            </w:r>
          </w:p>
        </w:tc>
      </w:tr>
      <w:tr w:rsidR="00DB659A" w:rsidRPr="00D808EB" w14:paraId="7D2F1B74"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37492C4B"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0D35181C" w14:textId="77777777" w:rsidR="00DB659A" w:rsidRPr="00D808EB" w:rsidRDefault="00DB659A" w:rsidP="00CC28AE">
            <w:pPr>
              <w:jc w:val="center"/>
              <w:rPr>
                <w:color w:val="000000"/>
              </w:rPr>
            </w:pPr>
            <w:r w:rsidRPr="00D808EB">
              <w:rPr>
                <w:color w:val="000000"/>
              </w:rPr>
              <w:t>03</w:t>
            </w:r>
          </w:p>
        </w:tc>
        <w:tc>
          <w:tcPr>
            <w:tcW w:w="175" w:type="pct"/>
            <w:tcBorders>
              <w:top w:val="nil"/>
              <w:left w:val="nil"/>
              <w:bottom w:val="single" w:sz="4" w:space="0" w:color="auto"/>
              <w:right w:val="single" w:sz="4" w:space="0" w:color="auto"/>
            </w:tcBorders>
            <w:shd w:val="clear" w:color="000000" w:fill="FFFFFF"/>
            <w:noWrap/>
            <w:vAlign w:val="center"/>
            <w:hideMark/>
          </w:tcPr>
          <w:p w14:paraId="48EA9C00" w14:textId="77777777" w:rsidR="00DB659A" w:rsidRPr="00D808EB" w:rsidRDefault="00DB659A" w:rsidP="00CC28AE">
            <w:pPr>
              <w:jc w:val="center"/>
              <w:rPr>
                <w:color w:val="000000"/>
              </w:rPr>
            </w:pPr>
            <w:r w:rsidRPr="00D808EB">
              <w:rPr>
                <w:color w:val="000000"/>
              </w:rPr>
              <w:t>01</w:t>
            </w:r>
          </w:p>
        </w:tc>
        <w:tc>
          <w:tcPr>
            <w:tcW w:w="175" w:type="pct"/>
            <w:tcBorders>
              <w:top w:val="nil"/>
              <w:left w:val="nil"/>
              <w:bottom w:val="single" w:sz="4" w:space="0" w:color="auto"/>
              <w:right w:val="single" w:sz="4" w:space="0" w:color="auto"/>
            </w:tcBorders>
            <w:shd w:val="clear" w:color="000000" w:fill="FFFFFF"/>
            <w:noWrap/>
            <w:vAlign w:val="center"/>
            <w:hideMark/>
          </w:tcPr>
          <w:p w14:paraId="6B6F7DD2" w14:textId="77777777" w:rsidR="00DB659A" w:rsidRPr="00D808EB" w:rsidRDefault="00DB659A" w:rsidP="00CC28AE">
            <w:pPr>
              <w:jc w:val="center"/>
              <w:rPr>
                <w:color w:val="000000"/>
              </w:rPr>
            </w:pPr>
            <w:r w:rsidRPr="00D808EB">
              <w:rPr>
                <w:color w:val="000000"/>
              </w:rPr>
              <w:t>03</w:t>
            </w:r>
          </w:p>
        </w:tc>
        <w:tc>
          <w:tcPr>
            <w:tcW w:w="4299" w:type="pct"/>
            <w:tcBorders>
              <w:top w:val="nil"/>
              <w:left w:val="nil"/>
              <w:bottom w:val="single" w:sz="4" w:space="0" w:color="auto"/>
              <w:right w:val="single" w:sz="4" w:space="0" w:color="auto"/>
            </w:tcBorders>
            <w:shd w:val="clear" w:color="000000" w:fill="FFFFFF"/>
            <w:vAlign w:val="center"/>
            <w:hideMark/>
          </w:tcPr>
          <w:p w14:paraId="2F3AC89E" w14:textId="77777777" w:rsidR="00DB659A" w:rsidRPr="00D808EB" w:rsidRDefault="00DB659A" w:rsidP="00CC28AE">
            <w:pPr>
              <w:rPr>
                <w:color w:val="000000"/>
              </w:rPr>
            </w:pPr>
            <w:r w:rsidRPr="00D808EB">
              <w:rPr>
                <w:color w:val="000000"/>
              </w:rPr>
              <w:t>Migration, asylum, border management, visa and internal security</w:t>
            </w:r>
          </w:p>
        </w:tc>
      </w:tr>
      <w:tr w:rsidR="00DB659A" w:rsidRPr="00D808EB" w14:paraId="025CBB2B"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FFFFF"/>
            <w:noWrap/>
            <w:vAlign w:val="center"/>
            <w:hideMark/>
          </w:tcPr>
          <w:p w14:paraId="133D2AFA"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FFFFF"/>
            <w:noWrap/>
            <w:vAlign w:val="center"/>
            <w:hideMark/>
          </w:tcPr>
          <w:p w14:paraId="2CA679C9" w14:textId="77777777" w:rsidR="00DB659A" w:rsidRPr="00D808EB" w:rsidRDefault="00DB659A" w:rsidP="00CC28AE">
            <w:pPr>
              <w:jc w:val="center"/>
              <w:rPr>
                <w:color w:val="000000"/>
              </w:rPr>
            </w:pPr>
            <w:r w:rsidRPr="00D808EB">
              <w:rPr>
                <w:color w:val="000000"/>
              </w:rPr>
              <w:t>03</w:t>
            </w:r>
          </w:p>
        </w:tc>
        <w:tc>
          <w:tcPr>
            <w:tcW w:w="175" w:type="pct"/>
            <w:tcBorders>
              <w:top w:val="nil"/>
              <w:left w:val="nil"/>
              <w:bottom w:val="single" w:sz="4" w:space="0" w:color="auto"/>
              <w:right w:val="single" w:sz="4" w:space="0" w:color="auto"/>
            </w:tcBorders>
            <w:shd w:val="clear" w:color="000000" w:fill="FFFFFF"/>
            <w:noWrap/>
            <w:vAlign w:val="center"/>
            <w:hideMark/>
          </w:tcPr>
          <w:p w14:paraId="099ADA02" w14:textId="77777777" w:rsidR="00DB659A" w:rsidRPr="00D808EB" w:rsidRDefault="00DB659A" w:rsidP="00CC28AE">
            <w:pPr>
              <w:jc w:val="center"/>
              <w:rPr>
                <w:color w:val="000000"/>
              </w:rPr>
            </w:pPr>
            <w:r w:rsidRPr="00D808EB">
              <w:rPr>
                <w:color w:val="000000"/>
              </w:rPr>
              <w:t>01</w:t>
            </w:r>
          </w:p>
        </w:tc>
        <w:tc>
          <w:tcPr>
            <w:tcW w:w="175" w:type="pct"/>
            <w:tcBorders>
              <w:top w:val="nil"/>
              <w:left w:val="nil"/>
              <w:bottom w:val="single" w:sz="4" w:space="0" w:color="auto"/>
              <w:right w:val="single" w:sz="4" w:space="0" w:color="auto"/>
            </w:tcBorders>
            <w:shd w:val="clear" w:color="000000" w:fill="FFFFFF"/>
            <w:noWrap/>
            <w:vAlign w:val="center"/>
            <w:hideMark/>
          </w:tcPr>
          <w:p w14:paraId="14AA24DE" w14:textId="77777777" w:rsidR="00DB659A" w:rsidRPr="00D808EB" w:rsidRDefault="00DB659A" w:rsidP="00CC28AE">
            <w:pPr>
              <w:jc w:val="center"/>
              <w:rPr>
                <w:color w:val="000000"/>
              </w:rPr>
            </w:pPr>
            <w:r w:rsidRPr="00D808EB">
              <w:rPr>
                <w:color w:val="000000"/>
              </w:rPr>
              <w:t>04</w:t>
            </w:r>
          </w:p>
        </w:tc>
        <w:tc>
          <w:tcPr>
            <w:tcW w:w="4299" w:type="pct"/>
            <w:tcBorders>
              <w:top w:val="nil"/>
              <w:left w:val="nil"/>
              <w:bottom w:val="single" w:sz="4" w:space="0" w:color="auto"/>
              <w:right w:val="single" w:sz="4" w:space="0" w:color="auto"/>
            </w:tcBorders>
            <w:shd w:val="clear" w:color="000000" w:fill="FFFFFF"/>
            <w:vAlign w:val="center"/>
            <w:hideMark/>
          </w:tcPr>
          <w:p w14:paraId="5E551D95" w14:textId="77777777" w:rsidR="00DB659A" w:rsidRPr="00D808EB" w:rsidRDefault="00DB659A" w:rsidP="00CC28AE">
            <w:pPr>
              <w:rPr>
                <w:color w:val="000000"/>
              </w:rPr>
            </w:pPr>
            <w:r w:rsidRPr="00D808EB">
              <w:rPr>
                <w:color w:val="000000"/>
              </w:rPr>
              <w:t>Other Union Actions</w:t>
            </w:r>
          </w:p>
        </w:tc>
      </w:tr>
      <w:tr w:rsidR="00DB659A" w:rsidRPr="00D808EB" w14:paraId="4B765D2E" w14:textId="77777777" w:rsidTr="00CC28AE">
        <w:trPr>
          <w:trHeight w:val="255"/>
        </w:trPr>
        <w:tc>
          <w:tcPr>
            <w:tcW w:w="175" w:type="pct"/>
            <w:tcBorders>
              <w:top w:val="nil"/>
              <w:left w:val="single" w:sz="4" w:space="0" w:color="auto"/>
              <w:bottom w:val="single" w:sz="4" w:space="0" w:color="auto"/>
              <w:right w:val="single" w:sz="4" w:space="0" w:color="auto"/>
            </w:tcBorders>
            <w:shd w:val="clear" w:color="000000" w:fill="F2F2F2"/>
            <w:noWrap/>
            <w:vAlign w:val="center"/>
            <w:hideMark/>
          </w:tcPr>
          <w:p w14:paraId="3A851286"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1E247779" w14:textId="77777777" w:rsidR="00DB659A" w:rsidRPr="00D808EB" w:rsidRDefault="00DB659A" w:rsidP="00CC28AE">
            <w:pPr>
              <w:jc w:val="center"/>
              <w:rPr>
                <w:color w:val="000000"/>
              </w:rPr>
            </w:pPr>
            <w:r w:rsidRPr="00D808EB">
              <w:rPr>
                <w:color w:val="000000"/>
              </w:rPr>
              <w:t>03</w:t>
            </w:r>
          </w:p>
        </w:tc>
        <w:tc>
          <w:tcPr>
            <w:tcW w:w="175" w:type="pct"/>
            <w:tcBorders>
              <w:top w:val="nil"/>
              <w:left w:val="nil"/>
              <w:bottom w:val="single" w:sz="4" w:space="0" w:color="auto"/>
              <w:right w:val="single" w:sz="4" w:space="0" w:color="auto"/>
            </w:tcBorders>
            <w:shd w:val="clear" w:color="000000" w:fill="F2F2F2"/>
            <w:noWrap/>
            <w:vAlign w:val="center"/>
            <w:hideMark/>
          </w:tcPr>
          <w:p w14:paraId="780830CC" w14:textId="77777777" w:rsidR="00DB659A" w:rsidRPr="00D808EB" w:rsidRDefault="00DB659A" w:rsidP="00CC28AE">
            <w:pPr>
              <w:jc w:val="center"/>
              <w:rPr>
                <w:color w:val="000000"/>
              </w:rPr>
            </w:pPr>
            <w:r w:rsidRPr="00D808EB">
              <w:rPr>
                <w:color w:val="000000"/>
              </w:rPr>
              <w:t>02</w:t>
            </w:r>
          </w:p>
        </w:tc>
        <w:tc>
          <w:tcPr>
            <w:tcW w:w="175" w:type="pct"/>
            <w:tcBorders>
              <w:top w:val="nil"/>
              <w:left w:val="nil"/>
              <w:bottom w:val="single" w:sz="4" w:space="0" w:color="auto"/>
              <w:right w:val="single" w:sz="4" w:space="0" w:color="auto"/>
            </w:tcBorders>
            <w:shd w:val="clear" w:color="000000" w:fill="F2F2F2"/>
            <w:noWrap/>
            <w:vAlign w:val="center"/>
            <w:hideMark/>
          </w:tcPr>
          <w:p w14:paraId="6D450C20" w14:textId="77777777" w:rsidR="00DB659A" w:rsidRPr="00D808EB" w:rsidRDefault="00DB659A" w:rsidP="00CC28AE">
            <w:pPr>
              <w:jc w:val="center"/>
              <w:rPr>
                <w:color w:val="000000"/>
              </w:rPr>
            </w:pPr>
            <w:r w:rsidRPr="00D808EB">
              <w:rPr>
                <w:color w:val="000000"/>
              </w:rPr>
              <w:t> </w:t>
            </w:r>
          </w:p>
        </w:tc>
        <w:tc>
          <w:tcPr>
            <w:tcW w:w="4299" w:type="pct"/>
            <w:tcBorders>
              <w:top w:val="nil"/>
              <w:left w:val="nil"/>
              <w:bottom w:val="single" w:sz="4" w:space="0" w:color="auto"/>
              <w:right w:val="single" w:sz="4" w:space="0" w:color="auto"/>
            </w:tcBorders>
            <w:shd w:val="clear" w:color="000000" w:fill="F2F2F2"/>
            <w:vAlign w:val="center"/>
            <w:hideMark/>
          </w:tcPr>
          <w:p w14:paraId="0CEF17F2" w14:textId="77777777" w:rsidR="00DB659A" w:rsidRPr="00D808EB" w:rsidRDefault="00DB659A" w:rsidP="00CC28AE">
            <w:pPr>
              <w:rPr>
                <w:color w:val="000000"/>
              </w:rPr>
            </w:pPr>
            <w:r w:rsidRPr="00D808EB">
              <w:rPr>
                <w:color w:val="000000"/>
              </w:rPr>
              <w:t>Emerging challenges and priorities cushion</w:t>
            </w:r>
          </w:p>
        </w:tc>
      </w:tr>
    </w:tbl>
    <w:p w14:paraId="16E18561" w14:textId="77777777" w:rsidR="00DB659A" w:rsidRPr="00D808EB" w:rsidRDefault="00DB659A" w:rsidP="00DB659A">
      <w:pPr>
        <w:pStyle w:val="ListParagraph"/>
        <w:ind w:left="0"/>
      </w:pPr>
    </w:p>
    <w:tbl>
      <w:tblPr>
        <w:tblW w:w="5000" w:type="pct"/>
        <w:tblLook w:val="04A0" w:firstRow="1" w:lastRow="0" w:firstColumn="1" w:lastColumn="0" w:noHBand="0" w:noVBand="1"/>
      </w:tblPr>
      <w:tblGrid>
        <w:gridCol w:w="465"/>
        <w:gridCol w:w="465"/>
        <w:gridCol w:w="465"/>
        <w:gridCol w:w="465"/>
        <w:gridCol w:w="12406"/>
      </w:tblGrid>
      <w:tr w:rsidR="00DB659A" w:rsidRPr="00D808EB" w14:paraId="333414C1" w14:textId="77777777" w:rsidTr="00CC28AE">
        <w:trPr>
          <w:trHeight w:val="420"/>
        </w:trPr>
        <w:tc>
          <w:tcPr>
            <w:tcW w:w="5000" w:type="pct"/>
            <w:gridSpan w:val="5"/>
            <w:tcBorders>
              <w:top w:val="single" w:sz="8" w:space="0" w:color="000000"/>
              <w:left w:val="single" w:sz="8" w:space="0" w:color="000000"/>
              <w:bottom w:val="nil"/>
              <w:right w:val="single" w:sz="8" w:space="0" w:color="000000"/>
            </w:tcBorders>
            <w:shd w:val="clear" w:color="auto" w:fill="auto"/>
            <w:noWrap/>
            <w:vAlign w:val="center"/>
            <w:hideMark/>
          </w:tcPr>
          <w:p w14:paraId="64C6A1A5" w14:textId="77777777" w:rsidR="00DB659A" w:rsidRPr="00D808EB" w:rsidRDefault="00DB659A" w:rsidP="00CC28AE">
            <w:pPr>
              <w:rPr>
                <w:b/>
                <w:bCs/>
                <w:color w:val="000000"/>
                <w:sz w:val="28"/>
                <w:szCs w:val="28"/>
              </w:rPr>
            </w:pPr>
            <w:r w:rsidRPr="00D808EB">
              <w:rPr>
                <w:b/>
                <w:bCs/>
                <w:color w:val="000000"/>
                <w:sz w:val="28"/>
                <w:szCs w:val="28"/>
              </w:rPr>
              <w:t>Heading 2: Competitiveness, Prosperity, and Security</w:t>
            </w:r>
          </w:p>
        </w:tc>
      </w:tr>
      <w:tr w:rsidR="00DB659A" w:rsidRPr="00D808EB" w14:paraId="13579472" w14:textId="77777777" w:rsidTr="00CC28AE">
        <w:trPr>
          <w:trHeight w:val="255"/>
        </w:trPr>
        <w:tc>
          <w:tcPr>
            <w:tcW w:w="163"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00CF379" w14:textId="77777777" w:rsidR="00DB659A" w:rsidRPr="00D808EB" w:rsidRDefault="00DB659A" w:rsidP="00CC28AE">
            <w:pPr>
              <w:jc w:val="center"/>
              <w:rPr>
                <w:b/>
                <w:bCs/>
                <w:color w:val="000000"/>
                <w:sz w:val="22"/>
                <w:szCs w:val="22"/>
              </w:rPr>
            </w:pPr>
            <w:r w:rsidRPr="00D808EB">
              <w:rPr>
                <w:b/>
                <w:bCs/>
                <w:color w:val="000000"/>
                <w:sz w:val="22"/>
                <w:szCs w:val="22"/>
              </w:rPr>
              <w:t>04</w:t>
            </w:r>
          </w:p>
        </w:tc>
        <w:tc>
          <w:tcPr>
            <w:tcW w:w="163" w:type="pct"/>
            <w:tcBorders>
              <w:top w:val="single" w:sz="4" w:space="0" w:color="auto"/>
              <w:left w:val="nil"/>
              <w:bottom w:val="single" w:sz="4" w:space="0" w:color="auto"/>
              <w:right w:val="single" w:sz="4" w:space="0" w:color="auto"/>
            </w:tcBorders>
            <w:shd w:val="clear" w:color="000000" w:fill="A6A6A6"/>
            <w:noWrap/>
            <w:vAlign w:val="center"/>
            <w:hideMark/>
          </w:tcPr>
          <w:p w14:paraId="3BE54E1C"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163" w:type="pct"/>
            <w:tcBorders>
              <w:top w:val="single" w:sz="4" w:space="0" w:color="auto"/>
              <w:left w:val="nil"/>
              <w:bottom w:val="single" w:sz="4" w:space="0" w:color="auto"/>
              <w:right w:val="single" w:sz="4" w:space="0" w:color="auto"/>
            </w:tcBorders>
            <w:shd w:val="clear" w:color="000000" w:fill="A6A6A6"/>
            <w:noWrap/>
            <w:vAlign w:val="center"/>
            <w:hideMark/>
          </w:tcPr>
          <w:p w14:paraId="66F26A67"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163" w:type="pct"/>
            <w:tcBorders>
              <w:top w:val="single" w:sz="4" w:space="0" w:color="auto"/>
              <w:left w:val="nil"/>
              <w:bottom w:val="single" w:sz="4" w:space="0" w:color="auto"/>
              <w:right w:val="single" w:sz="4" w:space="0" w:color="auto"/>
            </w:tcBorders>
            <w:shd w:val="clear" w:color="000000" w:fill="A6A6A6"/>
            <w:noWrap/>
            <w:vAlign w:val="center"/>
            <w:hideMark/>
          </w:tcPr>
          <w:p w14:paraId="7CE8D046"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4346" w:type="pct"/>
            <w:tcBorders>
              <w:top w:val="single" w:sz="4" w:space="0" w:color="auto"/>
              <w:left w:val="nil"/>
              <w:bottom w:val="single" w:sz="4" w:space="0" w:color="auto"/>
              <w:right w:val="single" w:sz="4" w:space="0" w:color="auto"/>
            </w:tcBorders>
            <w:shd w:val="clear" w:color="000000" w:fill="A6A6A6"/>
            <w:vAlign w:val="center"/>
            <w:hideMark/>
          </w:tcPr>
          <w:p w14:paraId="0A8B0BFD" w14:textId="77777777" w:rsidR="00DB659A" w:rsidRPr="00D808EB" w:rsidRDefault="00DB659A" w:rsidP="00CC28AE">
            <w:pPr>
              <w:rPr>
                <w:b/>
                <w:bCs/>
                <w:color w:val="000000"/>
                <w:sz w:val="22"/>
                <w:szCs w:val="22"/>
              </w:rPr>
            </w:pPr>
            <w:r w:rsidRPr="00D808EB">
              <w:rPr>
                <w:b/>
                <w:bCs/>
                <w:color w:val="000000"/>
                <w:sz w:val="22"/>
                <w:szCs w:val="22"/>
              </w:rPr>
              <w:t>Competitiveness Fund</w:t>
            </w:r>
          </w:p>
        </w:tc>
      </w:tr>
      <w:tr w:rsidR="00DB659A" w:rsidRPr="00D808EB" w14:paraId="6B492D8A"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21E6A159" w14:textId="77777777" w:rsidR="00DB659A" w:rsidRPr="00D808EB" w:rsidRDefault="00DB659A" w:rsidP="00CC28AE">
            <w:pPr>
              <w:jc w:val="center"/>
              <w:rPr>
                <w:i/>
                <w:iCs/>
                <w:color w:val="000000"/>
                <w:sz w:val="22"/>
                <w:szCs w:val="22"/>
              </w:rPr>
            </w:pPr>
            <w:r w:rsidRPr="00D808EB">
              <w:rPr>
                <w:i/>
                <w:iCs/>
                <w:color w:val="000000"/>
                <w:sz w:val="22"/>
                <w:szCs w:val="22"/>
              </w:rPr>
              <w:t>04</w:t>
            </w:r>
          </w:p>
        </w:tc>
        <w:tc>
          <w:tcPr>
            <w:tcW w:w="163" w:type="pct"/>
            <w:tcBorders>
              <w:top w:val="nil"/>
              <w:left w:val="nil"/>
              <w:bottom w:val="single" w:sz="4" w:space="0" w:color="auto"/>
              <w:right w:val="single" w:sz="4" w:space="0" w:color="auto"/>
            </w:tcBorders>
            <w:shd w:val="clear" w:color="000000" w:fill="D0D0D0"/>
            <w:noWrap/>
            <w:vAlign w:val="center"/>
            <w:hideMark/>
          </w:tcPr>
          <w:p w14:paraId="27C89532" w14:textId="77777777" w:rsidR="00DB659A" w:rsidRPr="00D808EB" w:rsidRDefault="00DB659A" w:rsidP="00CC28AE">
            <w:pPr>
              <w:jc w:val="center"/>
              <w:rPr>
                <w:i/>
                <w:iCs/>
                <w:color w:val="000000"/>
                <w:sz w:val="22"/>
                <w:szCs w:val="22"/>
              </w:rPr>
            </w:pPr>
            <w:r w:rsidRPr="00D808EB">
              <w:rPr>
                <w:i/>
                <w:iCs/>
                <w:color w:val="000000"/>
                <w:sz w:val="22"/>
                <w:szCs w:val="22"/>
              </w:rPr>
              <w:t>01</w:t>
            </w:r>
          </w:p>
        </w:tc>
        <w:tc>
          <w:tcPr>
            <w:tcW w:w="163" w:type="pct"/>
            <w:tcBorders>
              <w:top w:val="nil"/>
              <w:left w:val="nil"/>
              <w:bottom w:val="single" w:sz="4" w:space="0" w:color="auto"/>
              <w:right w:val="single" w:sz="4" w:space="0" w:color="auto"/>
            </w:tcBorders>
            <w:shd w:val="clear" w:color="000000" w:fill="D0D0D0"/>
            <w:noWrap/>
            <w:vAlign w:val="center"/>
            <w:hideMark/>
          </w:tcPr>
          <w:p w14:paraId="55106C0A"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720DA368"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1042BC94" w14:textId="77777777" w:rsidR="00DB659A" w:rsidRPr="00D808EB" w:rsidRDefault="00DB659A" w:rsidP="00CC28AE">
            <w:pPr>
              <w:rPr>
                <w:i/>
                <w:iCs/>
                <w:color w:val="000000"/>
                <w:sz w:val="22"/>
                <w:szCs w:val="22"/>
              </w:rPr>
            </w:pPr>
            <w:r w:rsidRPr="00D808EB">
              <w:rPr>
                <w:i/>
                <w:iCs/>
                <w:color w:val="000000"/>
                <w:sz w:val="22"/>
                <w:szCs w:val="22"/>
              </w:rPr>
              <w:t>Support expenditure for Competitiveness Fund</w:t>
            </w:r>
          </w:p>
        </w:tc>
      </w:tr>
      <w:tr w:rsidR="00DB659A" w:rsidRPr="00D808EB" w14:paraId="00D1D2DD"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7164F4AD"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490B8044"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59448E70"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36194172"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01F07554" w14:textId="77777777" w:rsidR="00DB659A" w:rsidRPr="00D808EB" w:rsidRDefault="00DB659A" w:rsidP="00CC28AE">
            <w:pPr>
              <w:rPr>
                <w:color w:val="000000"/>
                <w:sz w:val="22"/>
                <w:szCs w:val="22"/>
              </w:rPr>
            </w:pPr>
            <w:r w:rsidRPr="00D808EB">
              <w:rPr>
                <w:color w:val="000000"/>
                <w:sz w:val="22"/>
                <w:szCs w:val="22"/>
              </w:rPr>
              <w:t xml:space="preserve">Support expenditure for European Competitiveness Fund </w:t>
            </w:r>
          </w:p>
        </w:tc>
      </w:tr>
      <w:tr w:rsidR="00DB659A" w:rsidRPr="00D808EB" w14:paraId="0295223F"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0C93165F"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01CDF9D3"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55F5C6A9"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50D31778"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4D3843FD" w14:textId="77777777" w:rsidR="00DB659A" w:rsidRPr="00D808EB" w:rsidRDefault="00DB659A" w:rsidP="00CC28AE">
            <w:pPr>
              <w:rPr>
                <w:color w:val="000000"/>
                <w:sz w:val="22"/>
                <w:szCs w:val="22"/>
              </w:rPr>
            </w:pPr>
            <w:r w:rsidRPr="00D808EB">
              <w:rPr>
                <w:color w:val="000000"/>
                <w:sz w:val="22"/>
                <w:szCs w:val="22"/>
              </w:rPr>
              <w:t>Support expenditure for Horizon Europe</w:t>
            </w:r>
          </w:p>
        </w:tc>
      </w:tr>
      <w:tr w:rsidR="00DB659A" w:rsidRPr="00D808EB" w14:paraId="007DE2B2"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2E4F7C7E"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3A67AAB1"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360C2CA1"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0C18FEA6"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35EDD7D5" w14:textId="77777777" w:rsidR="00DB659A" w:rsidRPr="00D808EB" w:rsidRDefault="00DB659A" w:rsidP="00CC28AE">
            <w:pPr>
              <w:rPr>
                <w:color w:val="000000"/>
                <w:sz w:val="22"/>
                <w:szCs w:val="22"/>
              </w:rPr>
            </w:pPr>
            <w:r w:rsidRPr="00D808EB">
              <w:rPr>
                <w:color w:val="000000"/>
                <w:sz w:val="22"/>
                <w:szCs w:val="22"/>
              </w:rPr>
              <w:t>Support expenditure for EURATOM/ITER</w:t>
            </w:r>
          </w:p>
        </w:tc>
      </w:tr>
      <w:tr w:rsidR="00DB659A" w:rsidRPr="00D808EB" w14:paraId="74F8721C" w14:textId="77777777" w:rsidTr="00CC28AE">
        <w:trPr>
          <w:trHeight w:val="300"/>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786E71BF"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400E973C"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0ACCBEED"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6BC553AD"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noWrap/>
            <w:vAlign w:val="center"/>
            <w:hideMark/>
          </w:tcPr>
          <w:p w14:paraId="0C27FBED" w14:textId="77777777" w:rsidR="00DB659A" w:rsidRPr="00D808EB" w:rsidRDefault="00DB659A" w:rsidP="00CC28AE">
            <w:pPr>
              <w:rPr>
                <w:color w:val="000000"/>
                <w:sz w:val="22"/>
                <w:szCs w:val="22"/>
              </w:rPr>
            </w:pPr>
            <w:r w:rsidRPr="00D808EB">
              <w:rPr>
                <w:color w:val="000000"/>
                <w:sz w:val="22"/>
                <w:szCs w:val="22"/>
              </w:rPr>
              <w:t>Support expenditure for INSC-D (International Nuclear Safety Cooperation - Decommissioning)</w:t>
            </w:r>
          </w:p>
        </w:tc>
      </w:tr>
      <w:tr w:rsidR="00DB659A" w:rsidRPr="00D808EB" w14:paraId="679364AA"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7A3E9328"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4DA05074"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1A3B53C6"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7109A067"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195B8894" w14:textId="77777777" w:rsidR="00DB659A" w:rsidRPr="00D808EB" w:rsidRDefault="00DB659A" w:rsidP="00CC28AE">
            <w:pPr>
              <w:rPr>
                <w:color w:val="000000"/>
                <w:sz w:val="22"/>
                <w:szCs w:val="22"/>
              </w:rPr>
            </w:pPr>
            <w:r w:rsidRPr="00D808EB">
              <w:rPr>
                <w:color w:val="000000"/>
                <w:sz w:val="22"/>
                <w:szCs w:val="22"/>
              </w:rPr>
              <w:t>Support expenditure for Ignalina Programme</w:t>
            </w:r>
          </w:p>
        </w:tc>
      </w:tr>
      <w:tr w:rsidR="00DB659A" w:rsidRPr="00D808EB" w14:paraId="619847D5"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1C89B1DD" w14:textId="77777777" w:rsidR="00DB659A" w:rsidRPr="00D808EB" w:rsidRDefault="00DB659A" w:rsidP="00CC28AE">
            <w:pPr>
              <w:jc w:val="center"/>
              <w:rPr>
                <w:i/>
                <w:iCs/>
                <w:color w:val="000000"/>
                <w:sz w:val="22"/>
                <w:szCs w:val="22"/>
              </w:rPr>
            </w:pPr>
            <w:r w:rsidRPr="00D808EB">
              <w:rPr>
                <w:i/>
                <w:iCs/>
                <w:color w:val="000000"/>
                <w:sz w:val="22"/>
                <w:szCs w:val="22"/>
              </w:rPr>
              <w:t>04</w:t>
            </w:r>
          </w:p>
        </w:tc>
        <w:tc>
          <w:tcPr>
            <w:tcW w:w="163" w:type="pct"/>
            <w:tcBorders>
              <w:top w:val="nil"/>
              <w:left w:val="nil"/>
              <w:bottom w:val="single" w:sz="4" w:space="0" w:color="auto"/>
              <w:right w:val="single" w:sz="4" w:space="0" w:color="auto"/>
            </w:tcBorders>
            <w:shd w:val="clear" w:color="000000" w:fill="D0D0D0"/>
            <w:noWrap/>
            <w:vAlign w:val="center"/>
            <w:hideMark/>
          </w:tcPr>
          <w:p w14:paraId="69793889" w14:textId="77777777" w:rsidR="00DB659A" w:rsidRPr="00D808EB" w:rsidRDefault="00DB659A" w:rsidP="00CC28AE">
            <w:pPr>
              <w:jc w:val="center"/>
              <w:rPr>
                <w:i/>
                <w:iCs/>
                <w:color w:val="000000"/>
                <w:sz w:val="22"/>
                <w:szCs w:val="22"/>
              </w:rPr>
            </w:pPr>
            <w:r w:rsidRPr="00D808EB">
              <w:rPr>
                <w:i/>
                <w:iCs/>
                <w:color w:val="000000"/>
                <w:sz w:val="22"/>
                <w:szCs w:val="22"/>
              </w:rPr>
              <w:t>02</w:t>
            </w:r>
          </w:p>
        </w:tc>
        <w:tc>
          <w:tcPr>
            <w:tcW w:w="163" w:type="pct"/>
            <w:tcBorders>
              <w:top w:val="nil"/>
              <w:left w:val="nil"/>
              <w:bottom w:val="single" w:sz="4" w:space="0" w:color="auto"/>
              <w:right w:val="single" w:sz="4" w:space="0" w:color="auto"/>
            </w:tcBorders>
            <w:shd w:val="clear" w:color="000000" w:fill="D0D0D0"/>
            <w:noWrap/>
            <w:vAlign w:val="center"/>
            <w:hideMark/>
          </w:tcPr>
          <w:p w14:paraId="6A7AC405"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02BEF55F"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72D7F328" w14:textId="77777777" w:rsidR="00DB659A" w:rsidRPr="00D808EB" w:rsidRDefault="00DB659A" w:rsidP="00CC28AE">
            <w:pPr>
              <w:rPr>
                <w:i/>
                <w:iCs/>
                <w:color w:val="000000"/>
                <w:sz w:val="22"/>
                <w:szCs w:val="22"/>
              </w:rPr>
            </w:pPr>
            <w:r w:rsidRPr="00D808EB">
              <w:rPr>
                <w:i/>
                <w:iCs/>
                <w:color w:val="000000"/>
                <w:sz w:val="22"/>
                <w:szCs w:val="22"/>
              </w:rPr>
              <w:t>European Competitiveness Fund</w:t>
            </w:r>
          </w:p>
        </w:tc>
      </w:tr>
      <w:tr w:rsidR="00DB659A" w:rsidRPr="00D808EB" w14:paraId="3FEDD848"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2A08A25A"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284926B8"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195F3A63"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754F9DC3"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0A642BB8" w14:textId="77777777" w:rsidR="00DB659A" w:rsidRPr="00D808EB" w:rsidRDefault="00DB659A" w:rsidP="00CC28AE">
            <w:pPr>
              <w:rPr>
                <w:color w:val="000000"/>
                <w:sz w:val="22"/>
                <w:szCs w:val="22"/>
              </w:rPr>
            </w:pPr>
            <w:r w:rsidRPr="00D808EB">
              <w:rPr>
                <w:color w:val="000000"/>
                <w:sz w:val="22"/>
                <w:szCs w:val="22"/>
              </w:rPr>
              <w:t xml:space="preserve">Clean transition and decarbonisation </w:t>
            </w:r>
          </w:p>
        </w:tc>
      </w:tr>
      <w:tr w:rsidR="00DB659A" w:rsidRPr="00D808EB" w14:paraId="07E07262"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228F22F7"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683D2B47"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0DB242EC"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0ABE2271"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3B3C0033" w14:textId="77777777" w:rsidR="00DB659A" w:rsidRPr="00D808EB" w:rsidRDefault="00DB659A" w:rsidP="00CC28AE">
            <w:pPr>
              <w:rPr>
                <w:color w:val="000000"/>
                <w:sz w:val="22"/>
                <w:szCs w:val="22"/>
              </w:rPr>
            </w:pPr>
            <w:r w:rsidRPr="00D808EB">
              <w:rPr>
                <w:color w:val="000000"/>
                <w:sz w:val="22"/>
                <w:szCs w:val="22"/>
              </w:rPr>
              <w:t>Health and bioeconomy</w:t>
            </w:r>
          </w:p>
        </w:tc>
      </w:tr>
      <w:tr w:rsidR="00DB659A" w:rsidRPr="00D808EB" w14:paraId="7949A6B5"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4890C283"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7482FC2B"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601102FE"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07ACB068"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06F82900" w14:textId="77777777" w:rsidR="00DB659A" w:rsidRPr="00D808EB" w:rsidRDefault="00DB659A" w:rsidP="00CC28AE">
            <w:pPr>
              <w:rPr>
                <w:color w:val="000000"/>
                <w:sz w:val="22"/>
                <w:szCs w:val="22"/>
              </w:rPr>
            </w:pPr>
            <w:r w:rsidRPr="00D808EB">
              <w:rPr>
                <w:color w:val="000000"/>
                <w:sz w:val="22"/>
                <w:szCs w:val="22"/>
              </w:rPr>
              <w:t>Digital leadership</w:t>
            </w:r>
          </w:p>
        </w:tc>
      </w:tr>
      <w:tr w:rsidR="00DB659A" w:rsidRPr="00D808EB" w14:paraId="18AEA982"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198D796C"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6377EDE3"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0AEE0C83"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6962B868"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0B495E2D" w14:textId="77777777" w:rsidR="00DB659A" w:rsidRPr="00D808EB" w:rsidRDefault="00DB659A" w:rsidP="00CC28AE">
            <w:pPr>
              <w:rPr>
                <w:color w:val="000000"/>
                <w:sz w:val="22"/>
                <w:szCs w:val="22"/>
              </w:rPr>
            </w:pPr>
            <w:r w:rsidRPr="00D808EB">
              <w:rPr>
                <w:color w:val="000000"/>
                <w:sz w:val="22"/>
                <w:szCs w:val="22"/>
              </w:rPr>
              <w:t xml:space="preserve">Resilience, Defence Industry and Space </w:t>
            </w:r>
          </w:p>
        </w:tc>
      </w:tr>
      <w:tr w:rsidR="00DB659A" w:rsidRPr="00D808EB" w14:paraId="6F47C081"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7FA9ACCD"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2B5726BD"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4975FAA6"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4E1D91EA"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5F738F27" w14:textId="77777777" w:rsidR="00DB659A" w:rsidRPr="00D808EB" w:rsidRDefault="00DB659A" w:rsidP="00CC28AE">
            <w:pPr>
              <w:rPr>
                <w:color w:val="000000"/>
                <w:sz w:val="22"/>
                <w:szCs w:val="22"/>
              </w:rPr>
            </w:pPr>
            <w:r w:rsidRPr="00D808EB">
              <w:rPr>
                <w:color w:val="000000"/>
                <w:sz w:val="22"/>
                <w:szCs w:val="22"/>
              </w:rPr>
              <w:t>Competitiveness Hub and Cross-cutting Competitiveness Actions</w:t>
            </w:r>
          </w:p>
        </w:tc>
      </w:tr>
      <w:tr w:rsidR="00DB659A" w:rsidRPr="00D808EB" w14:paraId="0B4E1580"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2EB0FFF0"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57576364"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4E8CDEED"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0D50FDA5"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771F6AB8" w14:textId="77777777" w:rsidR="00DB659A" w:rsidRPr="00D808EB" w:rsidRDefault="00DB659A" w:rsidP="00CC28AE">
            <w:pPr>
              <w:rPr>
                <w:color w:val="000000"/>
                <w:sz w:val="22"/>
                <w:szCs w:val="22"/>
              </w:rPr>
            </w:pPr>
            <w:r w:rsidRPr="00D808EB">
              <w:rPr>
                <w:color w:val="000000"/>
                <w:sz w:val="22"/>
                <w:szCs w:val="22"/>
              </w:rPr>
              <w:t>Contribution to ECF InvestEU Instrument</w:t>
            </w:r>
          </w:p>
        </w:tc>
      </w:tr>
      <w:tr w:rsidR="00DB659A" w:rsidRPr="00D808EB" w14:paraId="61B159FE"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4D9B7E54" w14:textId="77777777" w:rsidR="00DB659A" w:rsidRPr="00D808EB" w:rsidRDefault="00DB659A" w:rsidP="00CC28AE">
            <w:pPr>
              <w:jc w:val="center"/>
              <w:rPr>
                <w:i/>
                <w:iCs/>
                <w:color w:val="000000"/>
                <w:sz w:val="22"/>
                <w:szCs w:val="22"/>
              </w:rPr>
            </w:pPr>
            <w:r w:rsidRPr="00D808EB">
              <w:rPr>
                <w:i/>
                <w:iCs/>
                <w:color w:val="000000"/>
                <w:sz w:val="22"/>
                <w:szCs w:val="22"/>
              </w:rPr>
              <w:t>04</w:t>
            </w:r>
          </w:p>
        </w:tc>
        <w:tc>
          <w:tcPr>
            <w:tcW w:w="163" w:type="pct"/>
            <w:tcBorders>
              <w:top w:val="nil"/>
              <w:left w:val="nil"/>
              <w:bottom w:val="single" w:sz="4" w:space="0" w:color="auto"/>
              <w:right w:val="single" w:sz="4" w:space="0" w:color="auto"/>
            </w:tcBorders>
            <w:shd w:val="clear" w:color="000000" w:fill="D0D0D0"/>
            <w:noWrap/>
            <w:vAlign w:val="center"/>
            <w:hideMark/>
          </w:tcPr>
          <w:p w14:paraId="614A4A82" w14:textId="77777777" w:rsidR="00DB659A" w:rsidRPr="00D808EB" w:rsidRDefault="00DB659A" w:rsidP="00CC28AE">
            <w:pPr>
              <w:jc w:val="center"/>
              <w:rPr>
                <w:i/>
                <w:iCs/>
                <w:color w:val="000000"/>
                <w:sz w:val="22"/>
                <w:szCs w:val="22"/>
              </w:rPr>
            </w:pPr>
            <w:r w:rsidRPr="00D808EB">
              <w:rPr>
                <w:i/>
                <w:iCs/>
                <w:color w:val="000000"/>
                <w:sz w:val="22"/>
                <w:szCs w:val="22"/>
              </w:rPr>
              <w:t>03</w:t>
            </w:r>
          </w:p>
        </w:tc>
        <w:tc>
          <w:tcPr>
            <w:tcW w:w="163" w:type="pct"/>
            <w:tcBorders>
              <w:top w:val="nil"/>
              <w:left w:val="nil"/>
              <w:bottom w:val="single" w:sz="4" w:space="0" w:color="auto"/>
              <w:right w:val="single" w:sz="4" w:space="0" w:color="auto"/>
            </w:tcBorders>
            <w:shd w:val="clear" w:color="000000" w:fill="D0D0D0"/>
            <w:noWrap/>
            <w:vAlign w:val="center"/>
            <w:hideMark/>
          </w:tcPr>
          <w:p w14:paraId="7A194FF0"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381CADEA"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3F48AA12" w14:textId="77777777" w:rsidR="00DB659A" w:rsidRPr="00D808EB" w:rsidRDefault="00DB659A" w:rsidP="00CC28AE">
            <w:pPr>
              <w:rPr>
                <w:i/>
                <w:iCs/>
                <w:color w:val="000000"/>
                <w:sz w:val="22"/>
                <w:szCs w:val="22"/>
              </w:rPr>
            </w:pPr>
            <w:r w:rsidRPr="00D808EB">
              <w:rPr>
                <w:i/>
                <w:iCs/>
                <w:color w:val="000000"/>
                <w:sz w:val="22"/>
                <w:szCs w:val="22"/>
              </w:rPr>
              <w:t>Horizon Europe</w:t>
            </w:r>
          </w:p>
        </w:tc>
      </w:tr>
      <w:tr w:rsidR="00DB659A" w:rsidRPr="00D808EB" w14:paraId="4FC7D7A9"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6BD63CDD"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14E9D117"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69071AEC"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50A0B915"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40E9434E" w14:textId="77777777" w:rsidR="00DB659A" w:rsidRPr="00D808EB" w:rsidRDefault="00DB659A" w:rsidP="00CC28AE">
            <w:pPr>
              <w:rPr>
                <w:color w:val="000000"/>
                <w:sz w:val="22"/>
                <w:szCs w:val="22"/>
              </w:rPr>
            </w:pPr>
            <w:r w:rsidRPr="00D808EB">
              <w:rPr>
                <w:color w:val="000000"/>
                <w:sz w:val="22"/>
                <w:szCs w:val="22"/>
              </w:rPr>
              <w:t>Excellent Science​</w:t>
            </w:r>
          </w:p>
        </w:tc>
      </w:tr>
      <w:tr w:rsidR="00DB659A" w:rsidRPr="00D808EB" w14:paraId="26624207"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40A93D72"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37A70A18"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1E3AFFBB"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58716793"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119F468D" w14:textId="77777777" w:rsidR="00DB659A" w:rsidRPr="00D808EB" w:rsidRDefault="00DB659A" w:rsidP="00CC28AE">
            <w:pPr>
              <w:rPr>
                <w:color w:val="000000"/>
                <w:sz w:val="22"/>
                <w:szCs w:val="22"/>
              </w:rPr>
            </w:pPr>
            <w:r w:rsidRPr="00D808EB">
              <w:rPr>
                <w:color w:val="000000"/>
                <w:sz w:val="22"/>
                <w:szCs w:val="22"/>
              </w:rPr>
              <w:t>Competitiveness and Society</w:t>
            </w:r>
          </w:p>
        </w:tc>
      </w:tr>
      <w:tr w:rsidR="00DB659A" w:rsidRPr="00D808EB" w14:paraId="38E13A56"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228BBFDE"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664C5966"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1A0E8F46"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3B9B3584"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4C60CE90" w14:textId="77777777" w:rsidR="00DB659A" w:rsidRPr="00D808EB" w:rsidRDefault="00DB659A" w:rsidP="00CC28AE">
            <w:pPr>
              <w:rPr>
                <w:color w:val="000000"/>
                <w:sz w:val="22"/>
                <w:szCs w:val="22"/>
              </w:rPr>
            </w:pPr>
            <w:r w:rsidRPr="00D808EB">
              <w:rPr>
                <w:color w:val="000000"/>
                <w:sz w:val="22"/>
                <w:szCs w:val="22"/>
              </w:rPr>
              <w:t>Innovation</w:t>
            </w:r>
          </w:p>
        </w:tc>
      </w:tr>
      <w:tr w:rsidR="00DB659A" w:rsidRPr="00D808EB" w14:paraId="301D75B6"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3387CEC8"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7C14AAD1"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3FE9FDCD"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0EBA6E47"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2125543D" w14:textId="77777777" w:rsidR="00DB659A" w:rsidRPr="00D808EB" w:rsidRDefault="00DB659A" w:rsidP="00CC28AE">
            <w:pPr>
              <w:rPr>
                <w:color w:val="000000"/>
                <w:sz w:val="22"/>
                <w:szCs w:val="22"/>
              </w:rPr>
            </w:pPr>
            <w:r w:rsidRPr="00D808EB">
              <w:rPr>
                <w:color w:val="000000"/>
                <w:sz w:val="22"/>
                <w:szCs w:val="22"/>
              </w:rPr>
              <w:t>European Research Area</w:t>
            </w:r>
          </w:p>
        </w:tc>
      </w:tr>
      <w:tr w:rsidR="00DB659A" w:rsidRPr="00D808EB" w14:paraId="0C55F11F"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7539A0E1" w14:textId="77777777" w:rsidR="00DB659A" w:rsidRPr="00D808EB" w:rsidRDefault="00DB659A" w:rsidP="00CC28AE">
            <w:pPr>
              <w:jc w:val="center"/>
              <w:rPr>
                <w:i/>
                <w:iCs/>
                <w:color w:val="000000"/>
                <w:sz w:val="22"/>
                <w:szCs w:val="22"/>
              </w:rPr>
            </w:pPr>
            <w:r w:rsidRPr="00D808EB">
              <w:rPr>
                <w:i/>
                <w:iCs/>
                <w:color w:val="000000"/>
                <w:sz w:val="22"/>
                <w:szCs w:val="22"/>
              </w:rPr>
              <w:t>04</w:t>
            </w:r>
          </w:p>
        </w:tc>
        <w:tc>
          <w:tcPr>
            <w:tcW w:w="163" w:type="pct"/>
            <w:tcBorders>
              <w:top w:val="nil"/>
              <w:left w:val="nil"/>
              <w:bottom w:val="single" w:sz="4" w:space="0" w:color="auto"/>
              <w:right w:val="single" w:sz="4" w:space="0" w:color="auto"/>
            </w:tcBorders>
            <w:shd w:val="clear" w:color="000000" w:fill="D0D0D0"/>
            <w:noWrap/>
            <w:vAlign w:val="center"/>
            <w:hideMark/>
          </w:tcPr>
          <w:p w14:paraId="3EDDC8CE" w14:textId="77777777" w:rsidR="00DB659A" w:rsidRPr="00D808EB" w:rsidRDefault="00DB659A" w:rsidP="00CC28AE">
            <w:pPr>
              <w:jc w:val="center"/>
              <w:rPr>
                <w:i/>
                <w:iCs/>
                <w:color w:val="000000"/>
                <w:sz w:val="22"/>
                <w:szCs w:val="22"/>
              </w:rPr>
            </w:pPr>
            <w:r w:rsidRPr="00D808EB">
              <w:rPr>
                <w:i/>
                <w:iCs/>
                <w:color w:val="000000"/>
                <w:sz w:val="22"/>
                <w:szCs w:val="22"/>
              </w:rPr>
              <w:t>04</w:t>
            </w:r>
          </w:p>
        </w:tc>
        <w:tc>
          <w:tcPr>
            <w:tcW w:w="163" w:type="pct"/>
            <w:tcBorders>
              <w:top w:val="nil"/>
              <w:left w:val="nil"/>
              <w:bottom w:val="single" w:sz="4" w:space="0" w:color="auto"/>
              <w:right w:val="single" w:sz="4" w:space="0" w:color="auto"/>
            </w:tcBorders>
            <w:shd w:val="clear" w:color="000000" w:fill="D0D0D0"/>
            <w:noWrap/>
            <w:vAlign w:val="center"/>
            <w:hideMark/>
          </w:tcPr>
          <w:p w14:paraId="5D6D646B"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48B2580E"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7CE8DC3C" w14:textId="77777777" w:rsidR="00DB659A" w:rsidRPr="00D808EB" w:rsidRDefault="00DB659A" w:rsidP="00CC28AE">
            <w:pPr>
              <w:rPr>
                <w:i/>
                <w:iCs/>
                <w:color w:val="000000"/>
                <w:sz w:val="22"/>
                <w:szCs w:val="22"/>
              </w:rPr>
            </w:pPr>
            <w:r w:rsidRPr="00D808EB">
              <w:rPr>
                <w:i/>
                <w:iCs/>
                <w:color w:val="000000"/>
                <w:sz w:val="22"/>
                <w:szCs w:val="22"/>
              </w:rPr>
              <w:t>EURATOM/ITER</w:t>
            </w:r>
          </w:p>
        </w:tc>
      </w:tr>
      <w:tr w:rsidR="00DB659A" w:rsidRPr="00D808EB" w14:paraId="6C1D209F"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580FE789" w14:textId="77777777" w:rsidR="00DB659A" w:rsidRPr="00D808EB" w:rsidRDefault="00DB659A" w:rsidP="00CC28AE">
            <w:pPr>
              <w:jc w:val="center"/>
              <w:rPr>
                <w:color w:val="000000"/>
                <w:sz w:val="22"/>
                <w:szCs w:val="22"/>
              </w:rPr>
            </w:pPr>
            <w:r w:rsidRPr="00D808EB">
              <w:rPr>
                <w:color w:val="000000"/>
                <w:sz w:val="22"/>
                <w:szCs w:val="22"/>
              </w:rPr>
              <w:t xml:space="preserve">04 </w:t>
            </w:r>
          </w:p>
        </w:tc>
        <w:tc>
          <w:tcPr>
            <w:tcW w:w="163" w:type="pct"/>
            <w:tcBorders>
              <w:top w:val="nil"/>
              <w:left w:val="nil"/>
              <w:bottom w:val="single" w:sz="4" w:space="0" w:color="auto"/>
              <w:right w:val="single" w:sz="4" w:space="0" w:color="auto"/>
            </w:tcBorders>
            <w:shd w:val="clear" w:color="000000" w:fill="F2F2F2"/>
            <w:noWrap/>
            <w:vAlign w:val="center"/>
            <w:hideMark/>
          </w:tcPr>
          <w:p w14:paraId="7532523A"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268964A5"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7FE6E53B"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57F4F9B9" w14:textId="77777777" w:rsidR="00DB659A" w:rsidRPr="00D808EB" w:rsidRDefault="00DB659A" w:rsidP="00CC28AE">
            <w:pPr>
              <w:rPr>
                <w:color w:val="000000"/>
                <w:sz w:val="22"/>
                <w:szCs w:val="22"/>
              </w:rPr>
            </w:pPr>
            <w:r w:rsidRPr="00D808EB">
              <w:rPr>
                <w:color w:val="000000"/>
                <w:sz w:val="22"/>
                <w:szCs w:val="22"/>
              </w:rPr>
              <w:t>EURATOM/ITER</w:t>
            </w:r>
          </w:p>
        </w:tc>
      </w:tr>
      <w:tr w:rsidR="00DB659A" w:rsidRPr="00D808EB" w14:paraId="4F4672D1"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34795B9D" w14:textId="77777777" w:rsidR="00DB659A" w:rsidRPr="00D808EB" w:rsidRDefault="00DB659A" w:rsidP="00CC28AE">
            <w:pPr>
              <w:jc w:val="center"/>
              <w:rPr>
                <w:color w:val="000000"/>
                <w:sz w:val="22"/>
                <w:szCs w:val="22"/>
              </w:rPr>
            </w:pPr>
            <w:r w:rsidRPr="00D808EB">
              <w:rPr>
                <w:color w:val="000000"/>
                <w:sz w:val="22"/>
                <w:szCs w:val="22"/>
              </w:rPr>
              <w:t xml:space="preserve">04 </w:t>
            </w:r>
          </w:p>
        </w:tc>
        <w:tc>
          <w:tcPr>
            <w:tcW w:w="163" w:type="pct"/>
            <w:tcBorders>
              <w:top w:val="nil"/>
              <w:left w:val="nil"/>
              <w:bottom w:val="single" w:sz="4" w:space="0" w:color="auto"/>
              <w:right w:val="single" w:sz="4" w:space="0" w:color="auto"/>
            </w:tcBorders>
            <w:shd w:val="clear" w:color="auto" w:fill="auto"/>
            <w:noWrap/>
            <w:vAlign w:val="center"/>
            <w:hideMark/>
          </w:tcPr>
          <w:p w14:paraId="2EBC6696"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auto" w:fill="auto"/>
            <w:noWrap/>
            <w:vAlign w:val="center"/>
            <w:hideMark/>
          </w:tcPr>
          <w:p w14:paraId="0CB84616"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1465794F" w14:textId="77777777" w:rsidR="00DB659A" w:rsidRPr="00D808EB" w:rsidRDefault="00DB659A" w:rsidP="00CC28AE">
            <w:pPr>
              <w:jc w:val="center"/>
              <w:rPr>
                <w:color w:val="000000"/>
                <w:sz w:val="22"/>
                <w:szCs w:val="22"/>
              </w:rPr>
            </w:pPr>
            <w:r w:rsidRPr="00D808EB">
              <w:rPr>
                <w:color w:val="000000"/>
                <w:sz w:val="22"/>
                <w:szCs w:val="22"/>
              </w:rPr>
              <w:t>01</w:t>
            </w:r>
          </w:p>
        </w:tc>
        <w:tc>
          <w:tcPr>
            <w:tcW w:w="4346" w:type="pct"/>
            <w:tcBorders>
              <w:top w:val="nil"/>
              <w:left w:val="nil"/>
              <w:bottom w:val="single" w:sz="4" w:space="0" w:color="auto"/>
              <w:right w:val="single" w:sz="4" w:space="0" w:color="auto"/>
            </w:tcBorders>
            <w:shd w:val="clear" w:color="auto" w:fill="auto"/>
            <w:vAlign w:val="center"/>
            <w:hideMark/>
          </w:tcPr>
          <w:p w14:paraId="13EB91D6" w14:textId="77777777" w:rsidR="00DB659A" w:rsidRPr="00D808EB" w:rsidRDefault="00DB659A" w:rsidP="00CC28AE">
            <w:pPr>
              <w:rPr>
                <w:color w:val="000000"/>
                <w:sz w:val="22"/>
                <w:szCs w:val="22"/>
              </w:rPr>
            </w:pPr>
            <w:r w:rsidRPr="00D808EB">
              <w:rPr>
                <w:color w:val="000000"/>
                <w:sz w:val="22"/>
                <w:szCs w:val="22"/>
              </w:rPr>
              <w:t>Fusion</w:t>
            </w:r>
          </w:p>
        </w:tc>
      </w:tr>
      <w:tr w:rsidR="00DB659A" w:rsidRPr="00D808EB" w14:paraId="763FB0F2" w14:textId="77777777" w:rsidTr="00CC28AE">
        <w:trPr>
          <w:trHeight w:val="46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5CAF9EFB" w14:textId="77777777" w:rsidR="00DB659A" w:rsidRPr="00D808EB" w:rsidRDefault="00DB659A" w:rsidP="00CC28AE">
            <w:pPr>
              <w:jc w:val="center"/>
              <w:rPr>
                <w:color w:val="000000"/>
                <w:sz w:val="22"/>
                <w:szCs w:val="22"/>
              </w:rPr>
            </w:pPr>
            <w:r w:rsidRPr="00D808EB">
              <w:rPr>
                <w:color w:val="000000"/>
                <w:sz w:val="22"/>
                <w:szCs w:val="22"/>
              </w:rPr>
              <w:t xml:space="preserve">04 </w:t>
            </w:r>
          </w:p>
        </w:tc>
        <w:tc>
          <w:tcPr>
            <w:tcW w:w="163" w:type="pct"/>
            <w:tcBorders>
              <w:top w:val="nil"/>
              <w:left w:val="nil"/>
              <w:bottom w:val="single" w:sz="4" w:space="0" w:color="auto"/>
              <w:right w:val="single" w:sz="4" w:space="0" w:color="auto"/>
            </w:tcBorders>
            <w:shd w:val="clear" w:color="auto" w:fill="auto"/>
            <w:noWrap/>
            <w:vAlign w:val="center"/>
            <w:hideMark/>
          </w:tcPr>
          <w:p w14:paraId="5872E1F7"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auto" w:fill="auto"/>
            <w:noWrap/>
            <w:vAlign w:val="center"/>
            <w:hideMark/>
          </w:tcPr>
          <w:p w14:paraId="4A53B851"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08D2D15F" w14:textId="77777777" w:rsidR="00DB659A" w:rsidRPr="00D808EB" w:rsidRDefault="00DB659A" w:rsidP="00CC28AE">
            <w:pPr>
              <w:jc w:val="center"/>
              <w:rPr>
                <w:color w:val="000000"/>
                <w:sz w:val="22"/>
                <w:szCs w:val="22"/>
              </w:rPr>
            </w:pPr>
            <w:r w:rsidRPr="00D808EB">
              <w:rPr>
                <w:color w:val="000000"/>
                <w:sz w:val="22"/>
                <w:szCs w:val="22"/>
              </w:rPr>
              <w:t>02</w:t>
            </w:r>
          </w:p>
        </w:tc>
        <w:tc>
          <w:tcPr>
            <w:tcW w:w="4346" w:type="pct"/>
            <w:tcBorders>
              <w:top w:val="nil"/>
              <w:left w:val="nil"/>
              <w:bottom w:val="single" w:sz="4" w:space="0" w:color="auto"/>
              <w:right w:val="single" w:sz="4" w:space="0" w:color="auto"/>
            </w:tcBorders>
            <w:shd w:val="clear" w:color="auto" w:fill="auto"/>
            <w:vAlign w:val="center"/>
            <w:hideMark/>
          </w:tcPr>
          <w:p w14:paraId="1AB6EA1A" w14:textId="77777777" w:rsidR="00DB659A" w:rsidRPr="00D808EB" w:rsidRDefault="00DB659A" w:rsidP="00CC28AE">
            <w:pPr>
              <w:rPr>
                <w:color w:val="000000"/>
                <w:sz w:val="22"/>
                <w:szCs w:val="22"/>
              </w:rPr>
            </w:pPr>
            <w:r w:rsidRPr="00D808EB">
              <w:rPr>
                <w:color w:val="000000"/>
                <w:sz w:val="22"/>
                <w:szCs w:val="22"/>
              </w:rPr>
              <w:t>ITER - Construction, operation and exploitation of the ITER facilities — European Joint Undertaking for ITER — and the Development of Fusion Energy</w:t>
            </w:r>
          </w:p>
        </w:tc>
      </w:tr>
      <w:tr w:rsidR="00DB659A" w:rsidRPr="00D808EB" w14:paraId="28E66A7C"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04743B63" w14:textId="77777777" w:rsidR="00DB659A" w:rsidRPr="00D808EB" w:rsidRDefault="00DB659A" w:rsidP="00CC28AE">
            <w:pPr>
              <w:jc w:val="center"/>
              <w:rPr>
                <w:color w:val="000000"/>
                <w:sz w:val="22"/>
                <w:szCs w:val="22"/>
              </w:rPr>
            </w:pPr>
            <w:r w:rsidRPr="00D808EB">
              <w:rPr>
                <w:color w:val="000000"/>
                <w:sz w:val="22"/>
                <w:szCs w:val="22"/>
              </w:rPr>
              <w:t xml:space="preserve">04 </w:t>
            </w:r>
          </w:p>
        </w:tc>
        <w:tc>
          <w:tcPr>
            <w:tcW w:w="163" w:type="pct"/>
            <w:tcBorders>
              <w:top w:val="nil"/>
              <w:left w:val="nil"/>
              <w:bottom w:val="single" w:sz="4" w:space="0" w:color="auto"/>
              <w:right w:val="single" w:sz="4" w:space="0" w:color="auto"/>
            </w:tcBorders>
            <w:shd w:val="clear" w:color="auto" w:fill="auto"/>
            <w:noWrap/>
            <w:vAlign w:val="center"/>
            <w:hideMark/>
          </w:tcPr>
          <w:p w14:paraId="7A170806"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auto" w:fill="auto"/>
            <w:noWrap/>
            <w:vAlign w:val="center"/>
            <w:hideMark/>
          </w:tcPr>
          <w:p w14:paraId="609BBDD2"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51CE1401" w14:textId="77777777" w:rsidR="00DB659A" w:rsidRPr="00D808EB" w:rsidRDefault="00DB659A" w:rsidP="00CC28AE">
            <w:pPr>
              <w:jc w:val="center"/>
              <w:rPr>
                <w:color w:val="000000"/>
                <w:sz w:val="22"/>
                <w:szCs w:val="22"/>
              </w:rPr>
            </w:pPr>
            <w:r w:rsidRPr="00D808EB">
              <w:rPr>
                <w:color w:val="000000"/>
                <w:sz w:val="22"/>
                <w:szCs w:val="22"/>
              </w:rPr>
              <w:t>03</w:t>
            </w:r>
          </w:p>
        </w:tc>
        <w:tc>
          <w:tcPr>
            <w:tcW w:w="4346" w:type="pct"/>
            <w:tcBorders>
              <w:top w:val="nil"/>
              <w:left w:val="nil"/>
              <w:bottom w:val="single" w:sz="4" w:space="0" w:color="auto"/>
              <w:right w:val="single" w:sz="4" w:space="0" w:color="auto"/>
            </w:tcBorders>
            <w:shd w:val="clear" w:color="auto" w:fill="auto"/>
            <w:vAlign w:val="center"/>
            <w:hideMark/>
          </w:tcPr>
          <w:p w14:paraId="69E247B9" w14:textId="77777777" w:rsidR="00DB659A" w:rsidRPr="00D808EB" w:rsidRDefault="00DB659A" w:rsidP="00CC28AE">
            <w:pPr>
              <w:rPr>
                <w:color w:val="000000"/>
                <w:sz w:val="22"/>
                <w:szCs w:val="22"/>
              </w:rPr>
            </w:pPr>
            <w:r w:rsidRPr="00D808EB">
              <w:rPr>
                <w:color w:val="000000"/>
                <w:sz w:val="22"/>
                <w:szCs w:val="22"/>
              </w:rPr>
              <w:t>Fission</w:t>
            </w:r>
          </w:p>
        </w:tc>
      </w:tr>
      <w:tr w:rsidR="00DB659A" w:rsidRPr="00D808EB" w14:paraId="6EF964D6"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2A8FEE91" w14:textId="77777777" w:rsidR="00DB659A" w:rsidRPr="00D808EB" w:rsidRDefault="00DB659A" w:rsidP="00CC28AE">
            <w:pPr>
              <w:jc w:val="center"/>
              <w:rPr>
                <w:color w:val="000000"/>
                <w:sz w:val="22"/>
                <w:szCs w:val="22"/>
              </w:rPr>
            </w:pPr>
            <w:r w:rsidRPr="00D808EB">
              <w:rPr>
                <w:color w:val="000000"/>
                <w:sz w:val="22"/>
                <w:szCs w:val="22"/>
              </w:rPr>
              <w:t xml:space="preserve">04 </w:t>
            </w:r>
          </w:p>
        </w:tc>
        <w:tc>
          <w:tcPr>
            <w:tcW w:w="163" w:type="pct"/>
            <w:tcBorders>
              <w:top w:val="nil"/>
              <w:left w:val="nil"/>
              <w:bottom w:val="single" w:sz="4" w:space="0" w:color="auto"/>
              <w:right w:val="single" w:sz="4" w:space="0" w:color="auto"/>
            </w:tcBorders>
            <w:shd w:val="clear" w:color="auto" w:fill="auto"/>
            <w:noWrap/>
            <w:vAlign w:val="center"/>
            <w:hideMark/>
          </w:tcPr>
          <w:p w14:paraId="6EBFEA25"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auto" w:fill="auto"/>
            <w:noWrap/>
            <w:vAlign w:val="center"/>
            <w:hideMark/>
          </w:tcPr>
          <w:p w14:paraId="5386737E"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680991E5" w14:textId="77777777" w:rsidR="00DB659A" w:rsidRPr="00D808EB" w:rsidRDefault="00DB659A" w:rsidP="00CC28AE">
            <w:pPr>
              <w:jc w:val="center"/>
              <w:rPr>
                <w:color w:val="000000"/>
                <w:sz w:val="22"/>
                <w:szCs w:val="22"/>
              </w:rPr>
            </w:pPr>
            <w:r w:rsidRPr="00D808EB">
              <w:rPr>
                <w:color w:val="000000"/>
                <w:sz w:val="22"/>
                <w:szCs w:val="22"/>
              </w:rPr>
              <w:t>04</w:t>
            </w:r>
          </w:p>
        </w:tc>
        <w:tc>
          <w:tcPr>
            <w:tcW w:w="4346" w:type="pct"/>
            <w:tcBorders>
              <w:top w:val="nil"/>
              <w:left w:val="nil"/>
              <w:bottom w:val="single" w:sz="4" w:space="0" w:color="auto"/>
              <w:right w:val="single" w:sz="4" w:space="0" w:color="auto"/>
            </w:tcBorders>
            <w:shd w:val="clear" w:color="auto" w:fill="auto"/>
            <w:vAlign w:val="center"/>
            <w:hideMark/>
          </w:tcPr>
          <w:p w14:paraId="522EF853" w14:textId="77777777" w:rsidR="00DB659A" w:rsidRPr="00D808EB" w:rsidRDefault="00DB659A" w:rsidP="00CC28AE">
            <w:pPr>
              <w:rPr>
                <w:color w:val="000000"/>
                <w:sz w:val="22"/>
                <w:szCs w:val="22"/>
              </w:rPr>
            </w:pPr>
            <w:r w:rsidRPr="00D808EB">
              <w:rPr>
                <w:color w:val="000000"/>
                <w:sz w:val="22"/>
                <w:szCs w:val="22"/>
              </w:rPr>
              <w:t>Nuclear direct actions of the Joint Research Centre</w:t>
            </w:r>
          </w:p>
        </w:tc>
      </w:tr>
      <w:tr w:rsidR="00DB659A" w:rsidRPr="00D808EB" w14:paraId="3B288FDD"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709E5A07" w14:textId="77777777" w:rsidR="00DB659A" w:rsidRPr="00D808EB" w:rsidRDefault="00DB659A" w:rsidP="00CC28AE">
            <w:pPr>
              <w:jc w:val="center"/>
              <w:rPr>
                <w:i/>
                <w:iCs/>
                <w:color w:val="000000"/>
                <w:sz w:val="22"/>
                <w:szCs w:val="22"/>
              </w:rPr>
            </w:pPr>
            <w:r w:rsidRPr="00D808EB">
              <w:rPr>
                <w:i/>
                <w:iCs/>
                <w:color w:val="000000"/>
                <w:sz w:val="22"/>
                <w:szCs w:val="22"/>
              </w:rPr>
              <w:t xml:space="preserve">04 </w:t>
            </w:r>
          </w:p>
        </w:tc>
        <w:tc>
          <w:tcPr>
            <w:tcW w:w="163" w:type="pct"/>
            <w:tcBorders>
              <w:top w:val="nil"/>
              <w:left w:val="nil"/>
              <w:bottom w:val="single" w:sz="4" w:space="0" w:color="auto"/>
              <w:right w:val="single" w:sz="4" w:space="0" w:color="auto"/>
            </w:tcBorders>
            <w:shd w:val="clear" w:color="000000" w:fill="D0D0D0"/>
            <w:noWrap/>
            <w:vAlign w:val="center"/>
            <w:hideMark/>
          </w:tcPr>
          <w:p w14:paraId="05F0BB27" w14:textId="77777777" w:rsidR="00DB659A" w:rsidRPr="00D808EB" w:rsidRDefault="00DB659A" w:rsidP="00CC28AE">
            <w:pPr>
              <w:jc w:val="center"/>
              <w:rPr>
                <w:i/>
                <w:iCs/>
                <w:color w:val="000000"/>
                <w:sz w:val="22"/>
                <w:szCs w:val="22"/>
              </w:rPr>
            </w:pPr>
            <w:r w:rsidRPr="00D808EB">
              <w:rPr>
                <w:i/>
                <w:iCs/>
                <w:color w:val="000000"/>
                <w:sz w:val="22"/>
                <w:szCs w:val="22"/>
              </w:rPr>
              <w:t>05</w:t>
            </w:r>
          </w:p>
        </w:tc>
        <w:tc>
          <w:tcPr>
            <w:tcW w:w="163" w:type="pct"/>
            <w:tcBorders>
              <w:top w:val="nil"/>
              <w:left w:val="nil"/>
              <w:bottom w:val="single" w:sz="4" w:space="0" w:color="auto"/>
              <w:right w:val="single" w:sz="4" w:space="0" w:color="auto"/>
            </w:tcBorders>
            <w:shd w:val="clear" w:color="000000" w:fill="D0D0D0"/>
            <w:noWrap/>
            <w:vAlign w:val="center"/>
            <w:hideMark/>
          </w:tcPr>
          <w:p w14:paraId="7F487D56"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1AFD58F6"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044A8DA4" w14:textId="77777777" w:rsidR="00DB659A" w:rsidRPr="00D808EB" w:rsidRDefault="00DB659A" w:rsidP="00CC28AE">
            <w:pPr>
              <w:rPr>
                <w:i/>
                <w:iCs/>
                <w:color w:val="000000"/>
                <w:sz w:val="22"/>
                <w:szCs w:val="22"/>
              </w:rPr>
            </w:pPr>
            <w:r w:rsidRPr="00D808EB">
              <w:rPr>
                <w:i/>
                <w:iCs/>
                <w:color w:val="000000"/>
                <w:sz w:val="22"/>
                <w:szCs w:val="22"/>
              </w:rPr>
              <w:t xml:space="preserve"> INSC-D (Instrument for Nuclear Safety Cooperation - Decommissioning)</w:t>
            </w:r>
          </w:p>
        </w:tc>
      </w:tr>
      <w:tr w:rsidR="00DB659A" w:rsidRPr="00D808EB" w14:paraId="7C334A33"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1E23EF79" w14:textId="77777777" w:rsidR="00DB659A" w:rsidRPr="00D808EB" w:rsidRDefault="00DB659A" w:rsidP="00CC28AE">
            <w:pPr>
              <w:jc w:val="center"/>
              <w:rPr>
                <w:color w:val="000000"/>
                <w:sz w:val="22"/>
                <w:szCs w:val="22"/>
              </w:rPr>
            </w:pPr>
            <w:r w:rsidRPr="00D808EB">
              <w:rPr>
                <w:color w:val="000000"/>
                <w:sz w:val="22"/>
                <w:szCs w:val="22"/>
              </w:rPr>
              <w:t xml:space="preserve">04 </w:t>
            </w:r>
          </w:p>
        </w:tc>
        <w:tc>
          <w:tcPr>
            <w:tcW w:w="163" w:type="pct"/>
            <w:tcBorders>
              <w:top w:val="nil"/>
              <w:left w:val="nil"/>
              <w:bottom w:val="single" w:sz="4" w:space="0" w:color="auto"/>
              <w:right w:val="single" w:sz="4" w:space="0" w:color="auto"/>
            </w:tcBorders>
            <w:shd w:val="clear" w:color="000000" w:fill="F2F2F2"/>
            <w:noWrap/>
            <w:vAlign w:val="center"/>
            <w:hideMark/>
          </w:tcPr>
          <w:p w14:paraId="63A6B4CB"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0D72C6A9"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073BFEFD"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23B1EF3A" w14:textId="77777777" w:rsidR="00DB659A" w:rsidRPr="00D808EB" w:rsidRDefault="00DB659A" w:rsidP="00CC28AE">
            <w:pPr>
              <w:rPr>
                <w:color w:val="000000"/>
                <w:sz w:val="22"/>
                <w:szCs w:val="22"/>
              </w:rPr>
            </w:pPr>
            <w:r w:rsidRPr="00D808EB">
              <w:rPr>
                <w:color w:val="000000"/>
                <w:sz w:val="22"/>
                <w:szCs w:val="22"/>
              </w:rPr>
              <w:t>International Nuclear Safety Cooperation</w:t>
            </w:r>
          </w:p>
        </w:tc>
      </w:tr>
      <w:tr w:rsidR="00DB659A" w:rsidRPr="00D808EB" w14:paraId="1380F2C0"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56B28754" w14:textId="77777777" w:rsidR="00DB659A" w:rsidRPr="00D808EB" w:rsidRDefault="00DB659A" w:rsidP="00CC28AE">
            <w:pPr>
              <w:jc w:val="center"/>
              <w:rPr>
                <w:color w:val="000000"/>
                <w:sz w:val="22"/>
                <w:szCs w:val="22"/>
              </w:rPr>
            </w:pPr>
            <w:r w:rsidRPr="00D808EB">
              <w:rPr>
                <w:color w:val="000000"/>
                <w:sz w:val="22"/>
                <w:szCs w:val="22"/>
              </w:rPr>
              <w:t xml:space="preserve">04 </w:t>
            </w:r>
          </w:p>
        </w:tc>
        <w:tc>
          <w:tcPr>
            <w:tcW w:w="163" w:type="pct"/>
            <w:tcBorders>
              <w:top w:val="nil"/>
              <w:left w:val="nil"/>
              <w:bottom w:val="single" w:sz="4" w:space="0" w:color="auto"/>
              <w:right w:val="single" w:sz="4" w:space="0" w:color="auto"/>
            </w:tcBorders>
            <w:shd w:val="clear" w:color="000000" w:fill="F2F2F2"/>
            <w:noWrap/>
            <w:vAlign w:val="center"/>
            <w:hideMark/>
          </w:tcPr>
          <w:p w14:paraId="19FE84A6"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543393B1"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59B5E0C4"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317C9586" w14:textId="77777777" w:rsidR="00DB659A" w:rsidRPr="00D808EB" w:rsidRDefault="00DB659A" w:rsidP="00CC28AE">
            <w:pPr>
              <w:rPr>
                <w:color w:val="000000"/>
                <w:sz w:val="22"/>
                <w:szCs w:val="22"/>
              </w:rPr>
            </w:pPr>
            <w:r w:rsidRPr="00D808EB">
              <w:rPr>
                <w:color w:val="000000"/>
                <w:sz w:val="22"/>
                <w:szCs w:val="22"/>
              </w:rPr>
              <w:t>International Nuclear Safety Cooperation - Provisioning of the Common Provisioning Fund</w:t>
            </w:r>
          </w:p>
        </w:tc>
      </w:tr>
      <w:tr w:rsidR="00DB659A" w:rsidRPr="00D808EB" w14:paraId="5D0260EC"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54ED64A6" w14:textId="77777777" w:rsidR="00DB659A" w:rsidRPr="00D808EB" w:rsidRDefault="00DB659A" w:rsidP="00CC28AE">
            <w:pPr>
              <w:jc w:val="center"/>
              <w:rPr>
                <w:color w:val="000000"/>
                <w:sz w:val="22"/>
                <w:szCs w:val="22"/>
              </w:rPr>
            </w:pPr>
            <w:r w:rsidRPr="00D808EB">
              <w:rPr>
                <w:color w:val="000000"/>
                <w:sz w:val="22"/>
                <w:szCs w:val="22"/>
              </w:rPr>
              <w:t xml:space="preserve">04 </w:t>
            </w:r>
          </w:p>
        </w:tc>
        <w:tc>
          <w:tcPr>
            <w:tcW w:w="163" w:type="pct"/>
            <w:tcBorders>
              <w:top w:val="nil"/>
              <w:left w:val="nil"/>
              <w:bottom w:val="single" w:sz="4" w:space="0" w:color="auto"/>
              <w:right w:val="single" w:sz="4" w:space="0" w:color="auto"/>
            </w:tcBorders>
            <w:shd w:val="clear" w:color="000000" w:fill="F2F2F2"/>
            <w:noWrap/>
            <w:vAlign w:val="center"/>
            <w:hideMark/>
          </w:tcPr>
          <w:p w14:paraId="323B1749"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1FF92356"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33CD6F96"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6B3EA30F" w14:textId="77777777" w:rsidR="00DB659A" w:rsidRPr="00D808EB" w:rsidRDefault="00DB659A" w:rsidP="00CC28AE">
            <w:pPr>
              <w:rPr>
                <w:color w:val="000000"/>
                <w:sz w:val="22"/>
                <w:szCs w:val="22"/>
              </w:rPr>
            </w:pPr>
            <w:r w:rsidRPr="00D808EB">
              <w:rPr>
                <w:color w:val="000000"/>
                <w:sz w:val="22"/>
                <w:szCs w:val="22"/>
              </w:rPr>
              <w:t>Decommissioning</w:t>
            </w:r>
          </w:p>
        </w:tc>
      </w:tr>
      <w:tr w:rsidR="00DB659A" w:rsidRPr="00D808EB" w14:paraId="551FE4AB"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3F4D1BEB" w14:textId="77777777" w:rsidR="00DB659A" w:rsidRPr="00D808EB" w:rsidRDefault="00DB659A" w:rsidP="00CC28AE">
            <w:pPr>
              <w:jc w:val="center"/>
              <w:rPr>
                <w:i/>
                <w:iCs/>
                <w:color w:val="000000"/>
                <w:sz w:val="22"/>
                <w:szCs w:val="22"/>
              </w:rPr>
            </w:pPr>
            <w:r w:rsidRPr="00D808EB">
              <w:rPr>
                <w:i/>
                <w:iCs/>
                <w:color w:val="000000"/>
                <w:sz w:val="22"/>
                <w:szCs w:val="22"/>
              </w:rPr>
              <w:t xml:space="preserve">04 </w:t>
            </w:r>
          </w:p>
        </w:tc>
        <w:tc>
          <w:tcPr>
            <w:tcW w:w="163" w:type="pct"/>
            <w:tcBorders>
              <w:top w:val="nil"/>
              <w:left w:val="nil"/>
              <w:bottom w:val="single" w:sz="4" w:space="0" w:color="auto"/>
              <w:right w:val="single" w:sz="4" w:space="0" w:color="auto"/>
            </w:tcBorders>
            <w:shd w:val="clear" w:color="000000" w:fill="D0D0D0"/>
            <w:noWrap/>
            <w:vAlign w:val="center"/>
            <w:hideMark/>
          </w:tcPr>
          <w:p w14:paraId="0C34EC94" w14:textId="77777777" w:rsidR="00DB659A" w:rsidRPr="00D808EB" w:rsidRDefault="00DB659A" w:rsidP="00CC28AE">
            <w:pPr>
              <w:jc w:val="center"/>
              <w:rPr>
                <w:i/>
                <w:iCs/>
                <w:color w:val="000000"/>
                <w:sz w:val="22"/>
                <w:szCs w:val="22"/>
              </w:rPr>
            </w:pPr>
            <w:r w:rsidRPr="00D808EB">
              <w:rPr>
                <w:i/>
                <w:iCs/>
                <w:color w:val="000000"/>
                <w:sz w:val="22"/>
                <w:szCs w:val="22"/>
              </w:rPr>
              <w:t>06</w:t>
            </w:r>
          </w:p>
        </w:tc>
        <w:tc>
          <w:tcPr>
            <w:tcW w:w="163" w:type="pct"/>
            <w:tcBorders>
              <w:top w:val="nil"/>
              <w:left w:val="nil"/>
              <w:bottom w:val="single" w:sz="4" w:space="0" w:color="auto"/>
              <w:right w:val="single" w:sz="4" w:space="0" w:color="auto"/>
            </w:tcBorders>
            <w:shd w:val="clear" w:color="000000" w:fill="D0D0D0"/>
            <w:noWrap/>
            <w:vAlign w:val="center"/>
            <w:hideMark/>
          </w:tcPr>
          <w:p w14:paraId="656493F3"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5E8CB53B"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57117E1C" w14:textId="77777777" w:rsidR="00DB659A" w:rsidRPr="00D808EB" w:rsidRDefault="00DB659A" w:rsidP="00CC28AE">
            <w:pPr>
              <w:rPr>
                <w:i/>
                <w:iCs/>
                <w:color w:val="000000"/>
                <w:sz w:val="22"/>
                <w:szCs w:val="22"/>
              </w:rPr>
            </w:pPr>
            <w:r w:rsidRPr="00D808EB">
              <w:rPr>
                <w:i/>
                <w:iCs/>
                <w:color w:val="000000"/>
                <w:sz w:val="22"/>
                <w:szCs w:val="22"/>
              </w:rPr>
              <w:t>Ignalina Programme</w:t>
            </w:r>
          </w:p>
        </w:tc>
      </w:tr>
      <w:tr w:rsidR="00DB659A" w:rsidRPr="00D808EB" w14:paraId="0D4EE100"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43944E8F" w14:textId="77777777" w:rsidR="00DB659A" w:rsidRPr="00D808EB" w:rsidRDefault="00DB659A" w:rsidP="00CC28AE">
            <w:pPr>
              <w:jc w:val="center"/>
              <w:rPr>
                <w:color w:val="000000"/>
                <w:sz w:val="22"/>
                <w:szCs w:val="22"/>
              </w:rPr>
            </w:pPr>
            <w:r w:rsidRPr="00D808EB">
              <w:rPr>
                <w:color w:val="000000"/>
                <w:sz w:val="22"/>
                <w:szCs w:val="22"/>
              </w:rPr>
              <w:t xml:space="preserve">04 </w:t>
            </w:r>
          </w:p>
        </w:tc>
        <w:tc>
          <w:tcPr>
            <w:tcW w:w="163" w:type="pct"/>
            <w:tcBorders>
              <w:top w:val="nil"/>
              <w:left w:val="nil"/>
              <w:bottom w:val="single" w:sz="4" w:space="0" w:color="auto"/>
              <w:right w:val="single" w:sz="4" w:space="0" w:color="auto"/>
            </w:tcBorders>
            <w:shd w:val="clear" w:color="000000" w:fill="F2F2F2"/>
            <w:noWrap/>
            <w:vAlign w:val="center"/>
            <w:hideMark/>
          </w:tcPr>
          <w:p w14:paraId="2B96A702"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4D91B026"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691F7306"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768CA97C" w14:textId="77777777" w:rsidR="00DB659A" w:rsidRPr="00D808EB" w:rsidRDefault="00DB659A" w:rsidP="00CC28AE">
            <w:pPr>
              <w:rPr>
                <w:color w:val="000000"/>
                <w:sz w:val="22"/>
                <w:szCs w:val="22"/>
              </w:rPr>
            </w:pPr>
            <w:r w:rsidRPr="00D808EB">
              <w:rPr>
                <w:color w:val="000000"/>
                <w:sz w:val="22"/>
                <w:szCs w:val="22"/>
              </w:rPr>
              <w:t>Nuclear decommissioning assistance to Lithuania</w:t>
            </w:r>
          </w:p>
        </w:tc>
      </w:tr>
      <w:tr w:rsidR="00DB659A" w:rsidRPr="00D808EB" w14:paraId="31990A55"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A6A6A6"/>
            <w:noWrap/>
            <w:vAlign w:val="center"/>
            <w:hideMark/>
          </w:tcPr>
          <w:p w14:paraId="261A86A8" w14:textId="77777777" w:rsidR="00DB659A" w:rsidRPr="00D808EB" w:rsidRDefault="00DB659A" w:rsidP="00CC28AE">
            <w:pPr>
              <w:jc w:val="center"/>
              <w:rPr>
                <w:b/>
                <w:bCs/>
                <w:color w:val="000000"/>
                <w:sz w:val="22"/>
                <w:szCs w:val="22"/>
              </w:rPr>
            </w:pPr>
            <w:r w:rsidRPr="00D808EB">
              <w:rPr>
                <w:b/>
                <w:bCs/>
                <w:color w:val="000000"/>
                <w:sz w:val="22"/>
                <w:szCs w:val="22"/>
              </w:rPr>
              <w:t>05</w:t>
            </w:r>
          </w:p>
        </w:tc>
        <w:tc>
          <w:tcPr>
            <w:tcW w:w="163" w:type="pct"/>
            <w:tcBorders>
              <w:top w:val="nil"/>
              <w:left w:val="nil"/>
              <w:bottom w:val="single" w:sz="4" w:space="0" w:color="auto"/>
              <w:right w:val="single" w:sz="4" w:space="0" w:color="auto"/>
            </w:tcBorders>
            <w:shd w:val="clear" w:color="000000" w:fill="A6A6A6"/>
            <w:noWrap/>
            <w:vAlign w:val="center"/>
            <w:hideMark/>
          </w:tcPr>
          <w:p w14:paraId="62ACA3B6"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163" w:type="pct"/>
            <w:tcBorders>
              <w:top w:val="nil"/>
              <w:left w:val="nil"/>
              <w:bottom w:val="single" w:sz="4" w:space="0" w:color="auto"/>
              <w:right w:val="single" w:sz="4" w:space="0" w:color="auto"/>
            </w:tcBorders>
            <w:shd w:val="clear" w:color="000000" w:fill="A6A6A6"/>
            <w:noWrap/>
            <w:vAlign w:val="center"/>
            <w:hideMark/>
          </w:tcPr>
          <w:p w14:paraId="14115E4D"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163" w:type="pct"/>
            <w:tcBorders>
              <w:top w:val="nil"/>
              <w:left w:val="nil"/>
              <w:bottom w:val="single" w:sz="4" w:space="0" w:color="auto"/>
              <w:right w:val="single" w:sz="4" w:space="0" w:color="auto"/>
            </w:tcBorders>
            <w:shd w:val="clear" w:color="000000" w:fill="A6A6A6"/>
            <w:noWrap/>
            <w:vAlign w:val="center"/>
            <w:hideMark/>
          </w:tcPr>
          <w:p w14:paraId="795B7A00"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4346" w:type="pct"/>
            <w:tcBorders>
              <w:top w:val="nil"/>
              <w:left w:val="nil"/>
              <w:bottom w:val="single" w:sz="4" w:space="0" w:color="auto"/>
              <w:right w:val="single" w:sz="4" w:space="0" w:color="auto"/>
            </w:tcBorders>
            <w:shd w:val="clear" w:color="000000" w:fill="A6A6A6"/>
            <w:vAlign w:val="center"/>
            <w:hideMark/>
          </w:tcPr>
          <w:p w14:paraId="45643D86" w14:textId="77777777" w:rsidR="00DB659A" w:rsidRPr="00D808EB" w:rsidRDefault="00DB659A" w:rsidP="00CC28AE">
            <w:pPr>
              <w:rPr>
                <w:b/>
                <w:bCs/>
                <w:color w:val="000000"/>
                <w:sz w:val="22"/>
                <w:szCs w:val="22"/>
              </w:rPr>
            </w:pPr>
            <w:r w:rsidRPr="00D808EB">
              <w:rPr>
                <w:b/>
                <w:bCs/>
                <w:color w:val="000000"/>
                <w:sz w:val="22"/>
                <w:szCs w:val="22"/>
              </w:rPr>
              <w:t>Connectivity and Single Market</w:t>
            </w:r>
          </w:p>
        </w:tc>
      </w:tr>
      <w:tr w:rsidR="00DB659A" w:rsidRPr="00D808EB" w14:paraId="7CB7490C"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572E31C0" w14:textId="77777777" w:rsidR="00DB659A" w:rsidRPr="00D808EB" w:rsidRDefault="00DB659A" w:rsidP="00CC28AE">
            <w:pPr>
              <w:jc w:val="center"/>
              <w:rPr>
                <w:i/>
                <w:iCs/>
                <w:color w:val="000000"/>
                <w:sz w:val="22"/>
                <w:szCs w:val="22"/>
              </w:rPr>
            </w:pPr>
            <w:r w:rsidRPr="00D808EB">
              <w:rPr>
                <w:i/>
                <w:iCs/>
                <w:color w:val="000000"/>
                <w:sz w:val="22"/>
                <w:szCs w:val="22"/>
              </w:rPr>
              <w:t>05</w:t>
            </w:r>
          </w:p>
        </w:tc>
        <w:tc>
          <w:tcPr>
            <w:tcW w:w="163" w:type="pct"/>
            <w:tcBorders>
              <w:top w:val="nil"/>
              <w:left w:val="nil"/>
              <w:bottom w:val="single" w:sz="4" w:space="0" w:color="auto"/>
              <w:right w:val="single" w:sz="4" w:space="0" w:color="auto"/>
            </w:tcBorders>
            <w:shd w:val="clear" w:color="000000" w:fill="D0D0D0"/>
            <w:noWrap/>
            <w:vAlign w:val="center"/>
            <w:hideMark/>
          </w:tcPr>
          <w:p w14:paraId="2237688C" w14:textId="77777777" w:rsidR="00DB659A" w:rsidRPr="00D808EB" w:rsidRDefault="00DB659A" w:rsidP="00CC28AE">
            <w:pPr>
              <w:jc w:val="center"/>
              <w:rPr>
                <w:i/>
                <w:iCs/>
                <w:color w:val="000000"/>
                <w:sz w:val="22"/>
                <w:szCs w:val="22"/>
              </w:rPr>
            </w:pPr>
            <w:r w:rsidRPr="00D808EB">
              <w:rPr>
                <w:i/>
                <w:iCs/>
                <w:color w:val="000000"/>
                <w:sz w:val="22"/>
                <w:szCs w:val="22"/>
              </w:rPr>
              <w:t>01</w:t>
            </w:r>
          </w:p>
        </w:tc>
        <w:tc>
          <w:tcPr>
            <w:tcW w:w="163" w:type="pct"/>
            <w:tcBorders>
              <w:top w:val="nil"/>
              <w:left w:val="nil"/>
              <w:bottom w:val="single" w:sz="4" w:space="0" w:color="auto"/>
              <w:right w:val="single" w:sz="4" w:space="0" w:color="auto"/>
            </w:tcBorders>
            <w:shd w:val="clear" w:color="000000" w:fill="D0D0D0"/>
            <w:noWrap/>
            <w:vAlign w:val="center"/>
            <w:hideMark/>
          </w:tcPr>
          <w:p w14:paraId="42B27583"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5352F456"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3074679A" w14:textId="77777777" w:rsidR="00DB659A" w:rsidRPr="00D808EB" w:rsidRDefault="00DB659A" w:rsidP="00CC28AE">
            <w:pPr>
              <w:rPr>
                <w:i/>
                <w:iCs/>
                <w:color w:val="000000"/>
                <w:sz w:val="22"/>
                <w:szCs w:val="22"/>
              </w:rPr>
            </w:pPr>
            <w:r w:rsidRPr="00D808EB">
              <w:rPr>
                <w:i/>
                <w:iCs/>
                <w:color w:val="000000"/>
                <w:sz w:val="22"/>
                <w:szCs w:val="22"/>
              </w:rPr>
              <w:t>Support expenditure for Connectivity and Single Market</w:t>
            </w:r>
          </w:p>
        </w:tc>
      </w:tr>
      <w:tr w:rsidR="00DB659A" w:rsidRPr="00D808EB" w14:paraId="27456371"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1E7A43DA"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5389CAA6"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683034F1"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1C6BFE4F"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7607E0BB" w14:textId="77777777" w:rsidR="00DB659A" w:rsidRPr="00D808EB" w:rsidRDefault="00DB659A" w:rsidP="00CC28AE">
            <w:pPr>
              <w:rPr>
                <w:color w:val="000000"/>
                <w:sz w:val="22"/>
                <w:szCs w:val="22"/>
              </w:rPr>
            </w:pPr>
            <w:r w:rsidRPr="00D808EB">
              <w:rPr>
                <w:color w:val="000000"/>
                <w:sz w:val="22"/>
                <w:szCs w:val="22"/>
              </w:rPr>
              <w:t>Support expenditure for CEF (Transport, Energy, Military Mobility)</w:t>
            </w:r>
          </w:p>
        </w:tc>
      </w:tr>
      <w:tr w:rsidR="00DB659A" w:rsidRPr="00D808EB" w14:paraId="5240AF02"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2C04A31E"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48F29129"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1CB7B4E1"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4EA2CD31"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56A6A625" w14:textId="77777777" w:rsidR="00DB659A" w:rsidRPr="00D808EB" w:rsidRDefault="00DB659A" w:rsidP="00CC28AE">
            <w:pPr>
              <w:rPr>
                <w:color w:val="000000"/>
                <w:sz w:val="22"/>
                <w:szCs w:val="22"/>
              </w:rPr>
            </w:pPr>
            <w:r w:rsidRPr="00D808EB">
              <w:rPr>
                <w:color w:val="000000"/>
                <w:sz w:val="22"/>
                <w:szCs w:val="22"/>
              </w:rPr>
              <w:t>Support expenditure for Single Market and Customs Programme</w:t>
            </w:r>
          </w:p>
        </w:tc>
      </w:tr>
      <w:tr w:rsidR="00DB659A" w:rsidRPr="00D808EB" w14:paraId="62984179"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1686CA34"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4C07E4A3"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65DB2072"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2278B073"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0B15E8FF" w14:textId="77777777" w:rsidR="00DB659A" w:rsidRPr="00D808EB" w:rsidRDefault="00DB659A" w:rsidP="00CC28AE">
            <w:pPr>
              <w:rPr>
                <w:color w:val="000000"/>
                <w:sz w:val="22"/>
                <w:szCs w:val="22"/>
              </w:rPr>
            </w:pPr>
            <w:r w:rsidRPr="00D808EB">
              <w:rPr>
                <w:color w:val="000000"/>
                <w:sz w:val="22"/>
                <w:szCs w:val="22"/>
              </w:rPr>
              <w:t>Support expenditure for Pericles (protection of the Euro)</w:t>
            </w:r>
          </w:p>
        </w:tc>
      </w:tr>
      <w:tr w:rsidR="00DB659A" w:rsidRPr="00D808EB" w14:paraId="2A165CBE"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061499B3" w14:textId="77777777" w:rsidR="00DB659A" w:rsidRPr="00D808EB" w:rsidRDefault="00DB659A" w:rsidP="00CC28AE">
            <w:pPr>
              <w:jc w:val="center"/>
              <w:rPr>
                <w:i/>
                <w:iCs/>
                <w:color w:val="000000"/>
                <w:sz w:val="22"/>
                <w:szCs w:val="22"/>
              </w:rPr>
            </w:pPr>
            <w:r w:rsidRPr="00D808EB">
              <w:rPr>
                <w:i/>
                <w:iCs/>
                <w:color w:val="000000"/>
                <w:sz w:val="22"/>
                <w:szCs w:val="22"/>
              </w:rPr>
              <w:t>05</w:t>
            </w:r>
          </w:p>
        </w:tc>
        <w:tc>
          <w:tcPr>
            <w:tcW w:w="163" w:type="pct"/>
            <w:tcBorders>
              <w:top w:val="nil"/>
              <w:left w:val="nil"/>
              <w:bottom w:val="single" w:sz="4" w:space="0" w:color="auto"/>
              <w:right w:val="single" w:sz="4" w:space="0" w:color="auto"/>
            </w:tcBorders>
            <w:shd w:val="clear" w:color="000000" w:fill="D0D0D0"/>
            <w:noWrap/>
            <w:vAlign w:val="center"/>
            <w:hideMark/>
          </w:tcPr>
          <w:p w14:paraId="5F591A3A" w14:textId="77777777" w:rsidR="00DB659A" w:rsidRPr="00D808EB" w:rsidRDefault="00DB659A" w:rsidP="00CC28AE">
            <w:pPr>
              <w:jc w:val="center"/>
              <w:rPr>
                <w:i/>
                <w:iCs/>
                <w:color w:val="000000"/>
                <w:sz w:val="22"/>
                <w:szCs w:val="22"/>
              </w:rPr>
            </w:pPr>
            <w:r w:rsidRPr="00D808EB">
              <w:rPr>
                <w:i/>
                <w:iCs/>
                <w:color w:val="000000"/>
                <w:sz w:val="22"/>
                <w:szCs w:val="22"/>
              </w:rPr>
              <w:t>02</w:t>
            </w:r>
          </w:p>
        </w:tc>
        <w:tc>
          <w:tcPr>
            <w:tcW w:w="163" w:type="pct"/>
            <w:tcBorders>
              <w:top w:val="nil"/>
              <w:left w:val="nil"/>
              <w:bottom w:val="single" w:sz="4" w:space="0" w:color="auto"/>
              <w:right w:val="single" w:sz="4" w:space="0" w:color="auto"/>
            </w:tcBorders>
            <w:shd w:val="clear" w:color="000000" w:fill="D0D0D0"/>
            <w:noWrap/>
            <w:vAlign w:val="center"/>
            <w:hideMark/>
          </w:tcPr>
          <w:p w14:paraId="785017BB"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33AB5A05"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4FA939AC" w14:textId="77777777" w:rsidR="00DB659A" w:rsidRPr="00D808EB" w:rsidRDefault="00DB659A" w:rsidP="00CC28AE">
            <w:pPr>
              <w:rPr>
                <w:i/>
                <w:iCs/>
                <w:color w:val="000000"/>
                <w:sz w:val="22"/>
                <w:szCs w:val="22"/>
              </w:rPr>
            </w:pPr>
            <w:r w:rsidRPr="00D808EB">
              <w:rPr>
                <w:i/>
                <w:iCs/>
                <w:color w:val="000000"/>
                <w:sz w:val="22"/>
                <w:szCs w:val="22"/>
              </w:rPr>
              <w:t>CEF (Transport, Energy, Military Mobility)</w:t>
            </w:r>
          </w:p>
        </w:tc>
      </w:tr>
      <w:tr w:rsidR="00DB659A" w:rsidRPr="00D808EB" w14:paraId="7E7A1CA4"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36F0B606"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4B83C538"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1931C24C"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24F7A5FE"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4BA7C695" w14:textId="77777777" w:rsidR="00DB659A" w:rsidRPr="00D808EB" w:rsidRDefault="00DB659A" w:rsidP="00CC28AE">
            <w:pPr>
              <w:rPr>
                <w:i/>
                <w:iCs/>
                <w:color w:val="000000"/>
                <w:sz w:val="22"/>
                <w:szCs w:val="22"/>
              </w:rPr>
            </w:pPr>
            <w:r w:rsidRPr="00D808EB">
              <w:rPr>
                <w:i/>
                <w:iCs/>
                <w:color w:val="000000"/>
                <w:sz w:val="22"/>
                <w:szCs w:val="22"/>
              </w:rPr>
              <w:t>CEF - Transport</w:t>
            </w:r>
          </w:p>
        </w:tc>
      </w:tr>
      <w:tr w:rsidR="00DB659A" w:rsidRPr="00D808EB" w14:paraId="3EAFBC18"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2DA9A99A"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auto" w:fill="auto"/>
            <w:noWrap/>
            <w:vAlign w:val="center"/>
            <w:hideMark/>
          </w:tcPr>
          <w:p w14:paraId="60DC53AF"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auto" w:fill="auto"/>
            <w:noWrap/>
            <w:vAlign w:val="center"/>
            <w:hideMark/>
          </w:tcPr>
          <w:p w14:paraId="7F833923"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6833E860" w14:textId="77777777" w:rsidR="00DB659A" w:rsidRPr="00D808EB" w:rsidRDefault="00DB659A" w:rsidP="00CC28AE">
            <w:pPr>
              <w:jc w:val="center"/>
              <w:rPr>
                <w:color w:val="000000"/>
                <w:sz w:val="22"/>
                <w:szCs w:val="22"/>
              </w:rPr>
            </w:pPr>
            <w:r w:rsidRPr="00D808EB">
              <w:rPr>
                <w:color w:val="000000"/>
                <w:sz w:val="22"/>
                <w:szCs w:val="22"/>
              </w:rPr>
              <w:t>01</w:t>
            </w:r>
          </w:p>
        </w:tc>
        <w:tc>
          <w:tcPr>
            <w:tcW w:w="4346" w:type="pct"/>
            <w:tcBorders>
              <w:top w:val="nil"/>
              <w:left w:val="nil"/>
              <w:bottom w:val="single" w:sz="4" w:space="0" w:color="auto"/>
              <w:right w:val="single" w:sz="4" w:space="0" w:color="auto"/>
            </w:tcBorders>
            <w:shd w:val="clear" w:color="auto" w:fill="auto"/>
            <w:vAlign w:val="center"/>
            <w:hideMark/>
          </w:tcPr>
          <w:p w14:paraId="2A66A409" w14:textId="77777777" w:rsidR="00DB659A" w:rsidRPr="00D808EB" w:rsidRDefault="00DB659A" w:rsidP="00CC28AE">
            <w:pPr>
              <w:rPr>
                <w:color w:val="000000"/>
                <w:sz w:val="22"/>
                <w:szCs w:val="22"/>
              </w:rPr>
            </w:pPr>
            <w:r w:rsidRPr="00D808EB">
              <w:rPr>
                <w:color w:val="000000"/>
                <w:sz w:val="22"/>
                <w:szCs w:val="22"/>
              </w:rPr>
              <w:t>Transport</w:t>
            </w:r>
          </w:p>
        </w:tc>
      </w:tr>
      <w:tr w:rsidR="00DB659A" w:rsidRPr="00D808EB" w14:paraId="37FE83AE"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76CFC1DA"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auto" w:fill="auto"/>
            <w:noWrap/>
            <w:vAlign w:val="center"/>
            <w:hideMark/>
          </w:tcPr>
          <w:p w14:paraId="1B4CBFEF"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auto" w:fill="auto"/>
            <w:noWrap/>
            <w:vAlign w:val="center"/>
            <w:hideMark/>
          </w:tcPr>
          <w:p w14:paraId="6A6BF17D"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4A1C350E" w14:textId="77777777" w:rsidR="00DB659A" w:rsidRPr="00D808EB" w:rsidRDefault="00DB659A" w:rsidP="00CC28AE">
            <w:pPr>
              <w:jc w:val="center"/>
              <w:rPr>
                <w:color w:val="000000"/>
                <w:sz w:val="22"/>
                <w:szCs w:val="22"/>
              </w:rPr>
            </w:pPr>
            <w:r w:rsidRPr="00D808EB">
              <w:rPr>
                <w:color w:val="000000"/>
                <w:sz w:val="22"/>
                <w:szCs w:val="22"/>
              </w:rPr>
              <w:t>02</w:t>
            </w:r>
          </w:p>
        </w:tc>
        <w:tc>
          <w:tcPr>
            <w:tcW w:w="4346" w:type="pct"/>
            <w:tcBorders>
              <w:top w:val="nil"/>
              <w:left w:val="nil"/>
              <w:bottom w:val="single" w:sz="4" w:space="0" w:color="auto"/>
              <w:right w:val="single" w:sz="4" w:space="0" w:color="auto"/>
            </w:tcBorders>
            <w:shd w:val="clear" w:color="auto" w:fill="auto"/>
            <w:vAlign w:val="center"/>
            <w:hideMark/>
          </w:tcPr>
          <w:p w14:paraId="372C4276" w14:textId="77777777" w:rsidR="00DB659A" w:rsidRPr="00D808EB" w:rsidRDefault="00DB659A" w:rsidP="00CC28AE">
            <w:pPr>
              <w:rPr>
                <w:color w:val="000000"/>
                <w:sz w:val="22"/>
                <w:szCs w:val="22"/>
              </w:rPr>
            </w:pPr>
            <w:r w:rsidRPr="00D808EB">
              <w:rPr>
                <w:color w:val="000000"/>
                <w:sz w:val="22"/>
                <w:szCs w:val="22"/>
              </w:rPr>
              <w:t>Military Mobility</w:t>
            </w:r>
          </w:p>
        </w:tc>
      </w:tr>
      <w:tr w:rsidR="00DB659A" w:rsidRPr="00D808EB" w14:paraId="51F79DEE"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3A0E89BF"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5AC72E90"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265243C6"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3CFEC744"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152F485C" w14:textId="77777777" w:rsidR="00DB659A" w:rsidRPr="00D808EB" w:rsidRDefault="00DB659A" w:rsidP="00CC28AE">
            <w:pPr>
              <w:rPr>
                <w:color w:val="000000"/>
                <w:sz w:val="22"/>
                <w:szCs w:val="22"/>
              </w:rPr>
            </w:pPr>
            <w:r w:rsidRPr="00D808EB">
              <w:rPr>
                <w:color w:val="000000"/>
                <w:sz w:val="22"/>
                <w:szCs w:val="22"/>
              </w:rPr>
              <w:t>CEF - Energy</w:t>
            </w:r>
          </w:p>
        </w:tc>
      </w:tr>
      <w:tr w:rsidR="00DB659A" w:rsidRPr="00D808EB" w14:paraId="0E379E3C"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23728942" w14:textId="77777777" w:rsidR="00DB659A" w:rsidRPr="00D808EB" w:rsidRDefault="00DB659A" w:rsidP="00CC28AE">
            <w:pPr>
              <w:jc w:val="center"/>
              <w:rPr>
                <w:i/>
                <w:iCs/>
                <w:color w:val="000000"/>
                <w:sz w:val="22"/>
                <w:szCs w:val="22"/>
              </w:rPr>
            </w:pPr>
            <w:r w:rsidRPr="00D808EB">
              <w:rPr>
                <w:i/>
                <w:iCs/>
                <w:color w:val="000000"/>
                <w:sz w:val="22"/>
                <w:szCs w:val="22"/>
              </w:rPr>
              <w:t>05</w:t>
            </w:r>
          </w:p>
        </w:tc>
        <w:tc>
          <w:tcPr>
            <w:tcW w:w="163" w:type="pct"/>
            <w:tcBorders>
              <w:top w:val="nil"/>
              <w:left w:val="nil"/>
              <w:bottom w:val="single" w:sz="4" w:space="0" w:color="auto"/>
              <w:right w:val="single" w:sz="4" w:space="0" w:color="auto"/>
            </w:tcBorders>
            <w:shd w:val="clear" w:color="000000" w:fill="D0D0D0"/>
            <w:noWrap/>
            <w:vAlign w:val="center"/>
            <w:hideMark/>
          </w:tcPr>
          <w:p w14:paraId="7C085BA0" w14:textId="77777777" w:rsidR="00DB659A" w:rsidRPr="00D808EB" w:rsidRDefault="00DB659A" w:rsidP="00CC28AE">
            <w:pPr>
              <w:jc w:val="center"/>
              <w:rPr>
                <w:i/>
                <w:iCs/>
                <w:color w:val="000000"/>
                <w:sz w:val="22"/>
                <w:szCs w:val="22"/>
              </w:rPr>
            </w:pPr>
            <w:r w:rsidRPr="00D808EB">
              <w:rPr>
                <w:i/>
                <w:iCs/>
                <w:color w:val="000000"/>
                <w:sz w:val="22"/>
                <w:szCs w:val="22"/>
              </w:rPr>
              <w:t>03</w:t>
            </w:r>
          </w:p>
        </w:tc>
        <w:tc>
          <w:tcPr>
            <w:tcW w:w="163" w:type="pct"/>
            <w:tcBorders>
              <w:top w:val="nil"/>
              <w:left w:val="nil"/>
              <w:bottom w:val="single" w:sz="4" w:space="0" w:color="auto"/>
              <w:right w:val="single" w:sz="4" w:space="0" w:color="auto"/>
            </w:tcBorders>
            <w:shd w:val="clear" w:color="000000" w:fill="D0D0D0"/>
            <w:noWrap/>
            <w:vAlign w:val="center"/>
            <w:hideMark/>
          </w:tcPr>
          <w:p w14:paraId="67B0013C"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662C3B3A"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49E91781" w14:textId="77777777" w:rsidR="00DB659A" w:rsidRPr="00D808EB" w:rsidRDefault="00DB659A" w:rsidP="00CC28AE">
            <w:pPr>
              <w:rPr>
                <w:i/>
                <w:iCs/>
                <w:color w:val="000000"/>
                <w:sz w:val="22"/>
                <w:szCs w:val="22"/>
              </w:rPr>
            </w:pPr>
            <w:r w:rsidRPr="00D808EB">
              <w:rPr>
                <w:i/>
                <w:iCs/>
                <w:color w:val="000000"/>
                <w:sz w:val="22"/>
                <w:szCs w:val="22"/>
              </w:rPr>
              <w:t>Single Market and Customs Programme</w:t>
            </w:r>
          </w:p>
        </w:tc>
      </w:tr>
      <w:tr w:rsidR="00DB659A" w:rsidRPr="00D808EB" w14:paraId="65DE4503"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06BE2CA2"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48C2E53E"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77E163AC"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1CB9A9C2"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19B23D16" w14:textId="77777777" w:rsidR="00DB659A" w:rsidRPr="00D808EB" w:rsidRDefault="00DB659A" w:rsidP="00CC28AE">
            <w:pPr>
              <w:rPr>
                <w:color w:val="000000"/>
                <w:sz w:val="22"/>
                <w:szCs w:val="22"/>
              </w:rPr>
            </w:pPr>
            <w:r w:rsidRPr="00D808EB">
              <w:rPr>
                <w:color w:val="000000"/>
                <w:sz w:val="22"/>
                <w:szCs w:val="22"/>
              </w:rPr>
              <w:t>Internal market, competition, consumers, standardisation</w:t>
            </w:r>
          </w:p>
        </w:tc>
      </w:tr>
      <w:tr w:rsidR="00DB659A" w:rsidRPr="00D808EB" w14:paraId="61E6E0B4"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1B0A83FF"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auto" w:fill="auto"/>
            <w:noWrap/>
            <w:vAlign w:val="center"/>
            <w:hideMark/>
          </w:tcPr>
          <w:p w14:paraId="7D76836F"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469D2333"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155C2855" w14:textId="77777777" w:rsidR="00DB659A" w:rsidRPr="00D808EB" w:rsidRDefault="00DB659A" w:rsidP="00CC28AE">
            <w:pPr>
              <w:jc w:val="center"/>
              <w:rPr>
                <w:color w:val="000000"/>
                <w:sz w:val="22"/>
                <w:szCs w:val="22"/>
              </w:rPr>
            </w:pPr>
            <w:r w:rsidRPr="00D808EB">
              <w:rPr>
                <w:color w:val="000000"/>
                <w:sz w:val="22"/>
                <w:szCs w:val="22"/>
              </w:rPr>
              <w:t>01</w:t>
            </w:r>
          </w:p>
        </w:tc>
        <w:tc>
          <w:tcPr>
            <w:tcW w:w="4346" w:type="pct"/>
            <w:tcBorders>
              <w:top w:val="nil"/>
              <w:left w:val="nil"/>
              <w:bottom w:val="single" w:sz="4" w:space="0" w:color="auto"/>
              <w:right w:val="single" w:sz="4" w:space="0" w:color="auto"/>
            </w:tcBorders>
            <w:shd w:val="clear" w:color="auto" w:fill="auto"/>
            <w:vAlign w:val="center"/>
            <w:hideMark/>
          </w:tcPr>
          <w:p w14:paraId="0B83FF54" w14:textId="77777777" w:rsidR="00DB659A" w:rsidRPr="00D808EB" w:rsidRDefault="00DB659A" w:rsidP="00CC28AE">
            <w:pPr>
              <w:rPr>
                <w:color w:val="000000"/>
                <w:sz w:val="22"/>
                <w:szCs w:val="22"/>
              </w:rPr>
            </w:pPr>
            <w:r w:rsidRPr="00D808EB">
              <w:rPr>
                <w:color w:val="000000"/>
                <w:sz w:val="22"/>
                <w:szCs w:val="22"/>
              </w:rPr>
              <w:t>Internal market, market surveillance and European standardisation (GROW)</w:t>
            </w:r>
          </w:p>
        </w:tc>
      </w:tr>
      <w:tr w:rsidR="00DB659A" w:rsidRPr="00D808EB" w14:paraId="0DE5C3ED"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71473327"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auto" w:fill="auto"/>
            <w:noWrap/>
            <w:vAlign w:val="center"/>
            <w:hideMark/>
          </w:tcPr>
          <w:p w14:paraId="5382503C"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494CEB62"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26EEE36C" w14:textId="77777777" w:rsidR="00DB659A" w:rsidRPr="00D808EB" w:rsidRDefault="00DB659A" w:rsidP="00CC28AE">
            <w:pPr>
              <w:jc w:val="center"/>
              <w:rPr>
                <w:color w:val="000000"/>
                <w:sz w:val="22"/>
                <w:szCs w:val="22"/>
              </w:rPr>
            </w:pPr>
            <w:r w:rsidRPr="00D808EB">
              <w:rPr>
                <w:color w:val="000000"/>
                <w:sz w:val="22"/>
                <w:szCs w:val="22"/>
              </w:rPr>
              <w:t>02</w:t>
            </w:r>
          </w:p>
        </w:tc>
        <w:tc>
          <w:tcPr>
            <w:tcW w:w="4346" w:type="pct"/>
            <w:tcBorders>
              <w:top w:val="nil"/>
              <w:left w:val="nil"/>
              <w:bottom w:val="single" w:sz="4" w:space="0" w:color="auto"/>
              <w:right w:val="single" w:sz="4" w:space="0" w:color="auto"/>
            </w:tcBorders>
            <w:shd w:val="clear" w:color="auto" w:fill="auto"/>
            <w:vAlign w:val="center"/>
            <w:hideMark/>
          </w:tcPr>
          <w:p w14:paraId="35977163" w14:textId="77777777" w:rsidR="00DB659A" w:rsidRPr="00D808EB" w:rsidRDefault="00DB659A" w:rsidP="00CC28AE">
            <w:pPr>
              <w:rPr>
                <w:color w:val="000000"/>
                <w:sz w:val="22"/>
                <w:szCs w:val="22"/>
              </w:rPr>
            </w:pPr>
            <w:r w:rsidRPr="00D808EB">
              <w:rPr>
                <w:color w:val="000000"/>
                <w:sz w:val="22"/>
                <w:szCs w:val="22"/>
              </w:rPr>
              <w:t>Company law (JUST)</w:t>
            </w:r>
          </w:p>
        </w:tc>
      </w:tr>
      <w:tr w:rsidR="00DB659A" w:rsidRPr="00D808EB" w14:paraId="1C63270A"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429A1039"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auto" w:fill="auto"/>
            <w:noWrap/>
            <w:vAlign w:val="center"/>
            <w:hideMark/>
          </w:tcPr>
          <w:p w14:paraId="2B6D2C3B"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16469EE4"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2E4A40EF" w14:textId="77777777" w:rsidR="00DB659A" w:rsidRPr="00D808EB" w:rsidRDefault="00DB659A" w:rsidP="00CC28AE">
            <w:pPr>
              <w:jc w:val="center"/>
              <w:rPr>
                <w:color w:val="000000"/>
                <w:sz w:val="22"/>
                <w:szCs w:val="22"/>
              </w:rPr>
            </w:pPr>
            <w:r w:rsidRPr="00D808EB">
              <w:rPr>
                <w:color w:val="000000"/>
                <w:sz w:val="22"/>
                <w:szCs w:val="22"/>
              </w:rPr>
              <w:t>03</w:t>
            </w:r>
          </w:p>
        </w:tc>
        <w:tc>
          <w:tcPr>
            <w:tcW w:w="4346" w:type="pct"/>
            <w:tcBorders>
              <w:top w:val="nil"/>
              <w:left w:val="nil"/>
              <w:bottom w:val="single" w:sz="4" w:space="0" w:color="auto"/>
              <w:right w:val="single" w:sz="4" w:space="0" w:color="auto"/>
            </w:tcBorders>
            <w:shd w:val="clear" w:color="auto" w:fill="auto"/>
            <w:vAlign w:val="center"/>
            <w:hideMark/>
          </w:tcPr>
          <w:p w14:paraId="71A9DBD3" w14:textId="77777777" w:rsidR="00DB659A" w:rsidRPr="00D808EB" w:rsidRDefault="00DB659A" w:rsidP="00CC28AE">
            <w:pPr>
              <w:rPr>
                <w:color w:val="000000"/>
                <w:sz w:val="22"/>
                <w:szCs w:val="22"/>
              </w:rPr>
            </w:pPr>
            <w:r w:rsidRPr="00D808EB">
              <w:rPr>
                <w:color w:val="000000"/>
                <w:sz w:val="22"/>
                <w:szCs w:val="22"/>
              </w:rPr>
              <w:t>Support to competition policy (COMP)</w:t>
            </w:r>
          </w:p>
        </w:tc>
      </w:tr>
      <w:tr w:rsidR="00DB659A" w:rsidRPr="00D808EB" w14:paraId="1D2B2494"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22DD6800"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auto" w:fill="auto"/>
            <w:noWrap/>
            <w:vAlign w:val="center"/>
            <w:hideMark/>
          </w:tcPr>
          <w:p w14:paraId="22EB98C6"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4350B66D"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0A734CEA" w14:textId="77777777" w:rsidR="00DB659A" w:rsidRPr="00D808EB" w:rsidRDefault="00DB659A" w:rsidP="00CC28AE">
            <w:pPr>
              <w:jc w:val="center"/>
              <w:rPr>
                <w:color w:val="000000"/>
                <w:sz w:val="22"/>
                <w:szCs w:val="22"/>
              </w:rPr>
            </w:pPr>
            <w:r w:rsidRPr="00D808EB">
              <w:rPr>
                <w:color w:val="000000"/>
                <w:sz w:val="22"/>
                <w:szCs w:val="22"/>
              </w:rPr>
              <w:t>04</w:t>
            </w:r>
          </w:p>
        </w:tc>
        <w:tc>
          <w:tcPr>
            <w:tcW w:w="4346" w:type="pct"/>
            <w:tcBorders>
              <w:top w:val="nil"/>
              <w:left w:val="nil"/>
              <w:bottom w:val="single" w:sz="4" w:space="0" w:color="auto"/>
              <w:right w:val="single" w:sz="4" w:space="0" w:color="auto"/>
            </w:tcBorders>
            <w:shd w:val="clear" w:color="auto" w:fill="auto"/>
            <w:vAlign w:val="center"/>
            <w:hideMark/>
          </w:tcPr>
          <w:p w14:paraId="045A7445" w14:textId="77777777" w:rsidR="00DB659A" w:rsidRPr="00D808EB" w:rsidRDefault="00DB659A" w:rsidP="00CC28AE">
            <w:pPr>
              <w:rPr>
                <w:color w:val="000000"/>
                <w:sz w:val="22"/>
                <w:szCs w:val="22"/>
              </w:rPr>
            </w:pPr>
            <w:r w:rsidRPr="00D808EB">
              <w:rPr>
                <w:color w:val="000000"/>
                <w:sz w:val="22"/>
                <w:szCs w:val="22"/>
              </w:rPr>
              <w:t>Internal market for financial services and international standards for finance and auditing (FISMA)</w:t>
            </w:r>
          </w:p>
        </w:tc>
      </w:tr>
      <w:tr w:rsidR="00DB659A" w:rsidRPr="00D808EB" w14:paraId="1B4AAF5B"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1B270D5F"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auto" w:fill="auto"/>
            <w:noWrap/>
            <w:vAlign w:val="center"/>
            <w:hideMark/>
          </w:tcPr>
          <w:p w14:paraId="4438B38D"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4E4D1159"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auto" w:fill="auto"/>
            <w:noWrap/>
            <w:vAlign w:val="center"/>
            <w:hideMark/>
          </w:tcPr>
          <w:p w14:paraId="7D9F5719" w14:textId="77777777" w:rsidR="00DB659A" w:rsidRPr="00D808EB" w:rsidRDefault="00DB659A" w:rsidP="00CC28AE">
            <w:pPr>
              <w:jc w:val="center"/>
              <w:rPr>
                <w:color w:val="000000"/>
                <w:sz w:val="22"/>
                <w:szCs w:val="22"/>
              </w:rPr>
            </w:pPr>
            <w:r w:rsidRPr="00D808EB">
              <w:rPr>
                <w:color w:val="000000"/>
                <w:sz w:val="22"/>
                <w:szCs w:val="22"/>
              </w:rPr>
              <w:t>05</w:t>
            </w:r>
          </w:p>
        </w:tc>
        <w:tc>
          <w:tcPr>
            <w:tcW w:w="4346" w:type="pct"/>
            <w:tcBorders>
              <w:top w:val="nil"/>
              <w:left w:val="nil"/>
              <w:bottom w:val="single" w:sz="4" w:space="0" w:color="auto"/>
              <w:right w:val="single" w:sz="4" w:space="0" w:color="auto"/>
            </w:tcBorders>
            <w:shd w:val="clear" w:color="auto" w:fill="auto"/>
            <w:vAlign w:val="center"/>
            <w:hideMark/>
          </w:tcPr>
          <w:p w14:paraId="64DD5D21" w14:textId="77777777" w:rsidR="00DB659A" w:rsidRPr="00D808EB" w:rsidRDefault="00DB659A" w:rsidP="00CC28AE">
            <w:pPr>
              <w:rPr>
                <w:color w:val="000000"/>
                <w:sz w:val="22"/>
                <w:szCs w:val="22"/>
              </w:rPr>
            </w:pPr>
            <w:r w:rsidRPr="00D808EB">
              <w:rPr>
                <w:color w:val="000000"/>
                <w:sz w:val="22"/>
                <w:szCs w:val="22"/>
              </w:rPr>
              <w:t>Consumers (FISMA and JUST)</w:t>
            </w:r>
          </w:p>
        </w:tc>
      </w:tr>
      <w:tr w:rsidR="00DB659A" w:rsidRPr="00D808EB" w14:paraId="406A5B8F"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1B35ECE9"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7ECE589E"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4D2AAB85"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7902EC8C"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0039B1E5" w14:textId="77777777" w:rsidR="00DB659A" w:rsidRPr="00D808EB" w:rsidRDefault="00DB659A" w:rsidP="00CC28AE">
            <w:pPr>
              <w:rPr>
                <w:color w:val="000000"/>
                <w:sz w:val="22"/>
                <w:szCs w:val="22"/>
              </w:rPr>
            </w:pPr>
            <w:r w:rsidRPr="00D808EB">
              <w:rPr>
                <w:color w:val="000000"/>
                <w:sz w:val="22"/>
                <w:szCs w:val="22"/>
              </w:rPr>
              <w:t>Statistics</w:t>
            </w:r>
          </w:p>
        </w:tc>
      </w:tr>
      <w:tr w:rsidR="00DB659A" w:rsidRPr="00D808EB" w14:paraId="79BB8D2D"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4B474DB9"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097D9318"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3180ADE0"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309B4005"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4EF3CAE5" w14:textId="77777777" w:rsidR="00DB659A" w:rsidRPr="00D808EB" w:rsidRDefault="00DB659A" w:rsidP="00CC28AE">
            <w:pPr>
              <w:rPr>
                <w:color w:val="000000"/>
                <w:sz w:val="22"/>
                <w:szCs w:val="22"/>
              </w:rPr>
            </w:pPr>
            <w:r w:rsidRPr="00D808EB">
              <w:rPr>
                <w:color w:val="000000"/>
                <w:sz w:val="22"/>
                <w:szCs w:val="22"/>
              </w:rPr>
              <w:t>Anti-fraud measures</w:t>
            </w:r>
          </w:p>
        </w:tc>
      </w:tr>
      <w:tr w:rsidR="00DB659A" w:rsidRPr="00D808EB" w14:paraId="0D0BCE57"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2B23FD52"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1EBA03F0"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6135DD29"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6A7258F7"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3FCBEB39" w14:textId="77777777" w:rsidR="00DB659A" w:rsidRPr="00D808EB" w:rsidRDefault="00DB659A" w:rsidP="00CC28AE">
            <w:pPr>
              <w:rPr>
                <w:color w:val="000000"/>
                <w:sz w:val="22"/>
                <w:szCs w:val="22"/>
              </w:rPr>
            </w:pPr>
            <w:r w:rsidRPr="00D808EB">
              <w:rPr>
                <w:color w:val="000000"/>
                <w:sz w:val="22"/>
                <w:szCs w:val="22"/>
              </w:rPr>
              <w:t>Customs</w:t>
            </w:r>
          </w:p>
        </w:tc>
      </w:tr>
      <w:tr w:rsidR="00DB659A" w:rsidRPr="00D808EB" w14:paraId="6442F728"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18F790E9"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6C7F020C"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5F7E8A88"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14956D22"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43887024" w14:textId="77777777" w:rsidR="00DB659A" w:rsidRPr="00D808EB" w:rsidRDefault="00DB659A" w:rsidP="00CC28AE">
            <w:pPr>
              <w:rPr>
                <w:color w:val="000000"/>
                <w:sz w:val="22"/>
                <w:szCs w:val="22"/>
              </w:rPr>
            </w:pPr>
            <w:r w:rsidRPr="00D808EB">
              <w:rPr>
                <w:color w:val="000000"/>
                <w:sz w:val="22"/>
                <w:szCs w:val="22"/>
              </w:rPr>
              <w:t>Fiscalis</w:t>
            </w:r>
          </w:p>
        </w:tc>
      </w:tr>
      <w:tr w:rsidR="00DB659A" w:rsidRPr="00D808EB" w14:paraId="22CEEE22"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7810B0D0" w14:textId="77777777" w:rsidR="00DB659A" w:rsidRPr="00D808EB" w:rsidRDefault="00DB659A" w:rsidP="00CC28AE">
            <w:pPr>
              <w:jc w:val="center"/>
              <w:rPr>
                <w:i/>
                <w:iCs/>
                <w:color w:val="000000"/>
                <w:sz w:val="22"/>
                <w:szCs w:val="22"/>
              </w:rPr>
            </w:pPr>
            <w:r w:rsidRPr="00D808EB">
              <w:rPr>
                <w:i/>
                <w:iCs/>
                <w:color w:val="000000"/>
                <w:sz w:val="22"/>
                <w:szCs w:val="22"/>
              </w:rPr>
              <w:t>05</w:t>
            </w:r>
          </w:p>
        </w:tc>
        <w:tc>
          <w:tcPr>
            <w:tcW w:w="163" w:type="pct"/>
            <w:tcBorders>
              <w:top w:val="nil"/>
              <w:left w:val="nil"/>
              <w:bottom w:val="single" w:sz="4" w:space="0" w:color="auto"/>
              <w:right w:val="single" w:sz="4" w:space="0" w:color="auto"/>
            </w:tcBorders>
            <w:shd w:val="clear" w:color="000000" w:fill="D0D0D0"/>
            <w:noWrap/>
            <w:vAlign w:val="center"/>
            <w:hideMark/>
          </w:tcPr>
          <w:p w14:paraId="335C225C" w14:textId="77777777" w:rsidR="00DB659A" w:rsidRPr="00D808EB" w:rsidRDefault="00DB659A" w:rsidP="00CC28AE">
            <w:pPr>
              <w:jc w:val="center"/>
              <w:rPr>
                <w:i/>
                <w:iCs/>
                <w:color w:val="000000"/>
                <w:sz w:val="22"/>
                <w:szCs w:val="22"/>
              </w:rPr>
            </w:pPr>
            <w:r w:rsidRPr="00D808EB">
              <w:rPr>
                <w:i/>
                <w:iCs/>
                <w:color w:val="000000"/>
                <w:sz w:val="22"/>
                <w:szCs w:val="22"/>
              </w:rPr>
              <w:t>04</w:t>
            </w:r>
          </w:p>
        </w:tc>
        <w:tc>
          <w:tcPr>
            <w:tcW w:w="163" w:type="pct"/>
            <w:tcBorders>
              <w:top w:val="nil"/>
              <w:left w:val="nil"/>
              <w:bottom w:val="single" w:sz="4" w:space="0" w:color="auto"/>
              <w:right w:val="single" w:sz="4" w:space="0" w:color="auto"/>
            </w:tcBorders>
            <w:shd w:val="clear" w:color="000000" w:fill="D0D0D0"/>
            <w:noWrap/>
            <w:vAlign w:val="center"/>
            <w:hideMark/>
          </w:tcPr>
          <w:p w14:paraId="709EF491"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1D195404"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6FB8E24F" w14:textId="77777777" w:rsidR="00DB659A" w:rsidRPr="00D808EB" w:rsidRDefault="00DB659A" w:rsidP="00CC28AE">
            <w:pPr>
              <w:rPr>
                <w:i/>
                <w:iCs/>
                <w:color w:val="000000"/>
                <w:sz w:val="22"/>
                <w:szCs w:val="22"/>
              </w:rPr>
            </w:pPr>
            <w:r w:rsidRPr="00D808EB">
              <w:rPr>
                <w:i/>
                <w:iCs/>
                <w:color w:val="000000"/>
                <w:sz w:val="22"/>
                <w:szCs w:val="22"/>
              </w:rPr>
              <w:t>Pericles (protection of the Euro)</w:t>
            </w:r>
          </w:p>
        </w:tc>
      </w:tr>
      <w:tr w:rsidR="00DB659A" w:rsidRPr="00D808EB" w14:paraId="3F325F0D"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77924486"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415BAF08"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7556A48A"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17F32BC9"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66E375FD" w14:textId="77777777" w:rsidR="00DB659A" w:rsidRPr="00D808EB" w:rsidRDefault="00DB659A" w:rsidP="00CC28AE">
            <w:pPr>
              <w:rPr>
                <w:color w:val="000000"/>
                <w:sz w:val="22"/>
                <w:szCs w:val="22"/>
              </w:rPr>
            </w:pPr>
            <w:r w:rsidRPr="00D808EB">
              <w:rPr>
                <w:color w:val="000000"/>
                <w:sz w:val="22"/>
                <w:szCs w:val="22"/>
              </w:rPr>
              <w:t>Pericles</w:t>
            </w:r>
          </w:p>
        </w:tc>
      </w:tr>
      <w:tr w:rsidR="00DB659A" w:rsidRPr="00D808EB" w14:paraId="28CB3537"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A6A6A6"/>
            <w:noWrap/>
            <w:vAlign w:val="center"/>
            <w:hideMark/>
          </w:tcPr>
          <w:p w14:paraId="0A753E08" w14:textId="77777777" w:rsidR="00DB659A" w:rsidRPr="00D808EB" w:rsidRDefault="00DB659A" w:rsidP="00CC28AE">
            <w:pPr>
              <w:jc w:val="center"/>
              <w:rPr>
                <w:b/>
                <w:bCs/>
                <w:color w:val="000000"/>
                <w:sz w:val="22"/>
                <w:szCs w:val="22"/>
              </w:rPr>
            </w:pPr>
            <w:r w:rsidRPr="00D808EB">
              <w:rPr>
                <w:b/>
                <w:bCs/>
                <w:color w:val="000000"/>
                <w:sz w:val="22"/>
                <w:szCs w:val="22"/>
              </w:rPr>
              <w:t>06</w:t>
            </w:r>
          </w:p>
        </w:tc>
        <w:tc>
          <w:tcPr>
            <w:tcW w:w="163" w:type="pct"/>
            <w:tcBorders>
              <w:top w:val="nil"/>
              <w:left w:val="nil"/>
              <w:bottom w:val="single" w:sz="4" w:space="0" w:color="auto"/>
              <w:right w:val="single" w:sz="4" w:space="0" w:color="auto"/>
            </w:tcBorders>
            <w:shd w:val="clear" w:color="000000" w:fill="A6A6A6"/>
            <w:noWrap/>
            <w:vAlign w:val="center"/>
            <w:hideMark/>
          </w:tcPr>
          <w:p w14:paraId="4ED9773F"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163" w:type="pct"/>
            <w:tcBorders>
              <w:top w:val="nil"/>
              <w:left w:val="nil"/>
              <w:bottom w:val="single" w:sz="4" w:space="0" w:color="auto"/>
              <w:right w:val="single" w:sz="4" w:space="0" w:color="auto"/>
            </w:tcBorders>
            <w:shd w:val="clear" w:color="000000" w:fill="A6A6A6"/>
            <w:noWrap/>
            <w:vAlign w:val="center"/>
            <w:hideMark/>
          </w:tcPr>
          <w:p w14:paraId="07C08A86"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163" w:type="pct"/>
            <w:tcBorders>
              <w:top w:val="nil"/>
              <w:left w:val="nil"/>
              <w:bottom w:val="single" w:sz="4" w:space="0" w:color="auto"/>
              <w:right w:val="single" w:sz="4" w:space="0" w:color="auto"/>
            </w:tcBorders>
            <w:shd w:val="clear" w:color="000000" w:fill="A6A6A6"/>
            <w:noWrap/>
            <w:vAlign w:val="center"/>
            <w:hideMark/>
          </w:tcPr>
          <w:p w14:paraId="008EF9F8"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4346" w:type="pct"/>
            <w:tcBorders>
              <w:top w:val="nil"/>
              <w:left w:val="nil"/>
              <w:bottom w:val="single" w:sz="4" w:space="0" w:color="auto"/>
              <w:right w:val="single" w:sz="4" w:space="0" w:color="auto"/>
            </w:tcBorders>
            <w:shd w:val="clear" w:color="000000" w:fill="A6A6A6"/>
            <w:vAlign w:val="center"/>
            <w:hideMark/>
          </w:tcPr>
          <w:p w14:paraId="081856EB" w14:textId="77777777" w:rsidR="00DB659A" w:rsidRPr="00D808EB" w:rsidRDefault="00DB659A" w:rsidP="00CC28AE">
            <w:pPr>
              <w:rPr>
                <w:b/>
                <w:bCs/>
                <w:color w:val="000000"/>
                <w:sz w:val="22"/>
                <w:szCs w:val="22"/>
              </w:rPr>
            </w:pPr>
            <w:r w:rsidRPr="00D808EB">
              <w:rPr>
                <w:b/>
                <w:bCs/>
                <w:color w:val="000000"/>
                <w:sz w:val="22"/>
                <w:szCs w:val="22"/>
              </w:rPr>
              <w:t>Education, culture, rights and values</w:t>
            </w:r>
            <w:r w:rsidRPr="00D808EB">
              <w:rPr>
                <w:b/>
                <w:bCs/>
                <w:color w:val="FF0000"/>
                <w:sz w:val="22"/>
                <w:szCs w:val="22"/>
              </w:rPr>
              <w:t xml:space="preserve"> (provisional title)</w:t>
            </w:r>
          </w:p>
        </w:tc>
      </w:tr>
      <w:tr w:rsidR="00DB659A" w:rsidRPr="00D808EB" w14:paraId="1B49BD00"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16C534AB" w14:textId="77777777" w:rsidR="00DB659A" w:rsidRPr="00D808EB" w:rsidRDefault="00DB659A" w:rsidP="00CC28AE">
            <w:pPr>
              <w:jc w:val="center"/>
              <w:rPr>
                <w:i/>
                <w:iCs/>
                <w:color w:val="000000"/>
                <w:sz w:val="22"/>
                <w:szCs w:val="22"/>
              </w:rPr>
            </w:pPr>
            <w:r w:rsidRPr="00D808EB">
              <w:rPr>
                <w:i/>
                <w:iCs/>
                <w:color w:val="000000"/>
                <w:sz w:val="22"/>
                <w:szCs w:val="22"/>
              </w:rPr>
              <w:t>06</w:t>
            </w:r>
          </w:p>
        </w:tc>
        <w:tc>
          <w:tcPr>
            <w:tcW w:w="163" w:type="pct"/>
            <w:tcBorders>
              <w:top w:val="nil"/>
              <w:left w:val="nil"/>
              <w:bottom w:val="single" w:sz="4" w:space="0" w:color="auto"/>
              <w:right w:val="single" w:sz="4" w:space="0" w:color="auto"/>
            </w:tcBorders>
            <w:shd w:val="clear" w:color="000000" w:fill="D0D0D0"/>
            <w:noWrap/>
            <w:vAlign w:val="center"/>
            <w:hideMark/>
          </w:tcPr>
          <w:p w14:paraId="2682505D" w14:textId="77777777" w:rsidR="00DB659A" w:rsidRPr="00D808EB" w:rsidRDefault="00DB659A" w:rsidP="00CC28AE">
            <w:pPr>
              <w:jc w:val="center"/>
              <w:rPr>
                <w:i/>
                <w:iCs/>
                <w:color w:val="000000"/>
                <w:sz w:val="22"/>
                <w:szCs w:val="22"/>
              </w:rPr>
            </w:pPr>
            <w:r w:rsidRPr="00D808EB">
              <w:rPr>
                <w:i/>
                <w:iCs/>
                <w:color w:val="000000"/>
                <w:sz w:val="22"/>
                <w:szCs w:val="22"/>
              </w:rPr>
              <w:t>01</w:t>
            </w:r>
          </w:p>
        </w:tc>
        <w:tc>
          <w:tcPr>
            <w:tcW w:w="163" w:type="pct"/>
            <w:tcBorders>
              <w:top w:val="nil"/>
              <w:left w:val="nil"/>
              <w:bottom w:val="single" w:sz="4" w:space="0" w:color="auto"/>
              <w:right w:val="single" w:sz="4" w:space="0" w:color="auto"/>
            </w:tcBorders>
            <w:shd w:val="clear" w:color="000000" w:fill="D0D0D0"/>
            <w:noWrap/>
            <w:vAlign w:val="center"/>
            <w:hideMark/>
          </w:tcPr>
          <w:p w14:paraId="7051BF82"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0B2CDDDF"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534864A4" w14:textId="77777777" w:rsidR="00DB659A" w:rsidRPr="00D808EB" w:rsidRDefault="00DB659A" w:rsidP="00CC28AE">
            <w:pPr>
              <w:rPr>
                <w:i/>
                <w:iCs/>
                <w:color w:val="000000"/>
                <w:sz w:val="22"/>
                <w:szCs w:val="22"/>
              </w:rPr>
            </w:pPr>
            <w:r w:rsidRPr="00D808EB">
              <w:rPr>
                <w:i/>
                <w:iCs/>
                <w:color w:val="000000"/>
                <w:sz w:val="22"/>
                <w:szCs w:val="22"/>
              </w:rPr>
              <w:t>Support expenditure for education, culture, rights and values</w:t>
            </w:r>
          </w:p>
        </w:tc>
      </w:tr>
      <w:tr w:rsidR="00DB659A" w:rsidRPr="00D808EB" w14:paraId="2C953310"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76E45F2C"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32240156"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2A541EE1"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78316105"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1964015E" w14:textId="77777777" w:rsidR="00DB659A" w:rsidRPr="00D808EB" w:rsidRDefault="00DB659A" w:rsidP="00CC28AE">
            <w:pPr>
              <w:rPr>
                <w:color w:val="000000"/>
                <w:sz w:val="22"/>
                <w:szCs w:val="22"/>
              </w:rPr>
            </w:pPr>
            <w:r w:rsidRPr="00D808EB">
              <w:rPr>
                <w:color w:val="000000"/>
                <w:sz w:val="22"/>
                <w:szCs w:val="22"/>
              </w:rPr>
              <w:t>Support expenditure for Erasmus+</w:t>
            </w:r>
          </w:p>
        </w:tc>
      </w:tr>
      <w:tr w:rsidR="00DB659A" w:rsidRPr="00D808EB" w14:paraId="19A6B7CA"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72D4C453"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677CAA59"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349FFE76"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78F1BE72"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6D24037D" w14:textId="77777777" w:rsidR="00DB659A" w:rsidRPr="00D808EB" w:rsidRDefault="00DB659A" w:rsidP="00CC28AE">
            <w:pPr>
              <w:rPr>
                <w:color w:val="000000"/>
                <w:sz w:val="22"/>
                <w:szCs w:val="22"/>
              </w:rPr>
            </w:pPr>
            <w:r w:rsidRPr="00D808EB">
              <w:rPr>
                <w:color w:val="000000"/>
                <w:sz w:val="22"/>
                <w:szCs w:val="22"/>
              </w:rPr>
              <w:t>Support expenditure for AgoraEU</w:t>
            </w:r>
          </w:p>
        </w:tc>
      </w:tr>
      <w:tr w:rsidR="00DB659A" w:rsidRPr="00D808EB" w14:paraId="693574ED"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2BE59115"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20FB9E29"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6FEF41F7"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48C28DFA"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6ACD835D" w14:textId="77777777" w:rsidR="00DB659A" w:rsidRPr="00D808EB" w:rsidRDefault="00DB659A" w:rsidP="00CC28AE">
            <w:pPr>
              <w:rPr>
                <w:color w:val="000000"/>
                <w:sz w:val="22"/>
                <w:szCs w:val="22"/>
              </w:rPr>
            </w:pPr>
            <w:r w:rsidRPr="00D808EB">
              <w:rPr>
                <w:color w:val="000000"/>
                <w:sz w:val="22"/>
                <w:szCs w:val="22"/>
              </w:rPr>
              <w:t>Support expenditure for UCPM+ (EU Civil Protection Mechanism and health preparedness)</w:t>
            </w:r>
          </w:p>
        </w:tc>
      </w:tr>
      <w:tr w:rsidR="00DB659A" w:rsidRPr="00D808EB" w14:paraId="5F6F679D"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42D3A8E6"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4D03629C"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15EAD976"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6DA52EB9"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74FE6B83" w14:textId="77777777" w:rsidR="00DB659A" w:rsidRPr="00D808EB" w:rsidRDefault="00DB659A" w:rsidP="00CC28AE">
            <w:pPr>
              <w:rPr>
                <w:color w:val="000000"/>
                <w:sz w:val="22"/>
                <w:szCs w:val="22"/>
              </w:rPr>
            </w:pPr>
            <w:r w:rsidRPr="00D808EB">
              <w:rPr>
                <w:color w:val="000000"/>
                <w:sz w:val="22"/>
                <w:szCs w:val="22"/>
              </w:rPr>
              <w:t>Support expenditure for Justice</w:t>
            </w:r>
          </w:p>
        </w:tc>
      </w:tr>
      <w:tr w:rsidR="00DB659A" w:rsidRPr="00D808EB" w14:paraId="00FC9B15"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4FE6E8F2" w14:textId="77777777" w:rsidR="00DB659A" w:rsidRPr="00D808EB" w:rsidRDefault="00DB659A" w:rsidP="00CC28AE">
            <w:pPr>
              <w:jc w:val="center"/>
              <w:rPr>
                <w:i/>
                <w:iCs/>
                <w:color w:val="000000"/>
                <w:sz w:val="22"/>
                <w:szCs w:val="22"/>
              </w:rPr>
            </w:pPr>
            <w:r w:rsidRPr="00D808EB">
              <w:rPr>
                <w:i/>
                <w:iCs/>
                <w:color w:val="000000"/>
                <w:sz w:val="22"/>
                <w:szCs w:val="22"/>
              </w:rPr>
              <w:t>06</w:t>
            </w:r>
          </w:p>
        </w:tc>
        <w:tc>
          <w:tcPr>
            <w:tcW w:w="163" w:type="pct"/>
            <w:tcBorders>
              <w:top w:val="nil"/>
              <w:left w:val="nil"/>
              <w:bottom w:val="single" w:sz="4" w:space="0" w:color="auto"/>
              <w:right w:val="single" w:sz="4" w:space="0" w:color="auto"/>
            </w:tcBorders>
            <w:shd w:val="clear" w:color="000000" w:fill="D0D0D0"/>
            <w:noWrap/>
            <w:vAlign w:val="center"/>
            <w:hideMark/>
          </w:tcPr>
          <w:p w14:paraId="68836FDE" w14:textId="77777777" w:rsidR="00DB659A" w:rsidRPr="00D808EB" w:rsidRDefault="00DB659A" w:rsidP="00CC28AE">
            <w:pPr>
              <w:jc w:val="center"/>
              <w:rPr>
                <w:i/>
                <w:iCs/>
                <w:color w:val="000000"/>
                <w:sz w:val="22"/>
                <w:szCs w:val="22"/>
              </w:rPr>
            </w:pPr>
            <w:r w:rsidRPr="00D808EB">
              <w:rPr>
                <w:i/>
                <w:iCs/>
                <w:color w:val="000000"/>
                <w:sz w:val="22"/>
                <w:szCs w:val="22"/>
              </w:rPr>
              <w:t>02</w:t>
            </w:r>
          </w:p>
        </w:tc>
        <w:tc>
          <w:tcPr>
            <w:tcW w:w="163" w:type="pct"/>
            <w:tcBorders>
              <w:top w:val="nil"/>
              <w:left w:val="nil"/>
              <w:bottom w:val="single" w:sz="4" w:space="0" w:color="auto"/>
              <w:right w:val="single" w:sz="4" w:space="0" w:color="auto"/>
            </w:tcBorders>
            <w:shd w:val="clear" w:color="000000" w:fill="D0D0D0"/>
            <w:noWrap/>
            <w:vAlign w:val="center"/>
            <w:hideMark/>
          </w:tcPr>
          <w:p w14:paraId="15677D54"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3E3FC5A6"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2F8E4BBF" w14:textId="77777777" w:rsidR="00DB659A" w:rsidRPr="00D808EB" w:rsidRDefault="00DB659A" w:rsidP="00CC28AE">
            <w:pPr>
              <w:rPr>
                <w:i/>
                <w:iCs/>
                <w:color w:val="000000"/>
                <w:sz w:val="22"/>
                <w:szCs w:val="22"/>
              </w:rPr>
            </w:pPr>
            <w:r w:rsidRPr="00D808EB">
              <w:rPr>
                <w:i/>
                <w:iCs/>
                <w:color w:val="000000"/>
                <w:sz w:val="22"/>
                <w:szCs w:val="22"/>
              </w:rPr>
              <w:t>Erasmus+</w:t>
            </w:r>
          </w:p>
        </w:tc>
      </w:tr>
      <w:tr w:rsidR="00DB659A" w:rsidRPr="00D808EB" w14:paraId="7DB2690C"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75D62D0C"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348B1CF2"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57E25165"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20597599"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23012342" w14:textId="77777777" w:rsidR="00DB659A" w:rsidRPr="00D808EB" w:rsidRDefault="00DB659A" w:rsidP="00CC28AE">
            <w:pPr>
              <w:rPr>
                <w:color w:val="000000"/>
                <w:sz w:val="22"/>
                <w:szCs w:val="22"/>
              </w:rPr>
            </w:pPr>
            <w:r w:rsidRPr="00D808EB">
              <w:rPr>
                <w:color w:val="000000"/>
                <w:sz w:val="22"/>
                <w:szCs w:val="22"/>
              </w:rPr>
              <w:t>Education and training</w:t>
            </w:r>
          </w:p>
        </w:tc>
      </w:tr>
      <w:tr w:rsidR="00DB659A" w:rsidRPr="00D808EB" w14:paraId="38A63FC7"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4074FBE7"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62F0A136"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44657BB8"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0448194A"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5CFEDE62" w14:textId="77777777" w:rsidR="00DB659A" w:rsidRPr="00D808EB" w:rsidRDefault="00DB659A" w:rsidP="00CC28AE">
            <w:pPr>
              <w:rPr>
                <w:color w:val="000000"/>
                <w:sz w:val="22"/>
                <w:szCs w:val="22"/>
              </w:rPr>
            </w:pPr>
            <w:r w:rsidRPr="00D808EB">
              <w:rPr>
                <w:color w:val="000000"/>
                <w:sz w:val="22"/>
                <w:szCs w:val="22"/>
              </w:rPr>
              <w:t>Youth, Sport and the European Solidarity Corps</w:t>
            </w:r>
          </w:p>
        </w:tc>
      </w:tr>
      <w:tr w:rsidR="00DB659A" w:rsidRPr="00D808EB" w14:paraId="3BFCFBD3"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5CE97787" w14:textId="77777777" w:rsidR="00DB659A" w:rsidRPr="00D808EB" w:rsidRDefault="00DB659A" w:rsidP="00CC28AE">
            <w:pPr>
              <w:jc w:val="center"/>
              <w:rPr>
                <w:i/>
                <w:iCs/>
                <w:color w:val="000000"/>
                <w:sz w:val="22"/>
                <w:szCs w:val="22"/>
              </w:rPr>
            </w:pPr>
            <w:r w:rsidRPr="00D808EB">
              <w:rPr>
                <w:i/>
                <w:iCs/>
                <w:color w:val="000000"/>
                <w:sz w:val="22"/>
                <w:szCs w:val="22"/>
              </w:rPr>
              <w:t>06</w:t>
            </w:r>
          </w:p>
        </w:tc>
        <w:tc>
          <w:tcPr>
            <w:tcW w:w="163" w:type="pct"/>
            <w:tcBorders>
              <w:top w:val="nil"/>
              <w:left w:val="nil"/>
              <w:bottom w:val="single" w:sz="4" w:space="0" w:color="auto"/>
              <w:right w:val="single" w:sz="4" w:space="0" w:color="auto"/>
            </w:tcBorders>
            <w:shd w:val="clear" w:color="000000" w:fill="D0D0D0"/>
            <w:noWrap/>
            <w:vAlign w:val="center"/>
            <w:hideMark/>
          </w:tcPr>
          <w:p w14:paraId="039B65C4" w14:textId="77777777" w:rsidR="00DB659A" w:rsidRPr="00D808EB" w:rsidRDefault="00DB659A" w:rsidP="00CC28AE">
            <w:pPr>
              <w:jc w:val="center"/>
              <w:rPr>
                <w:i/>
                <w:iCs/>
                <w:color w:val="000000"/>
                <w:sz w:val="22"/>
                <w:szCs w:val="22"/>
              </w:rPr>
            </w:pPr>
            <w:r w:rsidRPr="00D808EB">
              <w:rPr>
                <w:i/>
                <w:iCs/>
                <w:color w:val="000000"/>
                <w:sz w:val="22"/>
                <w:szCs w:val="22"/>
              </w:rPr>
              <w:t>03</w:t>
            </w:r>
          </w:p>
        </w:tc>
        <w:tc>
          <w:tcPr>
            <w:tcW w:w="163" w:type="pct"/>
            <w:tcBorders>
              <w:top w:val="nil"/>
              <w:left w:val="nil"/>
              <w:bottom w:val="single" w:sz="4" w:space="0" w:color="auto"/>
              <w:right w:val="single" w:sz="4" w:space="0" w:color="auto"/>
            </w:tcBorders>
            <w:shd w:val="clear" w:color="000000" w:fill="D0D0D0"/>
            <w:noWrap/>
            <w:vAlign w:val="center"/>
            <w:hideMark/>
          </w:tcPr>
          <w:p w14:paraId="7B9BBD02"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20AEE765"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70EFD64B" w14:textId="77777777" w:rsidR="00DB659A" w:rsidRPr="00D808EB" w:rsidRDefault="00DB659A" w:rsidP="00CC28AE">
            <w:pPr>
              <w:rPr>
                <w:i/>
                <w:iCs/>
                <w:color w:val="000000"/>
                <w:sz w:val="22"/>
                <w:szCs w:val="22"/>
              </w:rPr>
            </w:pPr>
            <w:r w:rsidRPr="00D808EB">
              <w:rPr>
                <w:i/>
                <w:iCs/>
                <w:color w:val="000000"/>
                <w:sz w:val="22"/>
                <w:szCs w:val="22"/>
              </w:rPr>
              <w:t>AgoraEU</w:t>
            </w:r>
          </w:p>
        </w:tc>
      </w:tr>
      <w:tr w:rsidR="00DB659A" w:rsidRPr="00D808EB" w14:paraId="489467BB"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73559BCD"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3646F29F"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5AD68E02"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7412D12B"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10EF54C9" w14:textId="77777777" w:rsidR="00DB659A" w:rsidRPr="00D808EB" w:rsidRDefault="00DB659A" w:rsidP="00CC28AE">
            <w:pPr>
              <w:rPr>
                <w:color w:val="000000"/>
                <w:sz w:val="22"/>
                <w:szCs w:val="22"/>
              </w:rPr>
            </w:pPr>
            <w:r w:rsidRPr="00D808EB">
              <w:rPr>
                <w:color w:val="000000"/>
                <w:sz w:val="22"/>
                <w:szCs w:val="22"/>
              </w:rPr>
              <w:t>Culture</w:t>
            </w:r>
          </w:p>
        </w:tc>
      </w:tr>
      <w:tr w:rsidR="00DB659A" w:rsidRPr="00D808EB" w14:paraId="3605B92E"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005C3A11"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6D2C5C70"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59E332B8" w14:textId="77777777" w:rsidR="00DB659A" w:rsidRPr="00D808EB" w:rsidRDefault="00DB659A" w:rsidP="00CC28AE">
            <w:pPr>
              <w:jc w:val="center"/>
              <w:rPr>
                <w:color w:val="000000"/>
                <w:sz w:val="22"/>
                <w:szCs w:val="22"/>
              </w:rPr>
            </w:pPr>
            <w:r w:rsidRPr="00D808EB">
              <w:rPr>
                <w:color w:val="000000"/>
                <w:sz w:val="22"/>
                <w:szCs w:val="22"/>
              </w:rPr>
              <w:t>02</w:t>
            </w:r>
          </w:p>
        </w:tc>
        <w:tc>
          <w:tcPr>
            <w:tcW w:w="163" w:type="pct"/>
            <w:tcBorders>
              <w:top w:val="nil"/>
              <w:left w:val="nil"/>
              <w:bottom w:val="single" w:sz="4" w:space="0" w:color="auto"/>
              <w:right w:val="single" w:sz="4" w:space="0" w:color="auto"/>
            </w:tcBorders>
            <w:shd w:val="clear" w:color="000000" w:fill="F2F2F2"/>
            <w:noWrap/>
            <w:vAlign w:val="center"/>
            <w:hideMark/>
          </w:tcPr>
          <w:p w14:paraId="7C1D92A2"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158F503C" w14:textId="77777777" w:rsidR="00DB659A" w:rsidRPr="00D808EB" w:rsidRDefault="00DB659A" w:rsidP="00CC28AE">
            <w:pPr>
              <w:rPr>
                <w:color w:val="000000"/>
                <w:sz w:val="22"/>
                <w:szCs w:val="22"/>
              </w:rPr>
            </w:pPr>
            <w:r w:rsidRPr="00D808EB">
              <w:rPr>
                <w:color w:val="000000"/>
                <w:sz w:val="22"/>
                <w:szCs w:val="22"/>
              </w:rPr>
              <w:t>Media</w:t>
            </w:r>
          </w:p>
        </w:tc>
      </w:tr>
      <w:tr w:rsidR="00DB659A" w:rsidRPr="00D808EB" w14:paraId="6408B766"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149DFA12"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0B8F4EA6"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13C8DC12"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000000" w:fill="F2F2F2"/>
            <w:noWrap/>
            <w:vAlign w:val="center"/>
            <w:hideMark/>
          </w:tcPr>
          <w:p w14:paraId="1BAF66FF"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330F10EA" w14:textId="77777777" w:rsidR="00DB659A" w:rsidRPr="00D808EB" w:rsidRDefault="00DB659A" w:rsidP="00CC28AE">
            <w:pPr>
              <w:rPr>
                <w:color w:val="000000"/>
                <w:sz w:val="22"/>
                <w:szCs w:val="22"/>
              </w:rPr>
            </w:pPr>
            <w:r w:rsidRPr="00D808EB">
              <w:rPr>
                <w:color w:val="000000"/>
                <w:sz w:val="22"/>
                <w:szCs w:val="22"/>
              </w:rPr>
              <w:t>CERV (Citizens, Equality, Rights and Values)</w:t>
            </w:r>
          </w:p>
        </w:tc>
      </w:tr>
      <w:tr w:rsidR="00DB659A" w:rsidRPr="00D808EB" w14:paraId="69801054"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3D70AE74"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auto" w:fill="auto"/>
            <w:noWrap/>
            <w:vAlign w:val="center"/>
            <w:hideMark/>
          </w:tcPr>
          <w:p w14:paraId="26E16F49"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31770083"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3D5B75E2" w14:textId="77777777" w:rsidR="00DB659A" w:rsidRPr="00D808EB" w:rsidRDefault="00DB659A" w:rsidP="00CC28AE">
            <w:pPr>
              <w:jc w:val="center"/>
              <w:rPr>
                <w:color w:val="000000"/>
                <w:sz w:val="22"/>
                <w:szCs w:val="22"/>
              </w:rPr>
            </w:pPr>
            <w:r w:rsidRPr="00D808EB">
              <w:rPr>
                <w:color w:val="000000"/>
                <w:sz w:val="22"/>
                <w:szCs w:val="22"/>
              </w:rPr>
              <w:t>01</w:t>
            </w:r>
          </w:p>
        </w:tc>
        <w:tc>
          <w:tcPr>
            <w:tcW w:w="4346" w:type="pct"/>
            <w:tcBorders>
              <w:top w:val="nil"/>
              <w:left w:val="nil"/>
              <w:bottom w:val="single" w:sz="4" w:space="0" w:color="auto"/>
              <w:right w:val="single" w:sz="4" w:space="0" w:color="auto"/>
            </w:tcBorders>
            <w:shd w:val="clear" w:color="auto" w:fill="auto"/>
            <w:vAlign w:val="center"/>
            <w:hideMark/>
          </w:tcPr>
          <w:p w14:paraId="78C64633" w14:textId="77777777" w:rsidR="00DB659A" w:rsidRPr="00D808EB" w:rsidRDefault="00DB659A" w:rsidP="00CC28AE">
            <w:pPr>
              <w:rPr>
                <w:sz w:val="22"/>
                <w:szCs w:val="22"/>
              </w:rPr>
            </w:pPr>
            <w:r w:rsidRPr="00D808EB">
              <w:rPr>
                <w:sz w:val="22"/>
                <w:szCs w:val="22"/>
              </w:rPr>
              <w:t>Equality, Rights, Citizens and Values</w:t>
            </w:r>
          </w:p>
        </w:tc>
      </w:tr>
      <w:tr w:rsidR="00DB659A" w:rsidRPr="00D808EB" w14:paraId="341AAAE1"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70FF65D1"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auto" w:fill="auto"/>
            <w:noWrap/>
            <w:vAlign w:val="center"/>
            <w:hideMark/>
          </w:tcPr>
          <w:p w14:paraId="10F1F412"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2D2D14CE"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3583FA81" w14:textId="77777777" w:rsidR="00DB659A" w:rsidRPr="00D808EB" w:rsidRDefault="00DB659A" w:rsidP="00CC28AE">
            <w:pPr>
              <w:jc w:val="center"/>
              <w:rPr>
                <w:color w:val="000000"/>
                <w:sz w:val="22"/>
                <w:szCs w:val="22"/>
              </w:rPr>
            </w:pPr>
            <w:r w:rsidRPr="00D808EB">
              <w:rPr>
                <w:color w:val="000000"/>
                <w:sz w:val="22"/>
                <w:szCs w:val="22"/>
              </w:rPr>
              <w:t>02</w:t>
            </w:r>
          </w:p>
        </w:tc>
        <w:tc>
          <w:tcPr>
            <w:tcW w:w="4346" w:type="pct"/>
            <w:tcBorders>
              <w:top w:val="nil"/>
              <w:left w:val="nil"/>
              <w:bottom w:val="single" w:sz="4" w:space="0" w:color="auto"/>
              <w:right w:val="single" w:sz="4" w:space="0" w:color="auto"/>
            </w:tcBorders>
            <w:shd w:val="clear" w:color="auto" w:fill="auto"/>
            <w:vAlign w:val="center"/>
            <w:hideMark/>
          </w:tcPr>
          <w:p w14:paraId="232DEE46" w14:textId="77777777" w:rsidR="00DB659A" w:rsidRPr="00D808EB" w:rsidRDefault="00DB659A" w:rsidP="00CC28AE">
            <w:pPr>
              <w:rPr>
                <w:sz w:val="22"/>
                <w:szCs w:val="22"/>
              </w:rPr>
            </w:pPr>
            <w:r w:rsidRPr="00D808EB">
              <w:rPr>
                <w:sz w:val="22"/>
                <w:szCs w:val="22"/>
              </w:rPr>
              <w:t>Democratic participation and rule of law</w:t>
            </w:r>
          </w:p>
        </w:tc>
      </w:tr>
      <w:tr w:rsidR="00DB659A" w:rsidRPr="00D808EB" w14:paraId="02763D7F" w14:textId="77777777" w:rsidTr="00CC28AE">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14:paraId="7E1A3D18"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auto" w:fill="auto"/>
            <w:noWrap/>
            <w:vAlign w:val="center"/>
            <w:hideMark/>
          </w:tcPr>
          <w:p w14:paraId="4FA6CD3C"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4D1C5907" w14:textId="77777777" w:rsidR="00DB659A" w:rsidRPr="00D808EB" w:rsidRDefault="00DB659A" w:rsidP="00CC28AE">
            <w:pPr>
              <w:jc w:val="center"/>
              <w:rPr>
                <w:color w:val="000000"/>
                <w:sz w:val="22"/>
                <w:szCs w:val="22"/>
              </w:rPr>
            </w:pPr>
            <w:r w:rsidRPr="00D808EB">
              <w:rPr>
                <w:color w:val="000000"/>
                <w:sz w:val="22"/>
                <w:szCs w:val="22"/>
              </w:rPr>
              <w:t>03</w:t>
            </w:r>
          </w:p>
        </w:tc>
        <w:tc>
          <w:tcPr>
            <w:tcW w:w="163" w:type="pct"/>
            <w:tcBorders>
              <w:top w:val="nil"/>
              <w:left w:val="nil"/>
              <w:bottom w:val="single" w:sz="4" w:space="0" w:color="auto"/>
              <w:right w:val="single" w:sz="4" w:space="0" w:color="auto"/>
            </w:tcBorders>
            <w:shd w:val="clear" w:color="auto" w:fill="auto"/>
            <w:noWrap/>
            <w:vAlign w:val="center"/>
            <w:hideMark/>
          </w:tcPr>
          <w:p w14:paraId="53904067" w14:textId="77777777" w:rsidR="00DB659A" w:rsidRPr="00D808EB" w:rsidRDefault="00DB659A" w:rsidP="00CC28AE">
            <w:pPr>
              <w:jc w:val="center"/>
              <w:rPr>
                <w:color w:val="000000"/>
                <w:sz w:val="22"/>
                <w:szCs w:val="22"/>
              </w:rPr>
            </w:pPr>
            <w:r w:rsidRPr="00D808EB">
              <w:rPr>
                <w:color w:val="000000"/>
                <w:sz w:val="22"/>
                <w:szCs w:val="22"/>
              </w:rPr>
              <w:t>03</w:t>
            </w:r>
          </w:p>
        </w:tc>
        <w:tc>
          <w:tcPr>
            <w:tcW w:w="4346" w:type="pct"/>
            <w:tcBorders>
              <w:top w:val="nil"/>
              <w:left w:val="nil"/>
              <w:bottom w:val="single" w:sz="4" w:space="0" w:color="auto"/>
              <w:right w:val="single" w:sz="4" w:space="0" w:color="auto"/>
            </w:tcBorders>
            <w:shd w:val="clear" w:color="auto" w:fill="auto"/>
            <w:vAlign w:val="center"/>
            <w:hideMark/>
          </w:tcPr>
          <w:p w14:paraId="6003879B" w14:textId="77777777" w:rsidR="00DB659A" w:rsidRPr="00D808EB" w:rsidRDefault="00DB659A" w:rsidP="00CC28AE">
            <w:pPr>
              <w:rPr>
                <w:sz w:val="22"/>
                <w:szCs w:val="22"/>
              </w:rPr>
            </w:pPr>
            <w:r w:rsidRPr="00D808EB">
              <w:rPr>
                <w:sz w:val="22"/>
                <w:szCs w:val="22"/>
              </w:rPr>
              <w:t>Daphne</w:t>
            </w:r>
          </w:p>
        </w:tc>
      </w:tr>
      <w:tr w:rsidR="00DB659A" w:rsidRPr="00D808EB" w14:paraId="0BFD2E08"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0D21F21A" w14:textId="77777777" w:rsidR="00DB659A" w:rsidRPr="00D808EB" w:rsidRDefault="00DB659A" w:rsidP="00CC28AE">
            <w:pPr>
              <w:jc w:val="center"/>
              <w:rPr>
                <w:i/>
                <w:iCs/>
                <w:color w:val="000000"/>
                <w:sz w:val="22"/>
                <w:szCs w:val="22"/>
              </w:rPr>
            </w:pPr>
            <w:r w:rsidRPr="00D808EB">
              <w:rPr>
                <w:i/>
                <w:iCs/>
                <w:color w:val="000000"/>
                <w:sz w:val="22"/>
                <w:szCs w:val="22"/>
              </w:rPr>
              <w:t>06</w:t>
            </w:r>
          </w:p>
        </w:tc>
        <w:tc>
          <w:tcPr>
            <w:tcW w:w="163" w:type="pct"/>
            <w:tcBorders>
              <w:top w:val="nil"/>
              <w:left w:val="nil"/>
              <w:bottom w:val="single" w:sz="4" w:space="0" w:color="auto"/>
              <w:right w:val="single" w:sz="4" w:space="0" w:color="auto"/>
            </w:tcBorders>
            <w:shd w:val="clear" w:color="000000" w:fill="D0D0D0"/>
            <w:noWrap/>
            <w:vAlign w:val="center"/>
            <w:hideMark/>
          </w:tcPr>
          <w:p w14:paraId="6A51956E" w14:textId="77777777" w:rsidR="00DB659A" w:rsidRPr="00D808EB" w:rsidRDefault="00DB659A" w:rsidP="00CC28AE">
            <w:pPr>
              <w:jc w:val="center"/>
              <w:rPr>
                <w:i/>
                <w:iCs/>
                <w:color w:val="000000"/>
                <w:sz w:val="22"/>
                <w:szCs w:val="22"/>
              </w:rPr>
            </w:pPr>
            <w:r w:rsidRPr="00D808EB">
              <w:rPr>
                <w:i/>
                <w:iCs/>
                <w:color w:val="000000"/>
                <w:sz w:val="22"/>
                <w:szCs w:val="22"/>
              </w:rPr>
              <w:t>04</w:t>
            </w:r>
          </w:p>
        </w:tc>
        <w:tc>
          <w:tcPr>
            <w:tcW w:w="163" w:type="pct"/>
            <w:tcBorders>
              <w:top w:val="nil"/>
              <w:left w:val="nil"/>
              <w:bottom w:val="single" w:sz="4" w:space="0" w:color="auto"/>
              <w:right w:val="single" w:sz="4" w:space="0" w:color="auto"/>
            </w:tcBorders>
            <w:shd w:val="clear" w:color="000000" w:fill="D0D0D0"/>
            <w:noWrap/>
            <w:vAlign w:val="center"/>
            <w:hideMark/>
          </w:tcPr>
          <w:p w14:paraId="56DE8075"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30F2DB73"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6FD9A789" w14:textId="77777777" w:rsidR="00DB659A" w:rsidRPr="00D808EB" w:rsidRDefault="00DB659A" w:rsidP="00CC28AE">
            <w:pPr>
              <w:rPr>
                <w:i/>
                <w:iCs/>
                <w:color w:val="000000"/>
                <w:sz w:val="22"/>
                <w:szCs w:val="22"/>
              </w:rPr>
            </w:pPr>
            <w:r w:rsidRPr="00D808EB">
              <w:rPr>
                <w:i/>
                <w:iCs/>
                <w:color w:val="000000"/>
                <w:sz w:val="22"/>
                <w:szCs w:val="22"/>
              </w:rPr>
              <w:t>UCPM+ (EU Civil Protection Mechanism and health preparedness)</w:t>
            </w:r>
          </w:p>
        </w:tc>
      </w:tr>
      <w:tr w:rsidR="00DB659A" w:rsidRPr="00D808EB" w14:paraId="05610B47"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0ADB94BE"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24E5FA77" w14:textId="77777777" w:rsidR="00DB659A" w:rsidRPr="00D808EB" w:rsidRDefault="00DB659A" w:rsidP="00CC28AE">
            <w:pPr>
              <w:jc w:val="center"/>
              <w:rPr>
                <w:color w:val="000000"/>
                <w:sz w:val="22"/>
                <w:szCs w:val="22"/>
              </w:rPr>
            </w:pPr>
            <w:r w:rsidRPr="00D808EB">
              <w:rPr>
                <w:color w:val="000000"/>
                <w:sz w:val="22"/>
                <w:szCs w:val="22"/>
              </w:rPr>
              <w:t>04</w:t>
            </w:r>
          </w:p>
        </w:tc>
        <w:tc>
          <w:tcPr>
            <w:tcW w:w="163" w:type="pct"/>
            <w:tcBorders>
              <w:top w:val="nil"/>
              <w:left w:val="nil"/>
              <w:bottom w:val="single" w:sz="4" w:space="0" w:color="auto"/>
              <w:right w:val="single" w:sz="4" w:space="0" w:color="auto"/>
            </w:tcBorders>
            <w:shd w:val="clear" w:color="000000" w:fill="F2F2F2"/>
            <w:noWrap/>
            <w:vAlign w:val="center"/>
            <w:hideMark/>
          </w:tcPr>
          <w:p w14:paraId="25C67EF9"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4B01E4D5"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22B49912" w14:textId="77777777" w:rsidR="00DB659A" w:rsidRPr="00D808EB" w:rsidRDefault="00DB659A" w:rsidP="00CC28AE">
            <w:pPr>
              <w:rPr>
                <w:color w:val="000000"/>
                <w:sz w:val="22"/>
                <w:szCs w:val="22"/>
              </w:rPr>
            </w:pPr>
            <w:r w:rsidRPr="00D808EB">
              <w:rPr>
                <w:color w:val="000000"/>
                <w:sz w:val="22"/>
                <w:szCs w:val="22"/>
              </w:rPr>
              <w:t>Civil protection - rescEU &amp; Health preparedness</w:t>
            </w:r>
          </w:p>
        </w:tc>
      </w:tr>
      <w:tr w:rsidR="00DB659A" w:rsidRPr="00D808EB" w14:paraId="60C8B773"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D0D0D0"/>
            <w:noWrap/>
            <w:vAlign w:val="center"/>
            <w:hideMark/>
          </w:tcPr>
          <w:p w14:paraId="76FA5E0F" w14:textId="77777777" w:rsidR="00DB659A" w:rsidRPr="00D808EB" w:rsidRDefault="00DB659A" w:rsidP="00CC28AE">
            <w:pPr>
              <w:jc w:val="center"/>
              <w:rPr>
                <w:i/>
                <w:iCs/>
                <w:color w:val="000000"/>
                <w:sz w:val="22"/>
                <w:szCs w:val="22"/>
              </w:rPr>
            </w:pPr>
            <w:r w:rsidRPr="00D808EB">
              <w:rPr>
                <w:i/>
                <w:iCs/>
                <w:color w:val="000000"/>
                <w:sz w:val="22"/>
                <w:szCs w:val="22"/>
              </w:rPr>
              <w:t>06</w:t>
            </w:r>
          </w:p>
        </w:tc>
        <w:tc>
          <w:tcPr>
            <w:tcW w:w="163" w:type="pct"/>
            <w:tcBorders>
              <w:top w:val="nil"/>
              <w:left w:val="nil"/>
              <w:bottom w:val="single" w:sz="4" w:space="0" w:color="auto"/>
              <w:right w:val="single" w:sz="4" w:space="0" w:color="auto"/>
            </w:tcBorders>
            <w:shd w:val="clear" w:color="000000" w:fill="D0D0D0"/>
            <w:noWrap/>
            <w:vAlign w:val="center"/>
            <w:hideMark/>
          </w:tcPr>
          <w:p w14:paraId="7DF75949" w14:textId="77777777" w:rsidR="00DB659A" w:rsidRPr="00D808EB" w:rsidRDefault="00DB659A" w:rsidP="00CC28AE">
            <w:pPr>
              <w:jc w:val="center"/>
              <w:rPr>
                <w:i/>
                <w:iCs/>
                <w:color w:val="000000"/>
                <w:sz w:val="22"/>
                <w:szCs w:val="22"/>
              </w:rPr>
            </w:pPr>
            <w:r w:rsidRPr="00D808EB">
              <w:rPr>
                <w:i/>
                <w:iCs/>
                <w:color w:val="000000"/>
                <w:sz w:val="22"/>
                <w:szCs w:val="22"/>
              </w:rPr>
              <w:t>05</w:t>
            </w:r>
          </w:p>
        </w:tc>
        <w:tc>
          <w:tcPr>
            <w:tcW w:w="163" w:type="pct"/>
            <w:tcBorders>
              <w:top w:val="nil"/>
              <w:left w:val="nil"/>
              <w:bottom w:val="single" w:sz="4" w:space="0" w:color="auto"/>
              <w:right w:val="single" w:sz="4" w:space="0" w:color="auto"/>
            </w:tcBorders>
            <w:shd w:val="clear" w:color="000000" w:fill="D0D0D0"/>
            <w:noWrap/>
            <w:vAlign w:val="center"/>
            <w:hideMark/>
          </w:tcPr>
          <w:p w14:paraId="15293ED5"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163" w:type="pct"/>
            <w:tcBorders>
              <w:top w:val="nil"/>
              <w:left w:val="nil"/>
              <w:bottom w:val="single" w:sz="4" w:space="0" w:color="auto"/>
              <w:right w:val="single" w:sz="4" w:space="0" w:color="auto"/>
            </w:tcBorders>
            <w:shd w:val="clear" w:color="000000" w:fill="D0D0D0"/>
            <w:noWrap/>
            <w:vAlign w:val="center"/>
            <w:hideMark/>
          </w:tcPr>
          <w:p w14:paraId="6A5C27D9"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346" w:type="pct"/>
            <w:tcBorders>
              <w:top w:val="nil"/>
              <w:left w:val="nil"/>
              <w:bottom w:val="single" w:sz="4" w:space="0" w:color="auto"/>
              <w:right w:val="single" w:sz="4" w:space="0" w:color="auto"/>
            </w:tcBorders>
            <w:shd w:val="clear" w:color="000000" w:fill="D0D0D0"/>
            <w:vAlign w:val="center"/>
            <w:hideMark/>
          </w:tcPr>
          <w:p w14:paraId="6C71B20E" w14:textId="77777777" w:rsidR="00DB659A" w:rsidRPr="00D808EB" w:rsidRDefault="00DB659A" w:rsidP="00CC28AE">
            <w:pPr>
              <w:rPr>
                <w:i/>
                <w:iCs/>
                <w:color w:val="000000"/>
                <w:sz w:val="22"/>
                <w:szCs w:val="22"/>
              </w:rPr>
            </w:pPr>
            <w:r w:rsidRPr="00D808EB">
              <w:rPr>
                <w:i/>
                <w:iCs/>
                <w:color w:val="000000"/>
                <w:sz w:val="22"/>
                <w:szCs w:val="22"/>
              </w:rPr>
              <w:t>Justice</w:t>
            </w:r>
          </w:p>
        </w:tc>
      </w:tr>
      <w:tr w:rsidR="00DB659A" w:rsidRPr="00D808EB" w14:paraId="7D23E4F9" w14:textId="77777777" w:rsidTr="00CC28AE">
        <w:trPr>
          <w:trHeight w:val="255"/>
        </w:trPr>
        <w:tc>
          <w:tcPr>
            <w:tcW w:w="163" w:type="pct"/>
            <w:tcBorders>
              <w:top w:val="nil"/>
              <w:left w:val="single" w:sz="4" w:space="0" w:color="auto"/>
              <w:bottom w:val="single" w:sz="4" w:space="0" w:color="auto"/>
              <w:right w:val="single" w:sz="4" w:space="0" w:color="auto"/>
            </w:tcBorders>
            <w:shd w:val="clear" w:color="000000" w:fill="F2F2F2"/>
            <w:noWrap/>
            <w:vAlign w:val="center"/>
            <w:hideMark/>
          </w:tcPr>
          <w:p w14:paraId="0F329411" w14:textId="77777777" w:rsidR="00DB659A" w:rsidRPr="00D808EB" w:rsidRDefault="00DB659A" w:rsidP="00CC28AE">
            <w:pPr>
              <w:jc w:val="center"/>
              <w:rPr>
                <w:color w:val="000000"/>
                <w:sz w:val="22"/>
                <w:szCs w:val="22"/>
              </w:rPr>
            </w:pPr>
            <w:r w:rsidRPr="00D808EB">
              <w:rPr>
                <w:color w:val="000000"/>
                <w:sz w:val="22"/>
                <w:szCs w:val="22"/>
              </w:rPr>
              <w:t>06</w:t>
            </w:r>
          </w:p>
        </w:tc>
        <w:tc>
          <w:tcPr>
            <w:tcW w:w="163" w:type="pct"/>
            <w:tcBorders>
              <w:top w:val="nil"/>
              <w:left w:val="nil"/>
              <w:bottom w:val="single" w:sz="4" w:space="0" w:color="auto"/>
              <w:right w:val="single" w:sz="4" w:space="0" w:color="auto"/>
            </w:tcBorders>
            <w:shd w:val="clear" w:color="000000" w:fill="F2F2F2"/>
            <w:noWrap/>
            <w:vAlign w:val="center"/>
            <w:hideMark/>
          </w:tcPr>
          <w:p w14:paraId="22670920" w14:textId="77777777" w:rsidR="00DB659A" w:rsidRPr="00D808EB" w:rsidRDefault="00DB659A" w:rsidP="00CC28AE">
            <w:pPr>
              <w:jc w:val="center"/>
              <w:rPr>
                <w:color w:val="000000"/>
                <w:sz w:val="22"/>
                <w:szCs w:val="22"/>
              </w:rPr>
            </w:pPr>
            <w:r w:rsidRPr="00D808EB">
              <w:rPr>
                <w:color w:val="000000"/>
                <w:sz w:val="22"/>
                <w:szCs w:val="22"/>
              </w:rPr>
              <w:t>05</w:t>
            </w:r>
          </w:p>
        </w:tc>
        <w:tc>
          <w:tcPr>
            <w:tcW w:w="163" w:type="pct"/>
            <w:tcBorders>
              <w:top w:val="nil"/>
              <w:left w:val="nil"/>
              <w:bottom w:val="single" w:sz="4" w:space="0" w:color="auto"/>
              <w:right w:val="single" w:sz="4" w:space="0" w:color="auto"/>
            </w:tcBorders>
            <w:shd w:val="clear" w:color="000000" w:fill="F2F2F2"/>
            <w:noWrap/>
            <w:vAlign w:val="center"/>
            <w:hideMark/>
          </w:tcPr>
          <w:p w14:paraId="65D5C5E6" w14:textId="77777777" w:rsidR="00DB659A" w:rsidRPr="00D808EB" w:rsidRDefault="00DB659A" w:rsidP="00CC28AE">
            <w:pPr>
              <w:jc w:val="center"/>
              <w:rPr>
                <w:color w:val="000000"/>
                <w:sz w:val="22"/>
                <w:szCs w:val="22"/>
              </w:rPr>
            </w:pPr>
            <w:r w:rsidRPr="00D808EB">
              <w:rPr>
                <w:color w:val="000000"/>
                <w:sz w:val="22"/>
                <w:szCs w:val="22"/>
              </w:rPr>
              <w:t>01</w:t>
            </w:r>
          </w:p>
        </w:tc>
        <w:tc>
          <w:tcPr>
            <w:tcW w:w="163" w:type="pct"/>
            <w:tcBorders>
              <w:top w:val="nil"/>
              <w:left w:val="nil"/>
              <w:bottom w:val="single" w:sz="4" w:space="0" w:color="auto"/>
              <w:right w:val="single" w:sz="4" w:space="0" w:color="auto"/>
            </w:tcBorders>
            <w:shd w:val="clear" w:color="000000" w:fill="F2F2F2"/>
            <w:noWrap/>
            <w:vAlign w:val="center"/>
            <w:hideMark/>
          </w:tcPr>
          <w:p w14:paraId="5515E803" w14:textId="77777777" w:rsidR="00DB659A" w:rsidRPr="00D808EB" w:rsidRDefault="00DB659A" w:rsidP="00CC28AE">
            <w:pPr>
              <w:jc w:val="center"/>
              <w:rPr>
                <w:color w:val="000000"/>
                <w:sz w:val="22"/>
                <w:szCs w:val="22"/>
              </w:rPr>
            </w:pPr>
            <w:r w:rsidRPr="00D808EB">
              <w:rPr>
                <w:color w:val="000000"/>
                <w:sz w:val="22"/>
                <w:szCs w:val="22"/>
              </w:rPr>
              <w:t> </w:t>
            </w:r>
          </w:p>
        </w:tc>
        <w:tc>
          <w:tcPr>
            <w:tcW w:w="4346" w:type="pct"/>
            <w:tcBorders>
              <w:top w:val="nil"/>
              <w:left w:val="nil"/>
              <w:bottom w:val="single" w:sz="4" w:space="0" w:color="auto"/>
              <w:right w:val="single" w:sz="4" w:space="0" w:color="auto"/>
            </w:tcBorders>
            <w:shd w:val="clear" w:color="000000" w:fill="F2F2F2"/>
            <w:vAlign w:val="center"/>
            <w:hideMark/>
          </w:tcPr>
          <w:p w14:paraId="4472A4AA" w14:textId="77777777" w:rsidR="00DB659A" w:rsidRPr="00D808EB" w:rsidRDefault="00DB659A" w:rsidP="00CC28AE">
            <w:pPr>
              <w:rPr>
                <w:color w:val="000000"/>
                <w:sz w:val="22"/>
                <w:szCs w:val="22"/>
              </w:rPr>
            </w:pPr>
            <w:r w:rsidRPr="00D808EB">
              <w:rPr>
                <w:color w:val="000000"/>
                <w:sz w:val="22"/>
                <w:szCs w:val="22"/>
              </w:rPr>
              <w:t>Justice</w:t>
            </w:r>
          </w:p>
        </w:tc>
      </w:tr>
    </w:tbl>
    <w:p w14:paraId="65140EC7" w14:textId="77777777" w:rsidR="00DB659A" w:rsidRPr="00D808EB" w:rsidRDefault="00DB659A" w:rsidP="00DB659A">
      <w:pPr>
        <w:pStyle w:val="ListParagraph"/>
        <w:ind w:left="0"/>
      </w:pPr>
    </w:p>
    <w:p w14:paraId="4D87DEE7" w14:textId="77777777" w:rsidR="00DB659A" w:rsidRPr="00D808EB" w:rsidRDefault="00DB659A" w:rsidP="00DB659A">
      <w:pPr>
        <w:pStyle w:val="ListParagraph"/>
        <w:ind w:left="0"/>
      </w:pPr>
    </w:p>
    <w:tbl>
      <w:tblPr>
        <w:tblW w:w="5000" w:type="pct"/>
        <w:tblLook w:val="04A0" w:firstRow="1" w:lastRow="0" w:firstColumn="1" w:lastColumn="0" w:noHBand="0" w:noVBand="1"/>
      </w:tblPr>
      <w:tblGrid>
        <w:gridCol w:w="656"/>
        <w:gridCol w:w="999"/>
        <w:gridCol w:w="864"/>
        <w:gridCol w:w="656"/>
        <w:gridCol w:w="11091"/>
      </w:tblGrid>
      <w:tr w:rsidR="00DB659A" w:rsidRPr="00D808EB" w14:paraId="5ABBE995" w14:textId="77777777" w:rsidTr="00CC28AE">
        <w:trPr>
          <w:trHeight w:val="420"/>
        </w:trPr>
        <w:tc>
          <w:tcPr>
            <w:tcW w:w="5000" w:type="pct"/>
            <w:gridSpan w:val="5"/>
            <w:tcBorders>
              <w:top w:val="single" w:sz="8" w:space="0" w:color="000000"/>
              <w:left w:val="single" w:sz="8" w:space="0" w:color="000000"/>
              <w:bottom w:val="nil"/>
              <w:right w:val="single" w:sz="8" w:space="0" w:color="000000"/>
            </w:tcBorders>
            <w:shd w:val="clear" w:color="auto" w:fill="auto"/>
            <w:noWrap/>
            <w:vAlign w:val="center"/>
            <w:hideMark/>
          </w:tcPr>
          <w:p w14:paraId="707F325C" w14:textId="77777777" w:rsidR="00DB659A" w:rsidRPr="00D808EB" w:rsidRDefault="00DB659A" w:rsidP="00CC28AE">
            <w:pPr>
              <w:rPr>
                <w:b/>
                <w:bCs/>
                <w:color w:val="000000"/>
                <w:sz w:val="28"/>
                <w:szCs w:val="28"/>
              </w:rPr>
            </w:pPr>
            <w:r w:rsidRPr="00D808EB">
              <w:rPr>
                <w:b/>
                <w:bCs/>
                <w:color w:val="000000"/>
                <w:sz w:val="28"/>
                <w:szCs w:val="28"/>
              </w:rPr>
              <w:t>Heading 3: Global Europe</w:t>
            </w:r>
          </w:p>
        </w:tc>
      </w:tr>
      <w:tr w:rsidR="00DB659A" w:rsidRPr="00D808EB" w14:paraId="2F3ED940" w14:textId="77777777" w:rsidTr="00CC28AE">
        <w:trPr>
          <w:trHeight w:val="255"/>
        </w:trPr>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CE433" w14:textId="77777777" w:rsidR="00DB659A" w:rsidRPr="00D808EB" w:rsidRDefault="00DB659A" w:rsidP="00CC28AE">
            <w:pPr>
              <w:jc w:val="center"/>
              <w:rPr>
                <w:b/>
                <w:bCs/>
                <w:color w:val="000000"/>
                <w:sz w:val="22"/>
                <w:szCs w:val="22"/>
              </w:rPr>
            </w:pPr>
            <w:r w:rsidRPr="00D808EB">
              <w:rPr>
                <w:b/>
                <w:bCs/>
                <w:color w:val="000000"/>
                <w:sz w:val="22"/>
                <w:szCs w:val="22"/>
              </w:rPr>
              <w:t>Title</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01CB6806" w14:textId="77777777" w:rsidR="00DB659A" w:rsidRPr="00D808EB" w:rsidRDefault="00DB659A" w:rsidP="00CC28AE">
            <w:pPr>
              <w:jc w:val="center"/>
              <w:rPr>
                <w:b/>
                <w:bCs/>
                <w:color w:val="000000"/>
                <w:sz w:val="22"/>
                <w:szCs w:val="22"/>
              </w:rPr>
            </w:pPr>
            <w:r w:rsidRPr="00D808EB">
              <w:rPr>
                <w:b/>
                <w:bCs/>
                <w:color w:val="000000"/>
                <w:sz w:val="22"/>
                <w:szCs w:val="22"/>
              </w:rPr>
              <w:t>Chapter</w:t>
            </w:r>
          </w:p>
        </w:tc>
        <w:tc>
          <w:tcPr>
            <w:tcW w:w="256" w:type="pct"/>
            <w:tcBorders>
              <w:top w:val="single" w:sz="4" w:space="0" w:color="auto"/>
              <w:left w:val="nil"/>
              <w:bottom w:val="single" w:sz="4" w:space="0" w:color="auto"/>
              <w:right w:val="single" w:sz="4" w:space="0" w:color="auto"/>
            </w:tcBorders>
            <w:shd w:val="clear" w:color="auto" w:fill="auto"/>
            <w:noWrap/>
            <w:vAlign w:val="center"/>
            <w:hideMark/>
          </w:tcPr>
          <w:p w14:paraId="73626C71" w14:textId="77777777" w:rsidR="00DB659A" w:rsidRPr="00D808EB" w:rsidRDefault="00DB659A" w:rsidP="00CC28AE">
            <w:pPr>
              <w:jc w:val="center"/>
              <w:rPr>
                <w:b/>
                <w:bCs/>
                <w:color w:val="000000"/>
                <w:sz w:val="22"/>
                <w:szCs w:val="22"/>
              </w:rPr>
            </w:pPr>
            <w:r w:rsidRPr="00D808EB">
              <w:rPr>
                <w:b/>
                <w:bCs/>
                <w:color w:val="000000"/>
                <w:sz w:val="22"/>
                <w:szCs w:val="22"/>
              </w:rPr>
              <w:t xml:space="preserve">Article </w:t>
            </w:r>
          </w:p>
        </w:tc>
        <w:tc>
          <w:tcPr>
            <w:tcW w:w="202" w:type="pct"/>
            <w:tcBorders>
              <w:top w:val="single" w:sz="4" w:space="0" w:color="auto"/>
              <w:left w:val="nil"/>
              <w:bottom w:val="single" w:sz="4" w:space="0" w:color="auto"/>
              <w:right w:val="single" w:sz="4" w:space="0" w:color="auto"/>
            </w:tcBorders>
            <w:shd w:val="clear" w:color="auto" w:fill="auto"/>
            <w:noWrap/>
            <w:vAlign w:val="center"/>
            <w:hideMark/>
          </w:tcPr>
          <w:p w14:paraId="21E72916" w14:textId="77777777" w:rsidR="00DB659A" w:rsidRPr="00D808EB" w:rsidRDefault="00DB659A" w:rsidP="00CC28AE">
            <w:pPr>
              <w:jc w:val="center"/>
              <w:rPr>
                <w:b/>
                <w:bCs/>
                <w:color w:val="000000"/>
                <w:sz w:val="22"/>
                <w:szCs w:val="22"/>
              </w:rPr>
            </w:pPr>
            <w:r w:rsidRPr="00D808EB">
              <w:rPr>
                <w:b/>
                <w:bCs/>
                <w:color w:val="000000"/>
                <w:sz w:val="22"/>
                <w:szCs w:val="22"/>
              </w:rPr>
              <w:t>Item</w:t>
            </w:r>
          </w:p>
        </w:tc>
        <w:tc>
          <w:tcPr>
            <w:tcW w:w="4050" w:type="pct"/>
            <w:tcBorders>
              <w:top w:val="single" w:sz="4" w:space="0" w:color="auto"/>
              <w:left w:val="nil"/>
              <w:bottom w:val="single" w:sz="4" w:space="0" w:color="auto"/>
              <w:right w:val="single" w:sz="4" w:space="0" w:color="auto"/>
            </w:tcBorders>
            <w:shd w:val="clear" w:color="auto" w:fill="auto"/>
            <w:vAlign w:val="center"/>
            <w:hideMark/>
          </w:tcPr>
          <w:p w14:paraId="3C1FE91D" w14:textId="77777777" w:rsidR="00DB659A" w:rsidRPr="00D808EB" w:rsidRDefault="00DB659A" w:rsidP="00CC28AE">
            <w:pPr>
              <w:jc w:val="center"/>
              <w:rPr>
                <w:b/>
                <w:bCs/>
                <w:color w:val="000000"/>
                <w:sz w:val="22"/>
                <w:szCs w:val="22"/>
              </w:rPr>
            </w:pPr>
            <w:r w:rsidRPr="00D808EB">
              <w:rPr>
                <w:b/>
                <w:bCs/>
                <w:color w:val="000000"/>
                <w:sz w:val="22"/>
                <w:szCs w:val="22"/>
              </w:rPr>
              <w:t>Description</w:t>
            </w:r>
          </w:p>
        </w:tc>
      </w:tr>
      <w:tr w:rsidR="00DB659A" w:rsidRPr="00D808EB" w14:paraId="41DAD47B"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A6A6A6"/>
            <w:noWrap/>
            <w:vAlign w:val="center"/>
            <w:hideMark/>
          </w:tcPr>
          <w:p w14:paraId="19212C51" w14:textId="77777777" w:rsidR="00DB659A" w:rsidRPr="00D808EB" w:rsidRDefault="00DB659A" w:rsidP="00CC28AE">
            <w:pPr>
              <w:jc w:val="center"/>
              <w:rPr>
                <w:b/>
                <w:bCs/>
                <w:color w:val="000000"/>
                <w:sz w:val="22"/>
                <w:szCs w:val="22"/>
              </w:rPr>
            </w:pPr>
            <w:r w:rsidRPr="00D808EB">
              <w:rPr>
                <w:b/>
                <w:bCs/>
                <w:color w:val="000000"/>
                <w:sz w:val="22"/>
                <w:szCs w:val="22"/>
              </w:rPr>
              <w:t>07</w:t>
            </w:r>
          </w:p>
        </w:tc>
        <w:tc>
          <w:tcPr>
            <w:tcW w:w="297" w:type="pct"/>
            <w:tcBorders>
              <w:top w:val="nil"/>
              <w:left w:val="nil"/>
              <w:bottom w:val="single" w:sz="4" w:space="0" w:color="auto"/>
              <w:right w:val="single" w:sz="4" w:space="0" w:color="auto"/>
            </w:tcBorders>
            <w:shd w:val="clear" w:color="000000" w:fill="A6A6A6"/>
            <w:noWrap/>
            <w:vAlign w:val="center"/>
            <w:hideMark/>
          </w:tcPr>
          <w:p w14:paraId="28ADDE84"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256" w:type="pct"/>
            <w:tcBorders>
              <w:top w:val="nil"/>
              <w:left w:val="nil"/>
              <w:bottom w:val="single" w:sz="4" w:space="0" w:color="auto"/>
              <w:right w:val="single" w:sz="4" w:space="0" w:color="auto"/>
            </w:tcBorders>
            <w:shd w:val="clear" w:color="000000" w:fill="A6A6A6"/>
            <w:noWrap/>
            <w:vAlign w:val="center"/>
            <w:hideMark/>
          </w:tcPr>
          <w:p w14:paraId="313E458C"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202" w:type="pct"/>
            <w:tcBorders>
              <w:top w:val="nil"/>
              <w:left w:val="nil"/>
              <w:bottom w:val="single" w:sz="4" w:space="0" w:color="auto"/>
              <w:right w:val="single" w:sz="4" w:space="0" w:color="auto"/>
            </w:tcBorders>
            <w:shd w:val="clear" w:color="000000" w:fill="A6A6A6"/>
            <w:noWrap/>
            <w:vAlign w:val="center"/>
            <w:hideMark/>
          </w:tcPr>
          <w:p w14:paraId="3CFECC4C"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4050" w:type="pct"/>
            <w:tcBorders>
              <w:top w:val="nil"/>
              <w:left w:val="nil"/>
              <w:bottom w:val="single" w:sz="4" w:space="0" w:color="auto"/>
              <w:right w:val="single" w:sz="4" w:space="0" w:color="auto"/>
            </w:tcBorders>
            <w:shd w:val="clear" w:color="000000" w:fill="ADADAD"/>
            <w:vAlign w:val="center"/>
            <w:hideMark/>
          </w:tcPr>
          <w:p w14:paraId="15F0618B" w14:textId="77777777" w:rsidR="00DB659A" w:rsidRPr="00D808EB" w:rsidRDefault="00DB659A" w:rsidP="00CC28AE">
            <w:pPr>
              <w:rPr>
                <w:b/>
                <w:bCs/>
                <w:color w:val="000000"/>
                <w:sz w:val="22"/>
                <w:szCs w:val="22"/>
              </w:rPr>
            </w:pPr>
            <w:r w:rsidRPr="00D808EB">
              <w:rPr>
                <w:b/>
                <w:bCs/>
                <w:color w:val="000000"/>
                <w:sz w:val="22"/>
                <w:szCs w:val="22"/>
              </w:rPr>
              <w:t>Global Europe</w:t>
            </w:r>
          </w:p>
        </w:tc>
      </w:tr>
      <w:tr w:rsidR="00DB659A" w:rsidRPr="00D808EB" w14:paraId="52060FC8"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03165B5D"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D0D0D0"/>
            <w:noWrap/>
            <w:vAlign w:val="center"/>
            <w:hideMark/>
          </w:tcPr>
          <w:p w14:paraId="0BBBA8C0" w14:textId="77777777" w:rsidR="00DB659A" w:rsidRPr="00D808EB" w:rsidRDefault="00DB659A" w:rsidP="00CC28AE">
            <w:pPr>
              <w:jc w:val="center"/>
              <w:rPr>
                <w:i/>
                <w:iCs/>
                <w:color w:val="000000"/>
                <w:sz w:val="22"/>
                <w:szCs w:val="22"/>
              </w:rPr>
            </w:pPr>
            <w:r w:rsidRPr="00D808EB">
              <w:rPr>
                <w:i/>
                <w:iCs/>
                <w:color w:val="000000"/>
                <w:sz w:val="22"/>
                <w:szCs w:val="22"/>
              </w:rPr>
              <w:t>01</w:t>
            </w:r>
          </w:p>
        </w:tc>
        <w:tc>
          <w:tcPr>
            <w:tcW w:w="256" w:type="pct"/>
            <w:tcBorders>
              <w:top w:val="nil"/>
              <w:left w:val="nil"/>
              <w:bottom w:val="single" w:sz="4" w:space="0" w:color="auto"/>
              <w:right w:val="single" w:sz="4" w:space="0" w:color="auto"/>
            </w:tcBorders>
            <w:shd w:val="clear" w:color="000000" w:fill="D0D0D0"/>
            <w:noWrap/>
            <w:vAlign w:val="center"/>
            <w:hideMark/>
          </w:tcPr>
          <w:p w14:paraId="39457670"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38DD895C"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25EB6172" w14:textId="77777777" w:rsidR="00DB659A" w:rsidRPr="00D808EB" w:rsidRDefault="00DB659A" w:rsidP="00CC28AE">
            <w:pPr>
              <w:rPr>
                <w:i/>
                <w:iCs/>
                <w:color w:val="000000"/>
                <w:sz w:val="22"/>
                <w:szCs w:val="22"/>
              </w:rPr>
            </w:pPr>
            <w:r w:rsidRPr="00D808EB">
              <w:rPr>
                <w:i/>
                <w:iCs/>
                <w:color w:val="000000"/>
                <w:sz w:val="22"/>
                <w:szCs w:val="22"/>
              </w:rPr>
              <w:t>Support expenditure for Global Europe cluster</w:t>
            </w:r>
          </w:p>
        </w:tc>
      </w:tr>
      <w:tr w:rsidR="00DB659A" w:rsidRPr="00D808EB" w14:paraId="4959F00D"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D983C6E"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64531A75" w14:textId="77777777" w:rsidR="00DB659A" w:rsidRPr="00D808EB" w:rsidRDefault="00DB659A" w:rsidP="00CC28AE">
            <w:pPr>
              <w:jc w:val="center"/>
              <w:rPr>
                <w:color w:val="000000"/>
                <w:sz w:val="22"/>
                <w:szCs w:val="22"/>
              </w:rPr>
            </w:pPr>
            <w:r w:rsidRPr="00D808EB">
              <w:rPr>
                <w:color w:val="000000"/>
                <w:sz w:val="22"/>
                <w:szCs w:val="22"/>
              </w:rPr>
              <w:t>01</w:t>
            </w:r>
          </w:p>
        </w:tc>
        <w:tc>
          <w:tcPr>
            <w:tcW w:w="256" w:type="pct"/>
            <w:tcBorders>
              <w:top w:val="nil"/>
              <w:left w:val="nil"/>
              <w:bottom w:val="single" w:sz="4" w:space="0" w:color="auto"/>
              <w:right w:val="single" w:sz="4" w:space="0" w:color="auto"/>
            </w:tcBorders>
            <w:shd w:val="clear" w:color="000000" w:fill="F2F2F2"/>
            <w:noWrap/>
            <w:vAlign w:val="center"/>
            <w:hideMark/>
          </w:tcPr>
          <w:p w14:paraId="632AD3D1"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7D0CE68B"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72F558BB" w14:textId="77777777" w:rsidR="00DB659A" w:rsidRPr="00D808EB" w:rsidRDefault="00DB659A" w:rsidP="00CC28AE">
            <w:pPr>
              <w:rPr>
                <w:color w:val="000000"/>
                <w:sz w:val="22"/>
                <w:szCs w:val="22"/>
              </w:rPr>
            </w:pPr>
            <w:r w:rsidRPr="00D808EB">
              <w:rPr>
                <w:color w:val="000000"/>
                <w:sz w:val="22"/>
                <w:szCs w:val="22"/>
              </w:rPr>
              <w:t>Support expenditure for the</w:t>
            </w:r>
            <w:r w:rsidRPr="00D808EB">
              <w:rPr>
                <w:color w:val="FF0000"/>
                <w:sz w:val="22"/>
                <w:szCs w:val="22"/>
              </w:rPr>
              <w:t xml:space="preserve"> </w:t>
            </w:r>
            <w:r w:rsidRPr="00D808EB">
              <w:rPr>
                <w:color w:val="000000"/>
                <w:sz w:val="22"/>
                <w:szCs w:val="22"/>
              </w:rPr>
              <w:t>Global Europe excluding Ukraine</w:t>
            </w:r>
          </w:p>
        </w:tc>
      </w:tr>
      <w:tr w:rsidR="00DB659A" w:rsidRPr="00D808EB" w14:paraId="45716F9B"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1A5AEEC7"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2D8709C8" w14:textId="77777777" w:rsidR="00DB659A" w:rsidRPr="00D808EB" w:rsidRDefault="00DB659A" w:rsidP="00CC28AE">
            <w:pPr>
              <w:jc w:val="center"/>
              <w:rPr>
                <w:color w:val="000000"/>
                <w:sz w:val="22"/>
                <w:szCs w:val="22"/>
              </w:rPr>
            </w:pPr>
            <w:r w:rsidRPr="00D808EB">
              <w:rPr>
                <w:color w:val="000000"/>
                <w:sz w:val="22"/>
                <w:szCs w:val="22"/>
              </w:rPr>
              <w:t>01</w:t>
            </w:r>
          </w:p>
        </w:tc>
        <w:tc>
          <w:tcPr>
            <w:tcW w:w="256" w:type="pct"/>
            <w:tcBorders>
              <w:top w:val="nil"/>
              <w:left w:val="nil"/>
              <w:bottom w:val="single" w:sz="4" w:space="0" w:color="auto"/>
              <w:right w:val="single" w:sz="4" w:space="0" w:color="auto"/>
            </w:tcBorders>
            <w:shd w:val="clear" w:color="000000" w:fill="F2F2F2"/>
            <w:noWrap/>
            <w:vAlign w:val="center"/>
            <w:hideMark/>
          </w:tcPr>
          <w:p w14:paraId="308F0E0E"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7B1B051A"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69FA45D" w14:textId="77777777" w:rsidR="00DB659A" w:rsidRPr="00D808EB" w:rsidRDefault="00DB659A" w:rsidP="00CC28AE">
            <w:pPr>
              <w:rPr>
                <w:color w:val="000000"/>
                <w:sz w:val="22"/>
                <w:szCs w:val="22"/>
              </w:rPr>
            </w:pPr>
            <w:r w:rsidRPr="00D808EB">
              <w:rPr>
                <w:color w:val="000000"/>
                <w:sz w:val="22"/>
                <w:szCs w:val="22"/>
              </w:rPr>
              <w:t>Support expenditure for support to Ukraine</w:t>
            </w:r>
          </w:p>
        </w:tc>
      </w:tr>
      <w:tr w:rsidR="00DB659A" w:rsidRPr="00D808EB" w14:paraId="178B51F1"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2BD375C3"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D0D0D0"/>
            <w:noWrap/>
            <w:vAlign w:val="center"/>
            <w:hideMark/>
          </w:tcPr>
          <w:p w14:paraId="6A597541" w14:textId="77777777" w:rsidR="00DB659A" w:rsidRPr="00D808EB" w:rsidRDefault="00DB659A" w:rsidP="00CC28AE">
            <w:pPr>
              <w:jc w:val="center"/>
              <w:rPr>
                <w:i/>
                <w:iCs/>
                <w:color w:val="000000"/>
                <w:sz w:val="22"/>
                <w:szCs w:val="22"/>
              </w:rPr>
            </w:pPr>
            <w:r w:rsidRPr="00D808EB">
              <w:rPr>
                <w:i/>
                <w:iCs/>
                <w:color w:val="000000"/>
                <w:sz w:val="22"/>
                <w:szCs w:val="22"/>
              </w:rPr>
              <w:t>02</w:t>
            </w:r>
          </w:p>
        </w:tc>
        <w:tc>
          <w:tcPr>
            <w:tcW w:w="256" w:type="pct"/>
            <w:tcBorders>
              <w:top w:val="nil"/>
              <w:left w:val="nil"/>
              <w:bottom w:val="single" w:sz="4" w:space="0" w:color="auto"/>
              <w:right w:val="single" w:sz="4" w:space="0" w:color="auto"/>
            </w:tcBorders>
            <w:shd w:val="clear" w:color="000000" w:fill="D0D0D0"/>
            <w:noWrap/>
            <w:vAlign w:val="center"/>
            <w:hideMark/>
          </w:tcPr>
          <w:p w14:paraId="04F44065"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295706E2"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0AAFDBAE" w14:textId="77777777" w:rsidR="00DB659A" w:rsidRPr="00D808EB" w:rsidRDefault="00DB659A" w:rsidP="00CC28AE">
            <w:pPr>
              <w:rPr>
                <w:i/>
                <w:iCs/>
                <w:color w:val="000000"/>
                <w:sz w:val="22"/>
                <w:szCs w:val="22"/>
              </w:rPr>
            </w:pPr>
            <w:r w:rsidRPr="00D808EB">
              <w:rPr>
                <w:i/>
                <w:iCs/>
                <w:color w:val="000000"/>
                <w:sz w:val="22"/>
                <w:szCs w:val="22"/>
              </w:rPr>
              <w:t>Europe Pillar</w:t>
            </w:r>
          </w:p>
        </w:tc>
      </w:tr>
      <w:tr w:rsidR="00DB659A" w:rsidRPr="00D808EB" w14:paraId="686FDEB5"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56D35913"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050D1588"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61FFBDE6"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2B2502F0"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45EE779F" w14:textId="77777777" w:rsidR="00DB659A" w:rsidRPr="00D808EB" w:rsidRDefault="00DB659A" w:rsidP="00CC28AE">
            <w:pPr>
              <w:rPr>
                <w:color w:val="000000"/>
                <w:sz w:val="22"/>
                <w:szCs w:val="22"/>
              </w:rPr>
            </w:pPr>
            <w:r w:rsidRPr="00D808EB">
              <w:rPr>
                <w:color w:val="000000"/>
                <w:sz w:val="22"/>
                <w:szCs w:val="22"/>
              </w:rPr>
              <w:t>Enlargement - Preparation for accession</w:t>
            </w:r>
          </w:p>
        </w:tc>
      </w:tr>
      <w:tr w:rsidR="00DB659A" w:rsidRPr="00D808EB" w14:paraId="650CCAE5"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26BFBEB1"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25034639"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09A9BBD9"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4F981DB7"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19B8E3ED" w14:textId="77777777" w:rsidR="00DB659A" w:rsidRPr="00D808EB" w:rsidRDefault="00DB659A" w:rsidP="00CC28AE">
            <w:pPr>
              <w:rPr>
                <w:color w:val="000000"/>
                <w:sz w:val="22"/>
                <w:szCs w:val="22"/>
              </w:rPr>
            </w:pPr>
            <w:r w:rsidRPr="00D808EB">
              <w:rPr>
                <w:color w:val="000000"/>
                <w:sz w:val="22"/>
                <w:szCs w:val="22"/>
              </w:rPr>
              <w:t>Eastern Neighbourhood - Programmes</w:t>
            </w:r>
          </w:p>
        </w:tc>
      </w:tr>
      <w:tr w:rsidR="00DB659A" w:rsidRPr="00D808EB" w14:paraId="477712C4"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6D09E31"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7C517FF6"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5DA6E91E"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000000" w:fill="F2F2F2"/>
            <w:noWrap/>
            <w:vAlign w:val="center"/>
            <w:hideMark/>
          </w:tcPr>
          <w:p w14:paraId="6749FB56"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1C3C1179" w14:textId="77777777" w:rsidR="00DB659A" w:rsidRPr="00D808EB" w:rsidRDefault="00DB659A" w:rsidP="00CC28AE">
            <w:pPr>
              <w:rPr>
                <w:color w:val="000000"/>
                <w:sz w:val="22"/>
                <w:szCs w:val="22"/>
              </w:rPr>
            </w:pPr>
            <w:r w:rsidRPr="00D808EB">
              <w:rPr>
                <w:color w:val="000000"/>
                <w:sz w:val="22"/>
                <w:szCs w:val="22"/>
              </w:rPr>
              <w:t>Western Europe - Programmes</w:t>
            </w:r>
          </w:p>
        </w:tc>
      </w:tr>
      <w:tr w:rsidR="00DB659A" w:rsidRPr="00D808EB" w14:paraId="5FC316C1"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E17D1CE"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32D89531"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39E04BF9" w14:textId="77777777" w:rsidR="00DB659A" w:rsidRPr="00D808EB" w:rsidRDefault="00DB659A" w:rsidP="00CC28AE">
            <w:pPr>
              <w:jc w:val="center"/>
              <w:rPr>
                <w:color w:val="000000"/>
                <w:sz w:val="22"/>
                <w:szCs w:val="22"/>
              </w:rPr>
            </w:pPr>
            <w:r w:rsidRPr="00D808EB">
              <w:rPr>
                <w:color w:val="000000"/>
                <w:sz w:val="22"/>
                <w:szCs w:val="22"/>
              </w:rPr>
              <w:t>04</w:t>
            </w:r>
          </w:p>
        </w:tc>
        <w:tc>
          <w:tcPr>
            <w:tcW w:w="202" w:type="pct"/>
            <w:tcBorders>
              <w:top w:val="nil"/>
              <w:left w:val="nil"/>
              <w:bottom w:val="single" w:sz="4" w:space="0" w:color="auto"/>
              <w:right w:val="single" w:sz="4" w:space="0" w:color="auto"/>
            </w:tcBorders>
            <w:shd w:val="clear" w:color="000000" w:fill="F2F2F2"/>
            <w:noWrap/>
            <w:vAlign w:val="center"/>
            <w:hideMark/>
          </w:tcPr>
          <w:p w14:paraId="6CCF5AC2"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69D9B35E" w14:textId="77777777" w:rsidR="00DB659A" w:rsidRPr="00D808EB" w:rsidRDefault="00DB659A" w:rsidP="00CC28AE">
            <w:pPr>
              <w:rPr>
                <w:color w:val="000000"/>
                <w:sz w:val="22"/>
                <w:szCs w:val="22"/>
              </w:rPr>
            </w:pPr>
            <w:r w:rsidRPr="00D808EB">
              <w:rPr>
                <w:color w:val="000000"/>
                <w:sz w:val="22"/>
                <w:szCs w:val="22"/>
              </w:rPr>
              <w:t>Support to Ukraine</w:t>
            </w:r>
          </w:p>
        </w:tc>
      </w:tr>
      <w:tr w:rsidR="00DB659A" w:rsidRPr="00D808EB" w14:paraId="365CD850"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5A4CE2BF"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52A3A429"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6ADD8C83" w14:textId="77777777" w:rsidR="00DB659A" w:rsidRPr="00D808EB" w:rsidRDefault="00DB659A" w:rsidP="00CC28AE">
            <w:pPr>
              <w:jc w:val="center"/>
              <w:rPr>
                <w:color w:val="000000"/>
                <w:sz w:val="22"/>
                <w:szCs w:val="22"/>
              </w:rPr>
            </w:pPr>
            <w:r w:rsidRPr="00D808EB">
              <w:rPr>
                <w:color w:val="000000"/>
                <w:sz w:val="22"/>
                <w:szCs w:val="22"/>
              </w:rPr>
              <w:t>10</w:t>
            </w:r>
          </w:p>
        </w:tc>
        <w:tc>
          <w:tcPr>
            <w:tcW w:w="202" w:type="pct"/>
            <w:tcBorders>
              <w:top w:val="nil"/>
              <w:left w:val="nil"/>
              <w:bottom w:val="single" w:sz="4" w:space="0" w:color="auto"/>
              <w:right w:val="single" w:sz="4" w:space="0" w:color="auto"/>
            </w:tcBorders>
            <w:shd w:val="clear" w:color="000000" w:fill="F2F2F2"/>
            <w:noWrap/>
            <w:vAlign w:val="center"/>
            <w:hideMark/>
          </w:tcPr>
          <w:p w14:paraId="506472B4"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89139A2" w14:textId="77777777" w:rsidR="00DB659A" w:rsidRPr="00D808EB" w:rsidRDefault="00DB659A" w:rsidP="00CC28AE">
            <w:pPr>
              <w:rPr>
                <w:color w:val="000000"/>
                <w:sz w:val="22"/>
                <w:szCs w:val="22"/>
              </w:rPr>
            </w:pPr>
            <w:r w:rsidRPr="00D808EB">
              <w:rPr>
                <w:color w:val="000000"/>
                <w:sz w:val="22"/>
                <w:szCs w:val="22"/>
              </w:rPr>
              <w:t>Europe - Crisis, peace and foreign policy needs</w:t>
            </w:r>
          </w:p>
        </w:tc>
      </w:tr>
      <w:tr w:rsidR="00DB659A" w:rsidRPr="00D808EB" w14:paraId="4D4EFBF0"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22E35473"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062B7C06"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4D41A727" w14:textId="77777777" w:rsidR="00DB659A" w:rsidRPr="00D808EB" w:rsidRDefault="00DB659A" w:rsidP="00CC28AE">
            <w:pPr>
              <w:jc w:val="center"/>
              <w:rPr>
                <w:color w:val="000000"/>
                <w:sz w:val="22"/>
                <w:szCs w:val="22"/>
              </w:rPr>
            </w:pPr>
            <w:r w:rsidRPr="00D808EB">
              <w:rPr>
                <w:color w:val="000000"/>
                <w:sz w:val="22"/>
                <w:szCs w:val="22"/>
              </w:rPr>
              <w:t>11</w:t>
            </w:r>
          </w:p>
        </w:tc>
        <w:tc>
          <w:tcPr>
            <w:tcW w:w="202" w:type="pct"/>
            <w:tcBorders>
              <w:top w:val="nil"/>
              <w:left w:val="nil"/>
              <w:bottom w:val="single" w:sz="4" w:space="0" w:color="auto"/>
              <w:right w:val="single" w:sz="4" w:space="0" w:color="auto"/>
            </w:tcBorders>
            <w:shd w:val="clear" w:color="000000" w:fill="F2F2F2"/>
            <w:noWrap/>
            <w:vAlign w:val="center"/>
            <w:hideMark/>
          </w:tcPr>
          <w:p w14:paraId="6AB66D1D"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7384EB97" w14:textId="77777777" w:rsidR="00DB659A" w:rsidRPr="00D808EB" w:rsidRDefault="00DB659A" w:rsidP="00CC28AE">
            <w:pPr>
              <w:rPr>
                <w:color w:val="000000"/>
                <w:sz w:val="22"/>
                <w:szCs w:val="22"/>
              </w:rPr>
            </w:pPr>
            <w:r w:rsidRPr="00D808EB">
              <w:rPr>
                <w:color w:val="000000"/>
                <w:sz w:val="22"/>
                <w:szCs w:val="22"/>
              </w:rPr>
              <w:t>Europe - Humanitarian Aid</w:t>
            </w:r>
          </w:p>
        </w:tc>
      </w:tr>
      <w:tr w:rsidR="00DB659A" w:rsidRPr="00D808EB" w14:paraId="74A52D5C"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A23F83B"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00F6EBAB"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1BBBB8BE" w14:textId="77777777" w:rsidR="00DB659A" w:rsidRPr="00D808EB" w:rsidRDefault="00DB659A" w:rsidP="00CC28AE">
            <w:pPr>
              <w:jc w:val="center"/>
              <w:rPr>
                <w:color w:val="000000"/>
                <w:sz w:val="22"/>
                <w:szCs w:val="22"/>
              </w:rPr>
            </w:pPr>
            <w:r w:rsidRPr="00D808EB">
              <w:rPr>
                <w:color w:val="000000"/>
                <w:sz w:val="22"/>
                <w:szCs w:val="22"/>
              </w:rPr>
              <w:t>12</w:t>
            </w:r>
          </w:p>
        </w:tc>
        <w:tc>
          <w:tcPr>
            <w:tcW w:w="202" w:type="pct"/>
            <w:tcBorders>
              <w:top w:val="nil"/>
              <w:left w:val="nil"/>
              <w:bottom w:val="single" w:sz="4" w:space="0" w:color="auto"/>
              <w:right w:val="single" w:sz="4" w:space="0" w:color="auto"/>
            </w:tcBorders>
            <w:shd w:val="clear" w:color="000000" w:fill="F2F2F2"/>
            <w:noWrap/>
            <w:vAlign w:val="center"/>
            <w:hideMark/>
          </w:tcPr>
          <w:p w14:paraId="0BAB1EA7"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EC3B28A" w14:textId="77777777" w:rsidR="00DB659A" w:rsidRPr="00D808EB" w:rsidRDefault="00DB659A" w:rsidP="00CC28AE">
            <w:pPr>
              <w:rPr>
                <w:color w:val="000000"/>
                <w:sz w:val="22"/>
                <w:szCs w:val="22"/>
              </w:rPr>
            </w:pPr>
            <w:r w:rsidRPr="00D808EB">
              <w:rPr>
                <w:color w:val="000000"/>
                <w:sz w:val="22"/>
                <w:szCs w:val="22"/>
              </w:rPr>
              <w:t xml:space="preserve">Europe - Resilience </w:t>
            </w:r>
          </w:p>
        </w:tc>
      </w:tr>
      <w:tr w:rsidR="00DB659A" w:rsidRPr="00D808EB" w14:paraId="05CAED8E"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FCA270B"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0948BE52"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46BA03DD" w14:textId="77777777" w:rsidR="00DB659A" w:rsidRPr="00D808EB" w:rsidRDefault="00DB659A" w:rsidP="00CC28AE">
            <w:pPr>
              <w:jc w:val="center"/>
              <w:rPr>
                <w:color w:val="000000"/>
                <w:sz w:val="22"/>
                <w:szCs w:val="22"/>
              </w:rPr>
            </w:pPr>
            <w:r w:rsidRPr="00D808EB">
              <w:rPr>
                <w:color w:val="000000"/>
                <w:sz w:val="22"/>
                <w:szCs w:val="22"/>
              </w:rPr>
              <w:t>13</w:t>
            </w:r>
          </w:p>
        </w:tc>
        <w:tc>
          <w:tcPr>
            <w:tcW w:w="202" w:type="pct"/>
            <w:tcBorders>
              <w:top w:val="nil"/>
              <w:left w:val="nil"/>
              <w:bottom w:val="single" w:sz="4" w:space="0" w:color="auto"/>
              <w:right w:val="single" w:sz="4" w:space="0" w:color="auto"/>
            </w:tcBorders>
            <w:shd w:val="clear" w:color="000000" w:fill="F2F2F2"/>
            <w:noWrap/>
            <w:vAlign w:val="center"/>
            <w:hideMark/>
          </w:tcPr>
          <w:p w14:paraId="69331857"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6839A063" w14:textId="77777777" w:rsidR="00DB659A" w:rsidRPr="00D808EB" w:rsidRDefault="00DB659A" w:rsidP="00CC28AE">
            <w:pPr>
              <w:rPr>
                <w:color w:val="000000"/>
                <w:sz w:val="22"/>
                <w:szCs w:val="22"/>
              </w:rPr>
            </w:pPr>
            <w:r w:rsidRPr="00D808EB">
              <w:rPr>
                <w:color w:val="000000"/>
                <w:sz w:val="22"/>
                <w:szCs w:val="22"/>
              </w:rPr>
              <w:t>Europe - Competitiveness</w:t>
            </w:r>
          </w:p>
        </w:tc>
      </w:tr>
      <w:tr w:rsidR="00DB659A" w:rsidRPr="00D808EB" w14:paraId="02ACB0C3"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5508102A"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31610236"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719E9B1F" w14:textId="77777777" w:rsidR="00DB659A" w:rsidRPr="00D808EB" w:rsidRDefault="00DB659A" w:rsidP="00CC28AE">
            <w:pPr>
              <w:jc w:val="center"/>
              <w:rPr>
                <w:color w:val="000000"/>
                <w:sz w:val="22"/>
                <w:szCs w:val="22"/>
              </w:rPr>
            </w:pPr>
            <w:r w:rsidRPr="00D808EB">
              <w:rPr>
                <w:color w:val="000000"/>
                <w:sz w:val="22"/>
                <w:szCs w:val="22"/>
              </w:rPr>
              <w:t>14</w:t>
            </w:r>
          </w:p>
        </w:tc>
        <w:tc>
          <w:tcPr>
            <w:tcW w:w="202" w:type="pct"/>
            <w:tcBorders>
              <w:top w:val="nil"/>
              <w:left w:val="nil"/>
              <w:bottom w:val="single" w:sz="4" w:space="0" w:color="auto"/>
              <w:right w:val="single" w:sz="4" w:space="0" w:color="auto"/>
            </w:tcBorders>
            <w:shd w:val="clear" w:color="000000" w:fill="F2F2F2"/>
            <w:noWrap/>
            <w:vAlign w:val="center"/>
            <w:hideMark/>
          </w:tcPr>
          <w:p w14:paraId="6CB1D55E"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7D536092" w14:textId="77777777" w:rsidR="00DB659A" w:rsidRPr="00D808EB" w:rsidRDefault="00DB659A" w:rsidP="00CC28AE">
            <w:pPr>
              <w:rPr>
                <w:color w:val="000000"/>
                <w:sz w:val="22"/>
                <w:szCs w:val="22"/>
              </w:rPr>
            </w:pPr>
            <w:r w:rsidRPr="00D808EB">
              <w:rPr>
                <w:color w:val="000000"/>
                <w:sz w:val="22"/>
                <w:szCs w:val="22"/>
              </w:rPr>
              <w:t>Europe - MFA grants</w:t>
            </w:r>
          </w:p>
        </w:tc>
      </w:tr>
      <w:tr w:rsidR="00DB659A" w:rsidRPr="00D808EB" w14:paraId="0FFF967B"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605D5B9"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18E4EC7C"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21510619" w14:textId="77777777" w:rsidR="00DB659A" w:rsidRPr="00D808EB" w:rsidRDefault="00DB659A" w:rsidP="00CC28AE">
            <w:pPr>
              <w:jc w:val="center"/>
              <w:rPr>
                <w:color w:val="000000"/>
                <w:sz w:val="22"/>
                <w:szCs w:val="22"/>
              </w:rPr>
            </w:pPr>
            <w:r w:rsidRPr="00D808EB">
              <w:rPr>
                <w:color w:val="000000"/>
                <w:sz w:val="22"/>
                <w:szCs w:val="22"/>
              </w:rPr>
              <w:t>20</w:t>
            </w:r>
          </w:p>
        </w:tc>
        <w:tc>
          <w:tcPr>
            <w:tcW w:w="202" w:type="pct"/>
            <w:tcBorders>
              <w:top w:val="nil"/>
              <w:left w:val="nil"/>
              <w:bottom w:val="single" w:sz="4" w:space="0" w:color="auto"/>
              <w:right w:val="single" w:sz="4" w:space="0" w:color="auto"/>
            </w:tcBorders>
            <w:shd w:val="clear" w:color="000000" w:fill="F2F2F2"/>
            <w:noWrap/>
            <w:vAlign w:val="center"/>
            <w:hideMark/>
          </w:tcPr>
          <w:p w14:paraId="3C63B7A3"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888B7CA" w14:textId="77777777" w:rsidR="00DB659A" w:rsidRPr="00D808EB" w:rsidRDefault="00DB659A" w:rsidP="00CC28AE">
            <w:pPr>
              <w:rPr>
                <w:color w:val="000000"/>
                <w:sz w:val="22"/>
                <w:szCs w:val="22"/>
              </w:rPr>
            </w:pPr>
            <w:r w:rsidRPr="00D808EB">
              <w:rPr>
                <w:color w:val="000000"/>
                <w:sz w:val="22"/>
                <w:szCs w:val="22"/>
              </w:rPr>
              <w:t>Europe - Provisioning of the Common Provisioning Fund</w:t>
            </w:r>
          </w:p>
        </w:tc>
      </w:tr>
      <w:tr w:rsidR="00DB659A" w:rsidRPr="00D808EB" w14:paraId="6AA9C008"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5B3C94D8"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3E270A18"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7ABB1C92" w14:textId="77777777" w:rsidR="00DB659A" w:rsidRPr="00D808EB" w:rsidRDefault="00DB659A" w:rsidP="00CC28AE">
            <w:pPr>
              <w:jc w:val="center"/>
              <w:rPr>
                <w:color w:val="000000"/>
                <w:sz w:val="22"/>
                <w:szCs w:val="22"/>
              </w:rPr>
            </w:pPr>
            <w:r w:rsidRPr="00D808EB">
              <w:rPr>
                <w:color w:val="000000"/>
                <w:sz w:val="22"/>
                <w:szCs w:val="22"/>
              </w:rPr>
              <w:t>30</w:t>
            </w:r>
          </w:p>
        </w:tc>
        <w:tc>
          <w:tcPr>
            <w:tcW w:w="202" w:type="pct"/>
            <w:tcBorders>
              <w:top w:val="nil"/>
              <w:left w:val="nil"/>
              <w:bottom w:val="single" w:sz="4" w:space="0" w:color="auto"/>
              <w:right w:val="single" w:sz="4" w:space="0" w:color="auto"/>
            </w:tcBorders>
            <w:shd w:val="clear" w:color="000000" w:fill="F2F2F2"/>
            <w:noWrap/>
            <w:vAlign w:val="center"/>
            <w:hideMark/>
          </w:tcPr>
          <w:p w14:paraId="774415C8"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0A048688" w14:textId="77777777" w:rsidR="00DB659A" w:rsidRPr="00D808EB" w:rsidRDefault="00DB659A" w:rsidP="00CC28AE">
            <w:pPr>
              <w:rPr>
                <w:color w:val="000000"/>
                <w:sz w:val="22"/>
                <w:szCs w:val="22"/>
              </w:rPr>
            </w:pPr>
            <w:r w:rsidRPr="00D808EB">
              <w:rPr>
                <w:color w:val="000000"/>
                <w:sz w:val="22"/>
                <w:szCs w:val="22"/>
              </w:rPr>
              <w:t>Europe - Territorial and Cross-Border Cooperation</w:t>
            </w:r>
          </w:p>
        </w:tc>
      </w:tr>
      <w:tr w:rsidR="00DB659A" w:rsidRPr="00D808EB" w14:paraId="17142A73"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0D38EEB1"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D0D0D0"/>
            <w:noWrap/>
            <w:vAlign w:val="center"/>
            <w:hideMark/>
          </w:tcPr>
          <w:p w14:paraId="5C29B279" w14:textId="77777777" w:rsidR="00DB659A" w:rsidRPr="00D808EB" w:rsidRDefault="00DB659A" w:rsidP="00CC28AE">
            <w:pPr>
              <w:jc w:val="center"/>
              <w:rPr>
                <w:i/>
                <w:iCs/>
                <w:color w:val="000000"/>
                <w:sz w:val="22"/>
                <w:szCs w:val="22"/>
              </w:rPr>
            </w:pPr>
            <w:r w:rsidRPr="00D808EB">
              <w:rPr>
                <w:i/>
                <w:iCs/>
                <w:color w:val="000000"/>
                <w:sz w:val="22"/>
                <w:szCs w:val="22"/>
              </w:rPr>
              <w:t>03</w:t>
            </w:r>
          </w:p>
        </w:tc>
        <w:tc>
          <w:tcPr>
            <w:tcW w:w="256" w:type="pct"/>
            <w:tcBorders>
              <w:top w:val="nil"/>
              <w:left w:val="nil"/>
              <w:bottom w:val="single" w:sz="4" w:space="0" w:color="auto"/>
              <w:right w:val="single" w:sz="4" w:space="0" w:color="auto"/>
            </w:tcBorders>
            <w:shd w:val="clear" w:color="000000" w:fill="D0D0D0"/>
            <w:noWrap/>
            <w:vAlign w:val="center"/>
            <w:hideMark/>
          </w:tcPr>
          <w:p w14:paraId="46B0B24F"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03B55F30"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601169C9" w14:textId="77777777" w:rsidR="00DB659A" w:rsidRPr="00D808EB" w:rsidRDefault="00DB659A" w:rsidP="00CC28AE">
            <w:pPr>
              <w:rPr>
                <w:i/>
                <w:iCs/>
                <w:color w:val="000000"/>
                <w:sz w:val="22"/>
                <w:szCs w:val="22"/>
              </w:rPr>
            </w:pPr>
            <w:r w:rsidRPr="00D808EB">
              <w:rPr>
                <w:i/>
                <w:iCs/>
                <w:color w:val="000000"/>
                <w:sz w:val="22"/>
                <w:szCs w:val="22"/>
              </w:rPr>
              <w:t>Middle East, North Africa and the Gulf Pillar</w:t>
            </w:r>
          </w:p>
        </w:tc>
      </w:tr>
      <w:tr w:rsidR="00DB659A" w:rsidRPr="00D808EB" w14:paraId="61431CE1"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BAD3CDD"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4004E83D"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174E530A"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32D4692C"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19D37BDA" w14:textId="77777777" w:rsidR="00DB659A" w:rsidRPr="00D808EB" w:rsidRDefault="00DB659A" w:rsidP="00CC28AE">
            <w:pPr>
              <w:rPr>
                <w:color w:val="000000"/>
                <w:sz w:val="22"/>
                <w:szCs w:val="22"/>
              </w:rPr>
            </w:pPr>
            <w:r w:rsidRPr="00D808EB">
              <w:rPr>
                <w:color w:val="000000"/>
                <w:sz w:val="22"/>
                <w:szCs w:val="22"/>
              </w:rPr>
              <w:t>Middle East - Programmes</w:t>
            </w:r>
          </w:p>
        </w:tc>
      </w:tr>
      <w:tr w:rsidR="00DB659A" w:rsidRPr="00D808EB" w14:paraId="6A4B7D78"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6B7D6E7"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35BC3CBA"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11727920"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6F9D7406"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0678FB40" w14:textId="77777777" w:rsidR="00DB659A" w:rsidRPr="00D808EB" w:rsidRDefault="00DB659A" w:rsidP="00CC28AE">
            <w:pPr>
              <w:rPr>
                <w:color w:val="000000"/>
                <w:sz w:val="22"/>
                <w:szCs w:val="22"/>
              </w:rPr>
            </w:pPr>
            <w:r w:rsidRPr="00D808EB">
              <w:rPr>
                <w:color w:val="000000"/>
                <w:sz w:val="22"/>
                <w:szCs w:val="22"/>
              </w:rPr>
              <w:t>North Africa - Programmes</w:t>
            </w:r>
          </w:p>
        </w:tc>
      </w:tr>
      <w:tr w:rsidR="00DB659A" w:rsidRPr="00D808EB" w14:paraId="64CE1F7B"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D195FC6"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017C2073"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11F59673"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000000" w:fill="F2F2F2"/>
            <w:noWrap/>
            <w:vAlign w:val="center"/>
            <w:hideMark/>
          </w:tcPr>
          <w:p w14:paraId="159975E0"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B4BC4EA" w14:textId="77777777" w:rsidR="00DB659A" w:rsidRPr="00D808EB" w:rsidRDefault="00DB659A" w:rsidP="00CC28AE">
            <w:pPr>
              <w:rPr>
                <w:color w:val="000000"/>
                <w:sz w:val="22"/>
                <w:szCs w:val="22"/>
              </w:rPr>
            </w:pPr>
            <w:r w:rsidRPr="00D808EB">
              <w:rPr>
                <w:color w:val="000000"/>
                <w:sz w:val="22"/>
                <w:szCs w:val="22"/>
              </w:rPr>
              <w:t>The Gulf - Programmes</w:t>
            </w:r>
          </w:p>
        </w:tc>
      </w:tr>
      <w:tr w:rsidR="00DB659A" w:rsidRPr="00D808EB" w14:paraId="61BE9B4B"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529AAB5E"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12AD0E64"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140DD29F" w14:textId="77777777" w:rsidR="00DB659A" w:rsidRPr="00D808EB" w:rsidRDefault="00DB659A" w:rsidP="00CC28AE">
            <w:pPr>
              <w:jc w:val="center"/>
              <w:rPr>
                <w:color w:val="000000"/>
                <w:sz w:val="22"/>
                <w:szCs w:val="22"/>
              </w:rPr>
            </w:pPr>
            <w:r w:rsidRPr="00D808EB">
              <w:rPr>
                <w:color w:val="000000"/>
                <w:sz w:val="22"/>
                <w:szCs w:val="22"/>
              </w:rPr>
              <w:t>10</w:t>
            </w:r>
          </w:p>
        </w:tc>
        <w:tc>
          <w:tcPr>
            <w:tcW w:w="202" w:type="pct"/>
            <w:tcBorders>
              <w:top w:val="nil"/>
              <w:left w:val="nil"/>
              <w:bottom w:val="single" w:sz="4" w:space="0" w:color="auto"/>
              <w:right w:val="single" w:sz="4" w:space="0" w:color="auto"/>
            </w:tcBorders>
            <w:shd w:val="clear" w:color="000000" w:fill="F2F2F2"/>
            <w:noWrap/>
            <w:vAlign w:val="center"/>
            <w:hideMark/>
          </w:tcPr>
          <w:p w14:paraId="7155CB64"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0368ACEC" w14:textId="77777777" w:rsidR="00DB659A" w:rsidRPr="00D808EB" w:rsidRDefault="00DB659A" w:rsidP="00CC28AE">
            <w:pPr>
              <w:rPr>
                <w:color w:val="000000"/>
                <w:sz w:val="22"/>
                <w:szCs w:val="22"/>
              </w:rPr>
            </w:pPr>
            <w:r w:rsidRPr="00D808EB">
              <w:rPr>
                <w:color w:val="000000"/>
                <w:sz w:val="22"/>
                <w:szCs w:val="22"/>
              </w:rPr>
              <w:t>Middle East, North Africa and the Gulf - Crisis, peace and foreign policy needs</w:t>
            </w:r>
          </w:p>
        </w:tc>
      </w:tr>
      <w:tr w:rsidR="00DB659A" w:rsidRPr="00D808EB" w14:paraId="5278AF6D"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85889F9"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27B20DB8"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74C513C6" w14:textId="77777777" w:rsidR="00DB659A" w:rsidRPr="00D808EB" w:rsidRDefault="00DB659A" w:rsidP="00CC28AE">
            <w:pPr>
              <w:jc w:val="center"/>
              <w:rPr>
                <w:color w:val="000000"/>
                <w:sz w:val="22"/>
                <w:szCs w:val="22"/>
              </w:rPr>
            </w:pPr>
            <w:r w:rsidRPr="00D808EB">
              <w:rPr>
                <w:color w:val="000000"/>
                <w:sz w:val="22"/>
                <w:szCs w:val="22"/>
              </w:rPr>
              <w:t>11</w:t>
            </w:r>
          </w:p>
        </w:tc>
        <w:tc>
          <w:tcPr>
            <w:tcW w:w="202" w:type="pct"/>
            <w:tcBorders>
              <w:top w:val="nil"/>
              <w:left w:val="nil"/>
              <w:bottom w:val="single" w:sz="4" w:space="0" w:color="auto"/>
              <w:right w:val="single" w:sz="4" w:space="0" w:color="auto"/>
            </w:tcBorders>
            <w:shd w:val="clear" w:color="000000" w:fill="F2F2F2"/>
            <w:noWrap/>
            <w:vAlign w:val="center"/>
            <w:hideMark/>
          </w:tcPr>
          <w:p w14:paraId="47947B28"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6457A7C" w14:textId="77777777" w:rsidR="00DB659A" w:rsidRPr="00D808EB" w:rsidRDefault="00DB659A" w:rsidP="00CC28AE">
            <w:pPr>
              <w:rPr>
                <w:color w:val="000000"/>
                <w:sz w:val="22"/>
                <w:szCs w:val="22"/>
              </w:rPr>
            </w:pPr>
            <w:r w:rsidRPr="00D808EB">
              <w:rPr>
                <w:color w:val="000000"/>
                <w:sz w:val="22"/>
                <w:szCs w:val="22"/>
              </w:rPr>
              <w:t>Middle East, North Africa and the Gulf - Humanitarian Aid</w:t>
            </w:r>
          </w:p>
        </w:tc>
      </w:tr>
      <w:tr w:rsidR="00DB659A" w:rsidRPr="00D808EB" w14:paraId="6A626A6C"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AEED444"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37523595"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67DE58C9" w14:textId="77777777" w:rsidR="00DB659A" w:rsidRPr="00D808EB" w:rsidRDefault="00DB659A" w:rsidP="00CC28AE">
            <w:pPr>
              <w:jc w:val="center"/>
              <w:rPr>
                <w:color w:val="000000"/>
                <w:sz w:val="22"/>
                <w:szCs w:val="22"/>
              </w:rPr>
            </w:pPr>
            <w:r w:rsidRPr="00D808EB">
              <w:rPr>
                <w:color w:val="000000"/>
                <w:sz w:val="22"/>
                <w:szCs w:val="22"/>
              </w:rPr>
              <w:t>12</w:t>
            </w:r>
          </w:p>
        </w:tc>
        <w:tc>
          <w:tcPr>
            <w:tcW w:w="202" w:type="pct"/>
            <w:tcBorders>
              <w:top w:val="nil"/>
              <w:left w:val="nil"/>
              <w:bottom w:val="single" w:sz="4" w:space="0" w:color="auto"/>
              <w:right w:val="single" w:sz="4" w:space="0" w:color="auto"/>
            </w:tcBorders>
            <w:shd w:val="clear" w:color="000000" w:fill="F2F2F2"/>
            <w:noWrap/>
            <w:vAlign w:val="center"/>
            <w:hideMark/>
          </w:tcPr>
          <w:p w14:paraId="5801180B"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D0455F5" w14:textId="77777777" w:rsidR="00DB659A" w:rsidRPr="00D808EB" w:rsidRDefault="00DB659A" w:rsidP="00CC28AE">
            <w:pPr>
              <w:rPr>
                <w:color w:val="000000"/>
                <w:sz w:val="22"/>
                <w:szCs w:val="22"/>
              </w:rPr>
            </w:pPr>
            <w:r w:rsidRPr="00D808EB">
              <w:rPr>
                <w:color w:val="000000"/>
                <w:sz w:val="22"/>
                <w:szCs w:val="22"/>
              </w:rPr>
              <w:t>Middle East, North Africa and the Gulf - Resilience</w:t>
            </w:r>
          </w:p>
        </w:tc>
      </w:tr>
      <w:tr w:rsidR="00DB659A" w:rsidRPr="00D808EB" w14:paraId="382162AA"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5C99A9F1"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0E19744C"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018F30C0" w14:textId="77777777" w:rsidR="00DB659A" w:rsidRPr="00D808EB" w:rsidRDefault="00DB659A" w:rsidP="00CC28AE">
            <w:pPr>
              <w:jc w:val="center"/>
              <w:rPr>
                <w:color w:val="000000"/>
                <w:sz w:val="22"/>
                <w:szCs w:val="22"/>
              </w:rPr>
            </w:pPr>
            <w:r w:rsidRPr="00D808EB">
              <w:rPr>
                <w:color w:val="000000"/>
                <w:sz w:val="22"/>
                <w:szCs w:val="22"/>
              </w:rPr>
              <w:t>13</w:t>
            </w:r>
          </w:p>
        </w:tc>
        <w:tc>
          <w:tcPr>
            <w:tcW w:w="202" w:type="pct"/>
            <w:tcBorders>
              <w:top w:val="nil"/>
              <w:left w:val="nil"/>
              <w:bottom w:val="single" w:sz="4" w:space="0" w:color="auto"/>
              <w:right w:val="single" w:sz="4" w:space="0" w:color="auto"/>
            </w:tcBorders>
            <w:shd w:val="clear" w:color="000000" w:fill="F2F2F2"/>
            <w:noWrap/>
            <w:vAlign w:val="center"/>
            <w:hideMark/>
          </w:tcPr>
          <w:p w14:paraId="6D4DDE82"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F5E1A3C" w14:textId="77777777" w:rsidR="00DB659A" w:rsidRPr="00D808EB" w:rsidRDefault="00DB659A" w:rsidP="00CC28AE">
            <w:pPr>
              <w:rPr>
                <w:color w:val="000000"/>
                <w:sz w:val="22"/>
                <w:szCs w:val="22"/>
              </w:rPr>
            </w:pPr>
            <w:r w:rsidRPr="00D808EB">
              <w:rPr>
                <w:color w:val="000000"/>
                <w:sz w:val="22"/>
                <w:szCs w:val="22"/>
              </w:rPr>
              <w:t>Middle East, North Africa and the Gulf - Competitiveness</w:t>
            </w:r>
          </w:p>
        </w:tc>
      </w:tr>
      <w:tr w:rsidR="00DB659A" w:rsidRPr="00D808EB" w14:paraId="5F3C16D8"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3D2D8B0"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7ACFDC55"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1344A796" w14:textId="77777777" w:rsidR="00DB659A" w:rsidRPr="00D808EB" w:rsidRDefault="00DB659A" w:rsidP="00CC28AE">
            <w:pPr>
              <w:jc w:val="center"/>
              <w:rPr>
                <w:color w:val="000000"/>
                <w:sz w:val="22"/>
                <w:szCs w:val="22"/>
              </w:rPr>
            </w:pPr>
            <w:r w:rsidRPr="00D808EB">
              <w:rPr>
                <w:color w:val="000000"/>
                <w:sz w:val="22"/>
                <w:szCs w:val="22"/>
              </w:rPr>
              <w:t>14</w:t>
            </w:r>
          </w:p>
        </w:tc>
        <w:tc>
          <w:tcPr>
            <w:tcW w:w="202" w:type="pct"/>
            <w:tcBorders>
              <w:top w:val="nil"/>
              <w:left w:val="nil"/>
              <w:bottom w:val="single" w:sz="4" w:space="0" w:color="auto"/>
              <w:right w:val="single" w:sz="4" w:space="0" w:color="auto"/>
            </w:tcBorders>
            <w:shd w:val="clear" w:color="000000" w:fill="F2F2F2"/>
            <w:noWrap/>
            <w:vAlign w:val="center"/>
            <w:hideMark/>
          </w:tcPr>
          <w:p w14:paraId="4BDDDEF6"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19BF696C" w14:textId="77777777" w:rsidR="00DB659A" w:rsidRPr="00D808EB" w:rsidRDefault="00DB659A" w:rsidP="00CC28AE">
            <w:pPr>
              <w:rPr>
                <w:color w:val="000000"/>
                <w:sz w:val="22"/>
                <w:szCs w:val="22"/>
              </w:rPr>
            </w:pPr>
            <w:r w:rsidRPr="00D808EB">
              <w:rPr>
                <w:color w:val="000000"/>
                <w:sz w:val="22"/>
                <w:szCs w:val="22"/>
              </w:rPr>
              <w:t>Middle East, North Africa and the Gulf - MFA grants</w:t>
            </w:r>
          </w:p>
        </w:tc>
      </w:tr>
      <w:tr w:rsidR="00DB659A" w:rsidRPr="00D808EB" w14:paraId="66E14838"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1F4548AB"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400186B0"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1598DB1E" w14:textId="77777777" w:rsidR="00DB659A" w:rsidRPr="00D808EB" w:rsidRDefault="00DB659A" w:rsidP="00CC28AE">
            <w:pPr>
              <w:jc w:val="center"/>
              <w:rPr>
                <w:color w:val="000000"/>
                <w:sz w:val="22"/>
                <w:szCs w:val="22"/>
              </w:rPr>
            </w:pPr>
            <w:r w:rsidRPr="00D808EB">
              <w:rPr>
                <w:color w:val="000000"/>
                <w:sz w:val="22"/>
                <w:szCs w:val="22"/>
              </w:rPr>
              <w:t>20</w:t>
            </w:r>
          </w:p>
        </w:tc>
        <w:tc>
          <w:tcPr>
            <w:tcW w:w="202" w:type="pct"/>
            <w:tcBorders>
              <w:top w:val="nil"/>
              <w:left w:val="nil"/>
              <w:bottom w:val="single" w:sz="4" w:space="0" w:color="auto"/>
              <w:right w:val="single" w:sz="4" w:space="0" w:color="auto"/>
            </w:tcBorders>
            <w:shd w:val="clear" w:color="000000" w:fill="F2F2F2"/>
            <w:noWrap/>
            <w:vAlign w:val="center"/>
            <w:hideMark/>
          </w:tcPr>
          <w:p w14:paraId="241AC4D3"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1FD8B99" w14:textId="77777777" w:rsidR="00DB659A" w:rsidRPr="00D808EB" w:rsidRDefault="00DB659A" w:rsidP="00CC28AE">
            <w:pPr>
              <w:rPr>
                <w:color w:val="000000"/>
                <w:sz w:val="22"/>
                <w:szCs w:val="22"/>
              </w:rPr>
            </w:pPr>
            <w:r w:rsidRPr="00D808EB">
              <w:rPr>
                <w:color w:val="000000"/>
                <w:sz w:val="22"/>
                <w:szCs w:val="22"/>
              </w:rPr>
              <w:t>Middle East, North Africa and the Gulf - Provisioning of the Common Provisioning Fund</w:t>
            </w:r>
          </w:p>
        </w:tc>
      </w:tr>
      <w:tr w:rsidR="00DB659A" w:rsidRPr="00D808EB" w14:paraId="62AB6697"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B9C6BCD"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6AE0810B"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41C380A7" w14:textId="77777777" w:rsidR="00DB659A" w:rsidRPr="00D808EB" w:rsidRDefault="00DB659A" w:rsidP="00CC28AE">
            <w:pPr>
              <w:jc w:val="center"/>
              <w:rPr>
                <w:color w:val="000000"/>
                <w:sz w:val="22"/>
                <w:szCs w:val="22"/>
              </w:rPr>
            </w:pPr>
            <w:r w:rsidRPr="00D808EB">
              <w:rPr>
                <w:color w:val="000000"/>
                <w:sz w:val="22"/>
                <w:szCs w:val="22"/>
              </w:rPr>
              <w:t>30</w:t>
            </w:r>
          </w:p>
        </w:tc>
        <w:tc>
          <w:tcPr>
            <w:tcW w:w="202" w:type="pct"/>
            <w:tcBorders>
              <w:top w:val="nil"/>
              <w:left w:val="nil"/>
              <w:bottom w:val="single" w:sz="4" w:space="0" w:color="auto"/>
              <w:right w:val="single" w:sz="4" w:space="0" w:color="auto"/>
            </w:tcBorders>
            <w:shd w:val="clear" w:color="000000" w:fill="F2F2F2"/>
            <w:noWrap/>
            <w:vAlign w:val="center"/>
            <w:hideMark/>
          </w:tcPr>
          <w:p w14:paraId="042B51AD"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0CE90682" w14:textId="77777777" w:rsidR="00DB659A" w:rsidRPr="00D808EB" w:rsidRDefault="00DB659A" w:rsidP="00CC28AE">
            <w:pPr>
              <w:rPr>
                <w:color w:val="000000"/>
                <w:sz w:val="22"/>
                <w:szCs w:val="22"/>
              </w:rPr>
            </w:pPr>
            <w:r w:rsidRPr="00D808EB">
              <w:rPr>
                <w:color w:val="000000"/>
                <w:sz w:val="22"/>
                <w:szCs w:val="22"/>
              </w:rPr>
              <w:t>Middle East, North Africa and the Gulf - Territorial and Cross-Border Cooperation</w:t>
            </w:r>
          </w:p>
        </w:tc>
      </w:tr>
      <w:tr w:rsidR="00DB659A" w:rsidRPr="00D808EB" w14:paraId="1A186A37"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648BA5FD"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D0D0D0"/>
            <w:noWrap/>
            <w:vAlign w:val="center"/>
            <w:hideMark/>
          </w:tcPr>
          <w:p w14:paraId="5C6BD3C5" w14:textId="77777777" w:rsidR="00DB659A" w:rsidRPr="00D808EB" w:rsidRDefault="00DB659A" w:rsidP="00CC28AE">
            <w:pPr>
              <w:jc w:val="center"/>
              <w:rPr>
                <w:i/>
                <w:iCs/>
                <w:color w:val="000000"/>
                <w:sz w:val="22"/>
                <w:szCs w:val="22"/>
              </w:rPr>
            </w:pPr>
            <w:r w:rsidRPr="00D808EB">
              <w:rPr>
                <w:i/>
                <w:iCs/>
                <w:color w:val="000000"/>
                <w:sz w:val="22"/>
                <w:szCs w:val="22"/>
              </w:rPr>
              <w:t>04</w:t>
            </w:r>
          </w:p>
        </w:tc>
        <w:tc>
          <w:tcPr>
            <w:tcW w:w="256" w:type="pct"/>
            <w:tcBorders>
              <w:top w:val="nil"/>
              <w:left w:val="nil"/>
              <w:bottom w:val="single" w:sz="4" w:space="0" w:color="auto"/>
              <w:right w:val="single" w:sz="4" w:space="0" w:color="auto"/>
            </w:tcBorders>
            <w:shd w:val="clear" w:color="000000" w:fill="D0D0D0"/>
            <w:noWrap/>
            <w:vAlign w:val="center"/>
            <w:hideMark/>
          </w:tcPr>
          <w:p w14:paraId="2FA805E2"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5BF6765B"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1927774C" w14:textId="77777777" w:rsidR="00DB659A" w:rsidRPr="00D808EB" w:rsidRDefault="00DB659A" w:rsidP="00CC28AE">
            <w:pPr>
              <w:rPr>
                <w:i/>
                <w:iCs/>
                <w:color w:val="000000"/>
                <w:sz w:val="22"/>
                <w:szCs w:val="22"/>
              </w:rPr>
            </w:pPr>
            <w:r w:rsidRPr="00D808EB">
              <w:rPr>
                <w:i/>
                <w:iCs/>
                <w:color w:val="000000"/>
                <w:sz w:val="22"/>
                <w:szCs w:val="22"/>
              </w:rPr>
              <w:t>Sub-Saharan Africa Pillar</w:t>
            </w:r>
          </w:p>
        </w:tc>
      </w:tr>
      <w:tr w:rsidR="00DB659A" w:rsidRPr="00D808EB" w14:paraId="786C9E20"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5AF7E06"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28826EF1" w14:textId="77777777" w:rsidR="00DB659A" w:rsidRPr="00D808EB" w:rsidRDefault="00DB659A" w:rsidP="00CC28AE">
            <w:pPr>
              <w:jc w:val="center"/>
              <w:rPr>
                <w:color w:val="000000"/>
                <w:sz w:val="22"/>
                <w:szCs w:val="22"/>
              </w:rPr>
            </w:pPr>
            <w:r w:rsidRPr="00D808EB">
              <w:rPr>
                <w:color w:val="000000"/>
                <w:sz w:val="22"/>
                <w:szCs w:val="22"/>
              </w:rPr>
              <w:t>04</w:t>
            </w:r>
          </w:p>
        </w:tc>
        <w:tc>
          <w:tcPr>
            <w:tcW w:w="256" w:type="pct"/>
            <w:tcBorders>
              <w:top w:val="nil"/>
              <w:left w:val="nil"/>
              <w:bottom w:val="single" w:sz="4" w:space="0" w:color="auto"/>
              <w:right w:val="single" w:sz="4" w:space="0" w:color="auto"/>
            </w:tcBorders>
            <w:shd w:val="clear" w:color="000000" w:fill="F2F2F2"/>
            <w:noWrap/>
            <w:vAlign w:val="center"/>
            <w:hideMark/>
          </w:tcPr>
          <w:p w14:paraId="2EE6E752"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6B451179"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3BC433F" w14:textId="77777777" w:rsidR="00DB659A" w:rsidRPr="00D808EB" w:rsidRDefault="00DB659A" w:rsidP="00CC28AE">
            <w:pPr>
              <w:rPr>
                <w:color w:val="000000"/>
                <w:sz w:val="22"/>
                <w:szCs w:val="22"/>
              </w:rPr>
            </w:pPr>
            <w:r w:rsidRPr="00D808EB">
              <w:rPr>
                <w:color w:val="000000"/>
                <w:sz w:val="22"/>
                <w:szCs w:val="22"/>
              </w:rPr>
              <w:t>West Africa - Programmes</w:t>
            </w:r>
          </w:p>
        </w:tc>
      </w:tr>
      <w:tr w:rsidR="00DB659A" w:rsidRPr="00D808EB" w14:paraId="6C27AAAD"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9FB3472"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3517FF50" w14:textId="77777777" w:rsidR="00DB659A" w:rsidRPr="00D808EB" w:rsidRDefault="00DB659A" w:rsidP="00CC28AE">
            <w:pPr>
              <w:jc w:val="center"/>
              <w:rPr>
                <w:color w:val="000000"/>
                <w:sz w:val="22"/>
                <w:szCs w:val="22"/>
              </w:rPr>
            </w:pPr>
            <w:r w:rsidRPr="00D808EB">
              <w:rPr>
                <w:color w:val="000000"/>
                <w:sz w:val="22"/>
                <w:szCs w:val="22"/>
              </w:rPr>
              <w:t>04</w:t>
            </w:r>
          </w:p>
        </w:tc>
        <w:tc>
          <w:tcPr>
            <w:tcW w:w="256" w:type="pct"/>
            <w:tcBorders>
              <w:top w:val="nil"/>
              <w:left w:val="nil"/>
              <w:bottom w:val="single" w:sz="4" w:space="0" w:color="auto"/>
              <w:right w:val="single" w:sz="4" w:space="0" w:color="auto"/>
            </w:tcBorders>
            <w:shd w:val="clear" w:color="000000" w:fill="F2F2F2"/>
            <w:noWrap/>
            <w:vAlign w:val="center"/>
            <w:hideMark/>
          </w:tcPr>
          <w:p w14:paraId="74AA6A50"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48BD7F7D"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8D0C523" w14:textId="77777777" w:rsidR="00DB659A" w:rsidRPr="00D808EB" w:rsidRDefault="00DB659A" w:rsidP="00CC28AE">
            <w:pPr>
              <w:rPr>
                <w:color w:val="000000"/>
                <w:sz w:val="22"/>
                <w:szCs w:val="22"/>
              </w:rPr>
            </w:pPr>
            <w:r w:rsidRPr="00D808EB">
              <w:rPr>
                <w:color w:val="000000"/>
                <w:sz w:val="22"/>
                <w:szCs w:val="22"/>
              </w:rPr>
              <w:t>East and Central Africa - Programmes</w:t>
            </w:r>
          </w:p>
        </w:tc>
      </w:tr>
      <w:tr w:rsidR="00DB659A" w:rsidRPr="00D808EB" w14:paraId="711410F2"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8CB9C51"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4638B7CD" w14:textId="77777777" w:rsidR="00DB659A" w:rsidRPr="00D808EB" w:rsidRDefault="00DB659A" w:rsidP="00CC28AE">
            <w:pPr>
              <w:jc w:val="center"/>
              <w:rPr>
                <w:color w:val="000000"/>
                <w:sz w:val="22"/>
                <w:szCs w:val="22"/>
              </w:rPr>
            </w:pPr>
            <w:r w:rsidRPr="00D808EB">
              <w:rPr>
                <w:color w:val="000000"/>
                <w:sz w:val="22"/>
                <w:szCs w:val="22"/>
              </w:rPr>
              <w:t>04</w:t>
            </w:r>
          </w:p>
        </w:tc>
        <w:tc>
          <w:tcPr>
            <w:tcW w:w="256" w:type="pct"/>
            <w:tcBorders>
              <w:top w:val="nil"/>
              <w:left w:val="nil"/>
              <w:bottom w:val="single" w:sz="4" w:space="0" w:color="auto"/>
              <w:right w:val="single" w:sz="4" w:space="0" w:color="auto"/>
            </w:tcBorders>
            <w:shd w:val="clear" w:color="000000" w:fill="F2F2F2"/>
            <w:noWrap/>
            <w:vAlign w:val="center"/>
            <w:hideMark/>
          </w:tcPr>
          <w:p w14:paraId="08F00E4A"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000000" w:fill="F2F2F2"/>
            <w:noWrap/>
            <w:vAlign w:val="center"/>
            <w:hideMark/>
          </w:tcPr>
          <w:p w14:paraId="7C60E60D"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C667144" w14:textId="77777777" w:rsidR="00DB659A" w:rsidRPr="00D808EB" w:rsidRDefault="00DB659A" w:rsidP="00CC28AE">
            <w:pPr>
              <w:rPr>
                <w:color w:val="000000"/>
                <w:sz w:val="22"/>
                <w:szCs w:val="22"/>
              </w:rPr>
            </w:pPr>
            <w:r w:rsidRPr="00D808EB">
              <w:rPr>
                <w:color w:val="000000"/>
                <w:sz w:val="22"/>
                <w:szCs w:val="22"/>
              </w:rPr>
              <w:t>Southern Africa and Indian Ocean - Programmes</w:t>
            </w:r>
          </w:p>
        </w:tc>
      </w:tr>
      <w:tr w:rsidR="00DB659A" w:rsidRPr="00D808EB" w14:paraId="4740E5F7"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29DB0C8D"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537D41C8" w14:textId="77777777" w:rsidR="00DB659A" w:rsidRPr="00D808EB" w:rsidRDefault="00DB659A" w:rsidP="00CC28AE">
            <w:pPr>
              <w:jc w:val="center"/>
              <w:rPr>
                <w:color w:val="000000"/>
                <w:sz w:val="22"/>
                <w:szCs w:val="22"/>
              </w:rPr>
            </w:pPr>
            <w:r w:rsidRPr="00D808EB">
              <w:rPr>
                <w:color w:val="000000"/>
                <w:sz w:val="22"/>
                <w:szCs w:val="22"/>
              </w:rPr>
              <w:t>04</w:t>
            </w:r>
          </w:p>
        </w:tc>
        <w:tc>
          <w:tcPr>
            <w:tcW w:w="256" w:type="pct"/>
            <w:tcBorders>
              <w:top w:val="nil"/>
              <w:left w:val="nil"/>
              <w:bottom w:val="single" w:sz="4" w:space="0" w:color="auto"/>
              <w:right w:val="single" w:sz="4" w:space="0" w:color="auto"/>
            </w:tcBorders>
            <w:shd w:val="clear" w:color="000000" w:fill="F2F2F2"/>
            <w:noWrap/>
            <w:vAlign w:val="center"/>
            <w:hideMark/>
          </w:tcPr>
          <w:p w14:paraId="07517737" w14:textId="77777777" w:rsidR="00DB659A" w:rsidRPr="00D808EB" w:rsidRDefault="00DB659A" w:rsidP="00CC28AE">
            <w:pPr>
              <w:jc w:val="center"/>
              <w:rPr>
                <w:color w:val="000000"/>
                <w:sz w:val="22"/>
                <w:szCs w:val="22"/>
              </w:rPr>
            </w:pPr>
            <w:r w:rsidRPr="00D808EB">
              <w:rPr>
                <w:color w:val="000000"/>
                <w:sz w:val="22"/>
                <w:szCs w:val="22"/>
              </w:rPr>
              <w:t>10</w:t>
            </w:r>
          </w:p>
        </w:tc>
        <w:tc>
          <w:tcPr>
            <w:tcW w:w="202" w:type="pct"/>
            <w:tcBorders>
              <w:top w:val="nil"/>
              <w:left w:val="nil"/>
              <w:bottom w:val="single" w:sz="4" w:space="0" w:color="auto"/>
              <w:right w:val="single" w:sz="4" w:space="0" w:color="auto"/>
            </w:tcBorders>
            <w:shd w:val="clear" w:color="000000" w:fill="F2F2F2"/>
            <w:noWrap/>
            <w:vAlign w:val="center"/>
            <w:hideMark/>
          </w:tcPr>
          <w:p w14:paraId="5B573F7D"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D2B7554" w14:textId="77777777" w:rsidR="00DB659A" w:rsidRPr="00D808EB" w:rsidRDefault="00DB659A" w:rsidP="00CC28AE">
            <w:pPr>
              <w:rPr>
                <w:color w:val="000000"/>
                <w:sz w:val="22"/>
                <w:szCs w:val="22"/>
              </w:rPr>
            </w:pPr>
            <w:r w:rsidRPr="00D808EB">
              <w:rPr>
                <w:color w:val="000000"/>
                <w:sz w:val="22"/>
                <w:szCs w:val="22"/>
              </w:rPr>
              <w:t>Sub-Saharan Africa - Crisis, peace and foreign policy needs</w:t>
            </w:r>
          </w:p>
        </w:tc>
      </w:tr>
      <w:tr w:rsidR="00DB659A" w:rsidRPr="00C728B7" w14:paraId="393972A8"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1FC31564"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1A185CF2" w14:textId="77777777" w:rsidR="00DB659A" w:rsidRPr="00D808EB" w:rsidRDefault="00DB659A" w:rsidP="00CC28AE">
            <w:pPr>
              <w:jc w:val="center"/>
              <w:rPr>
                <w:color w:val="000000"/>
                <w:sz w:val="22"/>
                <w:szCs w:val="22"/>
              </w:rPr>
            </w:pPr>
            <w:r w:rsidRPr="00D808EB">
              <w:rPr>
                <w:color w:val="000000"/>
                <w:sz w:val="22"/>
                <w:szCs w:val="22"/>
              </w:rPr>
              <w:t>04</w:t>
            </w:r>
          </w:p>
        </w:tc>
        <w:tc>
          <w:tcPr>
            <w:tcW w:w="256" w:type="pct"/>
            <w:tcBorders>
              <w:top w:val="nil"/>
              <w:left w:val="nil"/>
              <w:bottom w:val="single" w:sz="4" w:space="0" w:color="auto"/>
              <w:right w:val="single" w:sz="4" w:space="0" w:color="auto"/>
            </w:tcBorders>
            <w:shd w:val="clear" w:color="000000" w:fill="F2F2F2"/>
            <w:noWrap/>
            <w:vAlign w:val="center"/>
            <w:hideMark/>
          </w:tcPr>
          <w:p w14:paraId="33B26B8F" w14:textId="77777777" w:rsidR="00DB659A" w:rsidRPr="00D808EB" w:rsidRDefault="00DB659A" w:rsidP="00CC28AE">
            <w:pPr>
              <w:jc w:val="center"/>
              <w:rPr>
                <w:color w:val="000000"/>
                <w:sz w:val="22"/>
                <w:szCs w:val="22"/>
              </w:rPr>
            </w:pPr>
            <w:r w:rsidRPr="00D808EB">
              <w:rPr>
                <w:color w:val="000000"/>
                <w:sz w:val="22"/>
                <w:szCs w:val="22"/>
              </w:rPr>
              <w:t>11</w:t>
            </w:r>
          </w:p>
        </w:tc>
        <w:tc>
          <w:tcPr>
            <w:tcW w:w="202" w:type="pct"/>
            <w:tcBorders>
              <w:top w:val="nil"/>
              <w:left w:val="nil"/>
              <w:bottom w:val="single" w:sz="4" w:space="0" w:color="auto"/>
              <w:right w:val="single" w:sz="4" w:space="0" w:color="auto"/>
            </w:tcBorders>
            <w:shd w:val="clear" w:color="000000" w:fill="F2F2F2"/>
            <w:noWrap/>
            <w:vAlign w:val="center"/>
            <w:hideMark/>
          </w:tcPr>
          <w:p w14:paraId="5ED516E7"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FDC8079" w14:textId="77777777" w:rsidR="00DB659A" w:rsidRPr="00D808EB" w:rsidRDefault="00DB659A" w:rsidP="00CC28AE">
            <w:pPr>
              <w:rPr>
                <w:color w:val="000000"/>
                <w:sz w:val="22"/>
                <w:szCs w:val="22"/>
                <w:lang w:val="es-ES"/>
              </w:rPr>
            </w:pPr>
            <w:r w:rsidRPr="00D808EB">
              <w:rPr>
                <w:color w:val="000000"/>
                <w:sz w:val="22"/>
                <w:szCs w:val="22"/>
                <w:lang w:val="es-ES"/>
              </w:rPr>
              <w:t>Sub-Saharan Africa - Humanitarian Aid</w:t>
            </w:r>
          </w:p>
        </w:tc>
      </w:tr>
      <w:tr w:rsidR="00DB659A" w:rsidRPr="00D808EB" w14:paraId="357E649A"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BF0628E"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0001E564" w14:textId="77777777" w:rsidR="00DB659A" w:rsidRPr="00D808EB" w:rsidRDefault="00DB659A" w:rsidP="00CC28AE">
            <w:pPr>
              <w:jc w:val="center"/>
              <w:rPr>
                <w:color w:val="000000"/>
                <w:sz w:val="22"/>
                <w:szCs w:val="22"/>
              </w:rPr>
            </w:pPr>
            <w:r w:rsidRPr="00D808EB">
              <w:rPr>
                <w:color w:val="000000"/>
                <w:sz w:val="22"/>
                <w:szCs w:val="22"/>
              </w:rPr>
              <w:t>04</w:t>
            </w:r>
          </w:p>
        </w:tc>
        <w:tc>
          <w:tcPr>
            <w:tcW w:w="256" w:type="pct"/>
            <w:tcBorders>
              <w:top w:val="nil"/>
              <w:left w:val="nil"/>
              <w:bottom w:val="single" w:sz="4" w:space="0" w:color="auto"/>
              <w:right w:val="single" w:sz="4" w:space="0" w:color="auto"/>
            </w:tcBorders>
            <w:shd w:val="clear" w:color="000000" w:fill="F2F2F2"/>
            <w:noWrap/>
            <w:vAlign w:val="center"/>
            <w:hideMark/>
          </w:tcPr>
          <w:p w14:paraId="63C9CDEC" w14:textId="77777777" w:rsidR="00DB659A" w:rsidRPr="00D808EB" w:rsidRDefault="00DB659A" w:rsidP="00CC28AE">
            <w:pPr>
              <w:jc w:val="center"/>
              <w:rPr>
                <w:color w:val="000000"/>
                <w:sz w:val="22"/>
                <w:szCs w:val="22"/>
              </w:rPr>
            </w:pPr>
            <w:r w:rsidRPr="00D808EB">
              <w:rPr>
                <w:color w:val="000000"/>
                <w:sz w:val="22"/>
                <w:szCs w:val="22"/>
              </w:rPr>
              <w:t>12</w:t>
            </w:r>
          </w:p>
        </w:tc>
        <w:tc>
          <w:tcPr>
            <w:tcW w:w="202" w:type="pct"/>
            <w:tcBorders>
              <w:top w:val="nil"/>
              <w:left w:val="nil"/>
              <w:bottom w:val="single" w:sz="4" w:space="0" w:color="auto"/>
              <w:right w:val="single" w:sz="4" w:space="0" w:color="auto"/>
            </w:tcBorders>
            <w:shd w:val="clear" w:color="000000" w:fill="F2F2F2"/>
            <w:noWrap/>
            <w:vAlign w:val="center"/>
            <w:hideMark/>
          </w:tcPr>
          <w:p w14:paraId="4FEDB119"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6CAFF607" w14:textId="77777777" w:rsidR="00DB659A" w:rsidRPr="00D808EB" w:rsidRDefault="00DB659A" w:rsidP="00CC28AE">
            <w:pPr>
              <w:rPr>
                <w:color w:val="000000"/>
                <w:sz w:val="22"/>
                <w:szCs w:val="22"/>
              </w:rPr>
            </w:pPr>
            <w:r w:rsidRPr="00D808EB">
              <w:rPr>
                <w:color w:val="000000"/>
                <w:sz w:val="22"/>
                <w:szCs w:val="22"/>
              </w:rPr>
              <w:t xml:space="preserve">Sub-Saharan Africa - Resilience </w:t>
            </w:r>
          </w:p>
        </w:tc>
      </w:tr>
      <w:tr w:rsidR="00DB659A" w:rsidRPr="00D808EB" w14:paraId="20E81AE2"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CE63DBD"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37DB54AD" w14:textId="77777777" w:rsidR="00DB659A" w:rsidRPr="00D808EB" w:rsidRDefault="00DB659A" w:rsidP="00CC28AE">
            <w:pPr>
              <w:jc w:val="center"/>
              <w:rPr>
                <w:color w:val="000000"/>
                <w:sz w:val="22"/>
                <w:szCs w:val="22"/>
              </w:rPr>
            </w:pPr>
            <w:r w:rsidRPr="00D808EB">
              <w:rPr>
                <w:color w:val="000000"/>
                <w:sz w:val="22"/>
                <w:szCs w:val="22"/>
              </w:rPr>
              <w:t>04</w:t>
            </w:r>
          </w:p>
        </w:tc>
        <w:tc>
          <w:tcPr>
            <w:tcW w:w="256" w:type="pct"/>
            <w:tcBorders>
              <w:top w:val="nil"/>
              <w:left w:val="nil"/>
              <w:bottom w:val="single" w:sz="4" w:space="0" w:color="auto"/>
              <w:right w:val="single" w:sz="4" w:space="0" w:color="auto"/>
            </w:tcBorders>
            <w:shd w:val="clear" w:color="000000" w:fill="F2F2F2"/>
            <w:noWrap/>
            <w:vAlign w:val="center"/>
            <w:hideMark/>
          </w:tcPr>
          <w:p w14:paraId="744C4297" w14:textId="77777777" w:rsidR="00DB659A" w:rsidRPr="00D808EB" w:rsidRDefault="00DB659A" w:rsidP="00CC28AE">
            <w:pPr>
              <w:jc w:val="center"/>
              <w:rPr>
                <w:color w:val="000000"/>
                <w:sz w:val="22"/>
                <w:szCs w:val="22"/>
              </w:rPr>
            </w:pPr>
            <w:r w:rsidRPr="00D808EB">
              <w:rPr>
                <w:color w:val="000000"/>
                <w:sz w:val="22"/>
                <w:szCs w:val="22"/>
              </w:rPr>
              <w:t>13</w:t>
            </w:r>
          </w:p>
        </w:tc>
        <w:tc>
          <w:tcPr>
            <w:tcW w:w="202" w:type="pct"/>
            <w:tcBorders>
              <w:top w:val="nil"/>
              <w:left w:val="nil"/>
              <w:bottom w:val="single" w:sz="4" w:space="0" w:color="auto"/>
              <w:right w:val="single" w:sz="4" w:space="0" w:color="auto"/>
            </w:tcBorders>
            <w:shd w:val="clear" w:color="000000" w:fill="F2F2F2"/>
            <w:noWrap/>
            <w:vAlign w:val="center"/>
            <w:hideMark/>
          </w:tcPr>
          <w:p w14:paraId="2CA3A194"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1C7A7506" w14:textId="77777777" w:rsidR="00DB659A" w:rsidRPr="00D808EB" w:rsidRDefault="00DB659A" w:rsidP="00CC28AE">
            <w:pPr>
              <w:rPr>
                <w:color w:val="000000"/>
                <w:sz w:val="22"/>
                <w:szCs w:val="22"/>
              </w:rPr>
            </w:pPr>
            <w:r w:rsidRPr="00D808EB">
              <w:rPr>
                <w:color w:val="000000"/>
                <w:sz w:val="22"/>
                <w:szCs w:val="22"/>
              </w:rPr>
              <w:t>Sub-Saharan Africa - Competitiveness</w:t>
            </w:r>
          </w:p>
        </w:tc>
      </w:tr>
      <w:tr w:rsidR="00DB659A" w:rsidRPr="00C728B7" w14:paraId="10F2CD02"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035C1052"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7DEAC073" w14:textId="77777777" w:rsidR="00DB659A" w:rsidRPr="00D808EB" w:rsidRDefault="00DB659A" w:rsidP="00CC28AE">
            <w:pPr>
              <w:jc w:val="center"/>
              <w:rPr>
                <w:color w:val="000000"/>
                <w:sz w:val="22"/>
                <w:szCs w:val="22"/>
              </w:rPr>
            </w:pPr>
            <w:r w:rsidRPr="00D808EB">
              <w:rPr>
                <w:color w:val="000000"/>
                <w:sz w:val="22"/>
                <w:szCs w:val="22"/>
              </w:rPr>
              <w:t>04</w:t>
            </w:r>
          </w:p>
        </w:tc>
        <w:tc>
          <w:tcPr>
            <w:tcW w:w="256" w:type="pct"/>
            <w:tcBorders>
              <w:top w:val="nil"/>
              <w:left w:val="nil"/>
              <w:bottom w:val="single" w:sz="4" w:space="0" w:color="auto"/>
              <w:right w:val="single" w:sz="4" w:space="0" w:color="auto"/>
            </w:tcBorders>
            <w:shd w:val="clear" w:color="000000" w:fill="F2F2F2"/>
            <w:noWrap/>
            <w:vAlign w:val="center"/>
            <w:hideMark/>
          </w:tcPr>
          <w:p w14:paraId="31E5F17E" w14:textId="77777777" w:rsidR="00DB659A" w:rsidRPr="00D808EB" w:rsidRDefault="00DB659A" w:rsidP="00CC28AE">
            <w:pPr>
              <w:jc w:val="center"/>
              <w:rPr>
                <w:color w:val="000000"/>
                <w:sz w:val="22"/>
                <w:szCs w:val="22"/>
              </w:rPr>
            </w:pPr>
            <w:r w:rsidRPr="00D808EB">
              <w:rPr>
                <w:color w:val="000000"/>
                <w:sz w:val="22"/>
                <w:szCs w:val="22"/>
              </w:rPr>
              <w:t>14</w:t>
            </w:r>
          </w:p>
        </w:tc>
        <w:tc>
          <w:tcPr>
            <w:tcW w:w="202" w:type="pct"/>
            <w:tcBorders>
              <w:top w:val="nil"/>
              <w:left w:val="nil"/>
              <w:bottom w:val="single" w:sz="4" w:space="0" w:color="auto"/>
              <w:right w:val="single" w:sz="4" w:space="0" w:color="auto"/>
            </w:tcBorders>
            <w:shd w:val="clear" w:color="000000" w:fill="F2F2F2"/>
            <w:noWrap/>
            <w:vAlign w:val="center"/>
            <w:hideMark/>
          </w:tcPr>
          <w:p w14:paraId="5D6E3009"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6735AB20" w14:textId="77777777" w:rsidR="00DB659A" w:rsidRPr="00D808EB" w:rsidRDefault="00DB659A" w:rsidP="00CC28AE">
            <w:pPr>
              <w:rPr>
                <w:color w:val="000000"/>
                <w:sz w:val="22"/>
                <w:szCs w:val="22"/>
                <w:lang w:val="es-ES"/>
              </w:rPr>
            </w:pPr>
            <w:r w:rsidRPr="00D808EB">
              <w:rPr>
                <w:color w:val="000000"/>
                <w:sz w:val="22"/>
                <w:szCs w:val="22"/>
                <w:lang w:val="es-ES"/>
              </w:rPr>
              <w:t>Sub-Saharan Africa - MFA grants</w:t>
            </w:r>
          </w:p>
        </w:tc>
      </w:tr>
      <w:tr w:rsidR="00DB659A" w:rsidRPr="00D808EB" w14:paraId="48397979"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DAF8C29"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62A0D0D7" w14:textId="77777777" w:rsidR="00DB659A" w:rsidRPr="00D808EB" w:rsidRDefault="00DB659A" w:rsidP="00CC28AE">
            <w:pPr>
              <w:jc w:val="center"/>
              <w:rPr>
                <w:color w:val="000000"/>
                <w:sz w:val="22"/>
                <w:szCs w:val="22"/>
              </w:rPr>
            </w:pPr>
            <w:r w:rsidRPr="00D808EB">
              <w:rPr>
                <w:color w:val="000000"/>
                <w:sz w:val="22"/>
                <w:szCs w:val="22"/>
              </w:rPr>
              <w:t>04</w:t>
            </w:r>
          </w:p>
        </w:tc>
        <w:tc>
          <w:tcPr>
            <w:tcW w:w="256" w:type="pct"/>
            <w:tcBorders>
              <w:top w:val="nil"/>
              <w:left w:val="nil"/>
              <w:bottom w:val="single" w:sz="4" w:space="0" w:color="auto"/>
              <w:right w:val="single" w:sz="4" w:space="0" w:color="auto"/>
            </w:tcBorders>
            <w:shd w:val="clear" w:color="000000" w:fill="F2F2F2"/>
            <w:noWrap/>
            <w:vAlign w:val="center"/>
            <w:hideMark/>
          </w:tcPr>
          <w:p w14:paraId="4E78C10A" w14:textId="77777777" w:rsidR="00DB659A" w:rsidRPr="00D808EB" w:rsidRDefault="00DB659A" w:rsidP="00CC28AE">
            <w:pPr>
              <w:jc w:val="center"/>
              <w:rPr>
                <w:color w:val="000000"/>
                <w:sz w:val="22"/>
                <w:szCs w:val="22"/>
              </w:rPr>
            </w:pPr>
            <w:r w:rsidRPr="00D808EB">
              <w:rPr>
                <w:color w:val="000000"/>
                <w:sz w:val="22"/>
                <w:szCs w:val="22"/>
              </w:rPr>
              <w:t>20</w:t>
            </w:r>
          </w:p>
        </w:tc>
        <w:tc>
          <w:tcPr>
            <w:tcW w:w="202" w:type="pct"/>
            <w:tcBorders>
              <w:top w:val="nil"/>
              <w:left w:val="nil"/>
              <w:bottom w:val="single" w:sz="4" w:space="0" w:color="auto"/>
              <w:right w:val="single" w:sz="4" w:space="0" w:color="auto"/>
            </w:tcBorders>
            <w:shd w:val="clear" w:color="000000" w:fill="F2F2F2"/>
            <w:noWrap/>
            <w:vAlign w:val="center"/>
            <w:hideMark/>
          </w:tcPr>
          <w:p w14:paraId="09927CEB"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3CF0682" w14:textId="77777777" w:rsidR="00DB659A" w:rsidRPr="00D808EB" w:rsidRDefault="00DB659A" w:rsidP="00CC28AE">
            <w:pPr>
              <w:rPr>
                <w:color w:val="000000"/>
                <w:sz w:val="22"/>
                <w:szCs w:val="22"/>
              </w:rPr>
            </w:pPr>
            <w:r w:rsidRPr="00D808EB">
              <w:rPr>
                <w:color w:val="000000"/>
                <w:sz w:val="22"/>
                <w:szCs w:val="22"/>
              </w:rPr>
              <w:t>Sub-Saharan Africa - Provisioning of the Common Provisioning Fund</w:t>
            </w:r>
          </w:p>
        </w:tc>
      </w:tr>
      <w:tr w:rsidR="00DB659A" w:rsidRPr="00D808EB" w14:paraId="0D63914A"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5FF60566"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D0D0D0"/>
            <w:noWrap/>
            <w:vAlign w:val="center"/>
            <w:hideMark/>
          </w:tcPr>
          <w:p w14:paraId="7C3A1037" w14:textId="77777777" w:rsidR="00DB659A" w:rsidRPr="00D808EB" w:rsidRDefault="00DB659A" w:rsidP="00CC28AE">
            <w:pPr>
              <w:jc w:val="center"/>
              <w:rPr>
                <w:i/>
                <w:iCs/>
                <w:color w:val="000000"/>
                <w:sz w:val="22"/>
                <w:szCs w:val="22"/>
              </w:rPr>
            </w:pPr>
            <w:r w:rsidRPr="00D808EB">
              <w:rPr>
                <w:i/>
                <w:iCs/>
                <w:color w:val="000000"/>
                <w:sz w:val="22"/>
                <w:szCs w:val="22"/>
              </w:rPr>
              <w:t>05</w:t>
            </w:r>
          </w:p>
        </w:tc>
        <w:tc>
          <w:tcPr>
            <w:tcW w:w="256" w:type="pct"/>
            <w:tcBorders>
              <w:top w:val="nil"/>
              <w:left w:val="nil"/>
              <w:bottom w:val="single" w:sz="4" w:space="0" w:color="auto"/>
              <w:right w:val="single" w:sz="4" w:space="0" w:color="auto"/>
            </w:tcBorders>
            <w:shd w:val="clear" w:color="000000" w:fill="D0D0D0"/>
            <w:noWrap/>
            <w:vAlign w:val="center"/>
            <w:hideMark/>
          </w:tcPr>
          <w:p w14:paraId="5A8CF8FA"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6D387758"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2A4753B8" w14:textId="77777777" w:rsidR="00DB659A" w:rsidRPr="00D808EB" w:rsidRDefault="00DB659A" w:rsidP="00CC28AE">
            <w:pPr>
              <w:rPr>
                <w:i/>
                <w:iCs/>
                <w:color w:val="000000"/>
                <w:sz w:val="22"/>
                <w:szCs w:val="22"/>
              </w:rPr>
            </w:pPr>
            <w:r w:rsidRPr="00D808EB">
              <w:rPr>
                <w:i/>
                <w:iCs/>
                <w:color w:val="000000"/>
                <w:sz w:val="22"/>
                <w:szCs w:val="22"/>
              </w:rPr>
              <w:t>Asia and the Pacific Pillar</w:t>
            </w:r>
          </w:p>
        </w:tc>
      </w:tr>
      <w:tr w:rsidR="00DB659A" w:rsidRPr="00D808EB" w14:paraId="2DDD9F65"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FC97663"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2ECF77C7" w14:textId="77777777" w:rsidR="00DB659A" w:rsidRPr="00D808EB" w:rsidRDefault="00DB659A" w:rsidP="00CC28AE">
            <w:pPr>
              <w:jc w:val="center"/>
              <w:rPr>
                <w:color w:val="000000"/>
                <w:sz w:val="22"/>
                <w:szCs w:val="22"/>
              </w:rPr>
            </w:pPr>
            <w:r w:rsidRPr="00D808EB">
              <w:rPr>
                <w:color w:val="000000"/>
                <w:sz w:val="22"/>
                <w:szCs w:val="22"/>
              </w:rPr>
              <w:t>05</w:t>
            </w:r>
          </w:p>
        </w:tc>
        <w:tc>
          <w:tcPr>
            <w:tcW w:w="256" w:type="pct"/>
            <w:tcBorders>
              <w:top w:val="nil"/>
              <w:left w:val="nil"/>
              <w:bottom w:val="single" w:sz="4" w:space="0" w:color="auto"/>
              <w:right w:val="single" w:sz="4" w:space="0" w:color="auto"/>
            </w:tcBorders>
            <w:shd w:val="clear" w:color="000000" w:fill="F2F2F2"/>
            <w:noWrap/>
            <w:vAlign w:val="center"/>
            <w:hideMark/>
          </w:tcPr>
          <w:p w14:paraId="6832CF87"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00505DC4"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629D503" w14:textId="77777777" w:rsidR="00DB659A" w:rsidRPr="00D808EB" w:rsidRDefault="00DB659A" w:rsidP="00CC28AE">
            <w:pPr>
              <w:rPr>
                <w:color w:val="000000"/>
                <w:sz w:val="22"/>
                <w:szCs w:val="22"/>
              </w:rPr>
            </w:pPr>
            <w:r w:rsidRPr="00D808EB">
              <w:rPr>
                <w:color w:val="000000"/>
                <w:sz w:val="22"/>
                <w:szCs w:val="22"/>
              </w:rPr>
              <w:t>Central Asia - Programmes</w:t>
            </w:r>
          </w:p>
        </w:tc>
      </w:tr>
      <w:tr w:rsidR="00DB659A" w:rsidRPr="00D808EB" w14:paraId="4F68F48F"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2A38BC9C"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5DA87B1F" w14:textId="77777777" w:rsidR="00DB659A" w:rsidRPr="00D808EB" w:rsidRDefault="00DB659A" w:rsidP="00CC28AE">
            <w:pPr>
              <w:jc w:val="center"/>
              <w:rPr>
                <w:color w:val="000000"/>
                <w:sz w:val="22"/>
                <w:szCs w:val="22"/>
              </w:rPr>
            </w:pPr>
            <w:r w:rsidRPr="00D808EB">
              <w:rPr>
                <w:color w:val="000000"/>
                <w:sz w:val="22"/>
                <w:szCs w:val="22"/>
              </w:rPr>
              <w:t>05</w:t>
            </w:r>
          </w:p>
        </w:tc>
        <w:tc>
          <w:tcPr>
            <w:tcW w:w="256" w:type="pct"/>
            <w:tcBorders>
              <w:top w:val="nil"/>
              <w:left w:val="nil"/>
              <w:bottom w:val="single" w:sz="4" w:space="0" w:color="auto"/>
              <w:right w:val="single" w:sz="4" w:space="0" w:color="auto"/>
            </w:tcBorders>
            <w:shd w:val="clear" w:color="000000" w:fill="F2F2F2"/>
            <w:noWrap/>
            <w:vAlign w:val="center"/>
            <w:hideMark/>
          </w:tcPr>
          <w:p w14:paraId="238834EC"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3B630159"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60379556" w14:textId="77777777" w:rsidR="00DB659A" w:rsidRPr="00D808EB" w:rsidRDefault="00DB659A" w:rsidP="00CC28AE">
            <w:pPr>
              <w:rPr>
                <w:color w:val="000000"/>
                <w:sz w:val="22"/>
                <w:szCs w:val="22"/>
              </w:rPr>
            </w:pPr>
            <w:r w:rsidRPr="00D808EB">
              <w:rPr>
                <w:color w:val="000000"/>
                <w:sz w:val="22"/>
                <w:szCs w:val="22"/>
              </w:rPr>
              <w:t>South and East Asia - Programmes</w:t>
            </w:r>
          </w:p>
        </w:tc>
      </w:tr>
      <w:tr w:rsidR="00DB659A" w:rsidRPr="00D808EB" w14:paraId="7ABBF6A1"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087AF682"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704F838F" w14:textId="77777777" w:rsidR="00DB659A" w:rsidRPr="00D808EB" w:rsidRDefault="00DB659A" w:rsidP="00CC28AE">
            <w:pPr>
              <w:jc w:val="center"/>
              <w:rPr>
                <w:color w:val="000000"/>
                <w:sz w:val="22"/>
                <w:szCs w:val="22"/>
              </w:rPr>
            </w:pPr>
            <w:r w:rsidRPr="00D808EB">
              <w:rPr>
                <w:color w:val="000000"/>
                <w:sz w:val="22"/>
                <w:szCs w:val="22"/>
              </w:rPr>
              <w:t>05</w:t>
            </w:r>
          </w:p>
        </w:tc>
        <w:tc>
          <w:tcPr>
            <w:tcW w:w="256" w:type="pct"/>
            <w:tcBorders>
              <w:top w:val="nil"/>
              <w:left w:val="nil"/>
              <w:bottom w:val="single" w:sz="4" w:space="0" w:color="auto"/>
              <w:right w:val="single" w:sz="4" w:space="0" w:color="auto"/>
            </w:tcBorders>
            <w:shd w:val="clear" w:color="000000" w:fill="F2F2F2"/>
            <w:noWrap/>
            <w:vAlign w:val="center"/>
            <w:hideMark/>
          </w:tcPr>
          <w:p w14:paraId="3576F6D7"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000000" w:fill="F2F2F2"/>
            <w:noWrap/>
            <w:vAlign w:val="center"/>
            <w:hideMark/>
          </w:tcPr>
          <w:p w14:paraId="2FE8738B"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03A56262" w14:textId="77777777" w:rsidR="00DB659A" w:rsidRPr="00D808EB" w:rsidRDefault="00DB659A" w:rsidP="00CC28AE">
            <w:pPr>
              <w:rPr>
                <w:color w:val="000000"/>
                <w:sz w:val="22"/>
                <w:szCs w:val="22"/>
              </w:rPr>
            </w:pPr>
            <w:r w:rsidRPr="00D808EB">
              <w:rPr>
                <w:color w:val="000000"/>
                <w:sz w:val="22"/>
                <w:szCs w:val="22"/>
              </w:rPr>
              <w:t>The Pacific - Programmes</w:t>
            </w:r>
          </w:p>
        </w:tc>
      </w:tr>
      <w:tr w:rsidR="00DB659A" w:rsidRPr="00D808EB" w14:paraId="783A71EA"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17F18510"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278A72FB" w14:textId="77777777" w:rsidR="00DB659A" w:rsidRPr="00D808EB" w:rsidRDefault="00DB659A" w:rsidP="00CC28AE">
            <w:pPr>
              <w:jc w:val="center"/>
              <w:rPr>
                <w:color w:val="000000"/>
                <w:sz w:val="22"/>
                <w:szCs w:val="22"/>
              </w:rPr>
            </w:pPr>
            <w:r w:rsidRPr="00D808EB">
              <w:rPr>
                <w:color w:val="000000"/>
                <w:sz w:val="22"/>
                <w:szCs w:val="22"/>
              </w:rPr>
              <w:t>05</w:t>
            </w:r>
          </w:p>
        </w:tc>
        <w:tc>
          <w:tcPr>
            <w:tcW w:w="256" w:type="pct"/>
            <w:tcBorders>
              <w:top w:val="nil"/>
              <w:left w:val="nil"/>
              <w:bottom w:val="single" w:sz="4" w:space="0" w:color="auto"/>
              <w:right w:val="single" w:sz="4" w:space="0" w:color="auto"/>
            </w:tcBorders>
            <w:shd w:val="clear" w:color="000000" w:fill="F2F2F2"/>
            <w:noWrap/>
            <w:vAlign w:val="center"/>
            <w:hideMark/>
          </w:tcPr>
          <w:p w14:paraId="0569DB8F" w14:textId="77777777" w:rsidR="00DB659A" w:rsidRPr="00D808EB" w:rsidRDefault="00DB659A" w:rsidP="00CC28AE">
            <w:pPr>
              <w:jc w:val="center"/>
              <w:rPr>
                <w:color w:val="000000"/>
                <w:sz w:val="22"/>
                <w:szCs w:val="22"/>
              </w:rPr>
            </w:pPr>
            <w:r w:rsidRPr="00D808EB">
              <w:rPr>
                <w:color w:val="000000"/>
                <w:sz w:val="22"/>
                <w:szCs w:val="22"/>
              </w:rPr>
              <w:t>10</w:t>
            </w:r>
          </w:p>
        </w:tc>
        <w:tc>
          <w:tcPr>
            <w:tcW w:w="202" w:type="pct"/>
            <w:tcBorders>
              <w:top w:val="nil"/>
              <w:left w:val="nil"/>
              <w:bottom w:val="single" w:sz="4" w:space="0" w:color="auto"/>
              <w:right w:val="single" w:sz="4" w:space="0" w:color="auto"/>
            </w:tcBorders>
            <w:shd w:val="clear" w:color="000000" w:fill="F2F2F2"/>
            <w:noWrap/>
            <w:vAlign w:val="center"/>
            <w:hideMark/>
          </w:tcPr>
          <w:p w14:paraId="49189E4B"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07D7691" w14:textId="77777777" w:rsidR="00DB659A" w:rsidRPr="00D808EB" w:rsidRDefault="00DB659A" w:rsidP="00CC28AE">
            <w:pPr>
              <w:rPr>
                <w:color w:val="000000"/>
                <w:sz w:val="22"/>
                <w:szCs w:val="22"/>
              </w:rPr>
            </w:pPr>
            <w:r w:rsidRPr="00D808EB">
              <w:rPr>
                <w:color w:val="000000"/>
                <w:sz w:val="22"/>
                <w:szCs w:val="22"/>
              </w:rPr>
              <w:t>Asia and the Pacific - Crisis, peace and foreign policy needs</w:t>
            </w:r>
          </w:p>
        </w:tc>
      </w:tr>
      <w:tr w:rsidR="00DB659A" w:rsidRPr="00D808EB" w14:paraId="3B55DEBC"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53104A8"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748C9B89" w14:textId="77777777" w:rsidR="00DB659A" w:rsidRPr="00D808EB" w:rsidRDefault="00DB659A" w:rsidP="00CC28AE">
            <w:pPr>
              <w:jc w:val="center"/>
              <w:rPr>
                <w:color w:val="000000"/>
                <w:sz w:val="22"/>
                <w:szCs w:val="22"/>
              </w:rPr>
            </w:pPr>
            <w:r w:rsidRPr="00D808EB">
              <w:rPr>
                <w:color w:val="000000"/>
                <w:sz w:val="22"/>
                <w:szCs w:val="22"/>
              </w:rPr>
              <w:t>05</w:t>
            </w:r>
          </w:p>
        </w:tc>
        <w:tc>
          <w:tcPr>
            <w:tcW w:w="256" w:type="pct"/>
            <w:tcBorders>
              <w:top w:val="nil"/>
              <w:left w:val="nil"/>
              <w:bottom w:val="single" w:sz="4" w:space="0" w:color="auto"/>
              <w:right w:val="single" w:sz="4" w:space="0" w:color="auto"/>
            </w:tcBorders>
            <w:shd w:val="clear" w:color="000000" w:fill="F2F2F2"/>
            <w:noWrap/>
            <w:vAlign w:val="center"/>
            <w:hideMark/>
          </w:tcPr>
          <w:p w14:paraId="5137D65F" w14:textId="77777777" w:rsidR="00DB659A" w:rsidRPr="00D808EB" w:rsidRDefault="00DB659A" w:rsidP="00CC28AE">
            <w:pPr>
              <w:jc w:val="center"/>
              <w:rPr>
                <w:color w:val="000000"/>
                <w:sz w:val="22"/>
                <w:szCs w:val="22"/>
              </w:rPr>
            </w:pPr>
            <w:r w:rsidRPr="00D808EB">
              <w:rPr>
                <w:color w:val="000000"/>
                <w:sz w:val="22"/>
                <w:szCs w:val="22"/>
              </w:rPr>
              <w:t>11</w:t>
            </w:r>
          </w:p>
        </w:tc>
        <w:tc>
          <w:tcPr>
            <w:tcW w:w="202" w:type="pct"/>
            <w:tcBorders>
              <w:top w:val="nil"/>
              <w:left w:val="nil"/>
              <w:bottom w:val="single" w:sz="4" w:space="0" w:color="auto"/>
              <w:right w:val="single" w:sz="4" w:space="0" w:color="auto"/>
            </w:tcBorders>
            <w:shd w:val="clear" w:color="000000" w:fill="F2F2F2"/>
            <w:noWrap/>
            <w:vAlign w:val="center"/>
            <w:hideMark/>
          </w:tcPr>
          <w:p w14:paraId="6627E13D"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2F8BC20" w14:textId="77777777" w:rsidR="00DB659A" w:rsidRPr="00D808EB" w:rsidRDefault="00DB659A" w:rsidP="00CC28AE">
            <w:pPr>
              <w:rPr>
                <w:color w:val="000000"/>
                <w:sz w:val="22"/>
                <w:szCs w:val="22"/>
              </w:rPr>
            </w:pPr>
            <w:r w:rsidRPr="00D808EB">
              <w:rPr>
                <w:color w:val="000000"/>
                <w:sz w:val="22"/>
                <w:szCs w:val="22"/>
              </w:rPr>
              <w:t>Asia and the Pacific - Humanitarian Aid</w:t>
            </w:r>
          </w:p>
        </w:tc>
      </w:tr>
      <w:tr w:rsidR="00DB659A" w:rsidRPr="00D808EB" w14:paraId="5FF7A640"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84E943B"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299995A5" w14:textId="77777777" w:rsidR="00DB659A" w:rsidRPr="00D808EB" w:rsidRDefault="00DB659A" w:rsidP="00CC28AE">
            <w:pPr>
              <w:jc w:val="center"/>
              <w:rPr>
                <w:color w:val="000000"/>
                <w:sz w:val="22"/>
                <w:szCs w:val="22"/>
              </w:rPr>
            </w:pPr>
            <w:r w:rsidRPr="00D808EB">
              <w:rPr>
                <w:color w:val="000000"/>
                <w:sz w:val="22"/>
                <w:szCs w:val="22"/>
              </w:rPr>
              <w:t>05</w:t>
            </w:r>
          </w:p>
        </w:tc>
        <w:tc>
          <w:tcPr>
            <w:tcW w:w="256" w:type="pct"/>
            <w:tcBorders>
              <w:top w:val="nil"/>
              <w:left w:val="nil"/>
              <w:bottom w:val="single" w:sz="4" w:space="0" w:color="auto"/>
              <w:right w:val="single" w:sz="4" w:space="0" w:color="auto"/>
            </w:tcBorders>
            <w:shd w:val="clear" w:color="000000" w:fill="F2F2F2"/>
            <w:noWrap/>
            <w:vAlign w:val="center"/>
            <w:hideMark/>
          </w:tcPr>
          <w:p w14:paraId="040E983D" w14:textId="77777777" w:rsidR="00DB659A" w:rsidRPr="00D808EB" w:rsidRDefault="00DB659A" w:rsidP="00CC28AE">
            <w:pPr>
              <w:jc w:val="center"/>
              <w:rPr>
                <w:color w:val="000000"/>
                <w:sz w:val="22"/>
                <w:szCs w:val="22"/>
              </w:rPr>
            </w:pPr>
            <w:r w:rsidRPr="00D808EB">
              <w:rPr>
                <w:color w:val="000000"/>
                <w:sz w:val="22"/>
                <w:szCs w:val="22"/>
              </w:rPr>
              <w:t>12</w:t>
            </w:r>
          </w:p>
        </w:tc>
        <w:tc>
          <w:tcPr>
            <w:tcW w:w="202" w:type="pct"/>
            <w:tcBorders>
              <w:top w:val="nil"/>
              <w:left w:val="nil"/>
              <w:bottom w:val="single" w:sz="4" w:space="0" w:color="auto"/>
              <w:right w:val="single" w:sz="4" w:space="0" w:color="auto"/>
            </w:tcBorders>
            <w:shd w:val="clear" w:color="000000" w:fill="F2F2F2"/>
            <w:noWrap/>
            <w:vAlign w:val="center"/>
            <w:hideMark/>
          </w:tcPr>
          <w:p w14:paraId="3EF2FF9A"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0B448D91" w14:textId="77777777" w:rsidR="00DB659A" w:rsidRPr="00D808EB" w:rsidRDefault="00DB659A" w:rsidP="00CC28AE">
            <w:pPr>
              <w:rPr>
                <w:color w:val="000000"/>
                <w:sz w:val="22"/>
                <w:szCs w:val="22"/>
              </w:rPr>
            </w:pPr>
            <w:r w:rsidRPr="00D808EB">
              <w:rPr>
                <w:color w:val="000000"/>
                <w:sz w:val="22"/>
                <w:szCs w:val="22"/>
              </w:rPr>
              <w:t xml:space="preserve">Asia and the Pacific - Resilience </w:t>
            </w:r>
          </w:p>
        </w:tc>
      </w:tr>
      <w:tr w:rsidR="00DB659A" w:rsidRPr="00D808EB" w14:paraId="691C0959"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AB1D664"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537A9ECE" w14:textId="77777777" w:rsidR="00DB659A" w:rsidRPr="00D808EB" w:rsidRDefault="00DB659A" w:rsidP="00CC28AE">
            <w:pPr>
              <w:jc w:val="center"/>
              <w:rPr>
                <w:color w:val="000000"/>
                <w:sz w:val="22"/>
                <w:szCs w:val="22"/>
              </w:rPr>
            </w:pPr>
            <w:r w:rsidRPr="00D808EB">
              <w:rPr>
                <w:color w:val="000000"/>
                <w:sz w:val="22"/>
                <w:szCs w:val="22"/>
              </w:rPr>
              <w:t>05</w:t>
            </w:r>
          </w:p>
        </w:tc>
        <w:tc>
          <w:tcPr>
            <w:tcW w:w="256" w:type="pct"/>
            <w:tcBorders>
              <w:top w:val="nil"/>
              <w:left w:val="nil"/>
              <w:bottom w:val="single" w:sz="4" w:space="0" w:color="auto"/>
              <w:right w:val="single" w:sz="4" w:space="0" w:color="auto"/>
            </w:tcBorders>
            <w:shd w:val="clear" w:color="000000" w:fill="F2F2F2"/>
            <w:noWrap/>
            <w:vAlign w:val="center"/>
            <w:hideMark/>
          </w:tcPr>
          <w:p w14:paraId="222B34EE" w14:textId="77777777" w:rsidR="00DB659A" w:rsidRPr="00D808EB" w:rsidRDefault="00DB659A" w:rsidP="00CC28AE">
            <w:pPr>
              <w:jc w:val="center"/>
              <w:rPr>
                <w:color w:val="000000"/>
                <w:sz w:val="22"/>
                <w:szCs w:val="22"/>
              </w:rPr>
            </w:pPr>
            <w:r w:rsidRPr="00D808EB">
              <w:rPr>
                <w:color w:val="000000"/>
                <w:sz w:val="22"/>
                <w:szCs w:val="22"/>
              </w:rPr>
              <w:t>13</w:t>
            </w:r>
          </w:p>
        </w:tc>
        <w:tc>
          <w:tcPr>
            <w:tcW w:w="202" w:type="pct"/>
            <w:tcBorders>
              <w:top w:val="nil"/>
              <w:left w:val="nil"/>
              <w:bottom w:val="single" w:sz="4" w:space="0" w:color="auto"/>
              <w:right w:val="single" w:sz="4" w:space="0" w:color="auto"/>
            </w:tcBorders>
            <w:shd w:val="clear" w:color="000000" w:fill="F2F2F2"/>
            <w:noWrap/>
            <w:vAlign w:val="center"/>
            <w:hideMark/>
          </w:tcPr>
          <w:p w14:paraId="6E9A5E1B"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319353C" w14:textId="77777777" w:rsidR="00DB659A" w:rsidRPr="00D808EB" w:rsidRDefault="00DB659A" w:rsidP="00CC28AE">
            <w:pPr>
              <w:rPr>
                <w:color w:val="000000"/>
                <w:sz w:val="22"/>
                <w:szCs w:val="22"/>
              </w:rPr>
            </w:pPr>
            <w:r w:rsidRPr="00D808EB">
              <w:rPr>
                <w:color w:val="000000"/>
                <w:sz w:val="22"/>
                <w:szCs w:val="22"/>
              </w:rPr>
              <w:t>Asia and the Pacific - Competitiveness</w:t>
            </w:r>
          </w:p>
        </w:tc>
      </w:tr>
      <w:tr w:rsidR="00DB659A" w:rsidRPr="00D808EB" w14:paraId="630810DB"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39F9144"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4B94DA29" w14:textId="77777777" w:rsidR="00DB659A" w:rsidRPr="00D808EB" w:rsidRDefault="00DB659A" w:rsidP="00CC28AE">
            <w:pPr>
              <w:jc w:val="center"/>
              <w:rPr>
                <w:color w:val="000000"/>
                <w:sz w:val="22"/>
                <w:szCs w:val="22"/>
              </w:rPr>
            </w:pPr>
            <w:r w:rsidRPr="00D808EB">
              <w:rPr>
                <w:color w:val="000000"/>
                <w:sz w:val="22"/>
                <w:szCs w:val="22"/>
              </w:rPr>
              <w:t>05</w:t>
            </w:r>
          </w:p>
        </w:tc>
        <w:tc>
          <w:tcPr>
            <w:tcW w:w="256" w:type="pct"/>
            <w:tcBorders>
              <w:top w:val="nil"/>
              <w:left w:val="nil"/>
              <w:bottom w:val="single" w:sz="4" w:space="0" w:color="auto"/>
              <w:right w:val="single" w:sz="4" w:space="0" w:color="auto"/>
            </w:tcBorders>
            <w:shd w:val="clear" w:color="000000" w:fill="F2F2F2"/>
            <w:noWrap/>
            <w:vAlign w:val="center"/>
            <w:hideMark/>
          </w:tcPr>
          <w:p w14:paraId="2882257F" w14:textId="77777777" w:rsidR="00DB659A" w:rsidRPr="00D808EB" w:rsidRDefault="00DB659A" w:rsidP="00CC28AE">
            <w:pPr>
              <w:jc w:val="center"/>
              <w:rPr>
                <w:color w:val="000000"/>
                <w:sz w:val="22"/>
                <w:szCs w:val="22"/>
              </w:rPr>
            </w:pPr>
            <w:r w:rsidRPr="00D808EB">
              <w:rPr>
                <w:color w:val="000000"/>
                <w:sz w:val="22"/>
                <w:szCs w:val="22"/>
              </w:rPr>
              <w:t>14</w:t>
            </w:r>
          </w:p>
        </w:tc>
        <w:tc>
          <w:tcPr>
            <w:tcW w:w="202" w:type="pct"/>
            <w:tcBorders>
              <w:top w:val="nil"/>
              <w:left w:val="nil"/>
              <w:bottom w:val="single" w:sz="4" w:space="0" w:color="auto"/>
              <w:right w:val="single" w:sz="4" w:space="0" w:color="auto"/>
            </w:tcBorders>
            <w:shd w:val="clear" w:color="000000" w:fill="F2F2F2"/>
            <w:noWrap/>
            <w:vAlign w:val="center"/>
            <w:hideMark/>
          </w:tcPr>
          <w:p w14:paraId="23E5415F"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D0990E3" w14:textId="77777777" w:rsidR="00DB659A" w:rsidRPr="00D808EB" w:rsidRDefault="00DB659A" w:rsidP="00CC28AE">
            <w:pPr>
              <w:rPr>
                <w:color w:val="000000"/>
                <w:sz w:val="22"/>
                <w:szCs w:val="22"/>
              </w:rPr>
            </w:pPr>
            <w:r w:rsidRPr="00D808EB">
              <w:rPr>
                <w:color w:val="000000"/>
                <w:sz w:val="22"/>
                <w:szCs w:val="22"/>
              </w:rPr>
              <w:t>Asia and the Pacific - MFA grants</w:t>
            </w:r>
          </w:p>
        </w:tc>
      </w:tr>
      <w:tr w:rsidR="00DB659A" w:rsidRPr="00D808EB" w14:paraId="40EFB0E7"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77B8AD5"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6989EF15" w14:textId="77777777" w:rsidR="00DB659A" w:rsidRPr="00D808EB" w:rsidRDefault="00DB659A" w:rsidP="00CC28AE">
            <w:pPr>
              <w:jc w:val="center"/>
              <w:rPr>
                <w:color w:val="000000"/>
                <w:sz w:val="22"/>
                <w:szCs w:val="22"/>
              </w:rPr>
            </w:pPr>
            <w:r w:rsidRPr="00D808EB">
              <w:rPr>
                <w:color w:val="000000"/>
                <w:sz w:val="22"/>
                <w:szCs w:val="22"/>
              </w:rPr>
              <w:t>05</w:t>
            </w:r>
          </w:p>
        </w:tc>
        <w:tc>
          <w:tcPr>
            <w:tcW w:w="256" w:type="pct"/>
            <w:tcBorders>
              <w:top w:val="nil"/>
              <w:left w:val="nil"/>
              <w:bottom w:val="single" w:sz="4" w:space="0" w:color="auto"/>
              <w:right w:val="single" w:sz="4" w:space="0" w:color="auto"/>
            </w:tcBorders>
            <w:shd w:val="clear" w:color="000000" w:fill="F2F2F2"/>
            <w:noWrap/>
            <w:vAlign w:val="center"/>
            <w:hideMark/>
          </w:tcPr>
          <w:p w14:paraId="6BA5F36F" w14:textId="77777777" w:rsidR="00DB659A" w:rsidRPr="00D808EB" w:rsidRDefault="00DB659A" w:rsidP="00CC28AE">
            <w:pPr>
              <w:jc w:val="center"/>
              <w:rPr>
                <w:color w:val="000000"/>
                <w:sz w:val="22"/>
                <w:szCs w:val="22"/>
              </w:rPr>
            </w:pPr>
            <w:r w:rsidRPr="00D808EB">
              <w:rPr>
                <w:color w:val="000000"/>
                <w:sz w:val="22"/>
                <w:szCs w:val="22"/>
              </w:rPr>
              <w:t>20</w:t>
            </w:r>
          </w:p>
        </w:tc>
        <w:tc>
          <w:tcPr>
            <w:tcW w:w="202" w:type="pct"/>
            <w:tcBorders>
              <w:top w:val="nil"/>
              <w:left w:val="nil"/>
              <w:bottom w:val="single" w:sz="4" w:space="0" w:color="auto"/>
              <w:right w:val="single" w:sz="4" w:space="0" w:color="auto"/>
            </w:tcBorders>
            <w:shd w:val="clear" w:color="000000" w:fill="F2F2F2"/>
            <w:noWrap/>
            <w:vAlign w:val="center"/>
            <w:hideMark/>
          </w:tcPr>
          <w:p w14:paraId="5878DE5C"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FF76523" w14:textId="77777777" w:rsidR="00DB659A" w:rsidRPr="00D808EB" w:rsidRDefault="00DB659A" w:rsidP="00CC28AE">
            <w:pPr>
              <w:rPr>
                <w:color w:val="000000"/>
                <w:sz w:val="22"/>
                <w:szCs w:val="22"/>
              </w:rPr>
            </w:pPr>
            <w:r w:rsidRPr="00D808EB">
              <w:rPr>
                <w:color w:val="000000"/>
                <w:sz w:val="22"/>
                <w:szCs w:val="22"/>
              </w:rPr>
              <w:t>Asia and the Pacific - Provisioning of the Common Provisioning Fund</w:t>
            </w:r>
          </w:p>
        </w:tc>
      </w:tr>
      <w:tr w:rsidR="00DB659A" w:rsidRPr="00D808EB" w14:paraId="0821E40B"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466268CE"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D0D0D0"/>
            <w:noWrap/>
            <w:vAlign w:val="center"/>
            <w:hideMark/>
          </w:tcPr>
          <w:p w14:paraId="485B8D56" w14:textId="77777777" w:rsidR="00DB659A" w:rsidRPr="00D808EB" w:rsidRDefault="00DB659A" w:rsidP="00CC28AE">
            <w:pPr>
              <w:jc w:val="center"/>
              <w:rPr>
                <w:i/>
                <w:iCs/>
                <w:color w:val="000000"/>
                <w:sz w:val="22"/>
                <w:szCs w:val="22"/>
              </w:rPr>
            </w:pPr>
            <w:r w:rsidRPr="00D808EB">
              <w:rPr>
                <w:i/>
                <w:iCs/>
                <w:color w:val="000000"/>
                <w:sz w:val="22"/>
                <w:szCs w:val="22"/>
              </w:rPr>
              <w:t>06</w:t>
            </w:r>
          </w:p>
        </w:tc>
        <w:tc>
          <w:tcPr>
            <w:tcW w:w="256" w:type="pct"/>
            <w:tcBorders>
              <w:top w:val="nil"/>
              <w:left w:val="nil"/>
              <w:bottom w:val="single" w:sz="4" w:space="0" w:color="auto"/>
              <w:right w:val="single" w:sz="4" w:space="0" w:color="auto"/>
            </w:tcBorders>
            <w:shd w:val="clear" w:color="000000" w:fill="D0D0D0"/>
            <w:noWrap/>
            <w:vAlign w:val="center"/>
            <w:hideMark/>
          </w:tcPr>
          <w:p w14:paraId="7B4A08A9"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623B353A"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1475D966" w14:textId="77777777" w:rsidR="00DB659A" w:rsidRPr="00D808EB" w:rsidRDefault="00DB659A" w:rsidP="00CC28AE">
            <w:pPr>
              <w:rPr>
                <w:i/>
                <w:iCs/>
                <w:color w:val="000000"/>
                <w:sz w:val="22"/>
                <w:szCs w:val="22"/>
              </w:rPr>
            </w:pPr>
            <w:r w:rsidRPr="00D808EB">
              <w:rPr>
                <w:i/>
                <w:iCs/>
                <w:color w:val="000000"/>
                <w:sz w:val="22"/>
                <w:szCs w:val="22"/>
              </w:rPr>
              <w:t>Americas and the Caribbean Pillar</w:t>
            </w:r>
          </w:p>
        </w:tc>
      </w:tr>
      <w:tr w:rsidR="00DB659A" w:rsidRPr="00D808EB" w14:paraId="6E0C64C0"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17362023"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127BA3A7" w14:textId="77777777" w:rsidR="00DB659A" w:rsidRPr="00D808EB" w:rsidRDefault="00DB659A" w:rsidP="00CC28AE">
            <w:pPr>
              <w:jc w:val="center"/>
              <w:rPr>
                <w:color w:val="000000"/>
                <w:sz w:val="22"/>
                <w:szCs w:val="22"/>
              </w:rPr>
            </w:pPr>
            <w:r w:rsidRPr="00D808EB">
              <w:rPr>
                <w:color w:val="000000"/>
                <w:sz w:val="22"/>
                <w:szCs w:val="22"/>
              </w:rPr>
              <w:t>06</w:t>
            </w:r>
          </w:p>
        </w:tc>
        <w:tc>
          <w:tcPr>
            <w:tcW w:w="256" w:type="pct"/>
            <w:tcBorders>
              <w:top w:val="nil"/>
              <w:left w:val="nil"/>
              <w:bottom w:val="single" w:sz="4" w:space="0" w:color="auto"/>
              <w:right w:val="single" w:sz="4" w:space="0" w:color="auto"/>
            </w:tcBorders>
            <w:shd w:val="clear" w:color="000000" w:fill="F2F2F2"/>
            <w:noWrap/>
            <w:vAlign w:val="center"/>
            <w:hideMark/>
          </w:tcPr>
          <w:p w14:paraId="2C41F557"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796DE2DE"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07A55DCE" w14:textId="77777777" w:rsidR="00DB659A" w:rsidRPr="00D808EB" w:rsidRDefault="00DB659A" w:rsidP="00CC28AE">
            <w:pPr>
              <w:rPr>
                <w:color w:val="000000"/>
                <w:sz w:val="22"/>
                <w:szCs w:val="22"/>
              </w:rPr>
            </w:pPr>
            <w:r w:rsidRPr="00D808EB">
              <w:rPr>
                <w:color w:val="000000"/>
                <w:sz w:val="22"/>
                <w:szCs w:val="22"/>
              </w:rPr>
              <w:t>Americas - Programmes</w:t>
            </w:r>
          </w:p>
        </w:tc>
      </w:tr>
      <w:tr w:rsidR="00DB659A" w:rsidRPr="00D808EB" w14:paraId="3D4BD6B9"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C820D70"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544A6CE9" w14:textId="77777777" w:rsidR="00DB659A" w:rsidRPr="00D808EB" w:rsidRDefault="00DB659A" w:rsidP="00CC28AE">
            <w:pPr>
              <w:jc w:val="center"/>
              <w:rPr>
                <w:color w:val="000000"/>
                <w:sz w:val="22"/>
                <w:szCs w:val="22"/>
              </w:rPr>
            </w:pPr>
            <w:r w:rsidRPr="00D808EB">
              <w:rPr>
                <w:color w:val="000000"/>
                <w:sz w:val="22"/>
                <w:szCs w:val="22"/>
              </w:rPr>
              <w:t>06</w:t>
            </w:r>
          </w:p>
        </w:tc>
        <w:tc>
          <w:tcPr>
            <w:tcW w:w="256" w:type="pct"/>
            <w:tcBorders>
              <w:top w:val="nil"/>
              <w:left w:val="nil"/>
              <w:bottom w:val="single" w:sz="4" w:space="0" w:color="auto"/>
              <w:right w:val="single" w:sz="4" w:space="0" w:color="auto"/>
            </w:tcBorders>
            <w:shd w:val="clear" w:color="000000" w:fill="F2F2F2"/>
            <w:noWrap/>
            <w:vAlign w:val="center"/>
            <w:hideMark/>
          </w:tcPr>
          <w:p w14:paraId="4640FDC9"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4654EB60"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42D6962B" w14:textId="77777777" w:rsidR="00DB659A" w:rsidRPr="00D808EB" w:rsidRDefault="00DB659A" w:rsidP="00CC28AE">
            <w:pPr>
              <w:rPr>
                <w:color w:val="000000"/>
                <w:sz w:val="22"/>
                <w:szCs w:val="22"/>
              </w:rPr>
            </w:pPr>
            <w:r w:rsidRPr="00D808EB">
              <w:rPr>
                <w:color w:val="000000"/>
                <w:sz w:val="22"/>
                <w:szCs w:val="22"/>
              </w:rPr>
              <w:t>The Caribbean - Programmes</w:t>
            </w:r>
          </w:p>
        </w:tc>
      </w:tr>
      <w:tr w:rsidR="00DB659A" w:rsidRPr="00D808EB" w14:paraId="0790701D"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21794EA7"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45CB0F2B" w14:textId="77777777" w:rsidR="00DB659A" w:rsidRPr="00D808EB" w:rsidRDefault="00DB659A" w:rsidP="00CC28AE">
            <w:pPr>
              <w:jc w:val="center"/>
              <w:rPr>
                <w:color w:val="000000"/>
                <w:sz w:val="22"/>
                <w:szCs w:val="22"/>
              </w:rPr>
            </w:pPr>
            <w:r w:rsidRPr="00D808EB">
              <w:rPr>
                <w:color w:val="000000"/>
                <w:sz w:val="22"/>
                <w:szCs w:val="22"/>
              </w:rPr>
              <w:t>06</w:t>
            </w:r>
          </w:p>
        </w:tc>
        <w:tc>
          <w:tcPr>
            <w:tcW w:w="256" w:type="pct"/>
            <w:tcBorders>
              <w:top w:val="nil"/>
              <w:left w:val="nil"/>
              <w:bottom w:val="single" w:sz="4" w:space="0" w:color="auto"/>
              <w:right w:val="single" w:sz="4" w:space="0" w:color="auto"/>
            </w:tcBorders>
            <w:shd w:val="clear" w:color="000000" w:fill="F2F2F2"/>
            <w:noWrap/>
            <w:vAlign w:val="center"/>
            <w:hideMark/>
          </w:tcPr>
          <w:p w14:paraId="1A11CECC" w14:textId="77777777" w:rsidR="00DB659A" w:rsidRPr="00D808EB" w:rsidRDefault="00DB659A" w:rsidP="00CC28AE">
            <w:pPr>
              <w:jc w:val="center"/>
              <w:rPr>
                <w:color w:val="000000"/>
                <w:sz w:val="22"/>
                <w:szCs w:val="22"/>
              </w:rPr>
            </w:pPr>
            <w:r w:rsidRPr="00D808EB">
              <w:rPr>
                <w:color w:val="000000"/>
                <w:sz w:val="22"/>
                <w:szCs w:val="22"/>
              </w:rPr>
              <w:t>10</w:t>
            </w:r>
          </w:p>
        </w:tc>
        <w:tc>
          <w:tcPr>
            <w:tcW w:w="202" w:type="pct"/>
            <w:tcBorders>
              <w:top w:val="nil"/>
              <w:left w:val="nil"/>
              <w:bottom w:val="single" w:sz="4" w:space="0" w:color="auto"/>
              <w:right w:val="single" w:sz="4" w:space="0" w:color="auto"/>
            </w:tcBorders>
            <w:shd w:val="clear" w:color="000000" w:fill="F2F2F2"/>
            <w:noWrap/>
            <w:vAlign w:val="center"/>
            <w:hideMark/>
          </w:tcPr>
          <w:p w14:paraId="38372A59"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76061B0" w14:textId="77777777" w:rsidR="00DB659A" w:rsidRPr="00D808EB" w:rsidRDefault="00DB659A" w:rsidP="00CC28AE">
            <w:pPr>
              <w:rPr>
                <w:color w:val="000000"/>
                <w:sz w:val="22"/>
                <w:szCs w:val="22"/>
              </w:rPr>
            </w:pPr>
            <w:r w:rsidRPr="00D808EB">
              <w:rPr>
                <w:color w:val="000000"/>
                <w:sz w:val="22"/>
                <w:szCs w:val="22"/>
              </w:rPr>
              <w:t>Americas and the Caribbean - Crisis, peace and foreign policy needs</w:t>
            </w:r>
          </w:p>
        </w:tc>
      </w:tr>
      <w:tr w:rsidR="00DB659A" w:rsidRPr="00D808EB" w14:paraId="48A243AC"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B29AD79"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18F0E9DB" w14:textId="77777777" w:rsidR="00DB659A" w:rsidRPr="00D808EB" w:rsidRDefault="00DB659A" w:rsidP="00CC28AE">
            <w:pPr>
              <w:jc w:val="center"/>
              <w:rPr>
                <w:color w:val="000000"/>
                <w:sz w:val="22"/>
                <w:szCs w:val="22"/>
              </w:rPr>
            </w:pPr>
            <w:r w:rsidRPr="00D808EB">
              <w:rPr>
                <w:color w:val="000000"/>
                <w:sz w:val="22"/>
                <w:szCs w:val="22"/>
              </w:rPr>
              <w:t>06</w:t>
            </w:r>
          </w:p>
        </w:tc>
        <w:tc>
          <w:tcPr>
            <w:tcW w:w="256" w:type="pct"/>
            <w:tcBorders>
              <w:top w:val="nil"/>
              <w:left w:val="nil"/>
              <w:bottom w:val="single" w:sz="4" w:space="0" w:color="auto"/>
              <w:right w:val="single" w:sz="4" w:space="0" w:color="auto"/>
            </w:tcBorders>
            <w:shd w:val="clear" w:color="000000" w:fill="F2F2F2"/>
            <w:noWrap/>
            <w:vAlign w:val="center"/>
            <w:hideMark/>
          </w:tcPr>
          <w:p w14:paraId="6D482370" w14:textId="77777777" w:rsidR="00DB659A" w:rsidRPr="00D808EB" w:rsidRDefault="00DB659A" w:rsidP="00CC28AE">
            <w:pPr>
              <w:jc w:val="center"/>
              <w:rPr>
                <w:color w:val="000000"/>
                <w:sz w:val="22"/>
                <w:szCs w:val="22"/>
              </w:rPr>
            </w:pPr>
            <w:r w:rsidRPr="00D808EB">
              <w:rPr>
                <w:color w:val="000000"/>
                <w:sz w:val="22"/>
                <w:szCs w:val="22"/>
              </w:rPr>
              <w:t>11</w:t>
            </w:r>
          </w:p>
        </w:tc>
        <w:tc>
          <w:tcPr>
            <w:tcW w:w="202" w:type="pct"/>
            <w:tcBorders>
              <w:top w:val="nil"/>
              <w:left w:val="nil"/>
              <w:bottom w:val="single" w:sz="4" w:space="0" w:color="auto"/>
              <w:right w:val="single" w:sz="4" w:space="0" w:color="auto"/>
            </w:tcBorders>
            <w:shd w:val="clear" w:color="000000" w:fill="F2F2F2"/>
            <w:noWrap/>
            <w:vAlign w:val="center"/>
            <w:hideMark/>
          </w:tcPr>
          <w:p w14:paraId="03847853"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0C08CCB7" w14:textId="77777777" w:rsidR="00DB659A" w:rsidRPr="00D808EB" w:rsidRDefault="00DB659A" w:rsidP="00CC28AE">
            <w:pPr>
              <w:rPr>
                <w:color w:val="000000"/>
                <w:sz w:val="22"/>
                <w:szCs w:val="22"/>
              </w:rPr>
            </w:pPr>
            <w:r w:rsidRPr="00D808EB">
              <w:rPr>
                <w:color w:val="000000"/>
                <w:sz w:val="22"/>
                <w:szCs w:val="22"/>
              </w:rPr>
              <w:t>Americas and the Caribbean - Humanitarian Aid</w:t>
            </w:r>
          </w:p>
        </w:tc>
      </w:tr>
      <w:tr w:rsidR="00DB659A" w:rsidRPr="00D808EB" w14:paraId="7C044314"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140B0A5C"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06991BFB" w14:textId="77777777" w:rsidR="00DB659A" w:rsidRPr="00D808EB" w:rsidRDefault="00DB659A" w:rsidP="00CC28AE">
            <w:pPr>
              <w:jc w:val="center"/>
              <w:rPr>
                <w:color w:val="000000"/>
                <w:sz w:val="22"/>
                <w:szCs w:val="22"/>
              </w:rPr>
            </w:pPr>
            <w:r w:rsidRPr="00D808EB">
              <w:rPr>
                <w:color w:val="000000"/>
                <w:sz w:val="22"/>
                <w:szCs w:val="22"/>
              </w:rPr>
              <w:t>06</w:t>
            </w:r>
          </w:p>
        </w:tc>
        <w:tc>
          <w:tcPr>
            <w:tcW w:w="256" w:type="pct"/>
            <w:tcBorders>
              <w:top w:val="nil"/>
              <w:left w:val="nil"/>
              <w:bottom w:val="single" w:sz="4" w:space="0" w:color="auto"/>
              <w:right w:val="single" w:sz="4" w:space="0" w:color="auto"/>
            </w:tcBorders>
            <w:shd w:val="clear" w:color="000000" w:fill="F2F2F2"/>
            <w:noWrap/>
            <w:vAlign w:val="center"/>
            <w:hideMark/>
          </w:tcPr>
          <w:p w14:paraId="3AD31445" w14:textId="77777777" w:rsidR="00DB659A" w:rsidRPr="00D808EB" w:rsidRDefault="00DB659A" w:rsidP="00CC28AE">
            <w:pPr>
              <w:jc w:val="center"/>
              <w:rPr>
                <w:color w:val="000000"/>
                <w:sz w:val="22"/>
                <w:szCs w:val="22"/>
              </w:rPr>
            </w:pPr>
            <w:r w:rsidRPr="00D808EB">
              <w:rPr>
                <w:color w:val="000000"/>
                <w:sz w:val="22"/>
                <w:szCs w:val="22"/>
              </w:rPr>
              <w:t>12</w:t>
            </w:r>
          </w:p>
        </w:tc>
        <w:tc>
          <w:tcPr>
            <w:tcW w:w="202" w:type="pct"/>
            <w:tcBorders>
              <w:top w:val="nil"/>
              <w:left w:val="nil"/>
              <w:bottom w:val="single" w:sz="4" w:space="0" w:color="auto"/>
              <w:right w:val="single" w:sz="4" w:space="0" w:color="auto"/>
            </w:tcBorders>
            <w:shd w:val="clear" w:color="000000" w:fill="F2F2F2"/>
            <w:noWrap/>
            <w:vAlign w:val="center"/>
            <w:hideMark/>
          </w:tcPr>
          <w:p w14:paraId="4EBD7BB9"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6404E2F" w14:textId="77777777" w:rsidR="00DB659A" w:rsidRPr="00D808EB" w:rsidRDefault="00DB659A" w:rsidP="00CC28AE">
            <w:pPr>
              <w:rPr>
                <w:color w:val="000000"/>
                <w:sz w:val="22"/>
                <w:szCs w:val="22"/>
              </w:rPr>
            </w:pPr>
            <w:r w:rsidRPr="00D808EB">
              <w:rPr>
                <w:color w:val="000000"/>
                <w:sz w:val="22"/>
                <w:szCs w:val="22"/>
              </w:rPr>
              <w:t>Americas and the Caribbean - Resilience</w:t>
            </w:r>
          </w:p>
        </w:tc>
      </w:tr>
      <w:tr w:rsidR="00DB659A" w:rsidRPr="00D808EB" w14:paraId="3A26712C"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A8E4695"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4F36A6C2" w14:textId="77777777" w:rsidR="00DB659A" w:rsidRPr="00D808EB" w:rsidRDefault="00DB659A" w:rsidP="00CC28AE">
            <w:pPr>
              <w:jc w:val="center"/>
              <w:rPr>
                <w:color w:val="000000"/>
                <w:sz w:val="22"/>
                <w:szCs w:val="22"/>
              </w:rPr>
            </w:pPr>
            <w:r w:rsidRPr="00D808EB">
              <w:rPr>
                <w:color w:val="000000"/>
                <w:sz w:val="22"/>
                <w:szCs w:val="22"/>
              </w:rPr>
              <w:t>06</w:t>
            </w:r>
          </w:p>
        </w:tc>
        <w:tc>
          <w:tcPr>
            <w:tcW w:w="256" w:type="pct"/>
            <w:tcBorders>
              <w:top w:val="nil"/>
              <w:left w:val="nil"/>
              <w:bottom w:val="single" w:sz="4" w:space="0" w:color="auto"/>
              <w:right w:val="single" w:sz="4" w:space="0" w:color="auto"/>
            </w:tcBorders>
            <w:shd w:val="clear" w:color="000000" w:fill="F2F2F2"/>
            <w:noWrap/>
            <w:vAlign w:val="center"/>
            <w:hideMark/>
          </w:tcPr>
          <w:p w14:paraId="7EA83824" w14:textId="77777777" w:rsidR="00DB659A" w:rsidRPr="00D808EB" w:rsidRDefault="00DB659A" w:rsidP="00CC28AE">
            <w:pPr>
              <w:jc w:val="center"/>
              <w:rPr>
                <w:color w:val="000000"/>
                <w:sz w:val="22"/>
                <w:szCs w:val="22"/>
              </w:rPr>
            </w:pPr>
            <w:r w:rsidRPr="00D808EB">
              <w:rPr>
                <w:color w:val="000000"/>
                <w:sz w:val="22"/>
                <w:szCs w:val="22"/>
              </w:rPr>
              <w:t>13</w:t>
            </w:r>
          </w:p>
        </w:tc>
        <w:tc>
          <w:tcPr>
            <w:tcW w:w="202" w:type="pct"/>
            <w:tcBorders>
              <w:top w:val="nil"/>
              <w:left w:val="nil"/>
              <w:bottom w:val="single" w:sz="4" w:space="0" w:color="auto"/>
              <w:right w:val="single" w:sz="4" w:space="0" w:color="auto"/>
            </w:tcBorders>
            <w:shd w:val="clear" w:color="000000" w:fill="F2F2F2"/>
            <w:noWrap/>
            <w:vAlign w:val="center"/>
            <w:hideMark/>
          </w:tcPr>
          <w:p w14:paraId="167EAADA"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146D24B8" w14:textId="77777777" w:rsidR="00DB659A" w:rsidRPr="00D808EB" w:rsidRDefault="00DB659A" w:rsidP="00CC28AE">
            <w:pPr>
              <w:rPr>
                <w:color w:val="000000"/>
                <w:sz w:val="22"/>
                <w:szCs w:val="22"/>
              </w:rPr>
            </w:pPr>
            <w:r w:rsidRPr="00D808EB">
              <w:rPr>
                <w:color w:val="000000"/>
                <w:sz w:val="22"/>
                <w:szCs w:val="22"/>
              </w:rPr>
              <w:t>Americas and the Caribbean - Competitiveness</w:t>
            </w:r>
          </w:p>
        </w:tc>
      </w:tr>
      <w:tr w:rsidR="00DB659A" w:rsidRPr="00D808EB" w14:paraId="71E009C4"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FD08604"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2DB229E9" w14:textId="77777777" w:rsidR="00DB659A" w:rsidRPr="00D808EB" w:rsidRDefault="00DB659A" w:rsidP="00CC28AE">
            <w:pPr>
              <w:jc w:val="center"/>
              <w:rPr>
                <w:color w:val="000000"/>
                <w:sz w:val="22"/>
                <w:szCs w:val="22"/>
              </w:rPr>
            </w:pPr>
            <w:r w:rsidRPr="00D808EB">
              <w:rPr>
                <w:color w:val="000000"/>
                <w:sz w:val="22"/>
                <w:szCs w:val="22"/>
              </w:rPr>
              <w:t>06</w:t>
            </w:r>
          </w:p>
        </w:tc>
        <w:tc>
          <w:tcPr>
            <w:tcW w:w="256" w:type="pct"/>
            <w:tcBorders>
              <w:top w:val="nil"/>
              <w:left w:val="nil"/>
              <w:bottom w:val="single" w:sz="4" w:space="0" w:color="auto"/>
              <w:right w:val="single" w:sz="4" w:space="0" w:color="auto"/>
            </w:tcBorders>
            <w:shd w:val="clear" w:color="000000" w:fill="F2F2F2"/>
            <w:noWrap/>
            <w:vAlign w:val="center"/>
            <w:hideMark/>
          </w:tcPr>
          <w:p w14:paraId="26FE9D32" w14:textId="77777777" w:rsidR="00DB659A" w:rsidRPr="00D808EB" w:rsidRDefault="00DB659A" w:rsidP="00CC28AE">
            <w:pPr>
              <w:jc w:val="center"/>
              <w:rPr>
                <w:color w:val="000000"/>
                <w:sz w:val="22"/>
                <w:szCs w:val="22"/>
              </w:rPr>
            </w:pPr>
            <w:r w:rsidRPr="00D808EB">
              <w:rPr>
                <w:color w:val="000000"/>
                <w:sz w:val="22"/>
                <w:szCs w:val="22"/>
              </w:rPr>
              <w:t>14</w:t>
            </w:r>
          </w:p>
        </w:tc>
        <w:tc>
          <w:tcPr>
            <w:tcW w:w="202" w:type="pct"/>
            <w:tcBorders>
              <w:top w:val="nil"/>
              <w:left w:val="nil"/>
              <w:bottom w:val="single" w:sz="4" w:space="0" w:color="auto"/>
              <w:right w:val="single" w:sz="4" w:space="0" w:color="auto"/>
            </w:tcBorders>
            <w:shd w:val="clear" w:color="000000" w:fill="F2F2F2"/>
            <w:noWrap/>
            <w:vAlign w:val="center"/>
            <w:hideMark/>
          </w:tcPr>
          <w:p w14:paraId="10E160EE"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150552A" w14:textId="77777777" w:rsidR="00DB659A" w:rsidRPr="00D808EB" w:rsidRDefault="00DB659A" w:rsidP="00CC28AE">
            <w:pPr>
              <w:rPr>
                <w:color w:val="000000"/>
                <w:sz w:val="22"/>
                <w:szCs w:val="22"/>
              </w:rPr>
            </w:pPr>
            <w:r w:rsidRPr="00D808EB">
              <w:rPr>
                <w:color w:val="000000"/>
                <w:sz w:val="22"/>
                <w:szCs w:val="22"/>
              </w:rPr>
              <w:t>Americas and the Caribbean - MFA grants</w:t>
            </w:r>
          </w:p>
        </w:tc>
      </w:tr>
      <w:tr w:rsidR="00DB659A" w:rsidRPr="00D808EB" w14:paraId="7C3E8F9F"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AE3986B"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485B1038" w14:textId="77777777" w:rsidR="00DB659A" w:rsidRPr="00D808EB" w:rsidRDefault="00DB659A" w:rsidP="00CC28AE">
            <w:pPr>
              <w:jc w:val="center"/>
              <w:rPr>
                <w:color w:val="000000"/>
                <w:sz w:val="22"/>
                <w:szCs w:val="22"/>
              </w:rPr>
            </w:pPr>
            <w:r w:rsidRPr="00D808EB">
              <w:rPr>
                <w:color w:val="000000"/>
                <w:sz w:val="22"/>
                <w:szCs w:val="22"/>
              </w:rPr>
              <w:t>06</w:t>
            </w:r>
          </w:p>
        </w:tc>
        <w:tc>
          <w:tcPr>
            <w:tcW w:w="256" w:type="pct"/>
            <w:tcBorders>
              <w:top w:val="nil"/>
              <w:left w:val="nil"/>
              <w:bottom w:val="single" w:sz="4" w:space="0" w:color="auto"/>
              <w:right w:val="single" w:sz="4" w:space="0" w:color="auto"/>
            </w:tcBorders>
            <w:shd w:val="clear" w:color="000000" w:fill="F2F2F2"/>
            <w:noWrap/>
            <w:vAlign w:val="center"/>
            <w:hideMark/>
          </w:tcPr>
          <w:p w14:paraId="688A1BE4" w14:textId="77777777" w:rsidR="00DB659A" w:rsidRPr="00D808EB" w:rsidRDefault="00DB659A" w:rsidP="00CC28AE">
            <w:pPr>
              <w:jc w:val="center"/>
              <w:rPr>
                <w:color w:val="000000"/>
                <w:sz w:val="22"/>
                <w:szCs w:val="22"/>
              </w:rPr>
            </w:pPr>
            <w:r w:rsidRPr="00D808EB">
              <w:rPr>
                <w:color w:val="000000"/>
                <w:sz w:val="22"/>
                <w:szCs w:val="22"/>
              </w:rPr>
              <w:t>20</w:t>
            </w:r>
          </w:p>
        </w:tc>
        <w:tc>
          <w:tcPr>
            <w:tcW w:w="202" w:type="pct"/>
            <w:tcBorders>
              <w:top w:val="nil"/>
              <w:left w:val="nil"/>
              <w:bottom w:val="single" w:sz="4" w:space="0" w:color="auto"/>
              <w:right w:val="single" w:sz="4" w:space="0" w:color="auto"/>
            </w:tcBorders>
            <w:shd w:val="clear" w:color="000000" w:fill="F2F2F2"/>
            <w:noWrap/>
            <w:vAlign w:val="center"/>
            <w:hideMark/>
          </w:tcPr>
          <w:p w14:paraId="155CFB15"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B1914C5" w14:textId="77777777" w:rsidR="00DB659A" w:rsidRPr="00D808EB" w:rsidRDefault="00DB659A" w:rsidP="00CC28AE">
            <w:pPr>
              <w:rPr>
                <w:color w:val="000000"/>
                <w:sz w:val="22"/>
                <w:szCs w:val="22"/>
              </w:rPr>
            </w:pPr>
            <w:r w:rsidRPr="00D808EB">
              <w:rPr>
                <w:color w:val="000000"/>
                <w:sz w:val="22"/>
                <w:szCs w:val="22"/>
              </w:rPr>
              <w:t>Americas and the Caribbean - Provisioning of the Common Provisioning Fund</w:t>
            </w:r>
          </w:p>
        </w:tc>
      </w:tr>
      <w:tr w:rsidR="00DB659A" w:rsidRPr="00D808EB" w14:paraId="1799035E"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0718C099"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D0D0D0"/>
            <w:noWrap/>
            <w:vAlign w:val="center"/>
            <w:hideMark/>
          </w:tcPr>
          <w:p w14:paraId="5BA16E8B"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56" w:type="pct"/>
            <w:tcBorders>
              <w:top w:val="nil"/>
              <w:left w:val="nil"/>
              <w:bottom w:val="single" w:sz="4" w:space="0" w:color="auto"/>
              <w:right w:val="single" w:sz="4" w:space="0" w:color="auto"/>
            </w:tcBorders>
            <w:shd w:val="clear" w:color="000000" w:fill="D0D0D0"/>
            <w:noWrap/>
            <w:vAlign w:val="center"/>
            <w:hideMark/>
          </w:tcPr>
          <w:p w14:paraId="5B1AB6D7"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2AE548F9"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392D3D64" w14:textId="77777777" w:rsidR="00DB659A" w:rsidRPr="00D808EB" w:rsidRDefault="00DB659A" w:rsidP="00CC28AE">
            <w:pPr>
              <w:rPr>
                <w:i/>
                <w:iCs/>
                <w:color w:val="000000"/>
                <w:sz w:val="22"/>
                <w:szCs w:val="22"/>
              </w:rPr>
            </w:pPr>
            <w:r w:rsidRPr="00D808EB">
              <w:rPr>
                <w:i/>
                <w:iCs/>
                <w:color w:val="000000"/>
                <w:sz w:val="22"/>
                <w:szCs w:val="22"/>
              </w:rPr>
              <w:t>Global Pillar</w:t>
            </w:r>
          </w:p>
        </w:tc>
      </w:tr>
      <w:tr w:rsidR="00DB659A" w:rsidRPr="00D808EB" w14:paraId="0AF7EC19"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422DF0C"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28D3CE84" w14:textId="77777777" w:rsidR="00DB659A" w:rsidRPr="00D808EB" w:rsidRDefault="00DB659A" w:rsidP="00CC28AE">
            <w:pPr>
              <w:jc w:val="center"/>
              <w:rPr>
                <w:color w:val="000000"/>
                <w:sz w:val="22"/>
                <w:szCs w:val="22"/>
              </w:rPr>
            </w:pPr>
            <w:r w:rsidRPr="00D808EB">
              <w:rPr>
                <w:color w:val="000000"/>
                <w:sz w:val="22"/>
                <w:szCs w:val="22"/>
              </w:rPr>
              <w:t>07</w:t>
            </w:r>
          </w:p>
        </w:tc>
        <w:tc>
          <w:tcPr>
            <w:tcW w:w="256" w:type="pct"/>
            <w:tcBorders>
              <w:top w:val="nil"/>
              <w:left w:val="nil"/>
              <w:bottom w:val="single" w:sz="4" w:space="0" w:color="auto"/>
              <w:right w:val="single" w:sz="4" w:space="0" w:color="auto"/>
            </w:tcBorders>
            <w:shd w:val="clear" w:color="000000" w:fill="F2F2F2"/>
            <w:noWrap/>
            <w:vAlign w:val="center"/>
            <w:hideMark/>
          </w:tcPr>
          <w:p w14:paraId="60A65ACB"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68F60A77"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41FC6693" w14:textId="77777777" w:rsidR="00DB659A" w:rsidRPr="00D808EB" w:rsidRDefault="00DB659A" w:rsidP="00CC28AE">
            <w:pPr>
              <w:rPr>
                <w:color w:val="000000"/>
                <w:sz w:val="22"/>
                <w:szCs w:val="22"/>
              </w:rPr>
            </w:pPr>
            <w:r w:rsidRPr="00D808EB">
              <w:rPr>
                <w:color w:val="000000"/>
                <w:sz w:val="22"/>
                <w:szCs w:val="22"/>
              </w:rPr>
              <w:t>Global Programmes</w:t>
            </w:r>
          </w:p>
        </w:tc>
      </w:tr>
      <w:tr w:rsidR="00DB659A" w:rsidRPr="00D808EB" w14:paraId="323A3ED0"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42934A0"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1BD4CB26" w14:textId="77777777" w:rsidR="00DB659A" w:rsidRPr="00D808EB" w:rsidRDefault="00DB659A" w:rsidP="00CC28AE">
            <w:pPr>
              <w:jc w:val="center"/>
              <w:rPr>
                <w:color w:val="000000"/>
                <w:sz w:val="22"/>
                <w:szCs w:val="22"/>
              </w:rPr>
            </w:pPr>
            <w:r w:rsidRPr="00D808EB">
              <w:rPr>
                <w:color w:val="000000"/>
                <w:sz w:val="22"/>
                <w:szCs w:val="22"/>
              </w:rPr>
              <w:t>07</w:t>
            </w:r>
          </w:p>
        </w:tc>
        <w:tc>
          <w:tcPr>
            <w:tcW w:w="256" w:type="pct"/>
            <w:tcBorders>
              <w:top w:val="nil"/>
              <w:left w:val="nil"/>
              <w:bottom w:val="single" w:sz="4" w:space="0" w:color="auto"/>
              <w:right w:val="single" w:sz="4" w:space="0" w:color="auto"/>
            </w:tcBorders>
            <w:shd w:val="clear" w:color="000000" w:fill="F2F2F2"/>
            <w:noWrap/>
            <w:vAlign w:val="center"/>
            <w:hideMark/>
          </w:tcPr>
          <w:p w14:paraId="4D822F4B" w14:textId="77777777" w:rsidR="00DB659A" w:rsidRPr="00D808EB" w:rsidRDefault="00DB659A" w:rsidP="00CC28AE">
            <w:pPr>
              <w:jc w:val="center"/>
              <w:rPr>
                <w:color w:val="000000"/>
                <w:sz w:val="22"/>
                <w:szCs w:val="22"/>
              </w:rPr>
            </w:pPr>
            <w:r w:rsidRPr="00D808EB">
              <w:rPr>
                <w:color w:val="000000"/>
                <w:sz w:val="22"/>
                <w:szCs w:val="22"/>
              </w:rPr>
              <w:t>10</w:t>
            </w:r>
          </w:p>
        </w:tc>
        <w:tc>
          <w:tcPr>
            <w:tcW w:w="202" w:type="pct"/>
            <w:tcBorders>
              <w:top w:val="nil"/>
              <w:left w:val="nil"/>
              <w:bottom w:val="single" w:sz="4" w:space="0" w:color="auto"/>
              <w:right w:val="single" w:sz="4" w:space="0" w:color="auto"/>
            </w:tcBorders>
            <w:shd w:val="clear" w:color="000000" w:fill="F2F2F2"/>
            <w:noWrap/>
            <w:vAlign w:val="center"/>
            <w:hideMark/>
          </w:tcPr>
          <w:p w14:paraId="165D3CD2"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11F2FF56" w14:textId="77777777" w:rsidR="00DB659A" w:rsidRPr="00D808EB" w:rsidRDefault="00DB659A" w:rsidP="00CC28AE">
            <w:pPr>
              <w:rPr>
                <w:color w:val="000000"/>
                <w:sz w:val="22"/>
                <w:szCs w:val="22"/>
              </w:rPr>
            </w:pPr>
            <w:r w:rsidRPr="00D808EB">
              <w:rPr>
                <w:color w:val="000000"/>
                <w:sz w:val="22"/>
                <w:szCs w:val="22"/>
              </w:rPr>
              <w:t>Global - Crisis, peace and foreign policy needs</w:t>
            </w:r>
          </w:p>
        </w:tc>
      </w:tr>
      <w:tr w:rsidR="00DB659A" w:rsidRPr="00D808EB" w14:paraId="33CF85EC"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F8890B8"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3524D6E9" w14:textId="77777777" w:rsidR="00DB659A" w:rsidRPr="00D808EB" w:rsidRDefault="00DB659A" w:rsidP="00CC28AE">
            <w:pPr>
              <w:jc w:val="center"/>
              <w:rPr>
                <w:color w:val="000000"/>
                <w:sz w:val="22"/>
                <w:szCs w:val="22"/>
              </w:rPr>
            </w:pPr>
            <w:r w:rsidRPr="00D808EB">
              <w:rPr>
                <w:color w:val="000000"/>
                <w:sz w:val="22"/>
                <w:szCs w:val="22"/>
              </w:rPr>
              <w:t>07</w:t>
            </w:r>
          </w:p>
        </w:tc>
        <w:tc>
          <w:tcPr>
            <w:tcW w:w="256" w:type="pct"/>
            <w:tcBorders>
              <w:top w:val="nil"/>
              <w:left w:val="nil"/>
              <w:bottom w:val="single" w:sz="4" w:space="0" w:color="auto"/>
              <w:right w:val="single" w:sz="4" w:space="0" w:color="auto"/>
            </w:tcBorders>
            <w:shd w:val="clear" w:color="000000" w:fill="F2F2F2"/>
            <w:noWrap/>
            <w:vAlign w:val="center"/>
            <w:hideMark/>
          </w:tcPr>
          <w:p w14:paraId="61556A0E" w14:textId="77777777" w:rsidR="00DB659A" w:rsidRPr="00D808EB" w:rsidRDefault="00DB659A" w:rsidP="00CC28AE">
            <w:pPr>
              <w:jc w:val="center"/>
              <w:rPr>
                <w:color w:val="000000"/>
                <w:sz w:val="22"/>
                <w:szCs w:val="22"/>
              </w:rPr>
            </w:pPr>
            <w:r w:rsidRPr="00D808EB">
              <w:rPr>
                <w:color w:val="000000"/>
                <w:sz w:val="22"/>
                <w:szCs w:val="22"/>
              </w:rPr>
              <w:t>11</w:t>
            </w:r>
          </w:p>
        </w:tc>
        <w:tc>
          <w:tcPr>
            <w:tcW w:w="202" w:type="pct"/>
            <w:tcBorders>
              <w:top w:val="nil"/>
              <w:left w:val="nil"/>
              <w:bottom w:val="single" w:sz="4" w:space="0" w:color="auto"/>
              <w:right w:val="single" w:sz="4" w:space="0" w:color="auto"/>
            </w:tcBorders>
            <w:shd w:val="clear" w:color="000000" w:fill="F2F2F2"/>
            <w:noWrap/>
            <w:vAlign w:val="center"/>
            <w:hideMark/>
          </w:tcPr>
          <w:p w14:paraId="24D28AE2"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3C26B3E1" w14:textId="77777777" w:rsidR="00DB659A" w:rsidRPr="00D808EB" w:rsidRDefault="00DB659A" w:rsidP="00CC28AE">
            <w:pPr>
              <w:rPr>
                <w:color w:val="000000"/>
                <w:sz w:val="22"/>
                <w:szCs w:val="22"/>
              </w:rPr>
            </w:pPr>
            <w:r w:rsidRPr="00D808EB">
              <w:rPr>
                <w:color w:val="000000"/>
                <w:sz w:val="22"/>
                <w:szCs w:val="22"/>
              </w:rPr>
              <w:t>Global - Humanitarian aid</w:t>
            </w:r>
          </w:p>
        </w:tc>
      </w:tr>
      <w:tr w:rsidR="00DB659A" w:rsidRPr="00D808EB" w14:paraId="64C6483D"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B5177A4"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3F679E4D" w14:textId="77777777" w:rsidR="00DB659A" w:rsidRPr="00D808EB" w:rsidRDefault="00DB659A" w:rsidP="00CC28AE">
            <w:pPr>
              <w:jc w:val="center"/>
              <w:rPr>
                <w:color w:val="000000"/>
                <w:sz w:val="22"/>
                <w:szCs w:val="22"/>
              </w:rPr>
            </w:pPr>
            <w:r w:rsidRPr="00D808EB">
              <w:rPr>
                <w:color w:val="000000"/>
                <w:sz w:val="22"/>
                <w:szCs w:val="22"/>
              </w:rPr>
              <w:t>07</w:t>
            </w:r>
          </w:p>
        </w:tc>
        <w:tc>
          <w:tcPr>
            <w:tcW w:w="256" w:type="pct"/>
            <w:tcBorders>
              <w:top w:val="nil"/>
              <w:left w:val="nil"/>
              <w:bottom w:val="single" w:sz="4" w:space="0" w:color="auto"/>
              <w:right w:val="single" w:sz="4" w:space="0" w:color="auto"/>
            </w:tcBorders>
            <w:shd w:val="clear" w:color="000000" w:fill="F2F2F2"/>
            <w:noWrap/>
            <w:vAlign w:val="center"/>
            <w:hideMark/>
          </w:tcPr>
          <w:p w14:paraId="0530D401" w14:textId="77777777" w:rsidR="00DB659A" w:rsidRPr="00D808EB" w:rsidRDefault="00DB659A" w:rsidP="00CC28AE">
            <w:pPr>
              <w:jc w:val="center"/>
              <w:rPr>
                <w:color w:val="000000"/>
                <w:sz w:val="22"/>
                <w:szCs w:val="22"/>
              </w:rPr>
            </w:pPr>
            <w:r w:rsidRPr="00D808EB">
              <w:rPr>
                <w:color w:val="000000"/>
                <w:sz w:val="22"/>
                <w:szCs w:val="22"/>
              </w:rPr>
              <w:t>12</w:t>
            </w:r>
          </w:p>
        </w:tc>
        <w:tc>
          <w:tcPr>
            <w:tcW w:w="202" w:type="pct"/>
            <w:tcBorders>
              <w:top w:val="nil"/>
              <w:left w:val="nil"/>
              <w:bottom w:val="single" w:sz="4" w:space="0" w:color="auto"/>
              <w:right w:val="single" w:sz="4" w:space="0" w:color="auto"/>
            </w:tcBorders>
            <w:shd w:val="clear" w:color="000000" w:fill="F2F2F2"/>
            <w:noWrap/>
            <w:vAlign w:val="center"/>
            <w:hideMark/>
          </w:tcPr>
          <w:p w14:paraId="3D41F0A6"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5B9D252" w14:textId="77777777" w:rsidR="00DB659A" w:rsidRPr="00D808EB" w:rsidRDefault="00DB659A" w:rsidP="00CC28AE">
            <w:pPr>
              <w:rPr>
                <w:color w:val="000000"/>
                <w:sz w:val="22"/>
                <w:szCs w:val="22"/>
              </w:rPr>
            </w:pPr>
            <w:r w:rsidRPr="00D808EB">
              <w:rPr>
                <w:color w:val="000000"/>
                <w:sz w:val="22"/>
                <w:szCs w:val="22"/>
              </w:rPr>
              <w:t>Global - Resilience</w:t>
            </w:r>
          </w:p>
        </w:tc>
      </w:tr>
      <w:tr w:rsidR="00DB659A" w:rsidRPr="00D808EB" w14:paraId="01BF69CA"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25CE2BB2"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000000" w:fill="F2F2F2"/>
            <w:noWrap/>
            <w:vAlign w:val="center"/>
            <w:hideMark/>
          </w:tcPr>
          <w:p w14:paraId="716F15D7" w14:textId="77777777" w:rsidR="00DB659A" w:rsidRPr="00D808EB" w:rsidRDefault="00DB659A" w:rsidP="00CC28AE">
            <w:pPr>
              <w:jc w:val="center"/>
              <w:rPr>
                <w:color w:val="000000"/>
                <w:sz w:val="22"/>
                <w:szCs w:val="22"/>
              </w:rPr>
            </w:pPr>
            <w:r w:rsidRPr="00D808EB">
              <w:rPr>
                <w:color w:val="000000"/>
                <w:sz w:val="22"/>
                <w:szCs w:val="22"/>
              </w:rPr>
              <w:t>07</w:t>
            </w:r>
          </w:p>
        </w:tc>
        <w:tc>
          <w:tcPr>
            <w:tcW w:w="256" w:type="pct"/>
            <w:tcBorders>
              <w:top w:val="nil"/>
              <w:left w:val="nil"/>
              <w:bottom w:val="single" w:sz="4" w:space="0" w:color="auto"/>
              <w:right w:val="single" w:sz="4" w:space="0" w:color="auto"/>
            </w:tcBorders>
            <w:shd w:val="clear" w:color="000000" w:fill="F2F2F2"/>
            <w:noWrap/>
            <w:vAlign w:val="center"/>
            <w:hideMark/>
          </w:tcPr>
          <w:p w14:paraId="4DA5D290" w14:textId="77777777" w:rsidR="00DB659A" w:rsidRPr="00D808EB" w:rsidRDefault="00DB659A" w:rsidP="00CC28AE">
            <w:pPr>
              <w:jc w:val="center"/>
              <w:rPr>
                <w:color w:val="000000"/>
                <w:sz w:val="22"/>
                <w:szCs w:val="22"/>
              </w:rPr>
            </w:pPr>
            <w:r w:rsidRPr="00D808EB">
              <w:rPr>
                <w:color w:val="000000"/>
                <w:sz w:val="22"/>
                <w:szCs w:val="22"/>
              </w:rPr>
              <w:t>13</w:t>
            </w:r>
          </w:p>
        </w:tc>
        <w:tc>
          <w:tcPr>
            <w:tcW w:w="202" w:type="pct"/>
            <w:tcBorders>
              <w:top w:val="nil"/>
              <w:left w:val="nil"/>
              <w:bottom w:val="single" w:sz="4" w:space="0" w:color="auto"/>
              <w:right w:val="single" w:sz="4" w:space="0" w:color="auto"/>
            </w:tcBorders>
            <w:shd w:val="clear" w:color="000000" w:fill="F2F2F2"/>
            <w:noWrap/>
            <w:vAlign w:val="center"/>
            <w:hideMark/>
          </w:tcPr>
          <w:p w14:paraId="6D8BC915"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6AE249D" w14:textId="77777777" w:rsidR="00DB659A" w:rsidRPr="00D808EB" w:rsidRDefault="00DB659A" w:rsidP="00CC28AE">
            <w:pPr>
              <w:rPr>
                <w:color w:val="000000"/>
                <w:sz w:val="22"/>
                <w:szCs w:val="22"/>
              </w:rPr>
            </w:pPr>
            <w:r w:rsidRPr="00D808EB">
              <w:rPr>
                <w:color w:val="000000"/>
                <w:sz w:val="22"/>
                <w:szCs w:val="22"/>
              </w:rPr>
              <w:t>Global - Competitiveness</w:t>
            </w:r>
          </w:p>
        </w:tc>
      </w:tr>
      <w:tr w:rsidR="00DB659A" w:rsidRPr="00D808EB" w14:paraId="6B608982"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274A1A30"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D0D0D0"/>
            <w:noWrap/>
            <w:vAlign w:val="center"/>
            <w:hideMark/>
          </w:tcPr>
          <w:p w14:paraId="60DB78EE" w14:textId="77777777" w:rsidR="00DB659A" w:rsidRPr="00D808EB" w:rsidRDefault="00DB659A" w:rsidP="00CC28AE">
            <w:pPr>
              <w:jc w:val="center"/>
              <w:rPr>
                <w:i/>
                <w:iCs/>
                <w:color w:val="000000"/>
                <w:sz w:val="22"/>
                <w:szCs w:val="22"/>
              </w:rPr>
            </w:pPr>
            <w:r w:rsidRPr="00D808EB">
              <w:rPr>
                <w:i/>
                <w:iCs/>
                <w:color w:val="000000"/>
                <w:sz w:val="22"/>
                <w:szCs w:val="22"/>
              </w:rPr>
              <w:t>08</w:t>
            </w:r>
          </w:p>
        </w:tc>
        <w:tc>
          <w:tcPr>
            <w:tcW w:w="256" w:type="pct"/>
            <w:tcBorders>
              <w:top w:val="nil"/>
              <w:left w:val="nil"/>
              <w:bottom w:val="single" w:sz="4" w:space="0" w:color="auto"/>
              <w:right w:val="single" w:sz="4" w:space="0" w:color="auto"/>
            </w:tcBorders>
            <w:shd w:val="clear" w:color="000000" w:fill="D0D0D0"/>
            <w:noWrap/>
            <w:vAlign w:val="center"/>
            <w:hideMark/>
          </w:tcPr>
          <w:p w14:paraId="5EBB3CF8"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501ECF42"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4901F6A9" w14:textId="77777777" w:rsidR="00DB659A" w:rsidRPr="00D808EB" w:rsidRDefault="00DB659A" w:rsidP="00CC28AE">
            <w:pPr>
              <w:rPr>
                <w:i/>
                <w:iCs/>
                <w:color w:val="000000"/>
                <w:sz w:val="22"/>
                <w:szCs w:val="22"/>
              </w:rPr>
            </w:pPr>
            <w:r w:rsidRPr="00D808EB">
              <w:rPr>
                <w:i/>
                <w:iCs/>
                <w:color w:val="000000"/>
                <w:sz w:val="22"/>
                <w:szCs w:val="22"/>
              </w:rPr>
              <w:t>Emerging challenges and priorities cushion</w:t>
            </w:r>
          </w:p>
        </w:tc>
      </w:tr>
      <w:tr w:rsidR="00DB659A" w:rsidRPr="00D808EB" w14:paraId="3A9D4520"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71883171"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D0D0D0"/>
            <w:noWrap/>
            <w:vAlign w:val="center"/>
            <w:hideMark/>
          </w:tcPr>
          <w:p w14:paraId="10DDA793" w14:textId="77777777" w:rsidR="00DB659A" w:rsidRPr="00D808EB" w:rsidRDefault="00DB659A" w:rsidP="00CC28AE">
            <w:pPr>
              <w:jc w:val="center"/>
              <w:rPr>
                <w:i/>
                <w:iCs/>
                <w:color w:val="000000"/>
                <w:sz w:val="22"/>
                <w:szCs w:val="22"/>
              </w:rPr>
            </w:pPr>
            <w:r w:rsidRPr="00D808EB">
              <w:rPr>
                <w:i/>
                <w:iCs/>
                <w:color w:val="000000"/>
                <w:sz w:val="22"/>
                <w:szCs w:val="22"/>
              </w:rPr>
              <w:t>09</w:t>
            </w:r>
          </w:p>
        </w:tc>
        <w:tc>
          <w:tcPr>
            <w:tcW w:w="256" w:type="pct"/>
            <w:tcBorders>
              <w:top w:val="nil"/>
              <w:left w:val="nil"/>
              <w:bottom w:val="single" w:sz="4" w:space="0" w:color="auto"/>
              <w:right w:val="single" w:sz="4" w:space="0" w:color="auto"/>
            </w:tcBorders>
            <w:shd w:val="clear" w:color="000000" w:fill="D0D0D0"/>
            <w:noWrap/>
            <w:vAlign w:val="center"/>
            <w:hideMark/>
          </w:tcPr>
          <w:p w14:paraId="22727F0E"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1D810EF6"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7B27A2CB" w14:textId="77777777" w:rsidR="00DB659A" w:rsidRPr="00D808EB" w:rsidRDefault="00DB659A" w:rsidP="00CC28AE">
            <w:pPr>
              <w:rPr>
                <w:i/>
                <w:iCs/>
                <w:color w:val="000000"/>
                <w:sz w:val="22"/>
                <w:szCs w:val="22"/>
              </w:rPr>
            </w:pPr>
            <w:r w:rsidRPr="00D808EB">
              <w:rPr>
                <w:i/>
                <w:iCs/>
                <w:color w:val="000000"/>
                <w:sz w:val="22"/>
                <w:szCs w:val="22"/>
              </w:rPr>
              <w:t>Completion of previous external action programmes</w:t>
            </w:r>
          </w:p>
        </w:tc>
      </w:tr>
      <w:tr w:rsidR="00DB659A" w:rsidRPr="00D808EB" w14:paraId="5F5F0B5A"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E8E8E8"/>
            <w:noWrap/>
            <w:vAlign w:val="center"/>
            <w:hideMark/>
          </w:tcPr>
          <w:p w14:paraId="3E71AE5F" w14:textId="77777777" w:rsidR="00DB659A" w:rsidRPr="00D808EB" w:rsidRDefault="00DB659A" w:rsidP="00CC28AE">
            <w:pPr>
              <w:jc w:val="center"/>
              <w:rPr>
                <w:i/>
                <w:iCs/>
                <w:color w:val="000000"/>
                <w:sz w:val="22"/>
                <w:szCs w:val="22"/>
              </w:rPr>
            </w:pPr>
            <w:r w:rsidRPr="00D808EB">
              <w:rPr>
                <w:i/>
                <w:iCs/>
                <w:color w:val="000000"/>
                <w:sz w:val="22"/>
                <w:szCs w:val="22"/>
              </w:rPr>
              <w:t>07</w:t>
            </w:r>
          </w:p>
        </w:tc>
        <w:tc>
          <w:tcPr>
            <w:tcW w:w="297" w:type="pct"/>
            <w:tcBorders>
              <w:top w:val="nil"/>
              <w:left w:val="nil"/>
              <w:bottom w:val="single" w:sz="4" w:space="0" w:color="auto"/>
              <w:right w:val="single" w:sz="4" w:space="0" w:color="auto"/>
            </w:tcBorders>
            <w:shd w:val="clear" w:color="000000" w:fill="E8E8E8"/>
            <w:noWrap/>
            <w:vAlign w:val="center"/>
            <w:hideMark/>
          </w:tcPr>
          <w:p w14:paraId="2A3B52DF" w14:textId="77777777" w:rsidR="00DB659A" w:rsidRPr="00D808EB" w:rsidRDefault="00DB659A" w:rsidP="00CC28AE">
            <w:pPr>
              <w:jc w:val="center"/>
              <w:rPr>
                <w:i/>
                <w:iCs/>
                <w:color w:val="000000"/>
                <w:sz w:val="22"/>
                <w:szCs w:val="22"/>
              </w:rPr>
            </w:pPr>
            <w:r w:rsidRPr="00D808EB">
              <w:rPr>
                <w:i/>
                <w:iCs/>
                <w:color w:val="000000"/>
                <w:sz w:val="22"/>
                <w:szCs w:val="22"/>
              </w:rPr>
              <w:t>09</w:t>
            </w:r>
          </w:p>
        </w:tc>
        <w:tc>
          <w:tcPr>
            <w:tcW w:w="256" w:type="pct"/>
            <w:tcBorders>
              <w:top w:val="nil"/>
              <w:left w:val="nil"/>
              <w:bottom w:val="single" w:sz="4" w:space="0" w:color="auto"/>
              <w:right w:val="single" w:sz="4" w:space="0" w:color="auto"/>
            </w:tcBorders>
            <w:shd w:val="clear" w:color="000000" w:fill="E8E8E8"/>
            <w:noWrap/>
            <w:vAlign w:val="center"/>
            <w:hideMark/>
          </w:tcPr>
          <w:p w14:paraId="40E6FF1E" w14:textId="77777777" w:rsidR="00DB659A" w:rsidRPr="00D808EB" w:rsidRDefault="00DB659A" w:rsidP="00CC28AE">
            <w:pPr>
              <w:jc w:val="center"/>
              <w:rPr>
                <w:i/>
                <w:iCs/>
                <w:color w:val="000000"/>
                <w:sz w:val="22"/>
                <w:szCs w:val="22"/>
              </w:rPr>
            </w:pPr>
            <w:r w:rsidRPr="00D808EB">
              <w:rPr>
                <w:i/>
                <w:iCs/>
                <w:color w:val="000000"/>
                <w:sz w:val="22"/>
                <w:szCs w:val="22"/>
              </w:rPr>
              <w:t>99</w:t>
            </w:r>
          </w:p>
        </w:tc>
        <w:tc>
          <w:tcPr>
            <w:tcW w:w="202" w:type="pct"/>
            <w:tcBorders>
              <w:top w:val="nil"/>
              <w:left w:val="nil"/>
              <w:bottom w:val="single" w:sz="4" w:space="0" w:color="auto"/>
              <w:right w:val="single" w:sz="4" w:space="0" w:color="auto"/>
            </w:tcBorders>
            <w:shd w:val="clear" w:color="000000" w:fill="E8E8E8"/>
            <w:noWrap/>
            <w:vAlign w:val="center"/>
            <w:hideMark/>
          </w:tcPr>
          <w:p w14:paraId="78D5EE06"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E8E8E8"/>
            <w:vAlign w:val="center"/>
            <w:hideMark/>
          </w:tcPr>
          <w:p w14:paraId="42194B00" w14:textId="77777777" w:rsidR="00DB659A" w:rsidRPr="00D808EB" w:rsidRDefault="00DB659A" w:rsidP="00CC28AE">
            <w:pPr>
              <w:rPr>
                <w:i/>
                <w:iCs/>
                <w:color w:val="000000"/>
                <w:sz w:val="22"/>
                <w:szCs w:val="22"/>
              </w:rPr>
            </w:pPr>
            <w:r w:rsidRPr="00D808EB">
              <w:rPr>
                <w:i/>
                <w:iCs/>
                <w:color w:val="000000"/>
                <w:sz w:val="22"/>
                <w:szCs w:val="22"/>
              </w:rPr>
              <w:t>Completion of previous actions</w:t>
            </w:r>
          </w:p>
        </w:tc>
      </w:tr>
      <w:tr w:rsidR="00DB659A" w:rsidRPr="00D808EB" w14:paraId="71670970" w14:textId="77777777" w:rsidTr="00CC28AE">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5C43590E"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auto" w:fill="auto"/>
            <w:noWrap/>
            <w:vAlign w:val="center"/>
            <w:hideMark/>
          </w:tcPr>
          <w:p w14:paraId="1EBC545E" w14:textId="77777777" w:rsidR="00DB659A" w:rsidRPr="00D808EB" w:rsidRDefault="00DB659A" w:rsidP="00CC28AE">
            <w:pPr>
              <w:jc w:val="center"/>
              <w:rPr>
                <w:color w:val="000000"/>
                <w:sz w:val="22"/>
                <w:szCs w:val="22"/>
              </w:rPr>
            </w:pPr>
            <w:r w:rsidRPr="00D808EB">
              <w:rPr>
                <w:color w:val="000000"/>
                <w:sz w:val="22"/>
                <w:szCs w:val="22"/>
              </w:rPr>
              <w:t>09</w:t>
            </w:r>
          </w:p>
        </w:tc>
        <w:tc>
          <w:tcPr>
            <w:tcW w:w="256" w:type="pct"/>
            <w:tcBorders>
              <w:top w:val="nil"/>
              <w:left w:val="nil"/>
              <w:bottom w:val="single" w:sz="4" w:space="0" w:color="auto"/>
              <w:right w:val="single" w:sz="4" w:space="0" w:color="auto"/>
            </w:tcBorders>
            <w:shd w:val="clear" w:color="auto" w:fill="auto"/>
            <w:noWrap/>
            <w:vAlign w:val="center"/>
            <w:hideMark/>
          </w:tcPr>
          <w:p w14:paraId="39FD4B4D" w14:textId="77777777" w:rsidR="00DB659A" w:rsidRPr="00D808EB" w:rsidRDefault="00DB659A" w:rsidP="00CC28AE">
            <w:pPr>
              <w:jc w:val="center"/>
              <w:rPr>
                <w:color w:val="000000"/>
                <w:sz w:val="22"/>
                <w:szCs w:val="22"/>
              </w:rPr>
            </w:pPr>
            <w:r w:rsidRPr="00D808EB">
              <w:rPr>
                <w:color w:val="000000"/>
                <w:sz w:val="22"/>
                <w:szCs w:val="22"/>
              </w:rPr>
              <w:t>99</w:t>
            </w:r>
          </w:p>
        </w:tc>
        <w:tc>
          <w:tcPr>
            <w:tcW w:w="202" w:type="pct"/>
            <w:tcBorders>
              <w:top w:val="nil"/>
              <w:left w:val="nil"/>
              <w:bottom w:val="single" w:sz="4" w:space="0" w:color="auto"/>
              <w:right w:val="single" w:sz="4" w:space="0" w:color="auto"/>
            </w:tcBorders>
            <w:shd w:val="clear" w:color="auto" w:fill="auto"/>
            <w:noWrap/>
            <w:vAlign w:val="center"/>
            <w:hideMark/>
          </w:tcPr>
          <w:p w14:paraId="453EA8CE" w14:textId="77777777" w:rsidR="00DB659A" w:rsidRPr="00D808EB" w:rsidRDefault="00DB659A" w:rsidP="00CC28AE">
            <w:pPr>
              <w:jc w:val="center"/>
              <w:rPr>
                <w:color w:val="000000"/>
                <w:sz w:val="22"/>
                <w:szCs w:val="22"/>
              </w:rPr>
            </w:pPr>
            <w:r w:rsidRPr="00D808EB">
              <w:rPr>
                <w:color w:val="000000"/>
                <w:sz w:val="22"/>
                <w:szCs w:val="22"/>
              </w:rPr>
              <w:t>01</w:t>
            </w:r>
          </w:p>
        </w:tc>
        <w:tc>
          <w:tcPr>
            <w:tcW w:w="4050" w:type="pct"/>
            <w:tcBorders>
              <w:top w:val="nil"/>
              <w:left w:val="nil"/>
              <w:bottom w:val="single" w:sz="4" w:space="0" w:color="auto"/>
              <w:right w:val="single" w:sz="4" w:space="0" w:color="auto"/>
            </w:tcBorders>
            <w:shd w:val="clear" w:color="auto" w:fill="auto"/>
            <w:noWrap/>
            <w:vAlign w:val="center"/>
            <w:hideMark/>
          </w:tcPr>
          <w:p w14:paraId="0FDECCE4" w14:textId="77777777" w:rsidR="00DB659A" w:rsidRPr="00D808EB" w:rsidRDefault="00DB659A" w:rsidP="00CC28AE">
            <w:pPr>
              <w:rPr>
                <w:color w:val="000000"/>
                <w:sz w:val="22"/>
                <w:szCs w:val="22"/>
              </w:rPr>
            </w:pPr>
            <w:r w:rsidRPr="00D808EB">
              <w:rPr>
                <w:color w:val="000000"/>
                <w:sz w:val="22"/>
                <w:szCs w:val="22"/>
              </w:rPr>
              <w:t>Completion of previous actions under the Neighbourhood, Development and International Cooperation Instrument</w:t>
            </w:r>
          </w:p>
        </w:tc>
      </w:tr>
      <w:tr w:rsidR="00DB659A" w:rsidRPr="00D808EB" w14:paraId="3B267910"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18E1F9E3"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auto" w:fill="auto"/>
            <w:noWrap/>
            <w:vAlign w:val="center"/>
            <w:hideMark/>
          </w:tcPr>
          <w:p w14:paraId="303C3808" w14:textId="77777777" w:rsidR="00DB659A" w:rsidRPr="00D808EB" w:rsidRDefault="00DB659A" w:rsidP="00CC28AE">
            <w:pPr>
              <w:jc w:val="center"/>
              <w:rPr>
                <w:color w:val="000000"/>
                <w:sz w:val="22"/>
                <w:szCs w:val="22"/>
              </w:rPr>
            </w:pPr>
            <w:r w:rsidRPr="00D808EB">
              <w:rPr>
                <w:color w:val="000000"/>
                <w:sz w:val="22"/>
                <w:szCs w:val="22"/>
              </w:rPr>
              <w:t>09</w:t>
            </w:r>
          </w:p>
        </w:tc>
        <w:tc>
          <w:tcPr>
            <w:tcW w:w="256" w:type="pct"/>
            <w:tcBorders>
              <w:top w:val="nil"/>
              <w:left w:val="nil"/>
              <w:bottom w:val="single" w:sz="4" w:space="0" w:color="auto"/>
              <w:right w:val="single" w:sz="4" w:space="0" w:color="auto"/>
            </w:tcBorders>
            <w:shd w:val="clear" w:color="auto" w:fill="auto"/>
            <w:noWrap/>
            <w:vAlign w:val="center"/>
            <w:hideMark/>
          </w:tcPr>
          <w:p w14:paraId="113E5816" w14:textId="77777777" w:rsidR="00DB659A" w:rsidRPr="00D808EB" w:rsidRDefault="00DB659A" w:rsidP="00CC28AE">
            <w:pPr>
              <w:jc w:val="center"/>
              <w:rPr>
                <w:color w:val="000000"/>
                <w:sz w:val="22"/>
                <w:szCs w:val="22"/>
              </w:rPr>
            </w:pPr>
            <w:r w:rsidRPr="00D808EB">
              <w:rPr>
                <w:color w:val="000000"/>
                <w:sz w:val="22"/>
                <w:szCs w:val="22"/>
              </w:rPr>
              <w:t>99</w:t>
            </w:r>
          </w:p>
        </w:tc>
        <w:tc>
          <w:tcPr>
            <w:tcW w:w="202" w:type="pct"/>
            <w:tcBorders>
              <w:top w:val="nil"/>
              <w:left w:val="nil"/>
              <w:bottom w:val="single" w:sz="4" w:space="0" w:color="auto"/>
              <w:right w:val="single" w:sz="4" w:space="0" w:color="auto"/>
            </w:tcBorders>
            <w:shd w:val="clear" w:color="auto" w:fill="auto"/>
            <w:noWrap/>
            <w:vAlign w:val="center"/>
            <w:hideMark/>
          </w:tcPr>
          <w:p w14:paraId="1FC5FAEB" w14:textId="77777777" w:rsidR="00DB659A" w:rsidRPr="00D808EB" w:rsidRDefault="00DB659A" w:rsidP="00CC28AE">
            <w:pPr>
              <w:jc w:val="center"/>
              <w:rPr>
                <w:color w:val="000000"/>
                <w:sz w:val="22"/>
                <w:szCs w:val="22"/>
              </w:rPr>
            </w:pPr>
            <w:r w:rsidRPr="00D808EB">
              <w:rPr>
                <w:color w:val="000000"/>
                <w:sz w:val="22"/>
                <w:szCs w:val="22"/>
              </w:rPr>
              <w:t>02</w:t>
            </w:r>
          </w:p>
        </w:tc>
        <w:tc>
          <w:tcPr>
            <w:tcW w:w="4050" w:type="pct"/>
            <w:tcBorders>
              <w:top w:val="nil"/>
              <w:left w:val="nil"/>
              <w:bottom w:val="single" w:sz="4" w:space="0" w:color="auto"/>
              <w:right w:val="single" w:sz="4" w:space="0" w:color="auto"/>
            </w:tcBorders>
            <w:shd w:val="clear" w:color="auto" w:fill="auto"/>
            <w:vAlign w:val="center"/>
            <w:hideMark/>
          </w:tcPr>
          <w:p w14:paraId="0937C252" w14:textId="77777777" w:rsidR="00DB659A" w:rsidRPr="00D808EB" w:rsidRDefault="00DB659A" w:rsidP="00CC28AE">
            <w:pPr>
              <w:rPr>
                <w:color w:val="000000"/>
                <w:sz w:val="22"/>
                <w:szCs w:val="22"/>
              </w:rPr>
            </w:pPr>
            <w:r w:rsidRPr="00D808EB">
              <w:rPr>
                <w:color w:val="000000"/>
                <w:sz w:val="22"/>
                <w:szCs w:val="22"/>
              </w:rPr>
              <w:t>Completion of previous actions under Humanitarian Aid</w:t>
            </w:r>
          </w:p>
        </w:tc>
      </w:tr>
      <w:tr w:rsidR="00DB659A" w:rsidRPr="00D808EB" w14:paraId="63C1F1BE"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4DFF3A45"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auto" w:fill="auto"/>
            <w:noWrap/>
            <w:vAlign w:val="center"/>
            <w:hideMark/>
          </w:tcPr>
          <w:p w14:paraId="536B52A4" w14:textId="77777777" w:rsidR="00DB659A" w:rsidRPr="00D808EB" w:rsidRDefault="00DB659A" w:rsidP="00CC28AE">
            <w:pPr>
              <w:jc w:val="center"/>
              <w:rPr>
                <w:color w:val="000000"/>
                <w:sz w:val="22"/>
                <w:szCs w:val="22"/>
              </w:rPr>
            </w:pPr>
            <w:r w:rsidRPr="00D808EB">
              <w:rPr>
                <w:color w:val="000000"/>
                <w:sz w:val="22"/>
                <w:szCs w:val="22"/>
              </w:rPr>
              <w:t>09</w:t>
            </w:r>
          </w:p>
        </w:tc>
        <w:tc>
          <w:tcPr>
            <w:tcW w:w="256" w:type="pct"/>
            <w:tcBorders>
              <w:top w:val="nil"/>
              <w:left w:val="nil"/>
              <w:bottom w:val="single" w:sz="4" w:space="0" w:color="auto"/>
              <w:right w:val="single" w:sz="4" w:space="0" w:color="auto"/>
            </w:tcBorders>
            <w:shd w:val="clear" w:color="auto" w:fill="auto"/>
            <w:noWrap/>
            <w:vAlign w:val="center"/>
            <w:hideMark/>
          </w:tcPr>
          <w:p w14:paraId="574E34CB" w14:textId="77777777" w:rsidR="00DB659A" w:rsidRPr="00D808EB" w:rsidRDefault="00DB659A" w:rsidP="00CC28AE">
            <w:pPr>
              <w:jc w:val="center"/>
              <w:rPr>
                <w:color w:val="000000"/>
                <w:sz w:val="22"/>
                <w:szCs w:val="22"/>
              </w:rPr>
            </w:pPr>
            <w:r w:rsidRPr="00D808EB">
              <w:rPr>
                <w:color w:val="000000"/>
                <w:sz w:val="22"/>
                <w:szCs w:val="22"/>
              </w:rPr>
              <w:t>99</w:t>
            </w:r>
          </w:p>
        </w:tc>
        <w:tc>
          <w:tcPr>
            <w:tcW w:w="202" w:type="pct"/>
            <w:tcBorders>
              <w:top w:val="nil"/>
              <w:left w:val="nil"/>
              <w:bottom w:val="single" w:sz="4" w:space="0" w:color="auto"/>
              <w:right w:val="single" w:sz="4" w:space="0" w:color="auto"/>
            </w:tcBorders>
            <w:shd w:val="clear" w:color="auto" w:fill="auto"/>
            <w:noWrap/>
            <w:vAlign w:val="center"/>
            <w:hideMark/>
          </w:tcPr>
          <w:p w14:paraId="6E4C3A11" w14:textId="77777777" w:rsidR="00DB659A" w:rsidRPr="00D808EB" w:rsidRDefault="00DB659A" w:rsidP="00CC28AE">
            <w:pPr>
              <w:jc w:val="center"/>
              <w:rPr>
                <w:color w:val="000000"/>
                <w:sz w:val="22"/>
                <w:szCs w:val="22"/>
              </w:rPr>
            </w:pPr>
            <w:r w:rsidRPr="00D808EB">
              <w:rPr>
                <w:color w:val="000000"/>
                <w:sz w:val="22"/>
                <w:szCs w:val="22"/>
              </w:rPr>
              <w:t>03</w:t>
            </w:r>
          </w:p>
        </w:tc>
        <w:tc>
          <w:tcPr>
            <w:tcW w:w="4050" w:type="pct"/>
            <w:tcBorders>
              <w:top w:val="nil"/>
              <w:left w:val="nil"/>
              <w:bottom w:val="single" w:sz="4" w:space="0" w:color="auto"/>
              <w:right w:val="single" w:sz="4" w:space="0" w:color="auto"/>
            </w:tcBorders>
            <w:shd w:val="clear" w:color="auto" w:fill="auto"/>
            <w:vAlign w:val="center"/>
            <w:hideMark/>
          </w:tcPr>
          <w:p w14:paraId="7D5C94B5" w14:textId="77777777" w:rsidR="00DB659A" w:rsidRPr="00D808EB" w:rsidRDefault="00DB659A" w:rsidP="00CC28AE">
            <w:pPr>
              <w:rPr>
                <w:color w:val="000000"/>
                <w:sz w:val="22"/>
                <w:szCs w:val="22"/>
              </w:rPr>
            </w:pPr>
            <w:r w:rsidRPr="00D808EB">
              <w:rPr>
                <w:color w:val="000000"/>
                <w:sz w:val="22"/>
                <w:szCs w:val="22"/>
              </w:rPr>
              <w:t>Completion of previous actions under the Instrument for Pre-Accession Assistance</w:t>
            </w:r>
          </w:p>
        </w:tc>
      </w:tr>
      <w:tr w:rsidR="00DB659A" w:rsidRPr="00D808EB" w14:paraId="4ADC0442"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2263E7F5"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auto" w:fill="auto"/>
            <w:noWrap/>
            <w:vAlign w:val="center"/>
            <w:hideMark/>
          </w:tcPr>
          <w:p w14:paraId="6DC664FD" w14:textId="77777777" w:rsidR="00DB659A" w:rsidRPr="00D808EB" w:rsidRDefault="00DB659A" w:rsidP="00CC28AE">
            <w:pPr>
              <w:jc w:val="center"/>
              <w:rPr>
                <w:color w:val="000000"/>
                <w:sz w:val="22"/>
                <w:szCs w:val="22"/>
              </w:rPr>
            </w:pPr>
            <w:r w:rsidRPr="00D808EB">
              <w:rPr>
                <w:color w:val="000000"/>
                <w:sz w:val="22"/>
                <w:szCs w:val="22"/>
              </w:rPr>
              <w:t>09</w:t>
            </w:r>
          </w:p>
        </w:tc>
        <w:tc>
          <w:tcPr>
            <w:tcW w:w="256" w:type="pct"/>
            <w:tcBorders>
              <w:top w:val="nil"/>
              <w:left w:val="nil"/>
              <w:bottom w:val="single" w:sz="4" w:space="0" w:color="auto"/>
              <w:right w:val="single" w:sz="4" w:space="0" w:color="auto"/>
            </w:tcBorders>
            <w:shd w:val="clear" w:color="auto" w:fill="auto"/>
            <w:noWrap/>
            <w:vAlign w:val="center"/>
            <w:hideMark/>
          </w:tcPr>
          <w:p w14:paraId="6F1D2695" w14:textId="77777777" w:rsidR="00DB659A" w:rsidRPr="00D808EB" w:rsidRDefault="00DB659A" w:rsidP="00CC28AE">
            <w:pPr>
              <w:jc w:val="center"/>
              <w:rPr>
                <w:color w:val="000000"/>
                <w:sz w:val="22"/>
                <w:szCs w:val="22"/>
              </w:rPr>
            </w:pPr>
            <w:r w:rsidRPr="00D808EB">
              <w:rPr>
                <w:color w:val="000000"/>
                <w:sz w:val="22"/>
                <w:szCs w:val="22"/>
              </w:rPr>
              <w:t>99</w:t>
            </w:r>
          </w:p>
        </w:tc>
        <w:tc>
          <w:tcPr>
            <w:tcW w:w="202" w:type="pct"/>
            <w:tcBorders>
              <w:top w:val="nil"/>
              <w:left w:val="nil"/>
              <w:bottom w:val="single" w:sz="4" w:space="0" w:color="auto"/>
              <w:right w:val="single" w:sz="4" w:space="0" w:color="auto"/>
            </w:tcBorders>
            <w:shd w:val="clear" w:color="auto" w:fill="auto"/>
            <w:noWrap/>
            <w:vAlign w:val="center"/>
            <w:hideMark/>
          </w:tcPr>
          <w:p w14:paraId="4C5E18E4" w14:textId="77777777" w:rsidR="00DB659A" w:rsidRPr="00D808EB" w:rsidRDefault="00DB659A" w:rsidP="00CC28AE">
            <w:pPr>
              <w:jc w:val="center"/>
              <w:rPr>
                <w:color w:val="000000"/>
                <w:sz w:val="22"/>
                <w:szCs w:val="22"/>
              </w:rPr>
            </w:pPr>
            <w:r w:rsidRPr="00D808EB">
              <w:rPr>
                <w:color w:val="000000"/>
                <w:sz w:val="22"/>
                <w:szCs w:val="22"/>
              </w:rPr>
              <w:t>04</w:t>
            </w:r>
          </w:p>
        </w:tc>
        <w:tc>
          <w:tcPr>
            <w:tcW w:w="4050" w:type="pct"/>
            <w:tcBorders>
              <w:top w:val="nil"/>
              <w:left w:val="nil"/>
              <w:bottom w:val="single" w:sz="4" w:space="0" w:color="auto"/>
              <w:right w:val="single" w:sz="4" w:space="0" w:color="auto"/>
            </w:tcBorders>
            <w:shd w:val="clear" w:color="auto" w:fill="auto"/>
            <w:vAlign w:val="center"/>
            <w:hideMark/>
          </w:tcPr>
          <w:p w14:paraId="50EDB8EC" w14:textId="77777777" w:rsidR="00DB659A" w:rsidRPr="00D808EB" w:rsidRDefault="00DB659A" w:rsidP="00CC28AE">
            <w:pPr>
              <w:rPr>
                <w:color w:val="000000"/>
                <w:sz w:val="22"/>
                <w:szCs w:val="22"/>
              </w:rPr>
            </w:pPr>
            <w:r w:rsidRPr="00D808EB">
              <w:rPr>
                <w:color w:val="000000"/>
                <w:sz w:val="22"/>
                <w:szCs w:val="22"/>
              </w:rPr>
              <w:t>Completion of previous actions under the Reform and Growth Facility for Western Balkans</w:t>
            </w:r>
          </w:p>
        </w:tc>
      </w:tr>
      <w:tr w:rsidR="00DB659A" w:rsidRPr="00D808EB" w14:paraId="70B25225"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759C3F99" w14:textId="77777777" w:rsidR="00DB659A" w:rsidRPr="00D808EB" w:rsidRDefault="00DB659A" w:rsidP="00CC28AE">
            <w:pPr>
              <w:jc w:val="center"/>
              <w:rPr>
                <w:color w:val="000000"/>
                <w:sz w:val="22"/>
                <w:szCs w:val="22"/>
              </w:rPr>
            </w:pPr>
            <w:r w:rsidRPr="00D808EB">
              <w:rPr>
                <w:color w:val="000000"/>
                <w:sz w:val="22"/>
                <w:szCs w:val="22"/>
              </w:rPr>
              <w:t>07</w:t>
            </w:r>
          </w:p>
        </w:tc>
        <w:tc>
          <w:tcPr>
            <w:tcW w:w="297" w:type="pct"/>
            <w:tcBorders>
              <w:top w:val="nil"/>
              <w:left w:val="nil"/>
              <w:bottom w:val="single" w:sz="4" w:space="0" w:color="auto"/>
              <w:right w:val="single" w:sz="4" w:space="0" w:color="auto"/>
            </w:tcBorders>
            <w:shd w:val="clear" w:color="auto" w:fill="auto"/>
            <w:noWrap/>
            <w:vAlign w:val="center"/>
            <w:hideMark/>
          </w:tcPr>
          <w:p w14:paraId="0640D8CE" w14:textId="77777777" w:rsidR="00DB659A" w:rsidRPr="00D808EB" w:rsidRDefault="00DB659A" w:rsidP="00CC28AE">
            <w:pPr>
              <w:jc w:val="center"/>
              <w:rPr>
                <w:color w:val="000000"/>
                <w:sz w:val="22"/>
                <w:szCs w:val="22"/>
              </w:rPr>
            </w:pPr>
            <w:r w:rsidRPr="00D808EB">
              <w:rPr>
                <w:color w:val="000000"/>
                <w:sz w:val="22"/>
                <w:szCs w:val="22"/>
              </w:rPr>
              <w:t>09</w:t>
            </w:r>
          </w:p>
        </w:tc>
        <w:tc>
          <w:tcPr>
            <w:tcW w:w="256" w:type="pct"/>
            <w:tcBorders>
              <w:top w:val="nil"/>
              <w:left w:val="nil"/>
              <w:bottom w:val="single" w:sz="4" w:space="0" w:color="auto"/>
              <w:right w:val="single" w:sz="4" w:space="0" w:color="auto"/>
            </w:tcBorders>
            <w:shd w:val="clear" w:color="auto" w:fill="auto"/>
            <w:noWrap/>
            <w:vAlign w:val="center"/>
            <w:hideMark/>
          </w:tcPr>
          <w:p w14:paraId="00CA1302" w14:textId="77777777" w:rsidR="00DB659A" w:rsidRPr="00D808EB" w:rsidRDefault="00DB659A" w:rsidP="00CC28AE">
            <w:pPr>
              <w:jc w:val="center"/>
              <w:rPr>
                <w:color w:val="000000"/>
                <w:sz w:val="22"/>
                <w:szCs w:val="22"/>
              </w:rPr>
            </w:pPr>
            <w:r w:rsidRPr="00D808EB">
              <w:rPr>
                <w:color w:val="000000"/>
                <w:sz w:val="22"/>
                <w:szCs w:val="22"/>
              </w:rPr>
              <w:t>99</w:t>
            </w:r>
          </w:p>
        </w:tc>
        <w:tc>
          <w:tcPr>
            <w:tcW w:w="202" w:type="pct"/>
            <w:tcBorders>
              <w:top w:val="nil"/>
              <w:left w:val="nil"/>
              <w:bottom w:val="single" w:sz="4" w:space="0" w:color="auto"/>
              <w:right w:val="single" w:sz="4" w:space="0" w:color="auto"/>
            </w:tcBorders>
            <w:shd w:val="clear" w:color="auto" w:fill="auto"/>
            <w:noWrap/>
            <w:vAlign w:val="center"/>
            <w:hideMark/>
          </w:tcPr>
          <w:p w14:paraId="6347E1BB" w14:textId="77777777" w:rsidR="00DB659A" w:rsidRPr="00D808EB" w:rsidRDefault="00DB659A" w:rsidP="00CC28AE">
            <w:pPr>
              <w:jc w:val="center"/>
              <w:rPr>
                <w:color w:val="000000"/>
                <w:sz w:val="22"/>
                <w:szCs w:val="22"/>
              </w:rPr>
            </w:pPr>
            <w:r w:rsidRPr="00D808EB">
              <w:rPr>
                <w:color w:val="000000"/>
                <w:sz w:val="22"/>
                <w:szCs w:val="22"/>
              </w:rPr>
              <w:t>05</w:t>
            </w:r>
          </w:p>
        </w:tc>
        <w:tc>
          <w:tcPr>
            <w:tcW w:w="4050" w:type="pct"/>
            <w:tcBorders>
              <w:top w:val="nil"/>
              <w:left w:val="nil"/>
              <w:bottom w:val="single" w:sz="4" w:space="0" w:color="auto"/>
              <w:right w:val="single" w:sz="4" w:space="0" w:color="auto"/>
            </w:tcBorders>
            <w:shd w:val="clear" w:color="auto" w:fill="auto"/>
            <w:vAlign w:val="center"/>
            <w:hideMark/>
          </w:tcPr>
          <w:p w14:paraId="57ABB101" w14:textId="77777777" w:rsidR="00DB659A" w:rsidRPr="00D808EB" w:rsidRDefault="00DB659A" w:rsidP="00CC28AE">
            <w:pPr>
              <w:rPr>
                <w:color w:val="000000"/>
                <w:sz w:val="22"/>
                <w:szCs w:val="22"/>
              </w:rPr>
            </w:pPr>
            <w:r w:rsidRPr="00D808EB">
              <w:rPr>
                <w:color w:val="000000"/>
                <w:sz w:val="22"/>
                <w:szCs w:val="22"/>
              </w:rPr>
              <w:t>Completion of previous actions under the Ukraine Facility</w:t>
            </w:r>
          </w:p>
        </w:tc>
      </w:tr>
      <w:tr w:rsidR="00DB659A" w:rsidRPr="00D808EB" w14:paraId="550C28BB"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A6A6A6"/>
            <w:noWrap/>
            <w:vAlign w:val="center"/>
            <w:hideMark/>
          </w:tcPr>
          <w:p w14:paraId="04064D08" w14:textId="77777777" w:rsidR="00DB659A" w:rsidRPr="00D808EB" w:rsidRDefault="00DB659A" w:rsidP="00CC28AE">
            <w:pPr>
              <w:jc w:val="center"/>
              <w:rPr>
                <w:b/>
                <w:bCs/>
                <w:color w:val="000000"/>
                <w:sz w:val="22"/>
                <w:szCs w:val="22"/>
              </w:rPr>
            </w:pPr>
            <w:r w:rsidRPr="00D808EB">
              <w:rPr>
                <w:b/>
                <w:bCs/>
                <w:color w:val="000000"/>
                <w:sz w:val="22"/>
                <w:szCs w:val="22"/>
              </w:rPr>
              <w:t>08</w:t>
            </w:r>
          </w:p>
        </w:tc>
        <w:tc>
          <w:tcPr>
            <w:tcW w:w="297" w:type="pct"/>
            <w:tcBorders>
              <w:top w:val="nil"/>
              <w:left w:val="nil"/>
              <w:bottom w:val="single" w:sz="4" w:space="0" w:color="auto"/>
              <w:right w:val="single" w:sz="4" w:space="0" w:color="auto"/>
            </w:tcBorders>
            <w:shd w:val="clear" w:color="000000" w:fill="A6A6A6"/>
            <w:noWrap/>
            <w:vAlign w:val="center"/>
            <w:hideMark/>
          </w:tcPr>
          <w:p w14:paraId="00C5DB7D"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256" w:type="pct"/>
            <w:tcBorders>
              <w:top w:val="nil"/>
              <w:left w:val="nil"/>
              <w:bottom w:val="single" w:sz="4" w:space="0" w:color="auto"/>
              <w:right w:val="single" w:sz="4" w:space="0" w:color="auto"/>
            </w:tcBorders>
            <w:shd w:val="clear" w:color="000000" w:fill="A6A6A6"/>
            <w:noWrap/>
            <w:vAlign w:val="center"/>
            <w:hideMark/>
          </w:tcPr>
          <w:p w14:paraId="41820B00"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202" w:type="pct"/>
            <w:tcBorders>
              <w:top w:val="nil"/>
              <w:left w:val="nil"/>
              <w:bottom w:val="single" w:sz="4" w:space="0" w:color="auto"/>
              <w:right w:val="single" w:sz="4" w:space="0" w:color="auto"/>
            </w:tcBorders>
            <w:shd w:val="clear" w:color="000000" w:fill="A6A6A6"/>
            <w:noWrap/>
            <w:vAlign w:val="center"/>
            <w:hideMark/>
          </w:tcPr>
          <w:p w14:paraId="34ECC882" w14:textId="77777777" w:rsidR="00DB659A" w:rsidRPr="00D808EB" w:rsidRDefault="00DB659A" w:rsidP="00CC28AE">
            <w:pPr>
              <w:jc w:val="center"/>
              <w:rPr>
                <w:b/>
                <w:bCs/>
                <w:color w:val="000000"/>
                <w:sz w:val="22"/>
                <w:szCs w:val="22"/>
              </w:rPr>
            </w:pPr>
            <w:r w:rsidRPr="00D808EB">
              <w:rPr>
                <w:b/>
                <w:bCs/>
                <w:color w:val="000000"/>
                <w:sz w:val="22"/>
                <w:szCs w:val="22"/>
              </w:rPr>
              <w:t> </w:t>
            </w:r>
          </w:p>
        </w:tc>
        <w:tc>
          <w:tcPr>
            <w:tcW w:w="4050" w:type="pct"/>
            <w:tcBorders>
              <w:top w:val="nil"/>
              <w:left w:val="nil"/>
              <w:bottom w:val="single" w:sz="4" w:space="0" w:color="auto"/>
              <w:right w:val="single" w:sz="4" w:space="0" w:color="auto"/>
            </w:tcBorders>
            <w:shd w:val="clear" w:color="000000" w:fill="ADADAD"/>
            <w:vAlign w:val="center"/>
            <w:hideMark/>
          </w:tcPr>
          <w:p w14:paraId="7AD4E96E" w14:textId="77777777" w:rsidR="00DB659A" w:rsidRPr="00D808EB" w:rsidRDefault="00DB659A" w:rsidP="00CC28AE">
            <w:pPr>
              <w:rPr>
                <w:b/>
                <w:bCs/>
                <w:color w:val="000000"/>
                <w:sz w:val="22"/>
                <w:szCs w:val="22"/>
              </w:rPr>
            </w:pPr>
            <w:r w:rsidRPr="00D808EB">
              <w:rPr>
                <w:b/>
                <w:bCs/>
                <w:color w:val="000000"/>
                <w:sz w:val="22"/>
                <w:szCs w:val="22"/>
              </w:rPr>
              <w:t>Other External Action programmes</w:t>
            </w:r>
          </w:p>
        </w:tc>
      </w:tr>
      <w:tr w:rsidR="00DB659A" w:rsidRPr="00D808EB" w14:paraId="16F634F3"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4E836CDE" w14:textId="77777777" w:rsidR="00DB659A" w:rsidRPr="00D808EB" w:rsidRDefault="00DB659A" w:rsidP="00CC28AE">
            <w:pPr>
              <w:jc w:val="center"/>
              <w:rPr>
                <w:i/>
                <w:iCs/>
                <w:color w:val="000000"/>
                <w:sz w:val="22"/>
                <w:szCs w:val="22"/>
              </w:rPr>
            </w:pPr>
            <w:r w:rsidRPr="00D808EB">
              <w:rPr>
                <w:i/>
                <w:iCs/>
                <w:color w:val="000000"/>
                <w:sz w:val="22"/>
                <w:szCs w:val="22"/>
              </w:rPr>
              <w:t>08</w:t>
            </w:r>
          </w:p>
        </w:tc>
        <w:tc>
          <w:tcPr>
            <w:tcW w:w="297" w:type="pct"/>
            <w:tcBorders>
              <w:top w:val="nil"/>
              <w:left w:val="nil"/>
              <w:bottom w:val="single" w:sz="4" w:space="0" w:color="auto"/>
              <w:right w:val="single" w:sz="4" w:space="0" w:color="auto"/>
            </w:tcBorders>
            <w:shd w:val="clear" w:color="000000" w:fill="D0D0D0"/>
            <w:noWrap/>
            <w:vAlign w:val="center"/>
            <w:hideMark/>
          </w:tcPr>
          <w:p w14:paraId="22F45FCF" w14:textId="77777777" w:rsidR="00DB659A" w:rsidRPr="00D808EB" w:rsidRDefault="00DB659A" w:rsidP="00CC28AE">
            <w:pPr>
              <w:jc w:val="center"/>
              <w:rPr>
                <w:i/>
                <w:iCs/>
                <w:color w:val="000000"/>
                <w:sz w:val="22"/>
                <w:szCs w:val="22"/>
              </w:rPr>
            </w:pPr>
            <w:r w:rsidRPr="00D808EB">
              <w:rPr>
                <w:i/>
                <w:iCs/>
                <w:color w:val="000000"/>
                <w:sz w:val="22"/>
                <w:szCs w:val="22"/>
              </w:rPr>
              <w:t>01</w:t>
            </w:r>
          </w:p>
        </w:tc>
        <w:tc>
          <w:tcPr>
            <w:tcW w:w="256" w:type="pct"/>
            <w:tcBorders>
              <w:top w:val="nil"/>
              <w:left w:val="nil"/>
              <w:bottom w:val="single" w:sz="4" w:space="0" w:color="auto"/>
              <w:right w:val="single" w:sz="4" w:space="0" w:color="auto"/>
            </w:tcBorders>
            <w:shd w:val="clear" w:color="000000" w:fill="D0D0D0"/>
            <w:noWrap/>
            <w:vAlign w:val="center"/>
            <w:hideMark/>
          </w:tcPr>
          <w:p w14:paraId="140C55E7"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38484042"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46D5E670" w14:textId="77777777" w:rsidR="00DB659A" w:rsidRPr="00D808EB" w:rsidRDefault="00DB659A" w:rsidP="00CC28AE">
            <w:pPr>
              <w:rPr>
                <w:i/>
                <w:iCs/>
                <w:color w:val="000000"/>
                <w:sz w:val="22"/>
                <w:szCs w:val="22"/>
              </w:rPr>
            </w:pPr>
            <w:r w:rsidRPr="00D808EB">
              <w:rPr>
                <w:i/>
                <w:iCs/>
                <w:color w:val="000000"/>
                <w:sz w:val="22"/>
                <w:szCs w:val="22"/>
              </w:rPr>
              <w:t>Support expenditure for other External Action programmes cluster</w:t>
            </w:r>
          </w:p>
        </w:tc>
      </w:tr>
      <w:tr w:rsidR="00DB659A" w:rsidRPr="00D808EB" w14:paraId="1936BE9F"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E5A1515"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60E7B96B" w14:textId="77777777" w:rsidR="00DB659A" w:rsidRPr="00D808EB" w:rsidRDefault="00DB659A" w:rsidP="00CC28AE">
            <w:pPr>
              <w:jc w:val="center"/>
              <w:rPr>
                <w:color w:val="000000"/>
                <w:sz w:val="22"/>
                <w:szCs w:val="22"/>
              </w:rPr>
            </w:pPr>
            <w:r w:rsidRPr="00D808EB">
              <w:rPr>
                <w:color w:val="000000"/>
                <w:sz w:val="22"/>
                <w:szCs w:val="22"/>
              </w:rPr>
              <w:t>01</w:t>
            </w:r>
          </w:p>
        </w:tc>
        <w:tc>
          <w:tcPr>
            <w:tcW w:w="256" w:type="pct"/>
            <w:tcBorders>
              <w:top w:val="nil"/>
              <w:left w:val="nil"/>
              <w:bottom w:val="single" w:sz="4" w:space="0" w:color="auto"/>
              <w:right w:val="single" w:sz="4" w:space="0" w:color="auto"/>
            </w:tcBorders>
            <w:shd w:val="clear" w:color="000000" w:fill="F2F2F2"/>
            <w:noWrap/>
            <w:vAlign w:val="center"/>
            <w:hideMark/>
          </w:tcPr>
          <w:p w14:paraId="34C12233"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7049E0AE"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D3D7177" w14:textId="77777777" w:rsidR="00DB659A" w:rsidRPr="00D808EB" w:rsidRDefault="00DB659A" w:rsidP="00CC28AE">
            <w:pPr>
              <w:rPr>
                <w:color w:val="000000"/>
                <w:sz w:val="22"/>
                <w:szCs w:val="22"/>
              </w:rPr>
            </w:pPr>
            <w:r w:rsidRPr="00D808EB">
              <w:rPr>
                <w:color w:val="000000"/>
                <w:sz w:val="22"/>
                <w:szCs w:val="22"/>
              </w:rPr>
              <w:t>Support expenditure for the Common Foreign and Security Policy</w:t>
            </w:r>
          </w:p>
        </w:tc>
      </w:tr>
      <w:tr w:rsidR="00DB659A" w:rsidRPr="00D808EB" w14:paraId="01158B42"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643B8BD0"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5B6F914A" w14:textId="77777777" w:rsidR="00DB659A" w:rsidRPr="00D808EB" w:rsidRDefault="00DB659A" w:rsidP="00CC28AE">
            <w:pPr>
              <w:jc w:val="center"/>
              <w:rPr>
                <w:color w:val="000000"/>
                <w:sz w:val="22"/>
                <w:szCs w:val="22"/>
              </w:rPr>
            </w:pPr>
            <w:r w:rsidRPr="00D808EB">
              <w:rPr>
                <w:color w:val="000000"/>
                <w:sz w:val="22"/>
                <w:szCs w:val="22"/>
              </w:rPr>
              <w:t>01</w:t>
            </w:r>
          </w:p>
        </w:tc>
        <w:tc>
          <w:tcPr>
            <w:tcW w:w="256" w:type="pct"/>
            <w:tcBorders>
              <w:top w:val="nil"/>
              <w:left w:val="nil"/>
              <w:bottom w:val="single" w:sz="4" w:space="0" w:color="auto"/>
              <w:right w:val="single" w:sz="4" w:space="0" w:color="auto"/>
            </w:tcBorders>
            <w:shd w:val="clear" w:color="000000" w:fill="F2F2F2"/>
            <w:noWrap/>
            <w:vAlign w:val="center"/>
            <w:hideMark/>
          </w:tcPr>
          <w:p w14:paraId="62259ED8"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584BB1F0"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6AF62C7C" w14:textId="77777777" w:rsidR="00DB659A" w:rsidRPr="00D808EB" w:rsidRDefault="00DB659A" w:rsidP="00CC28AE">
            <w:pPr>
              <w:rPr>
                <w:color w:val="000000"/>
                <w:sz w:val="22"/>
                <w:szCs w:val="22"/>
              </w:rPr>
            </w:pPr>
            <w:r w:rsidRPr="00D808EB">
              <w:rPr>
                <w:color w:val="000000"/>
                <w:sz w:val="22"/>
                <w:szCs w:val="22"/>
              </w:rPr>
              <w:t>Support expenditure for overseas countries and territories</w:t>
            </w:r>
          </w:p>
        </w:tc>
      </w:tr>
      <w:tr w:rsidR="00DB659A" w:rsidRPr="00D808EB" w14:paraId="0681BA32"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328C2058" w14:textId="77777777" w:rsidR="00DB659A" w:rsidRPr="00D808EB" w:rsidRDefault="00DB659A" w:rsidP="00CC28AE">
            <w:pPr>
              <w:jc w:val="center"/>
              <w:rPr>
                <w:i/>
                <w:iCs/>
                <w:color w:val="000000"/>
                <w:sz w:val="22"/>
                <w:szCs w:val="22"/>
              </w:rPr>
            </w:pPr>
            <w:r w:rsidRPr="00D808EB">
              <w:rPr>
                <w:i/>
                <w:iCs/>
                <w:color w:val="000000"/>
                <w:sz w:val="22"/>
                <w:szCs w:val="22"/>
              </w:rPr>
              <w:t>08</w:t>
            </w:r>
          </w:p>
        </w:tc>
        <w:tc>
          <w:tcPr>
            <w:tcW w:w="297" w:type="pct"/>
            <w:tcBorders>
              <w:top w:val="nil"/>
              <w:left w:val="nil"/>
              <w:bottom w:val="single" w:sz="4" w:space="0" w:color="auto"/>
              <w:right w:val="single" w:sz="4" w:space="0" w:color="auto"/>
            </w:tcBorders>
            <w:shd w:val="clear" w:color="000000" w:fill="D0D0D0"/>
            <w:noWrap/>
            <w:vAlign w:val="center"/>
            <w:hideMark/>
          </w:tcPr>
          <w:p w14:paraId="44C1A0BE" w14:textId="77777777" w:rsidR="00DB659A" w:rsidRPr="00D808EB" w:rsidRDefault="00DB659A" w:rsidP="00CC28AE">
            <w:pPr>
              <w:jc w:val="center"/>
              <w:rPr>
                <w:i/>
                <w:iCs/>
                <w:color w:val="000000"/>
                <w:sz w:val="22"/>
                <w:szCs w:val="22"/>
              </w:rPr>
            </w:pPr>
            <w:r w:rsidRPr="00D808EB">
              <w:rPr>
                <w:i/>
                <w:iCs/>
                <w:color w:val="000000"/>
                <w:sz w:val="22"/>
                <w:szCs w:val="22"/>
              </w:rPr>
              <w:t>02</w:t>
            </w:r>
          </w:p>
        </w:tc>
        <w:tc>
          <w:tcPr>
            <w:tcW w:w="256" w:type="pct"/>
            <w:tcBorders>
              <w:top w:val="nil"/>
              <w:left w:val="nil"/>
              <w:bottom w:val="single" w:sz="4" w:space="0" w:color="auto"/>
              <w:right w:val="single" w:sz="4" w:space="0" w:color="auto"/>
            </w:tcBorders>
            <w:shd w:val="clear" w:color="000000" w:fill="D0D0D0"/>
            <w:noWrap/>
            <w:vAlign w:val="center"/>
            <w:hideMark/>
          </w:tcPr>
          <w:p w14:paraId="53407705"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6B22E2D1"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34644A43" w14:textId="77777777" w:rsidR="00DB659A" w:rsidRPr="00D808EB" w:rsidRDefault="00DB659A" w:rsidP="00CC28AE">
            <w:pPr>
              <w:rPr>
                <w:i/>
                <w:iCs/>
                <w:color w:val="000000"/>
                <w:sz w:val="22"/>
                <w:szCs w:val="22"/>
              </w:rPr>
            </w:pPr>
            <w:r w:rsidRPr="00D808EB">
              <w:rPr>
                <w:i/>
                <w:iCs/>
                <w:color w:val="000000"/>
                <w:sz w:val="22"/>
                <w:szCs w:val="22"/>
              </w:rPr>
              <w:t>Common Foreign and Security Policy</w:t>
            </w:r>
          </w:p>
        </w:tc>
      </w:tr>
      <w:tr w:rsidR="00DB659A" w:rsidRPr="00D808EB" w14:paraId="7072AA06"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9D0B913"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1758EE7D"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49C1EA0E"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2F3D0137"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264648F" w14:textId="77777777" w:rsidR="00DB659A" w:rsidRPr="00D808EB" w:rsidRDefault="00DB659A" w:rsidP="00CC28AE">
            <w:pPr>
              <w:rPr>
                <w:color w:val="000000"/>
                <w:sz w:val="22"/>
                <w:szCs w:val="22"/>
              </w:rPr>
            </w:pPr>
            <w:r w:rsidRPr="00D808EB">
              <w:rPr>
                <w:color w:val="000000"/>
                <w:sz w:val="22"/>
                <w:szCs w:val="22"/>
              </w:rPr>
              <w:t>Common Security and Defence Policy of the European Union</w:t>
            </w:r>
          </w:p>
        </w:tc>
      </w:tr>
      <w:tr w:rsidR="00DB659A" w:rsidRPr="00D808EB" w14:paraId="0A3D4C86"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79F18D7B"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42CD97B4"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auto" w:fill="auto"/>
            <w:noWrap/>
            <w:vAlign w:val="center"/>
            <w:hideMark/>
          </w:tcPr>
          <w:p w14:paraId="64419D25"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auto" w:fill="auto"/>
            <w:noWrap/>
            <w:vAlign w:val="center"/>
            <w:hideMark/>
          </w:tcPr>
          <w:p w14:paraId="44367C98" w14:textId="77777777" w:rsidR="00DB659A" w:rsidRPr="00D808EB" w:rsidRDefault="00DB659A" w:rsidP="00CC28AE">
            <w:pPr>
              <w:jc w:val="center"/>
              <w:rPr>
                <w:color w:val="000000"/>
                <w:sz w:val="22"/>
                <w:szCs w:val="22"/>
              </w:rPr>
            </w:pPr>
            <w:r w:rsidRPr="00D808EB">
              <w:rPr>
                <w:color w:val="000000"/>
                <w:sz w:val="22"/>
                <w:szCs w:val="22"/>
              </w:rPr>
              <w:t>01</w:t>
            </w:r>
          </w:p>
        </w:tc>
        <w:tc>
          <w:tcPr>
            <w:tcW w:w="4050" w:type="pct"/>
            <w:tcBorders>
              <w:top w:val="nil"/>
              <w:left w:val="nil"/>
              <w:bottom w:val="single" w:sz="4" w:space="0" w:color="auto"/>
              <w:right w:val="single" w:sz="4" w:space="0" w:color="auto"/>
            </w:tcBorders>
            <w:shd w:val="clear" w:color="auto" w:fill="auto"/>
            <w:vAlign w:val="center"/>
            <w:hideMark/>
          </w:tcPr>
          <w:p w14:paraId="79569920" w14:textId="77777777" w:rsidR="00DB659A" w:rsidRPr="00D808EB" w:rsidRDefault="00DB659A" w:rsidP="00CC28AE">
            <w:pPr>
              <w:rPr>
                <w:color w:val="000000"/>
                <w:sz w:val="22"/>
                <w:szCs w:val="22"/>
              </w:rPr>
            </w:pPr>
            <w:r w:rsidRPr="00D808EB">
              <w:rPr>
                <w:color w:val="000000"/>
                <w:sz w:val="22"/>
                <w:szCs w:val="22"/>
              </w:rPr>
              <w:t>EULEX Kosovo</w:t>
            </w:r>
          </w:p>
        </w:tc>
      </w:tr>
      <w:tr w:rsidR="00DB659A" w:rsidRPr="00D808EB" w14:paraId="0442F380"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6CAD79BB"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5623FEF5"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auto" w:fill="auto"/>
            <w:noWrap/>
            <w:vAlign w:val="center"/>
            <w:hideMark/>
          </w:tcPr>
          <w:p w14:paraId="3DF8D8F1"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auto" w:fill="auto"/>
            <w:noWrap/>
            <w:vAlign w:val="center"/>
            <w:hideMark/>
          </w:tcPr>
          <w:p w14:paraId="0EA76A86" w14:textId="77777777" w:rsidR="00DB659A" w:rsidRPr="00D808EB" w:rsidRDefault="00DB659A" w:rsidP="00CC28AE">
            <w:pPr>
              <w:jc w:val="center"/>
              <w:rPr>
                <w:color w:val="000000"/>
                <w:sz w:val="22"/>
                <w:szCs w:val="22"/>
              </w:rPr>
            </w:pPr>
            <w:r w:rsidRPr="00D808EB">
              <w:rPr>
                <w:color w:val="000000"/>
                <w:sz w:val="22"/>
                <w:szCs w:val="22"/>
              </w:rPr>
              <w:t>02</w:t>
            </w:r>
          </w:p>
        </w:tc>
        <w:tc>
          <w:tcPr>
            <w:tcW w:w="4050" w:type="pct"/>
            <w:tcBorders>
              <w:top w:val="nil"/>
              <w:left w:val="nil"/>
              <w:bottom w:val="single" w:sz="4" w:space="0" w:color="auto"/>
              <w:right w:val="single" w:sz="4" w:space="0" w:color="auto"/>
            </w:tcBorders>
            <w:shd w:val="clear" w:color="auto" w:fill="auto"/>
            <w:vAlign w:val="center"/>
            <w:hideMark/>
          </w:tcPr>
          <w:p w14:paraId="47AE4968" w14:textId="77777777" w:rsidR="00DB659A" w:rsidRPr="00D808EB" w:rsidRDefault="00DB659A" w:rsidP="00CC28AE">
            <w:pPr>
              <w:rPr>
                <w:color w:val="000000"/>
                <w:sz w:val="22"/>
                <w:szCs w:val="22"/>
              </w:rPr>
            </w:pPr>
            <w:r w:rsidRPr="00D808EB">
              <w:rPr>
                <w:color w:val="000000"/>
                <w:sz w:val="22"/>
                <w:szCs w:val="22"/>
              </w:rPr>
              <w:t>Other civilian CSDP missions</w:t>
            </w:r>
          </w:p>
        </w:tc>
      </w:tr>
      <w:tr w:rsidR="00DB659A" w:rsidRPr="00D808EB" w14:paraId="1181D989"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17842B60"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4480CC5B"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auto" w:fill="auto"/>
            <w:noWrap/>
            <w:vAlign w:val="center"/>
            <w:hideMark/>
          </w:tcPr>
          <w:p w14:paraId="1C2C87AB"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auto" w:fill="auto"/>
            <w:noWrap/>
            <w:vAlign w:val="center"/>
            <w:hideMark/>
          </w:tcPr>
          <w:p w14:paraId="735D5EF8" w14:textId="77777777" w:rsidR="00DB659A" w:rsidRPr="00D808EB" w:rsidRDefault="00DB659A" w:rsidP="00CC28AE">
            <w:pPr>
              <w:jc w:val="center"/>
              <w:rPr>
                <w:color w:val="000000"/>
                <w:sz w:val="22"/>
                <w:szCs w:val="22"/>
              </w:rPr>
            </w:pPr>
            <w:r w:rsidRPr="00D808EB">
              <w:rPr>
                <w:color w:val="000000"/>
                <w:sz w:val="22"/>
                <w:szCs w:val="22"/>
              </w:rPr>
              <w:t>03</w:t>
            </w:r>
          </w:p>
        </w:tc>
        <w:tc>
          <w:tcPr>
            <w:tcW w:w="4050" w:type="pct"/>
            <w:tcBorders>
              <w:top w:val="nil"/>
              <w:left w:val="nil"/>
              <w:bottom w:val="single" w:sz="4" w:space="0" w:color="auto"/>
              <w:right w:val="single" w:sz="4" w:space="0" w:color="auto"/>
            </w:tcBorders>
            <w:shd w:val="clear" w:color="auto" w:fill="auto"/>
            <w:vAlign w:val="center"/>
            <w:hideMark/>
          </w:tcPr>
          <w:p w14:paraId="6011449B" w14:textId="77777777" w:rsidR="00DB659A" w:rsidRPr="00D808EB" w:rsidRDefault="00DB659A" w:rsidP="00CC28AE">
            <w:pPr>
              <w:rPr>
                <w:color w:val="000000"/>
                <w:sz w:val="22"/>
                <w:szCs w:val="22"/>
              </w:rPr>
            </w:pPr>
            <w:r w:rsidRPr="00D808EB">
              <w:rPr>
                <w:color w:val="000000"/>
                <w:sz w:val="22"/>
                <w:szCs w:val="22"/>
              </w:rPr>
              <w:t>Civilian CSDP emergency and preparatory measures</w:t>
            </w:r>
          </w:p>
        </w:tc>
      </w:tr>
      <w:tr w:rsidR="00DB659A" w:rsidRPr="00D808EB" w14:paraId="22AA97CB"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3D830D79"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67A8B757"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auto" w:fill="auto"/>
            <w:noWrap/>
            <w:vAlign w:val="center"/>
            <w:hideMark/>
          </w:tcPr>
          <w:p w14:paraId="4E8E8362"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auto" w:fill="auto"/>
            <w:noWrap/>
            <w:vAlign w:val="center"/>
            <w:hideMark/>
          </w:tcPr>
          <w:p w14:paraId="4C532D54" w14:textId="77777777" w:rsidR="00DB659A" w:rsidRPr="00D808EB" w:rsidRDefault="00DB659A" w:rsidP="00CC28AE">
            <w:pPr>
              <w:jc w:val="center"/>
              <w:rPr>
                <w:color w:val="000000"/>
                <w:sz w:val="22"/>
                <w:szCs w:val="22"/>
              </w:rPr>
            </w:pPr>
            <w:r w:rsidRPr="00D808EB">
              <w:rPr>
                <w:color w:val="000000"/>
                <w:sz w:val="22"/>
                <w:szCs w:val="22"/>
              </w:rPr>
              <w:t>04</w:t>
            </w:r>
          </w:p>
        </w:tc>
        <w:tc>
          <w:tcPr>
            <w:tcW w:w="4050" w:type="pct"/>
            <w:tcBorders>
              <w:top w:val="nil"/>
              <w:left w:val="nil"/>
              <w:bottom w:val="single" w:sz="4" w:space="0" w:color="auto"/>
              <w:right w:val="single" w:sz="4" w:space="0" w:color="auto"/>
            </w:tcBorders>
            <w:shd w:val="clear" w:color="auto" w:fill="auto"/>
            <w:vAlign w:val="center"/>
            <w:hideMark/>
          </w:tcPr>
          <w:p w14:paraId="2DFECA7B" w14:textId="77777777" w:rsidR="00DB659A" w:rsidRPr="00D808EB" w:rsidRDefault="00DB659A" w:rsidP="00CC28AE">
            <w:pPr>
              <w:rPr>
                <w:color w:val="000000"/>
                <w:sz w:val="22"/>
                <w:szCs w:val="22"/>
              </w:rPr>
            </w:pPr>
            <w:r w:rsidRPr="00D808EB">
              <w:rPr>
                <w:color w:val="000000"/>
                <w:sz w:val="22"/>
                <w:szCs w:val="22"/>
              </w:rPr>
              <w:t>Other civilian CFSP actions</w:t>
            </w:r>
          </w:p>
        </w:tc>
      </w:tr>
      <w:tr w:rsidR="00DB659A" w:rsidRPr="00D808EB" w14:paraId="6667C896"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058E08B0"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34EFF56C"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74A6ED86"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42F31DD9"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03CCE487" w14:textId="77777777" w:rsidR="00DB659A" w:rsidRPr="00D808EB" w:rsidRDefault="00DB659A" w:rsidP="00CC28AE">
            <w:pPr>
              <w:rPr>
                <w:color w:val="000000"/>
                <w:sz w:val="22"/>
                <w:szCs w:val="22"/>
              </w:rPr>
            </w:pPr>
            <w:r w:rsidRPr="00D808EB">
              <w:rPr>
                <w:color w:val="000000"/>
                <w:sz w:val="22"/>
                <w:szCs w:val="22"/>
              </w:rPr>
              <w:t>European Union Special Representatives</w:t>
            </w:r>
          </w:p>
        </w:tc>
      </w:tr>
      <w:tr w:rsidR="00DB659A" w:rsidRPr="00D808EB" w14:paraId="64F15923"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36870F84"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766AF971" w14:textId="77777777" w:rsidR="00DB659A" w:rsidRPr="00D808EB" w:rsidRDefault="00DB659A" w:rsidP="00CC28AE">
            <w:pPr>
              <w:jc w:val="center"/>
              <w:rPr>
                <w:color w:val="000000"/>
                <w:sz w:val="22"/>
                <w:szCs w:val="22"/>
              </w:rPr>
            </w:pPr>
            <w:r w:rsidRPr="00D808EB">
              <w:rPr>
                <w:color w:val="000000"/>
                <w:sz w:val="22"/>
                <w:szCs w:val="22"/>
              </w:rPr>
              <w:t>02</w:t>
            </w:r>
          </w:p>
        </w:tc>
        <w:tc>
          <w:tcPr>
            <w:tcW w:w="256" w:type="pct"/>
            <w:tcBorders>
              <w:top w:val="nil"/>
              <w:left w:val="nil"/>
              <w:bottom w:val="single" w:sz="4" w:space="0" w:color="auto"/>
              <w:right w:val="single" w:sz="4" w:space="0" w:color="auto"/>
            </w:tcBorders>
            <w:shd w:val="clear" w:color="000000" w:fill="F2F2F2"/>
            <w:noWrap/>
            <w:vAlign w:val="center"/>
            <w:hideMark/>
          </w:tcPr>
          <w:p w14:paraId="00F050A0"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000000" w:fill="F2F2F2"/>
            <w:noWrap/>
            <w:vAlign w:val="center"/>
            <w:hideMark/>
          </w:tcPr>
          <w:p w14:paraId="1E51C53F"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4208C16D" w14:textId="77777777" w:rsidR="00DB659A" w:rsidRPr="00D808EB" w:rsidRDefault="00DB659A" w:rsidP="00CC28AE">
            <w:pPr>
              <w:rPr>
                <w:color w:val="000000"/>
                <w:sz w:val="22"/>
                <w:szCs w:val="22"/>
              </w:rPr>
            </w:pPr>
            <w:r w:rsidRPr="00D808EB">
              <w:rPr>
                <w:color w:val="000000"/>
                <w:sz w:val="22"/>
                <w:szCs w:val="22"/>
              </w:rPr>
              <w:t>Non-proliferation, disarmament and arms export control</w:t>
            </w:r>
          </w:p>
        </w:tc>
      </w:tr>
      <w:tr w:rsidR="00DB659A" w:rsidRPr="00D808EB" w14:paraId="2E1EDAD1"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19F5707B" w14:textId="77777777" w:rsidR="00DB659A" w:rsidRPr="00D808EB" w:rsidRDefault="00DB659A" w:rsidP="00CC28AE">
            <w:pPr>
              <w:jc w:val="center"/>
              <w:rPr>
                <w:i/>
                <w:iCs/>
                <w:color w:val="000000"/>
                <w:sz w:val="22"/>
                <w:szCs w:val="22"/>
              </w:rPr>
            </w:pPr>
            <w:r w:rsidRPr="00D808EB">
              <w:rPr>
                <w:i/>
                <w:iCs/>
                <w:color w:val="000000"/>
                <w:sz w:val="22"/>
                <w:szCs w:val="22"/>
              </w:rPr>
              <w:t>08</w:t>
            </w:r>
          </w:p>
        </w:tc>
        <w:tc>
          <w:tcPr>
            <w:tcW w:w="297" w:type="pct"/>
            <w:tcBorders>
              <w:top w:val="nil"/>
              <w:left w:val="nil"/>
              <w:bottom w:val="single" w:sz="4" w:space="0" w:color="auto"/>
              <w:right w:val="single" w:sz="4" w:space="0" w:color="auto"/>
            </w:tcBorders>
            <w:shd w:val="clear" w:color="000000" w:fill="D0D0D0"/>
            <w:noWrap/>
            <w:vAlign w:val="center"/>
            <w:hideMark/>
          </w:tcPr>
          <w:p w14:paraId="77E8CD36" w14:textId="77777777" w:rsidR="00DB659A" w:rsidRPr="00D808EB" w:rsidRDefault="00DB659A" w:rsidP="00CC28AE">
            <w:pPr>
              <w:jc w:val="center"/>
              <w:rPr>
                <w:i/>
                <w:iCs/>
                <w:color w:val="000000"/>
                <w:sz w:val="22"/>
                <w:szCs w:val="22"/>
              </w:rPr>
            </w:pPr>
            <w:r w:rsidRPr="00D808EB">
              <w:rPr>
                <w:i/>
                <w:iCs/>
                <w:color w:val="000000"/>
                <w:sz w:val="22"/>
                <w:szCs w:val="22"/>
              </w:rPr>
              <w:t>03</w:t>
            </w:r>
          </w:p>
        </w:tc>
        <w:tc>
          <w:tcPr>
            <w:tcW w:w="256" w:type="pct"/>
            <w:tcBorders>
              <w:top w:val="nil"/>
              <w:left w:val="nil"/>
              <w:bottom w:val="single" w:sz="4" w:space="0" w:color="auto"/>
              <w:right w:val="single" w:sz="4" w:space="0" w:color="auto"/>
            </w:tcBorders>
            <w:shd w:val="clear" w:color="000000" w:fill="D0D0D0"/>
            <w:noWrap/>
            <w:vAlign w:val="center"/>
            <w:hideMark/>
          </w:tcPr>
          <w:p w14:paraId="3915891A"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0A398749"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5C07B104" w14:textId="77777777" w:rsidR="00DB659A" w:rsidRPr="00D808EB" w:rsidRDefault="00DB659A" w:rsidP="00CC28AE">
            <w:pPr>
              <w:rPr>
                <w:i/>
                <w:iCs/>
                <w:color w:val="000000"/>
                <w:sz w:val="22"/>
                <w:szCs w:val="22"/>
              </w:rPr>
            </w:pPr>
            <w:r w:rsidRPr="00D808EB">
              <w:rPr>
                <w:i/>
                <w:iCs/>
                <w:color w:val="000000"/>
                <w:sz w:val="22"/>
                <w:szCs w:val="22"/>
              </w:rPr>
              <w:t>Overseas countries and territories</w:t>
            </w:r>
          </w:p>
        </w:tc>
      </w:tr>
      <w:tr w:rsidR="00DB659A" w:rsidRPr="00D808EB" w14:paraId="0A05C674"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70BD6122"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2C44540F"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54597CEB"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081A296D"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6EB3FD35" w14:textId="77777777" w:rsidR="00DB659A" w:rsidRPr="00D808EB" w:rsidRDefault="00DB659A" w:rsidP="00CC28AE">
            <w:pPr>
              <w:rPr>
                <w:color w:val="000000"/>
                <w:sz w:val="22"/>
                <w:szCs w:val="22"/>
              </w:rPr>
            </w:pPr>
            <w:r w:rsidRPr="00D808EB">
              <w:rPr>
                <w:color w:val="000000"/>
                <w:sz w:val="22"/>
                <w:szCs w:val="22"/>
              </w:rPr>
              <w:t>All overseas countries and territories</w:t>
            </w:r>
          </w:p>
        </w:tc>
      </w:tr>
      <w:tr w:rsidR="00DB659A" w:rsidRPr="00D808EB" w14:paraId="4409046E"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1A9B0EB5"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499002EE"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34CD41BF"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41601BB2"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1F13574E" w14:textId="77777777" w:rsidR="00DB659A" w:rsidRPr="00D808EB" w:rsidRDefault="00DB659A" w:rsidP="00CC28AE">
            <w:pPr>
              <w:rPr>
                <w:color w:val="000000"/>
                <w:sz w:val="22"/>
                <w:szCs w:val="22"/>
              </w:rPr>
            </w:pPr>
            <w:r w:rsidRPr="00D808EB">
              <w:rPr>
                <w:color w:val="000000"/>
                <w:sz w:val="22"/>
                <w:szCs w:val="22"/>
              </w:rPr>
              <w:t>Overseas countries and territories other than Greenland</w:t>
            </w:r>
          </w:p>
        </w:tc>
      </w:tr>
      <w:tr w:rsidR="00DB659A" w:rsidRPr="00D808EB" w14:paraId="50E6F5F5"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28FBD989"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60D533FC"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6E3834DE"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000000" w:fill="F2F2F2"/>
            <w:noWrap/>
            <w:vAlign w:val="center"/>
            <w:hideMark/>
          </w:tcPr>
          <w:p w14:paraId="7D511F2E"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C2635B4" w14:textId="77777777" w:rsidR="00DB659A" w:rsidRPr="00D808EB" w:rsidRDefault="00DB659A" w:rsidP="00CC28AE">
            <w:pPr>
              <w:rPr>
                <w:color w:val="000000"/>
                <w:sz w:val="22"/>
                <w:szCs w:val="22"/>
              </w:rPr>
            </w:pPr>
            <w:r w:rsidRPr="00D808EB">
              <w:rPr>
                <w:color w:val="000000"/>
                <w:sz w:val="22"/>
                <w:szCs w:val="22"/>
              </w:rPr>
              <w:t>Greenland</w:t>
            </w:r>
          </w:p>
        </w:tc>
      </w:tr>
      <w:tr w:rsidR="00DB659A" w:rsidRPr="00D808EB" w14:paraId="1CBBB39C"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776A15A"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2D18E25F" w14:textId="77777777" w:rsidR="00DB659A" w:rsidRPr="00D808EB" w:rsidRDefault="00DB659A" w:rsidP="00CC28AE">
            <w:pPr>
              <w:jc w:val="center"/>
              <w:rPr>
                <w:color w:val="000000"/>
                <w:sz w:val="22"/>
                <w:szCs w:val="22"/>
              </w:rPr>
            </w:pPr>
            <w:r w:rsidRPr="00D808EB">
              <w:rPr>
                <w:color w:val="000000"/>
                <w:sz w:val="22"/>
                <w:szCs w:val="22"/>
              </w:rPr>
              <w:t>03</w:t>
            </w:r>
          </w:p>
        </w:tc>
        <w:tc>
          <w:tcPr>
            <w:tcW w:w="256" w:type="pct"/>
            <w:tcBorders>
              <w:top w:val="nil"/>
              <w:left w:val="nil"/>
              <w:bottom w:val="single" w:sz="4" w:space="0" w:color="auto"/>
              <w:right w:val="single" w:sz="4" w:space="0" w:color="auto"/>
            </w:tcBorders>
            <w:shd w:val="clear" w:color="000000" w:fill="F2F2F2"/>
            <w:noWrap/>
            <w:vAlign w:val="center"/>
            <w:hideMark/>
          </w:tcPr>
          <w:p w14:paraId="2EB126D6" w14:textId="77777777" w:rsidR="00DB659A" w:rsidRPr="00D808EB" w:rsidRDefault="00DB659A" w:rsidP="00CC28AE">
            <w:pPr>
              <w:jc w:val="center"/>
              <w:rPr>
                <w:color w:val="000000"/>
                <w:sz w:val="22"/>
                <w:szCs w:val="22"/>
              </w:rPr>
            </w:pPr>
            <w:r w:rsidRPr="00D808EB">
              <w:rPr>
                <w:color w:val="000000"/>
                <w:sz w:val="22"/>
                <w:szCs w:val="22"/>
              </w:rPr>
              <w:t>99</w:t>
            </w:r>
          </w:p>
        </w:tc>
        <w:tc>
          <w:tcPr>
            <w:tcW w:w="202" w:type="pct"/>
            <w:tcBorders>
              <w:top w:val="nil"/>
              <w:left w:val="nil"/>
              <w:bottom w:val="single" w:sz="4" w:space="0" w:color="auto"/>
              <w:right w:val="single" w:sz="4" w:space="0" w:color="auto"/>
            </w:tcBorders>
            <w:shd w:val="clear" w:color="000000" w:fill="F2F2F2"/>
            <w:noWrap/>
            <w:vAlign w:val="center"/>
            <w:hideMark/>
          </w:tcPr>
          <w:p w14:paraId="5D2BAECA"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6FDD6D6C" w14:textId="77777777" w:rsidR="00DB659A" w:rsidRPr="00D808EB" w:rsidRDefault="00DB659A" w:rsidP="00CC28AE">
            <w:pPr>
              <w:rPr>
                <w:color w:val="000000"/>
                <w:sz w:val="22"/>
                <w:szCs w:val="22"/>
              </w:rPr>
            </w:pPr>
            <w:r w:rsidRPr="00D808EB">
              <w:rPr>
                <w:color w:val="000000"/>
                <w:sz w:val="22"/>
                <w:szCs w:val="22"/>
              </w:rPr>
              <w:t>Completion of previous programmes and activities</w:t>
            </w:r>
          </w:p>
        </w:tc>
      </w:tr>
      <w:tr w:rsidR="00DB659A" w:rsidRPr="00D808EB" w14:paraId="0F123327"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D0D0D0"/>
            <w:noWrap/>
            <w:vAlign w:val="center"/>
            <w:hideMark/>
          </w:tcPr>
          <w:p w14:paraId="67E62662" w14:textId="77777777" w:rsidR="00DB659A" w:rsidRPr="00D808EB" w:rsidRDefault="00DB659A" w:rsidP="00CC28AE">
            <w:pPr>
              <w:jc w:val="center"/>
              <w:rPr>
                <w:i/>
                <w:iCs/>
                <w:color w:val="000000"/>
                <w:sz w:val="22"/>
                <w:szCs w:val="22"/>
              </w:rPr>
            </w:pPr>
            <w:r w:rsidRPr="00D808EB">
              <w:rPr>
                <w:i/>
                <w:iCs/>
                <w:color w:val="000000"/>
                <w:sz w:val="22"/>
                <w:szCs w:val="22"/>
              </w:rPr>
              <w:t>08</w:t>
            </w:r>
          </w:p>
        </w:tc>
        <w:tc>
          <w:tcPr>
            <w:tcW w:w="297" w:type="pct"/>
            <w:tcBorders>
              <w:top w:val="nil"/>
              <w:left w:val="nil"/>
              <w:bottom w:val="single" w:sz="4" w:space="0" w:color="auto"/>
              <w:right w:val="single" w:sz="4" w:space="0" w:color="auto"/>
            </w:tcBorders>
            <w:shd w:val="clear" w:color="000000" w:fill="D0D0D0"/>
            <w:noWrap/>
            <w:vAlign w:val="center"/>
            <w:hideMark/>
          </w:tcPr>
          <w:p w14:paraId="035B7F15" w14:textId="77777777" w:rsidR="00DB659A" w:rsidRPr="00D808EB" w:rsidRDefault="00DB659A" w:rsidP="00CC28AE">
            <w:pPr>
              <w:jc w:val="center"/>
              <w:rPr>
                <w:i/>
                <w:iCs/>
                <w:color w:val="000000"/>
                <w:sz w:val="22"/>
                <w:szCs w:val="22"/>
              </w:rPr>
            </w:pPr>
            <w:r w:rsidRPr="00D808EB">
              <w:rPr>
                <w:i/>
                <w:iCs/>
                <w:color w:val="000000"/>
                <w:sz w:val="22"/>
                <w:szCs w:val="22"/>
              </w:rPr>
              <w:t>20</w:t>
            </w:r>
          </w:p>
        </w:tc>
        <w:tc>
          <w:tcPr>
            <w:tcW w:w="256" w:type="pct"/>
            <w:tcBorders>
              <w:top w:val="nil"/>
              <w:left w:val="nil"/>
              <w:bottom w:val="single" w:sz="4" w:space="0" w:color="auto"/>
              <w:right w:val="single" w:sz="4" w:space="0" w:color="auto"/>
            </w:tcBorders>
            <w:shd w:val="clear" w:color="000000" w:fill="D0D0D0"/>
            <w:noWrap/>
            <w:vAlign w:val="center"/>
            <w:hideMark/>
          </w:tcPr>
          <w:p w14:paraId="6826F74F"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202" w:type="pct"/>
            <w:tcBorders>
              <w:top w:val="nil"/>
              <w:left w:val="nil"/>
              <w:bottom w:val="single" w:sz="4" w:space="0" w:color="auto"/>
              <w:right w:val="single" w:sz="4" w:space="0" w:color="auto"/>
            </w:tcBorders>
            <w:shd w:val="clear" w:color="000000" w:fill="D0D0D0"/>
            <w:noWrap/>
            <w:vAlign w:val="center"/>
            <w:hideMark/>
          </w:tcPr>
          <w:p w14:paraId="39EA71C2" w14:textId="77777777" w:rsidR="00DB659A" w:rsidRPr="00D808EB" w:rsidRDefault="00DB659A" w:rsidP="00CC28AE">
            <w:pPr>
              <w:jc w:val="center"/>
              <w:rPr>
                <w:i/>
                <w:iCs/>
                <w:color w:val="000000"/>
                <w:sz w:val="22"/>
                <w:szCs w:val="22"/>
              </w:rPr>
            </w:pPr>
            <w:r w:rsidRPr="00D808EB">
              <w:rPr>
                <w:i/>
                <w:iCs/>
                <w:color w:val="000000"/>
                <w:sz w:val="22"/>
                <w:szCs w:val="22"/>
              </w:rPr>
              <w:t> </w:t>
            </w:r>
          </w:p>
        </w:tc>
        <w:tc>
          <w:tcPr>
            <w:tcW w:w="4050" w:type="pct"/>
            <w:tcBorders>
              <w:top w:val="nil"/>
              <w:left w:val="nil"/>
              <w:bottom w:val="single" w:sz="4" w:space="0" w:color="auto"/>
              <w:right w:val="single" w:sz="4" w:space="0" w:color="auto"/>
            </w:tcBorders>
            <w:shd w:val="clear" w:color="000000" w:fill="D0D0D0"/>
            <w:vAlign w:val="center"/>
            <w:hideMark/>
          </w:tcPr>
          <w:p w14:paraId="721AF411" w14:textId="77777777" w:rsidR="00DB659A" w:rsidRPr="00D808EB" w:rsidRDefault="00DB659A" w:rsidP="00CC28AE">
            <w:pPr>
              <w:rPr>
                <w:i/>
                <w:iCs/>
                <w:color w:val="000000"/>
                <w:sz w:val="22"/>
                <w:szCs w:val="22"/>
              </w:rPr>
            </w:pPr>
            <w:r w:rsidRPr="00D808EB">
              <w:rPr>
                <w:i/>
                <w:iCs/>
                <w:color w:val="000000"/>
                <w:sz w:val="22"/>
                <w:szCs w:val="22"/>
              </w:rPr>
              <w:t>Pilot projects, preparatory actions, prerogatives and other actions</w:t>
            </w:r>
          </w:p>
        </w:tc>
      </w:tr>
      <w:tr w:rsidR="00DB659A" w:rsidRPr="00D808EB" w14:paraId="244D576F"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8412620"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066073FE"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000000" w:fill="F2F2F2"/>
            <w:noWrap/>
            <w:vAlign w:val="center"/>
            <w:hideMark/>
          </w:tcPr>
          <w:p w14:paraId="3D4E8CFF" w14:textId="77777777" w:rsidR="00DB659A" w:rsidRPr="00D808EB" w:rsidRDefault="00DB659A" w:rsidP="00CC28AE">
            <w:pPr>
              <w:jc w:val="center"/>
              <w:rPr>
                <w:color w:val="000000"/>
                <w:sz w:val="22"/>
                <w:szCs w:val="22"/>
              </w:rPr>
            </w:pPr>
            <w:r w:rsidRPr="00D808EB">
              <w:rPr>
                <w:color w:val="000000"/>
                <w:sz w:val="22"/>
                <w:szCs w:val="22"/>
              </w:rPr>
              <w:t>01</w:t>
            </w:r>
          </w:p>
        </w:tc>
        <w:tc>
          <w:tcPr>
            <w:tcW w:w="202" w:type="pct"/>
            <w:tcBorders>
              <w:top w:val="nil"/>
              <w:left w:val="nil"/>
              <w:bottom w:val="single" w:sz="4" w:space="0" w:color="auto"/>
              <w:right w:val="single" w:sz="4" w:space="0" w:color="auto"/>
            </w:tcBorders>
            <w:shd w:val="clear" w:color="000000" w:fill="F2F2F2"/>
            <w:noWrap/>
            <w:vAlign w:val="center"/>
            <w:hideMark/>
          </w:tcPr>
          <w:p w14:paraId="0983F58C"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266FA658" w14:textId="77777777" w:rsidR="00DB659A" w:rsidRPr="00D808EB" w:rsidRDefault="00DB659A" w:rsidP="00CC28AE">
            <w:pPr>
              <w:rPr>
                <w:color w:val="000000"/>
                <w:sz w:val="22"/>
                <w:szCs w:val="22"/>
              </w:rPr>
            </w:pPr>
            <w:r w:rsidRPr="00D808EB">
              <w:rPr>
                <w:color w:val="000000"/>
                <w:sz w:val="22"/>
                <w:szCs w:val="22"/>
              </w:rPr>
              <w:t>Pilot projects</w:t>
            </w:r>
          </w:p>
        </w:tc>
      </w:tr>
      <w:tr w:rsidR="00DB659A" w:rsidRPr="00D808EB" w14:paraId="39E1CA6E"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6201285"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57733FF2"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000000" w:fill="F2F2F2"/>
            <w:noWrap/>
            <w:vAlign w:val="center"/>
            <w:hideMark/>
          </w:tcPr>
          <w:p w14:paraId="7B6919A0" w14:textId="77777777" w:rsidR="00DB659A" w:rsidRPr="00D808EB" w:rsidRDefault="00DB659A" w:rsidP="00CC28AE">
            <w:pPr>
              <w:jc w:val="center"/>
              <w:rPr>
                <w:color w:val="000000"/>
                <w:sz w:val="22"/>
                <w:szCs w:val="22"/>
              </w:rPr>
            </w:pPr>
            <w:r w:rsidRPr="00D808EB">
              <w:rPr>
                <w:color w:val="000000"/>
                <w:sz w:val="22"/>
                <w:szCs w:val="22"/>
              </w:rPr>
              <w:t>02</w:t>
            </w:r>
          </w:p>
        </w:tc>
        <w:tc>
          <w:tcPr>
            <w:tcW w:w="202" w:type="pct"/>
            <w:tcBorders>
              <w:top w:val="nil"/>
              <w:left w:val="nil"/>
              <w:bottom w:val="single" w:sz="4" w:space="0" w:color="auto"/>
              <w:right w:val="single" w:sz="4" w:space="0" w:color="auto"/>
            </w:tcBorders>
            <w:shd w:val="clear" w:color="000000" w:fill="F2F2F2"/>
            <w:noWrap/>
            <w:vAlign w:val="center"/>
            <w:hideMark/>
          </w:tcPr>
          <w:p w14:paraId="0A0912DA"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1924F543" w14:textId="77777777" w:rsidR="00DB659A" w:rsidRPr="00D808EB" w:rsidRDefault="00DB659A" w:rsidP="00CC28AE">
            <w:pPr>
              <w:rPr>
                <w:color w:val="000000"/>
                <w:sz w:val="22"/>
                <w:szCs w:val="22"/>
              </w:rPr>
            </w:pPr>
            <w:r w:rsidRPr="00D808EB">
              <w:rPr>
                <w:color w:val="000000"/>
                <w:sz w:val="22"/>
                <w:szCs w:val="22"/>
              </w:rPr>
              <w:t>Preparatory actions</w:t>
            </w:r>
          </w:p>
        </w:tc>
      </w:tr>
      <w:tr w:rsidR="00DB659A" w:rsidRPr="00D808EB" w14:paraId="720DD298" w14:textId="77777777" w:rsidTr="00CC28AE">
        <w:trPr>
          <w:trHeight w:val="255"/>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261FB58E"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2984C907"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000000" w:fill="F2F2F2"/>
            <w:noWrap/>
            <w:vAlign w:val="center"/>
            <w:hideMark/>
          </w:tcPr>
          <w:p w14:paraId="6620CD1C"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000000" w:fill="F2F2F2"/>
            <w:noWrap/>
            <w:vAlign w:val="center"/>
            <w:hideMark/>
          </w:tcPr>
          <w:p w14:paraId="13699486"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vAlign w:val="center"/>
            <w:hideMark/>
          </w:tcPr>
          <w:p w14:paraId="54739AFE" w14:textId="77777777" w:rsidR="00DB659A" w:rsidRPr="00D808EB" w:rsidRDefault="00DB659A" w:rsidP="00CC28AE">
            <w:pPr>
              <w:rPr>
                <w:color w:val="000000"/>
                <w:sz w:val="22"/>
                <w:szCs w:val="22"/>
              </w:rPr>
            </w:pPr>
            <w:r w:rsidRPr="00D808EB">
              <w:rPr>
                <w:color w:val="000000"/>
                <w:sz w:val="22"/>
                <w:szCs w:val="22"/>
              </w:rPr>
              <w:t>Other actions</w:t>
            </w:r>
          </w:p>
        </w:tc>
      </w:tr>
      <w:tr w:rsidR="00DB659A" w:rsidRPr="00D808EB" w14:paraId="006B9AD6"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175506A2"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33EC409B"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auto" w:fill="auto"/>
            <w:noWrap/>
            <w:vAlign w:val="center"/>
            <w:hideMark/>
          </w:tcPr>
          <w:p w14:paraId="0977464A"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auto" w:fill="auto"/>
            <w:noWrap/>
            <w:vAlign w:val="center"/>
            <w:hideMark/>
          </w:tcPr>
          <w:p w14:paraId="3FD03F67" w14:textId="77777777" w:rsidR="00DB659A" w:rsidRPr="00D808EB" w:rsidRDefault="00DB659A" w:rsidP="00CC28AE">
            <w:pPr>
              <w:jc w:val="center"/>
              <w:rPr>
                <w:color w:val="000000"/>
                <w:sz w:val="22"/>
                <w:szCs w:val="22"/>
              </w:rPr>
            </w:pPr>
            <w:r w:rsidRPr="00D808EB">
              <w:rPr>
                <w:color w:val="000000"/>
                <w:sz w:val="22"/>
                <w:szCs w:val="22"/>
              </w:rPr>
              <w:t>01</w:t>
            </w:r>
          </w:p>
        </w:tc>
        <w:tc>
          <w:tcPr>
            <w:tcW w:w="4050" w:type="pct"/>
            <w:tcBorders>
              <w:top w:val="nil"/>
              <w:left w:val="nil"/>
              <w:bottom w:val="single" w:sz="4" w:space="0" w:color="auto"/>
              <w:right w:val="single" w:sz="4" w:space="0" w:color="auto"/>
            </w:tcBorders>
            <w:shd w:val="clear" w:color="auto" w:fill="auto"/>
            <w:vAlign w:val="center"/>
            <w:hideMark/>
          </w:tcPr>
          <w:p w14:paraId="331D26F0" w14:textId="77777777" w:rsidR="00DB659A" w:rsidRPr="00D808EB" w:rsidRDefault="00DB659A" w:rsidP="00CC28AE">
            <w:pPr>
              <w:rPr>
                <w:color w:val="000000"/>
                <w:sz w:val="22"/>
                <w:szCs w:val="22"/>
              </w:rPr>
            </w:pPr>
            <w:r w:rsidRPr="00D808EB">
              <w:rPr>
                <w:color w:val="000000"/>
                <w:sz w:val="22"/>
                <w:szCs w:val="22"/>
              </w:rPr>
              <w:t>Provision of paid-up shares of subscribed capital of Multi-Lateral Development Banks</w:t>
            </w:r>
          </w:p>
        </w:tc>
      </w:tr>
      <w:tr w:rsidR="00DB659A" w:rsidRPr="00D808EB" w14:paraId="6640264D"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3B1FA875"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488E6A7E"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auto" w:fill="auto"/>
            <w:noWrap/>
            <w:vAlign w:val="center"/>
            <w:hideMark/>
          </w:tcPr>
          <w:p w14:paraId="1A984ED9"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auto" w:fill="auto"/>
            <w:noWrap/>
            <w:vAlign w:val="center"/>
            <w:hideMark/>
          </w:tcPr>
          <w:p w14:paraId="6015A3F6" w14:textId="77777777" w:rsidR="00DB659A" w:rsidRPr="00D808EB" w:rsidRDefault="00DB659A" w:rsidP="00CC28AE">
            <w:pPr>
              <w:jc w:val="center"/>
              <w:rPr>
                <w:color w:val="000000"/>
                <w:sz w:val="22"/>
                <w:szCs w:val="22"/>
              </w:rPr>
            </w:pPr>
            <w:r w:rsidRPr="00D808EB">
              <w:rPr>
                <w:color w:val="000000"/>
                <w:sz w:val="22"/>
                <w:szCs w:val="22"/>
              </w:rPr>
              <w:t>02</w:t>
            </w:r>
          </w:p>
        </w:tc>
        <w:tc>
          <w:tcPr>
            <w:tcW w:w="4050" w:type="pct"/>
            <w:tcBorders>
              <w:top w:val="nil"/>
              <w:left w:val="nil"/>
              <w:bottom w:val="single" w:sz="4" w:space="0" w:color="auto"/>
              <w:right w:val="single" w:sz="4" w:space="0" w:color="auto"/>
            </w:tcBorders>
            <w:shd w:val="clear" w:color="auto" w:fill="auto"/>
            <w:vAlign w:val="center"/>
            <w:hideMark/>
          </w:tcPr>
          <w:p w14:paraId="393FF8FF" w14:textId="77777777" w:rsidR="00DB659A" w:rsidRPr="00D808EB" w:rsidRDefault="00DB659A" w:rsidP="00CC28AE">
            <w:pPr>
              <w:rPr>
                <w:color w:val="000000"/>
                <w:sz w:val="22"/>
                <w:szCs w:val="22"/>
              </w:rPr>
            </w:pPr>
            <w:r w:rsidRPr="00D808EB">
              <w:rPr>
                <w:color w:val="000000"/>
                <w:sz w:val="22"/>
                <w:szCs w:val="22"/>
              </w:rPr>
              <w:t>Callable portion of subscribed capital of Multi-Lateral Development Banks</w:t>
            </w:r>
          </w:p>
        </w:tc>
      </w:tr>
      <w:tr w:rsidR="00DB659A" w:rsidRPr="00D808EB" w14:paraId="170257AF"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460A45BE"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132267D6"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auto" w:fill="auto"/>
            <w:noWrap/>
            <w:vAlign w:val="center"/>
            <w:hideMark/>
          </w:tcPr>
          <w:p w14:paraId="29F6401B" w14:textId="77777777" w:rsidR="00DB659A" w:rsidRPr="00D808EB" w:rsidRDefault="00DB659A" w:rsidP="00CC28AE">
            <w:pPr>
              <w:jc w:val="center"/>
              <w:rPr>
                <w:color w:val="000000"/>
                <w:sz w:val="22"/>
                <w:szCs w:val="22"/>
              </w:rPr>
            </w:pPr>
            <w:r w:rsidRPr="00D808EB">
              <w:rPr>
                <w:color w:val="000000"/>
                <w:sz w:val="22"/>
                <w:szCs w:val="22"/>
              </w:rPr>
              <w:t>03</w:t>
            </w:r>
          </w:p>
        </w:tc>
        <w:tc>
          <w:tcPr>
            <w:tcW w:w="202" w:type="pct"/>
            <w:tcBorders>
              <w:top w:val="nil"/>
              <w:left w:val="nil"/>
              <w:bottom w:val="single" w:sz="4" w:space="0" w:color="auto"/>
              <w:right w:val="single" w:sz="4" w:space="0" w:color="auto"/>
            </w:tcBorders>
            <w:shd w:val="clear" w:color="auto" w:fill="auto"/>
            <w:noWrap/>
            <w:vAlign w:val="center"/>
            <w:hideMark/>
          </w:tcPr>
          <w:p w14:paraId="67060A99" w14:textId="77777777" w:rsidR="00DB659A" w:rsidRPr="00D808EB" w:rsidRDefault="00DB659A" w:rsidP="00CC28AE">
            <w:pPr>
              <w:jc w:val="center"/>
              <w:rPr>
                <w:color w:val="000000"/>
                <w:sz w:val="22"/>
                <w:szCs w:val="22"/>
              </w:rPr>
            </w:pPr>
            <w:r w:rsidRPr="00D808EB">
              <w:rPr>
                <w:color w:val="000000"/>
                <w:sz w:val="22"/>
                <w:szCs w:val="22"/>
              </w:rPr>
              <w:t>03</w:t>
            </w:r>
          </w:p>
        </w:tc>
        <w:tc>
          <w:tcPr>
            <w:tcW w:w="4050" w:type="pct"/>
            <w:tcBorders>
              <w:top w:val="nil"/>
              <w:left w:val="nil"/>
              <w:bottom w:val="single" w:sz="4" w:space="0" w:color="auto"/>
              <w:right w:val="single" w:sz="4" w:space="0" w:color="auto"/>
            </w:tcBorders>
            <w:shd w:val="clear" w:color="auto" w:fill="auto"/>
            <w:vAlign w:val="center"/>
            <w:hideMark/>
          </w:tcPr>
          <w:p w14:paraId="6DD171A9" w14:textId="77777777" w:rsidR="00DB659A" w:rsidRPr="00D808EB" w:rsidRDefault="00DB659A" w:rsidP="00CC28AE">
            <w:pPr>
              <w:rPr>
                <w:color w:val="000000"/>
                <w:sz w:val="22"/>
                <w:szCs w:val="22"/>
              </w:rPr>
            </w:pPr>
            <w:r w:rsidRPr="00D808EB">
              <w:rPr>
                <w:color w:val="000000"/>
                <w:sz w:val="22"/>
                <w:szCs w:val="22"/>
              </w:rPr>
              <w:t>International organisations and agreements</w:t>
            </w:r>
          </w:p>
        </w:tc>
      </w:tr>
      <w:tr w:rsidR="00DB659A" w:rsidRPr="00D808EB" w14:paraId="2CA8DEB3" w14:textId="77777777" w:rsidTr="00CC28AE">
        <w:trPr>
          <w:trHeight w:val="300"/>
        </w:trPr>
        <w:tc>
          <w:tcPr>
            <w:tcW w:w="195" w:type="pct"/>
            <w:tcBorders>
              <w:top w:val="nil"/>
              <w:left w:val="single" w:sz="4" w:space="0" w:color="auto"/>
              <w:bottom w:val="single" w:sz="4" w:space="0" w:color="auto"/>
              <w:right w:val="single" w:sz="4" w:space="0" w:color="auto"/>
            </w:tcBorders>
            <w:shd w:val="clear" w:color="000000" w:fill="F2F2F2"/>
            <w:noWrap/>
            <w:vAlign w:val="center"/>
            <w:hideMark/>
          </w:tcPr>
          <w:p w14:paraId="4FEA8EA5"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000000" w:fill="F2F2F2"/>
            <w:noWrap/>
            <w:vAlign w:val="center"/>
            <w:hideMark/>
          </w:tcPr>
          <w:p w14:paraId="746F2103"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000000" w:fill="F2F2F2"/>
            <w:noWrap/>
            <w:vAlign w:val="center"/>
            <w:hideMark/>
          </w:tcPr>
          <w:p w14:paraId="66525E75" w14:textId="77777777" w:rsidR="00DB659A" w:rsidRPr="00D808EB" w:rsidRDefault="00DB659A" w:rsidP="00CC28AE">
            <w:pPr>
              <w:jc w:val="center"/>
              <w:rPr>
                <w:color w:val="000000"/>
                <w:sz w:val="22"/>
                <w:szCs w:val="22"/>
              </w:rPr>
            </w:pPr>
            <w:r w:rsidRPr="00D808EB">
              <w:rPr>
                <w:color w:val="000000"/>
                <w:sz w:val="22"/>
                <w:szCs w:val="22"/>
              </w:rPr>
              <w:t>04</w:t>
            </w:r>
          </w:p>
        </w:tc>
        <w:tc>
          <w:tcPr>
            <w:tcW w:w="202" w:type="pct"/>
            <w:tcBorders>
              <w:top w:val="nil"/>
              <w:left w:val="nil"/>
              <w:bottom w:val="single" w:sz="4" w:space="0" w:color="auto"/>
              <w:right w:val="single" w:sz="4" w:space="0" w:color="auto"/>
            </w:tcBorders>
            <w:shd w:val="clear" w:color="000000" w:fill="F2F2F2"/>
            <w:noWrap/>
            <w:vAlign w:val="center"/>
            <w:hideMark/>
          </w:tcPr>
          <w:p w14:paraId="00FE9DC7" w14:textId="77777777" w:rsidR="00DB659A" w:rsidRPr="00D808EB" w:rsidRDefault="00DB659A" w:rsidP="00CC28AE">
            <w:pPr>
              <w:jc w:val="center"/>
              <w:rPr>
                <w:color w:val="000000"/>
                <w:sz w:val="22"/>
                <w:szCs w:val="22"/>
              </w:rPr>
            </w:pPr>
            <w:r w:rsidRPr="00D808EB">
              <w:rPr>
                <w:color w:val="000000"/>
                <w:sz w:val="22"/>
                <w:szCs w:val="22"/>
              </w:rPr>
              <w:t> </w:t>
            </w:r>
          </w:p>
        </w:tc>
        <w:tc>
          <w:tcPr>
            <w:tcW w:w="4050" w:type="pct"/>
            <w:tcBorders>
              <w:top w:val="nil"/>
              <w:left w:val="nil"/>
              <w:bottom w:val="single" w:sz="4" w:space="0" w:color="auto"/>
              <w:right w:val="single" w:sz="4" w:space="0" w:color="auto"/>
            </w:tcBorders>
            <w:shd w:val="clear" w:color="000000" w:fill="F2F2F2"/>
            <w:noWrap/>
            <w:vAlign w:val="center"/>
            <w:hideMark/>
          </w:tcPr>
          <w:p w14:paraId="42F784A7" w14:textId="77777777" w:rsidR="00DB659A" w:rsidRPr="00D808EB" w:rsidRDefault="00DB659A" w:rsidP="00CC28AE">
            <w:pPr>
              <w:rPr>
                <w:color w:val="000000"/>
                <w:sz w:val="22"/>
                <w:szCs w:val="22"/>
              </w:rPr>
            </w:pPr>
            <w:r w:rsidRPr="00D808EB">
              <w:rPr>
                <w:color w:val="000000"/>
                <w:sz w:val="22"/>
                <w:szCs w:val="22"/>
              </w:rPr>
              <w:t>Actions financed under the prerogatives of the Commission and specific powers conferred on the Commission</w:t>
            </w:r>
          </w:p>
        </w:tc>
      </w:tr>
      <w:tr w:rsidR="00DB659A" w:rsidRPr="00D808EB" w14:paraId="5CA791A1"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65744AC6"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39656E4A"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auto" w:fill="auto"/>
            <w:noWrap/>
            <w:vAlign w:val="center"/>
            <w:hideMark/>
          </w:tcPr>
          <w:p w14:paraId="0344D6FE" w14:textId="77777777" w:rsidR="00DB659A" w:rsidRPr="00D808EB" w:rsidRDefault="00DB659A" w:rsidP="00CC28AE">
            <w:pPr>
              <w:jc w:val="center"/>
              <w:rPr>
                <w:color w:val="000000"/>
                <w:sz w:val="22"/>
                <w:szCs w:val="22"/>
              </w:rPr>
            </w:pPr>
            <w:r w:rsidRPr="00D808EB">
              <w:rPr>
                <w:color w:val="000000"/>
                <w:sz w:val="22"/>
                <w:szCs w:val="22"/>
              </w:rPr>
              <w:t>04</w:t>
            </w:r>
          </w:p>
        </w:tc>
        <w:tc>
          <w:tcPr>
            <w:tcW w:w="202" w:type="pct"/>
            <w:tcBorders>
              <w:top w:val="nil"/>
              <w:left w:val="nil"/>
              <w:bottom w:val="single" w:sz="4" w:space="0" w:color="auto"/>
              <w:right w:val="single" w:sz="4" w:space="0" w:color="auto"/>
            </w:tcBorders>
            <w:shd w:val="clear" w:color="auto" w:fill="auto"/>
            <w:noWrap/>
            <w:vAlign w:val="center"/>
            <w:hideMark/>
          </w:tcPr>
          <w:p w14:paraId="02F8740B" w14:textId="77777777" w:rsidR="00DB659A" w:rsidRPr="00D808EB" w:rsidRDefault="00DB659A" w:rsidP="00CC28AE">
            <w:pPr>
              <w:jc w:val="center"/>
              <w:rPr>
                <w:color w:val="000000"/>
                <w:sz w:val="22"/>
                <w:szCs w:val="22"/>
              </w:rPr>
            </w:pPr>
            <w:r w:rsidRPr="00D808EB">
              <w:rPr>
                <w:color w:val="000000"/>
                <w:sz w:val="22"/>
                <w:szCs w:val="22"/>
              </w:rPr>
              <w:t>01</w:t>
            </w:r>
          </w:p>
        </w:tc>
        <w:tc>
          <w:tcPr>
            <w:tcW w:w="4050" w:type="pct"/>
            <w:tcBorders>
              <w:top w:val="nil"/>
              <w:left w:val="nil"/>
              <w:bottom w:val="single" w:sz="4" w:space="0" w:color="auto"/>
              <w:right w:val="single" w:sz="4" w:space="0" w:color="auto"/>
            </w:tcBorders>
            <w:shd w:val="clear" w:color="auto" w:fill="auto"/>
            <w:vAlign w:val="center"/>
            <w:hideMark/>
          </w:tcPr>
          <w:p w14:paraId="10886C18" w14:textId="77777777" w:rsidR="00DB659A" w:rsidRPr="00D808EB" w:rsidRDefault="00DB659A" w:rsidP="00CC28AE">
            <w:pPr>
              <w:rPr>
                <w:color w:val="000000"/>
                <w:sz w:val="22"/>
                <w:szCs w:val="22"/>
              </w:rPr>
            </w:pPr>
            <w:r w:rsidRPr="00D808EB">
              <w:rPr>
                <w:color w:val="000000"/>
                <w:sz w:val="22"/>
                <w:szCs w:val="22"/>
              </w:rPr>
              <w:t>International Organisations of Vine and Wine</w:t>
            </w:r>
          </w:p>
        </w:tc>
      </w:tr>
      <w:tr w:rsidR="00DB659A" w:rsidRPr="00D808EB" w14:paraId="70356AEB"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238AB98E"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1BFD4BB6"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auto" w:fill="auto"/>
            <w:noWrap/>
            <w:vAlign w:val="center"/>
            <w:hideMark/>
          </w:tcPr>
          <w:p w14:paraId="5F4E57C3" w14:textId="77777777" w:rsidR="00DB659A" w:rsidRPr="00D808EB" w:rsidRDefault="00DB659A" w:rsidP="00CC28AE">
            <w:pPr>
              <w:jc w:val="center"/>
              <w:rPr>
                <w:color w:val="000000"/>
                <w:sz w:val="22"/>
                <w:szCs w:val="22"/>
              </w:rPr>
            </w:pPr>
            <w:r w:rsidRPr="00D808EB">
              <w:rPr>
                <w:color w:val="000000"/>
                <w:sz w:val="22"/>
                <w:szCs w:val="22"/>
              </w:rPr>
              <w:t>04</w:t>
            </w:r>
          </w:p>
        </w:tc>
        <w:tc>
          <w:tcPr>
            <w:tcW w:w="202" w:type="pct"/>
            <w:tcBorders>
              <w:top w:val="nil"/>
              <w:left w:val="nil"/>
              <w:bottom w:val="single" w:sz="4" w:space="0" w:color="auto"/>
              <w:right w:val="single" w:sz="4" w:space="0" w:color="auto"/>
            </w:tcBorders>
            <w:shd w:val="clear" w:color="auto" w:fill="auto"/>
            <w:noWrap/>
            <w:vAlign w:val="center"/>
            <w:hideMark/>
          </w:tcPr>
          <w:p w14:paraId="5B89BB17" w14:textId="77777777" w:rsidR="00DB659A" w:rsidRPr="00D808EB" w:rsidRDefault="00DB659A" w:rsidP="00CC28AE">
            <w:pPr>
              <w:jc w:val="center"/>
              <w:rPr>
                <w:color w:val="000000"/>
                <w:sz w:val="22"/>
                <w:szCs w:val="22"/>
              </w:rPr>
            </w:pPr>
            <w:r w:rsidRPr="00D808EB">
              <w:rPr>
                <w:color w:val="000000"/>
                <w:sz w:val="22"/>
                <w:szCs w:val="22"/>
              </w:rPr>
              <w:t>02</w:t>
            </w:r>
          </w:p>
        </w:tc>
        <w:tc>
          <w:tcPr>
            <w:tcW w:w="4050" w:type="pct"/>
            <w:tcBorders>
              <w:top w:val="nil"/>
              <w:left w:val="nil"/>
              <w:bottom w:val="single" w:sz="4" w:space="0" w:color="auto"/>
              <w:right w:val="single" w:sz="4" w:space="0" w:color="auto"/>
            </w:tcBorders>
            <w:shd w:val="clear" w:color="auto" w:fill="auto"/>
            <w:vAlign w:val="center"/>
            <w:hideMark/>
          </w:tcPr>
          <w:p w14:paraId="4DDB46BC" w14:textId="77777777" w:rsidR="00DB659A" w:rsidRPr="00D808EB" w:rsidRDefault="00DB659A" w:rsidP="00CC28AE">
            <w:pPr>
              <w:rPr>
                <w:color w:val="000000"/>
                <w:sz w:val="22"/>
                <w:szCs w:val="22"/>
              </w:rPr>
            </w:pPr>
            <w:r w:rsidRPr="00D808EB">
              <w:rPr>
                <w:color w:val="000000"/>
                <w:sz w:val="22"/>
                <w:szCs w:val="22"/>
              </w:rPr>
              <w:t>External trade relations and Aid for Trade</w:t>
            </w:r>
          </w:p>
        </w:tc>
      </w:tr>
      <w:tr w:rsidR="00DB659A" w:rsidRPr="00D808EB" w14:paraId="2D3F5409"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4C53A44B"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3FD2B2E1"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auto" w:fill="auto"/>
            <w:noWrap/>
            <w:vAlign w:val="center"/>
            <w:hideMark/>
          </w:tcPr>
          <w:p w14:paraId="11252F38" w14:textId="77777777" w:rsidR="00DB659A" w:rsidRPr="00D808EB" w:rsidRDefault="00DB659A" w:rsidP="00CC28AE">
            <w:pPr>
              <w:jc w:val="center"/>
              <w:rPr>
                <w:color w:val="000000"/>
                <w:sz w:val="22"/>
                <w:szCs w:val="22"/>
              </w:rPr>
            </w:pPr>
            <w:r w:rsidRPr="00D808EB">
              <w:rPr>
                <w:color w:val="000000"/>
                <w:sz w:val="22"/>
                <w:szCs w:val="22"/>
              </w:rPr>
              <w:t>04</w:t>
            </w:r>
          </w:p>
        </w:tc>
        <w:tc>
          <w:tcPr>
            <w:tcW w:w="202" w:type="pct"/>
            <w:tcBorders>
              <w:top w:val="nil"/>
              <w:left w:val="nil"/>
              <w:bottom w:val="single" w:sz="4" w:space="0" w:color="auto"/>
              <w:right w:val="single" w:sz="4" w:space="0" w:color="auto"/>
            </w:tcBorders>
            <w:shd w:val="clear" w:color="auto" w:fill="auto"/>
            <w:noWrap/>
            <w:vAlign w:val="center"/>
            <w:hideMark/>
          </w:tcPr>
          <w:p w14:paraId="5A9123C6" w14:textId="77777777" w:rsidR="00DB659A" w:rsidRPr="00D808EB" w:rsidRDefault="00DB659A" w:rsidP="00CC28AE">
            <w:pPr>
              <w:jc w:val="center"/>
              <w:rPr>
                <w:color w:val="000000"/>
                <w:sz w:val="22"/>
                <w:szCs w:val="22"/>
              </w:rPr>
            </w:pPr>
            <w:r w:rsidRPr="00D808EB">
              <w:rPr>
                <w:color w:val="000000"/>
                <w:sz w:val="22"/>
                <w:szCs w:val="22"/>
              </w:rPr>
              <w:t>03</w:t>
            </w:r>
          </w:p>
        </w:tc>
        <w:tc>
          <w:tcPr>
            <w:tcW w:w="4050" w:type="pct"/>
            <w:tcBorders>
              <w:top w:val="nil"/>
              <w:left w:val="nil"/>
              <w:bottom w:val="single" w:sz="4" w:space="0" w:color="auto"/>
              <w:right w:val="single" w:sz="4" w:space="0" w:color="auto"/>
            </w:tcBorders>
            <w:shd w:val="clear" w:color="auto" w:fill="auto"/>
            <w:vAlign w:val="center"/>
            <w:hideMark/>
          </w:tcPr>
          <w:p w14:paraId="0D16581F" w14:textId="77777777" w:rsidR="00DB659A" w:rsidRPr="00D808EB" w:rsidRDefault="00DB659A" w:rsidP="00CC28AE">
            <w:pPr>
              <w:rPr>
                <w:color w:val="000000"/>
                <w:sz w:val="22"/>
                <w:szCs w:val="22"/>
              </w:rPr>
            </w:pPr>
            <w:r w:rsidRPr="00D808EB">
              <w:rPr>
                <w:color w:val="000000"/>
                <w:sz w:val="22"/>
                <w:szCs w:val="22"/>
              </w:rPr>
              <w:t>Information policy and strategic communication for external action</w:t>
            </w:r>
          </w:p>
        </w:tc>
      </w:tr>
      <w:tr w:rsidR="00DB659A" w:rsidRPr="00D808EB" w14:paraId="2FF03B98" w14:textId="77777777" w:rsidTr="00CC28AE">
        <w:trPr>
          <w:trHeight w:val="25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7187AEA4"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7D43AD74"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auto" w:fill="auto"/>
            <w:noWrap/>
            <w:vAlign w:val="center"/>
            <w:hideMark/>
          </w:tcPr>
          <w:p w14:paraId="2862404A" w14:textId="77777777" w:rsidR="00DB659A" w:rsidRPr="00D808EB" w:rsidRDefault="00DB659A" w:rsidP="00CC28AE">
            <w:pPr>
              <w:jc w:val="center"/>
              <w:rPr>
                <w:color w:val="000000"/>
                <w:sz w:val="22"/>
                <w:szCs w:val="22"/>
              </w:rPr>
            </w:pPr>
            <w:r w:rsidRPr="00D808EB">
              <w:rPr>
                <w:color w:val="000000"/>
                <w:sz w:val="22"/>
                <w:szCs w:val="22"/>
              </w:rPr>
              <w:t>04</w:t>
            </w:r>
          </w:p>
        </w:tc>
        <w:tc>
          <w:tcPr>
            <w:tcW w:w="202" w:type="pct"/>
            <w:tcBorders>
              <w:top w:val="nil"/>
              <w:left w:val="nil"/>
              <w:bottom w:val="single" w:sz="4" w:space="0" w:color="auto"/>
              <w:right w:val="single" w:sz="4" w:space="0" w:color="auto"/>
            </w:tcBorders>
            <w:shd w:val="clear" w:color="auto" w:fill="auto"/>
            <w:noWrap/>
            <w:vAlign w:val="center"/>
            <w:hideMark/>
          </w:tcPr>
          <w:p w14:paraId="5C49282E" w14:textId="77777777" w:rsidR="00DB659A" w:rsidRPr="00D808EB" w:rsidRDefault="00DB659A" w:rsidP="00CC28AE">
            <w:pPr>
              <w:jc w:val="center"/>
              <w:rPr>
                <w:color w:val="000000"/>
                <w:sz w:val="22"/>
                <w:szCs w:val="22"/>
              </w:rPr>
            </w:pPr>
            <w:r w:rsidRPr="00D808EB">
              <w:rPr>
                <w:color w:val="000000"/>
                <w:sz w:val="22"/>
                <w:szCs w:val="22"/>
              </w:rPr>
              <w:t>04</w:t>
            </w:r>
          </w:p>
        </w:tc>
        <w:tc>
          <w:tcPr>
            <w:tcW w:w="4050" w:type="pct"/>
            <w:tcBorders>
              <w:top w:val="nil"/>
              <w:left w:val="nil"/>
              <w:bottom w:val="single" w:sz="4" w:space="0" w:color="auto"/>
              <w:right w:val="single" w:sz="4" w:space="0" w:color="auto"/>
            </w:tcBorders>
            <w:shd w:val="clear" w:color="auto" w:fill="auto"/>
            <w:vAlign w:val="center"/>
            <w:hideMark/>
          </w:tcPr>
          <w:p w14:paraId="7D97499E" w14:textId="77777777" w:rsidR="00DB659A" w:rsidRPr="00D808EB" w:rsidRDefault="00DB659A" w:rsidP="00CC28AE">
            <w:pPr>
              <w:rPr>
                <w:color w:val="000000"/>
                <w:sz w:val="22"/>
                <w:szCs w:val="22"/>
              </w:rPr>
            </w:pPr>
            <w:r w:rsidRPr="00D808EB">
              <w:rPr>
                <w:color w:val="000000"/>
                <w:sz w:val="22"/>
                <w:szCs w:val="22"/>
              </w:rPr>
              <w:t>Strategic evaluations and audits</w:t>
            </w:r>
          </w:p>
        </w:tc>
      </w:tr>
      <w:tr w:rsidR="00DB659A" w:rsidRPr="00D808EB" w14:paraId="7F876EB9" w14:textId="77777777" w:rsidTr="00CC28AE">
        <w:trPr>
          <w:trHeight w:val="30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2E2B002D" w14:textId="77777777" w:rsidR="00DB659A" w:rsidRPr="00D808EB" w:rsidRDefault="00DB659A" w:rsidP="00CC28AE">
            <w:pPr>
              <w:jc w:val="center"/>
              <w:rPr>
                <w:color w:val="000000"/>
                <w:sz w:val="22"/>
                <w:szCs w:val="22"/>
              </w:rPr>
            </w:pPr>
            <w:r w:rsidRPr="00D808EB">
              <w:rPr>
                <w:color w:val="000000"/>
                <w:sz w:val="22"/>
                <w:szCs w:val="22"/>
              </w:rPr>
              <w:t>08</w:t>
            </w:r>
          </w:p>
        </w:tc>
        <w:tc>
          <w:tcPr>
            <w:tcW w:w="297" w:type="pct"/>
            <w:tcBorders>
              <w:top w:val="nil"/>
              <w:left w:val="nil"/>
              <w:bottom w:val="single" w:sz="4" w:space="0" w:color="auto"/>
              <w:right w:val="single" w:sz="4" w:space="0" w:color="auto"/>
            </w:tcBorders>
            <w:shd w:val="clear" w:color="auto" w:fill="auto"/>
            <w:noWrap/>
            <w:vAlign w:val="center"/>
            <w:hideMark/>
          </w:tcPr>
          <w:p w14:paraId="42B27C8A" w14:textId="77777777" w:rsidR="00DB659A" w:rsidRPr="00D808EB" w:rsidRDefault="00DB659A" w:rsidP="00CC28AE">
            <w:pPr>
              <w:jc w:val="center"/>
              <w:rPr>
                <w:color w:val="000000"/>
                <w:sz w:val="22"/>
                <w:szCs w:val="22"/>
              </w:rPr>
            </w:pPr>
            <w:r w:rsidRPr="00D808EB">
              <w:rPr>
                <w:color w:val="000000"/>
                <w:sz w:val="22"/>
                <w:szCs w:val="22"/>
              </w:rPr>
              <w:t>20</w:t>
            </w:r>
          </w:p>
        </w:tc>
        <w:tc>
          <w:tcPr>
            <w:tcW w:w="256" w:type="pct"/>
            <w:tcBorders>
              <w:top w:val="nil"/>
              <w:left w:val="nil"/>
              <w:bottom w:val="single" w:sz="4" w:space="0" w:color="auto"/>
              <w:right w:val="single" w:sz="4" w:space="0" w:color="auto"/>
            </w:tcBorders>
            <w:shd w:val="clear" w:color="auto" w:fill="auto"/>
            <w:noWrap/>
            <w:vAlign w:val="center"/>
            <w:hideMark/>
          </w:tcPr>
          <w:p w14:paraId="54608AD4" w14:textId="77777777" w:rsidR="00DB659A" w:rsidRPr="00D808EB" w:rsidRDefault="00DB659A" w:rsidP="00CC28AE">
            <w:pPr>
              <w:jc w:val="center"/>
              <w:rPr>
                <w:color w:val="000000"/>
                <w:sz w:val="22"/>
                <w:szCs w:val="22"/>
              </w:rPr>
            </w:pPr>
            <w:r w:rsidRPr="00D808EB">
              <w:rPr>
                <w:color w:val="000000"/>
                <w:sz w:val="22"/>
                <w:szCs w:val="22"/>
              </w:rPr>
              <w:t>04</w:t>
            </w:r>
          </w:p>
        </w:tc>
        <w:tc>
          <w:tcPr>
            <w:tcW w:w="202" w:type="pct"/>
            <w:tcBorders>
              <w:top w:val="nil"/>
              <w:left w:val="nil"/>
              <w:bottom w:val="single" w:sz="4" w:space="0" w:color="auto"/>
              <w:right w:val="single" w:sz="4" w:space="0" w:color="auto"/>
            </w:tcBorders>
            <w:shd w:val="clear" w:color="auto" w:fill="auto"/>
            <w:noWrap/>
            <w:vAlign w:val="center"/>
            <w:hideMark/>
          </w:tcPr>
          <w:p w14:paraId="16BAD8E9" w14:textId="77777777" w:rsidR="00DB659A" w:rsidRPr="00D808EB" w:rsidRDefault="00DB659A" w:rsidP="00CC28AE">
            <w:pPr>
              <w:jc w:val="center"/>
              <w:rPr>
                <w:color w:val="000000"/>
                <w:sz w:val="22"/>
                <w:szCs w:val="22"/>
              </w:rPr>
            </w:pPr>
            <w:r w:rsidRPr="00D808EB">
              <w:rPr>
                <w:color w:val="000000"/>
                <w:sz w:val="22"/>
                <w:szCs w:val="22"/>
              </w:rPr>
              <w:t>05</w:t>
            </w:r>
          </w:p>
        </w:tc>
        <w:tc>
          <w:tcPr>
            <w:tcW w:w="4050" w:type="pct"/>
            <w:tcBorders>
              <w:top w:val="nil"/>
              <w:left w:val="nil"/>
              <w:bottom w:val="single" w:sz="4" w:space="0" w:color="auto"/>
              <w:right w:val="single" w:sz="4" w:space="0" w:color="auto"/>
            </w:tcBorders>
            <w:shd w:val="clear" w:color="auto" w:fill="auto"/>
            <w:noWrap/>
            <w:vAlign w:val="center"/>
            <w:hideMark/>
          </w:tcPr>
          <w:p w14:paraId="192019B8" w14:textId="77777777" w:rsidR="00DB659A" w:rsidRPr="00D808EB" w:rsidRDefault="00DB659A" w:rsidP="00CC28AE">
            <w:pPr>
              <w:rPr>
                <w:color w:val="000000"/>
                <w:sz w:val="22"/>
                <w:szCs w:val="22"/>
              </w:rPr>
            </w:pPr>
            <w:r w:rsidRPr="00D808EB">
              <w:rPr>
                <w:color w:val="000000"/>
                <w:sz w:val="22"/>
                <w:szCs w:val="22"/>
              </w:rPr>
              <w:t>Promotion of the coordination between the Union and Member States on development cooperation and humanitarian aid</w:t>
            </w:r>
          </w:p>
        </w:tc>
      </w:tr>
    </w:tbl>
    <w:p w14:paraId="09AFA8F8" w14:textId="77777777" w:rsidR="00DB659A" w:rsidRPr="00D808EB" w:rsidRDefault="00DB659A" w:rsidP="00DB659A">
      <w:pPr>
        <w:pStyle w:val="ListParagraph"/>
        <w:ind w:left="0"/>
      </w:pPr>
    </w:p>
    <w:p w14:paraId="32F1EC04" w14:textId="77777777" w:rsidR="00DB659A" w:rsidRPr="00D808EB" w:rsidRDefault="00DB659A" w:rsidP="00DB659A"/>
    <w:p w14:paraId="7F691AEF" w14:textId="77777777" w:rsidR="00F91D58" w:rsidRPr="00D808EB" w:rsidRDefault="00F91D58" w:rsidP="00DB659A"/>
    <w:sectPr w:rsidR="00F91D58" w:rsidRPr="00D808EB" w:rsidSect="00B40152">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6838" w:h="11906" w:orient="landscape" w:code="9"/>
      <w:pgMar w:top="1418" w:right="1134" w:bottom="1418" w:left="1418" w:header="1134"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4DAB" w14:textId="77777777" w:rsidR="00887CFB" w:rsidRPr="00D808EB" w:rsidRDefault="00887CFB">
      <w:r w:rsidRPr="00D808EB">
        <w:separator/>
      </w:r>
    </w:p>
  </w:endnote>
  <w:endnote w:type="continuationSeparator" w:id="0">
    <w:p w14:paraId="3154FA21" w14:textId="77777777" w:rsidR="00887CFB" w:rsidRPr="00D808EB" w:rsidRDefault="00887CFB">
      <w:r w:rsidRPr="00D80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okChampa">
    <w:altName w:val="Leelawadee UI"/>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4E54" w14:textId="77777777" w:rsidR="00DB659A" w:rsidRPr="00D808EB" w:rsidRDefault="00DB659A" w:rsidP="00B40152">
    <w:pPr>
      <w:pStyle w:val="EPFooter"/>
      <w:rPr>
        <w:lang w:val="fr-BE"/>
      </w:rPr>
    </w:pPr>
    <w:r w:rsidRPr="00D808EB">
      <w:rPr>
        <w:lang w:val="fr-BE"/>
      </w:rPr>
      <w:t>PE</w:t>
    </w:r>
    <w:r w:rsidRPr="00D808EB">
      <w:rPr>
        <w:rStyle w:val="HideTWBExt"/>
        <w:lang w:val="fr-BE"/>
      </w:rPr>
      <w:t>&lt;NoPE&gt;</w:t>
    </w:r>
    <w:r w:rsidRPr="00D808EB">
      <w:rPr>
        <w:lang w:val="fr-BE"/>
      </w:rPr>
      <w:t>779.351</w:t>
    </w:r>
    <w:r w:rsidRPr="00D808EB">
      <w:rPr>
        <w:rStyle w:val="HideTWBExt"/>
        <w:lang w:val="fr-BE"/>
      </w:rPr>
      <w:t>&lt;/NoPE&gt;&lt;Version&gt;</w:t>
    </w:r>
    <w:r w:rsidRPr="00D808EB">
      <w:rPr>
        <w:lang w:val="fr-BE"/>
      </w:rPr>
      <w:t>v01-00</w:t>
    </w:r>
    <w:r w:rsidRPr="00D808EB">
      <w:rPr>
        <w:rStyle w:val="HideTWBExt"/>
        <w:lang w:val="fr-BE"/>
      </w:rPr>
      <w:t>&lt;/Version&gt;</w:t>
    </w:r>
    <w:r w:rsidRPr="00D808EB">
      <w:rPr>
        <w:lang w:val="fr-BE"/>
      </w:rPr>
      <w:tab/>
    </w:r>
    <w:r w:rsidRPr="00D808EB">
      <w:fldChar w:fldCharType="begin"/>
    </w:r>
    <w:r w:rsidRPr="00D808EB">
      <w:rPr>
        <w:lang w:val="fr-BE"/>
      </w:rPr>
      <w:instrText xml:space="preserve"> PAGE  \* MERGEFORMAT </w:instrText>
    </w:r>
    <w:r w:rsidRPr="00D808EB">
      <w:fldChar w:fldCharType="separate"/>
    </w:r>
    <w:r w:rsidRPr="00D808EB">
      <w:rPr>
        <w:noProof/>
        <w:lang w:val="fr-BE"/>
      </w:rPr>
      <w:t>14</w:t>
    </w:r>
    <w:r w:rsidRPr="00D808EB">
      <w:fldChar w:fldCharType="end"/>
    </w:r>
    <w:r w:rsidRPr="00D808EB">
      <w:rPr>
        <w:lang w:val="fr-BE"/>
      </w:rPr>
      <w:t>/</w:t>
    </w:r>
    <w:r w:rsidRPr="00D808EB">
      <w:fldChar w:fldCharType="begin"/>
    </w:r>
    <w:r w:rsidRPr="00D808EB">
      <w:rPr>
        <w:lang w:val="fr-BE"/>
      </w:rPr>
      <w:instrText xml:space="preserve"> NUMPAGES  \* MERGEFORMAT </w:instrText>
    </w:r>
    <w:r w:rsidRPr="00D808EB">
      <w:fldChar w:fldCharType="separate"/>
    </w:r>
    <w:r w:rsidRPr="00D808EB">
      <w:rPr>
        <w:noProof/>
        <w:lang w:val="fr-BE"/>
      </w:rPr>
      <w:t>54</w:t>
    </w:r>
    <w:r w:rsidRPr="00D808EB">
      <w:rPr>
        <w:noProof/>
      </w:rPr>
      <w:fldChar w:fldCharType="end"/>
    </w:r>
    <w:r w:rsidRPr="00D808EB">
      <w:rPr>
        <w:lang w:val="fr-BE"/>
      </w:rPr>
      <w:tab/>
    </w:r>
    <w:r w:rsidRPr="00D808EB">
      <w:rPr>
        <w:rStyle w:val="HideTWBExt"/>
        <w:lang w:val="fr-BE"/>
      </w:rPr>
      <w:t>&lt;PathFdR&gt;</w:t>
    </w:r>
    <w:r w:rsidRPr="00D808EB">
      <w:rPr>
        <w:lang w:val="fr-BE"/>
      </w:rPr>
      <w:t>PR\1330655EN.docx</w:t>
    </w:r>
    <w:r w:rsidRPr="00D808EB">
      <w:rPr>
        <w:rStyle w:val="HideTWBExt"/>
        <w:lang w:val="fr-BE"/>
      </w:rPr>
      <w:t>&lt;/PathFdR&gt;</w:t>
    </w:r>
  </w:p>
  <w:p w14:paraId="084BA444" w14:textId="77777777" w:rsidR="00DB659A" w:rsidRPr="00D808EB" w:rsidRDefault="00DB659A" w:rsidP="00B40152">
    <w:pPr>
      <w:pStyle w:val="EPFooter2"/>
    </w:pPr>
    <w:r w:rsidRPr="00D808EB">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4513" w14:textId="77777777" w:rsidR="00DB659A" w:rsidRPr="00D808EB" w:rsidRDefault="00DB659A" w:rsidP="00B40152">
    <w:pPr>
      <w:pStyle w:val="EPFooter"/>
    </w:pPr>
    <w:r w:rsidRPr="00D808EB">
      <w:rPr>
        <w:rStyle w:val="HideTWBExt"/>
      </w:rPr>
      <w:t>&lt;PathFdR&gt;</w:t>
    </w:r>
    <w:r w:rsidRPr="00D808EB">
      <w:t>PR\1330655EN.docx</w:t>
    </w:r>
    <w:r w:rsidRPr="00D808EB">
      <w:rPr>
        <w:rStyle w:val="HideTWBExt"/>
      </w:rPr>
      <w:t>&lt;/PathFdR&gt;</w:t>
    </w:r>
    <w:r w:rsidRPr="00D808EB">
      <w:tab/>
    </w:r>
    <w:r w:rsidRPr="00D808EB">
      <w:fldChar w:fldCharType="begin"/>
    </w:r>
    <w:r w:rsidRPr="00D808EB">
      <w:instrText xml:space="preserve"> PAGE  \* MERGEFORMAT </w:instrText>
    </w:r>
    <w:r w:rsidRPr="00D808EB">
      <w:fldChar w:fldCharType="separate"/>
    </w:r>
    <w:r w:rsidRPr="00D808EB">
      <w:rPr>
        <w:noProof/>
      </w:rPr>
      <w:t>13</w:t>
    </w:r>
    <w:r w:rsidRPr="00D808EB">
      <w:fldChar w:fldCharType="end"/>
    </w:r>
    <w:r w:rsidRPr="00D808EB">
      <w:t>/</w:t>
    </w:r>
    <w:fldSimple w:instr=" NUMPAGES  \* MERGEFORMAT ">
      <w:r w:rsidRPr="00D808EB">
        <w:rPr>
          <w:noProof/>
        </w:rPr>
        <w:t>54</w:t>
      </w:r>
    </w:fldSimple>
    <w:r w:rsidRPr="00D808EB">
      <w:tab/>
      <w:t>PE</w:t>
    </w:r>
    <w:r w:rsidRPr="00D808EB">
      <w:rPr>
        <w:rStyle w:val="HideTWBExt"/>
      </w:rPr>
      <w:t>&lt;NoPE&gt;</w:t>
    </w:r>
    <w:r w:rsidRPr="00D808EB">
      <w:t>779.351</w:t>
    </w:r>
    <w:r w:rsidRPr="00D808EB">
      <w:rPr>
        <w:rStyle w:val="HideTWBExt"/>
      </w:rPr>
      <w:t>&lt;/NoPE&gt;&lt;Version&gt;</w:t>
    </w:r>
    <w:r w:rsidRPr="00D808EB">
      <w:t>v01-00</w:t>
    </w:r>
    <w:r w:rsidRPr="00D808EB">
      <w:rPr>
        <w:rStyle w:val="HideTWBExt"/>
      </w:rPr>
      <w:t>&lt;/Version&gt;</w:t>
    </w:r>
  </w:p>
  <w:p w14:paraId="16FDA71F" w14:textId="77777777" w:rsidR="00DB659A" w:rsidRPr="00D808EB" w:rsidRDefault="00DB659A" w:rsidP="00B40152">
    <w:pPr>
      <w:pStyle w:val="EPFooter2"/>
    </w:pPr>
    <w:r w:rsidRPr="00D808EB">
      <w:tab/>
    </w:r>
    <w:r w:rsidRPr="00D808EB">
      <w:tab/>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3002" w14:textId="77777777" w:rsidR="00DB659A" w:rsidRPr="00D808EB" w:rsidRDefault="00DB659A" w:rsidP="00B40152">
    <w:pPr>
      <w:pStyle w:val="EPFooter"/>
    </w:pPr>
    <w:r w:rsidRPr="00D808EB">
      <w:rPr>
        <w:rStyle w:val="HideTWBExt"/>
      </w:rPr>
      <w:t>&lt;PathFdR&gt;</w:t>
    </w:r>
    <w:r w:rsidRPr="00D808EB">
      <w:t>PR\1330655EN.docx</w:t>
    </w:r>
    <w:r w:rsidRPr="00D808EB">
      <w:rPr>
        <w:rStyle w:val="HideTWBExt"/>
      </w:rPr>
      <w:t>&lt;/PathFdR&gt;</w:t>
    </w:r>
    <w:r w:rsidRPr="00D808EB">
      <w:tab/>
    </w:r>
    <w:r w:rsidRPr="00D808EB">
      <w:tab/>
      <w:t>PE</w:t>
    </w:r>
    <w:r w:rsidRPr="00D808EB">
      <w:rPr>
        <w:rStyle w:val="HideTWBExt"/>
      </w:rPr>
      <w:t>&lt;NoPE&gt;</w:t>
    </w:r>
    <w:r w:rsidRPr="00D808EB">
      <w:t>779.351</w:t>
    </w:r>
    <w:r w:rsidRPr="00D808EB">
      <w:rPr>
        <w:rStyle w:val="HideTWBExt"/>
      </w:rPr>
      <w:t>&lt;/NoPE&gt;&lt;Version&gt;</w:t>
    </w:r>
    <w:r w:rsidRPr="00D808EB">
      <w:t>v01-00</w:t>
    </w:r>
    <w:r w:rsidRPr="00D808EB">
      <w:rPr>
        <w:rStyle w:val="HideTWBExt"/>
      </w:rPr>
      <w:t>&lt;/Version&gt;</w:t>
    </w:r>
  </w:p>
  <w:p w14:paraId="429B9D62" w14:textId="77777777" w:rsidR="00DB659A" w:rsidRPr="00D808EB" w:rsidRDefault="00DB659A" w:rsidP="00B40152">
    <w:pPr>
      <w:pStyle w:val="EPFooter2"/>
    </w:pPr>
    <w:r w:rsidRPr="00D808EB">
      <w:t>EN</w:t>
    </w:r>
    <w:r w:rsidRPr="00D808EB">
      <w:tab/>
    </w:r>
    <w:r w:rsidRPr="00D808EB">
      <w:rPr>
        <w:b w:val="0"/>
        <w:i/>
        <w:color w:val="C0C0C0"/>
        <w:sz w:val="22"/>
      </w:rPr>
      <w:t>United in diversity</w:t>
    </w:r>
    <w:r w:rsidRPr="00D808EB">
      <w:tab/>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3144" w14:textId="2BCD4796" w:rsidR="00B40152" w:rsidRPr="00D95D22" w:rsidRDefault="00B40152" w:rsidP="00B40152">
    <w:pPr>
      <w:pStyle w:val="EPFooter"/>
      <w:rPr>
        <w:lang w:val="fr-BE"/>
      </w:rPr>
    </w:pPr>
    <w:r w:rsidRPr="00D95D22">
      <w:rPr>
        <w:lang w:val="fr-BE"/>
      </w:rPr>
      <w:t>PE</w:t>
    </w:r>
    <w:r w:rsidRPr="00D95D22">
      <w:rPr>
        <w:rStyle w:val="HideTWBExt"/>
        <w:lang w:val="fr-BE"/>
      </w:rPr>
      <w:t>&lt;NoPE&gt;</w:t>
    </w:r>
    <w:r w:rsidRPr="00D95D22">
      <w:rPr>
        <w:lang w:val="fr-BE"/>
      </w:rPr>
      <w:t>779.351</w:t>
    </w:r>
    <w:r w:rsidRPr="00D95D22">
      <w:rPr>
        <w:rStyle w:val="HideTWBExt"/>
        <w:lang w:val="fr-BE"/>
      </w:rPr>
      <w:t>&lt;/NoPE&gt;&lt;Version&gt;</w:t>
    </w:r>
    <w:r w:rsidRPr="00D95D22">
      <w:rPr>
        <w:lang w:val="fr-BE"/>
      </w:rPr>
      <w:t>v01-00</w:t>
    </w:r>
    <w:r w:rsidRPr="00D95D22">
      <w:rPr>
        <w:rStyle w:val="HideTWBExt"/>
        <w:lang w:val="fr-BE"/>
      </w:rPr>
      <w:t>&lt;/Version&gt;</w:t>
    </w:r>
    <w:r w:rsidRPr="00D95D22">
      <w:rPr>
        <w:lang w:val="fr-BE"/>
      </w:rPr>
      <w:tab/>
    </w:r>
    <w:r w:rsidRPr="002C795B">
      <w:fldChar w:fldCharType="begin"/>
    </w:r>
    <w:r w:rsidRPr="00D95D22">
      <w:rPr>
        <w:lang w:val="fr-BE"/>
      </w:rPr>
      <w:instrText xml:space="preserve"> PAGE  \* MERGEFORMAT </w:instrText>
    </w:r>
    <w:r w:rsidRPr="002C795B">
      <w:fldChar w:fldCharType="separate"/>
    </w:r>
    <w:r w:rsidRPr="00D95D22">
      <w:rPr>
        <w:noProof/>
        <w:lang w:val="fr-BE"/>
      </w:rPr>
      <w:t>14</w:t>
    </w:r>
    <w:r w:rsidRPr="002C795B">
      <w:fldChar w:fldCharType="end"/>
    </w:r>
    <w:r w:rsidRPr="00D95D22">
      <w:rPr>
        <w:lang w:val="fr-BE"/>
      </w:rPr>
      <w:t>/</w:t>
    </w:r>
    <w:r w:rsidR="00D95D22">
      <w:fldChar w:fldCharType="begin"/>
    </w:r>
    <w:r w:rsidR="00D95D22" w:rsidRPr="00D95D22">
      <w:rPr>
        <w:lang w:val="fr-BE"/>
      </w:rPr>
      <w:instrText xml:space="preserve"> NUMPAGES  \* MERGEFORMAT </w:instrText>
    </w:r>
    <w:r w:rsidR="00D95D22">
      <w:fldChar w:fldCharType="separate"/>
    </w:r>
    <w:r w:rsidRPr="00D95D22">
      <w:rPr>
        <w:noProof/>
        <w:lang w:val="fr-BE"/>
      </w:rPr>
      <w:t>54</w:t>
    </w:r>
    <w:r w:rsidR="00D95D22">
      <w:rPr>
        <w:noProof/>
      </w:rPr>
      <w:fldChar w:fldCharType="end"/>
    </w:r>
    <w:r w:rsidRPr="00D95D22">
      <w:rPr>
        <w:lang w:val="fr-BE"/>
      </w:rPr>
      <w:tab/>
    </w:r>
    <w:r w:rsidRPr="00D95D22">
      <w:rPr>
        <w:rStyle w:val="HideTWBExt"/>
        <w:lang w:val="fr-BE"/>
      </w:rPr>
      <w:t>&lt;PathFdR&gt;</w:t>
    </w:r>
    <w:r w:rsidR="002C795B" w:rsidRPr="00D95D22">
      <w:rPr>
        <w:lang w:val="fr-BE"/>
      </w:rPr>
      <w:t>PR\1330655EN.docx</w:t>
    </w:r>
    <w:r w:rsidRPr="00D95D22">
      <w:rPr>
        <w:rStyle w:val="HideTWBExt"/>
        <w:lang w:val="fr-BE"/>
      </w:rPr>
      <w:t>&lt;/PathFdR&gt;</w:t>
    </w:r>
  </w:p>
  <w:p w14:paraId="14596FFA" w14:textId="19E6CD74" w:rsidR="00005D02" w:rsidRPr="002C795B" w:rsidRDefault="00B40152" w:rsidP="00B40152">
    <w:pPr>
      <w:pStyle w:val="EPFooter2"/>
    </w:pPr>
    <w:r w:rsidRPr="002C795B">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3DB7" w14:textId="1BF4001C" w:rsidR="00B40152" w:rsidRPr="002C795B" w:rsidRDefault="00B40152" w:rsidP="00B40152">
    <w:pPr>
      <w:pStyle w:val="EPFooter"/>
    </w:pPr>
    <w:r w:rsidRPr="002C795B">
      <w:rPr>
        <w:rStyle w:val="HideTWBExt"/>
      </w:rPr>
      <w:t>&lt;PathFdR&gt;</w:t>
    </w:r>
    <w:r w:rsidR="002C795B" w:rsidRPr="002C795B">
      <w:t>PR\1330655EN.docx</w:t>
    </w:r>
    <w:r w:rsidRPr="002C795B">
      <w:rPr>
        <w:rStyle w:val="HideTWBExt"/>
      </w:rPr>
      <w:t>&lt;/PathFdR&gt;</w:t>
    </w:r>
    <w:r w:rsidRPr="002C795B">
      <w:tab/>
    </w:r>
    <w:r w:rsidRPr="002C795B">
      <w:fldChar w:fldCharType="begin"/>
    </w:r>
    <w:r w:rsidRPr="002C795B">
      <w:instrText xml:space="preserve"> PAGE  \* MERGEFORMAT </w:instrText>
    </w:r>
    <w:r w:rsidRPr="002C795B">
      <w:fldChar w:fldCharType="separate"/>
    </w:r>
    <w:r w:rsidRPr="002C795B">
      <w:rPr>
        <w:noProof/>
      </w:rPr>
      <w:t>13</w:t>
    </w:r>
    <w:r w:rsidRPr="002C795B">
      <w:fldChar w:fldCharType="end"/>
    </w:r>
    <w:r w:rsidRPr="002C795B">
      <w:t>/</w:t>
    </w:r>
    <w:fldSimple w:instr=" NUMPAGES  \* MERGEFORMAT ">
      <w:r w:rsidRPr="002C795B">
        <w:rPr>
          <w:noProof/>
        </w:rPr>
        <w:t>54</w:t>
      </w:r>
    </w:fldSimple>
    <w:r w:rsidRPr="002C795B">
      <w:tab/>
      <w:t>PE</w:t>
    </w:r>
    <w:r w:rsidRPr="002C795B">
      <w:rPr>
        <w:rStyle w:val="HideTWBExt"/>
      </w:rPr>
      <w:t>&lt;NoPE&gt;</w:t>
    </w:r>
    <w:r w:rsidRPr="002C795B">
      <w:t>779.351</w:t>
    </w:r>
    <w:r w:rsidRPr="002C795B">
      <w:rPr>
        <w:rStyle w:val="HideTWBExt"/>
      </w:rPr>
      <w:t>&lt;/NoPE&gt;&lt;Version&gt;</w:t>
    </w:r>
    <w:r w:rsidRPr="002C795B">
      <w:t>v01-00</w:t>
    </w:r>
    <w:r w:rsidRPr="002C795B">
      <w:rPr>
        <w:rStyle w:val="HideTWBExt"/>
      </w:rPr>
      <w:t>&lt;/Version&gt;</w:t>
    </w:r>
  </w:p>
  <w:p w14:paraId="446773DD" w14:textId="43A735E7" w:rsidR="00005D02" w:rsidRPr="002C795B" w:rsidRDefault="00B40152" w:rsidP="00B40152">
    <w:pPr>
      <w:pStyle w:val="EPFooter2"/>
    </w:pPr>
    <w:r w:rsidRPr="002C795B">
      <w:tab/>
    </w:r>
    <w:r w:rsidRPr="002C795B">
      <w:tab/>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207E" w14:textId="0CAC3702" w:rsidR="00B40152" w:rsidRPr="002C795B" w:rsidRDefault="00B40152" w:rsidP="00B40152">
    <w:pPr>
      <w:pStyle w:val="EPFooter"/>
    </w:pPr>
    <w:r w:rsidRPr="002C795B">
      <w:rPr>
        <w:rStyle w:val="HideTWBExt"/>
      </w:rPr>
      <w:t>&lt;PathFdR&gt;</w:t>
    </w:r>
    <w:r w:rsidR="002C795B" w:rsidRPr="002C795B">
      <w:t>PR\1330655EN.docx</w:t>
    </w:r>
    <w:r w:rsidRPr="002C795B">
      <w:rPr>
        <w:rStyle w:val="HideTWBExt"/>
      </w:rPr>
      <w:t>&lt;/PathFdR&gt;</w:t>
    </w:r>
    <w:r w:rsidRPr="002C795B">
      <w:tab/>
    </w:r>
    <w:r w:rsidRPr="002C795B">
      <w:tab/>
      <w:t>PE</w:t>
    </w:r>
    <w:r w:rsidRPr="002C795B">
      <w:rPr>
        <w:rStyle w:val="HideTWBExt"/>
      </w:rPr>
      <w:t>&lt;NoPE&gt;</w:t>
    </w:r>
    <w:r w:rsidRPr="002C795B">
      <w:t>779.351</w:t>
    </w:r>
    <w:r w:rsidRPr="002C795B">
      <w:rPr>
        <w:rStyle w:val="HideTWBExt"/>
      </w:rPr>
      <w:t>&lt;/NoPE&gt;&lt;Version&gt;</w:t>
    </w:r>
    <w:r w:rsidRPr="002C795B">
      <w:t>v01-00</w:t>
    </w:r>
    <w:r w:rsidRPr="002C795B">
      <w:rPr>
        <w:rStyle w:val="HideTWBExt"/>
      </w:rPr>
      <w:t>&lt;/Version&gt;</w:t>
    </w:r>
  </w:p>
  <w:p w14:paraId="563A22D1" w14:textId="2A0EDC54" w:rsidR="00002E03" w:rsidRPr="002C795B" w:rsidRDefault="00B40152" w:rsidP="00B40152">
    <w:pPr>
      <w:pStyle w:val="EPFooter2"/>
    </w:pPr>
    <w:r w:rsidRPr="002C795B">
      <w:t>EN</w:t>
    </w:r>
    <w:r w:rsidRPr="002C795B">
      <w:tab/>
    </w:r>
    <w:r w:rsidRPr="002C795B">
      <w:rPr>
        <w:b w:val="0"/>
        <w:i/>
        <w:color w:val="C0C0C0"/>
        <w:sz w:val="22"/>
      </w:rPr>
      <w:t>United in diversity</w:t>
    </w:r>
    <w:r w:rsidRPr="002C795B">
      <w:tab/>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76F0" w14:textId="77777777" w:rsidR="00887CFB" w:rsidRPr="00D808EB" w:rsidRDefault="00887CFB">
      <w:r w:rsidRPr="00D808EB">
        <w:separator/>
      </w:r>
    </w:p>
  </w:footnote>
  <w:footnote w:type="continuationSeparator" w:id="0">
    <w:p w14:paraId="3196D083" w14:textId="77777777" w:rsidR="00887CFB" w:rsidRPr="00D808EB" w:rsidRDefault="00887CFB">
      <w:r w:rsidRPr="00D808EB">
        <w:continuationSeparator/>
      </w:r>
    </w:p>
  </w:footnote>
  <w:footnote w:id="1">
    <w:p w14:paraId="4FECDF10" w14:textId="77777777" w:rsidR="00DB659A" w:rsidRPr="00D808EB" w:rsidRDefault="00DB659A" w:rsidP="00DB659A">
      <w:pPr>
        <w:pStyle w:val="FootnoteText"/>
      </w:pPr>
      <w:r w:rsidRPr="00D808EB">
        <w:rPr>
          <w:rStyle w:val="FootnoteReference"/>
        </w:rPr>
        <w:footnoteRef/>
      </w:r>
      <w:r w:rsidRPr="00D808EB">
        <w:tab/>
        <w:t>Texts adopted, P10_TA(2025)0090.</w:t>
      </w:r>
    </w:p>
  </w:footnote>
  <w:footnote w:id="2">
    <w:p w14:paraId="4D364C3E" w14:textId="331B7E6F" w:rsidR="00DB659A" w:rsidRPr="00D808EB" w:rsidRDefault="00DB659A" w:rsidP="00DB659A">
      <w:pPr>
        <w:pStyle w:val="FootnoteText"/>
      </w:pPr>
      <w:r w:rsidRPr="00D808EB">
        <w:rPr>
          <w:rStyle w:val="FootnoteReference"/>
        </w:rPr>
        <w:footnoteRef/>
      </w:r>
      <w:r w:rsidRPr="00D808EB">
        <w:t xml:space="preserve"> Regulation (EU, Euratom) 2020/2092 of the European Parliament and of the Council of 16 December 2020 on a general regime of conditionality for the protection of the Union budget (OJ L 433I, 22.12.2020, p. 1, ELI: </w:t>
      </w:r>
      <w:hyperlink r:id="rId1" w:history="1">
        <w:r w:rsidRPr="00D808EB">
          <w:rPr>
            <w:rStyle w:val="Hyperlink"/>
          </w:rPr>
          <w:t>http://data.europa.eu/eli/reg/2020/2092/oj</w:t>
        </w:r>
      </w:hyperlink>
      <w:r w:rsidRPr="00D808EB">
        <w:t>).</w:t>
      </w:r>
    </w:p>
  </w:footnote>
  <w:footnote w:id="3">
    <w:p w14:paraId="3717C1C9" w14:textId="417451F6" w:rsidR="00DB659A" w:rsidRPr="00D808EB" w:rsidRDefault="00DB659A" w:rsidP="00DB659A">
      <w:pPr>
        <w:pStyle w:val="FootnoteText"/>
      </w:pPr>
      <w:r w:rsidRPr="00D808EB">
        <w:rPr>
          <w:rStyle w:val="FootnoteReference"/>
        </w:rPr>
        <w:footnoteRef/>
      </w:r>
      <w:r w:rsidRPr="00D808EB">
        <w:t xml:space="preserve">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 ELI: </w:t>
      </w:r>
      <w:hyperlink r:id="rId2" w:tooltip="Gives access to this document through its ELI URI." w:history="1">
        <w:r w:rsidRPr="00D808EB">
          <w:rPr>
            <w:rStyle w:val="Hyperlink"/>
          </w:rPr>
          <w:t>http://data.europa.eu/eli/reg/2018/1046/oj</w:t>
        </w:r>
      </w:hyperlink>
      <w:r w:rsidRPr="00D808E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1F00" w14:textId="77777777" w:rsidR="00DB659A" w:rsidRPr="00D808EB" w:rsidRDefault="00DB6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9945" w14:textId="77777777" w:rsidR="00DB659A" w:rsidRPr="00D808EB" w:rsidRDefault="00DB6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80D1" w14:textId="77777777" w:rsidR="00DB659A" w:rsidRPr="00D808EB" w:rsidRDefault="00DB65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52E2" w14:textId="77777777" w:rsidR="001D796A" w:rsidRDefault="001D79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900C" w14:textId="77777777" w:rsidR="001D796A" w:rsidRDefault="001D79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5C25" w14:textId="77777777" w:rsidR="001D796A" w:rsidRDefault="001D7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78B8"/>
    <w:multiLevelType w:val="multilevel"/>
    <w:tmpl w:val="B1A4694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15:restartNumberingAfterBreak="0">
    <w:nsid w:val="61AF3F02"/>
    <w:multiLevelType w:val="hybridMultilevel"/>
    <w:tmpl w:val="BC10367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376319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777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16737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bordersDoNotSurroundHeader/>
  <w:bordersDoNotSurroundFooter/>
  <w:stylePaneFormatFilter w:val="0301" w:allStyles="1" w:customStyles="0" w:latentStyles="0" w:stylesInUse="0" w:headingStyles="0" w:numberingStyles="0" w:tableStyles="0" w:directFormattingOnRuns="1" w:directFormattingOnParagraphs="1" w:directFormattingOnNumbering="0" w:directFormattingOnTables="0" w:clearFormatting="0" w:top3HeadingStyles="0"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ACT2MNU" w:val=" 4"/>
    <w:docVar w:name="AMACTMNU" w:val=" 1"/>
    <w:docVar w:name="BASACTMNU" w:val=" 1"/>
    <w:docVar w:name="CODEMNU" w:val=" 1"/>
    <w:docVar w:name="CopyToNetwork" w:val="-1"/>
    <w:docVar w:name="DOCMNU" w:val=" 1"/>
    <w:docVar w:name="iNoAmend" w:val="17"/>
    <w:docVar w:name="LastEditedSection" w:val=" 1"/>
    <w:docVar w:name="ORLANGKEY" w:val="EN"/>
    <w:docVar w:name="ORLANGMNU" w:val=" 1"/>
    <w:docVar w:name="restartBrut" w:val="{\rtf1\adeflang1025\ansi\ansicpg1252\uc1\adeff0\deff0\stshfdbch0\stshfloch0\stshfhich0\stshfbi0\deflang2057\deflangfe2057\themelang2057\themelangfe0\themelangcs0{\fonttbl{\f0\fbidi \froman\fcharset0\fprq2{\*\panose 00000000000000000000}Times New Roman;}{\f1\fbidi \fswiss\fcharset0\fprq2{\*\panose 00000000000000000000}Arial;}_x000d__x000a_{\f34\fbidi \froman\fcharset0\fprq2{\*\panose 02040503050406030204}Cambria Math;}{\flomajor\f31500\fbidi \froman\fcharset0\fprq2{\*\panose 00000000000000000000}Times New Roman;}_x000d__x000a_{\fdbmajor\f31501\fbidi \froman\fcharset0\fprq2{\*\panose 00000000000000000000}Times New Roman;}{\fhimajor\f31502\fbidi \fswiss\fcharset0\fprq2{\*\panose 00000000000000000000}Calibri Light;}_x000d__x000a_{\fbimajor\f31503\fbidi \froman\fcharset0\fprq2{\*\panose 00000000000000000000}Times New Roman;}{\flominor\f31504\fbidi \froman\fcharset0\fprq2{\*\panose 00000000000000000000}Times New Roman;}_x000d__x000a_{\fdbminor\f31505\fbidi \froman\fcharset0\fprq2{\*\panose 00000000000000000000}Times New Roman;}{\fhiminor\f31506\fbidi \fswiss\fcharset0\fprq2{\*\panose 00000000000000000000}Calibri;}_x000d__x000a_{\fbiminor\f31507\fbidi \froman\fcharset0\fprq2{\*\panose 00000000000000000000}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3412371 HideTWBExt;}{\s16\ql \li0\ri0\sa120\nowidctlpar\wrapdefault\aspalpha\aspnum\faauto\adjustright\rin0\lin0\itap0 \rtlch\fcs1 \af0\afs20\alang1025 \ltrch\fcs0 _x000d__x000a_\fs24\lang2057\langfe2057\cgrid\langnp2057\langfenp2057 \sbasedon0 \snext16 \spriority0 \styrsid3412371 Normal6a;}{\s17\ql \li0\ri0\nowidctlpar\wrapdefault\aspalpha\aspnum\faauto\adjustright\rin0\lin0\itap0 \rtlch\fcs1 \af0\afs20\alang1025 \ltrch\fcs0 _x000d__x000a_\b\fs24\lang2057\langfe2057\cgrid\langnp2057\langfenp2057 \sbasedon0 \snext17 \spriority0 \styrsid3412371 NormalBold;}{\s18\qr \li0\ri0\sb240\sa240\nowidctlpar\wrapdefault\aspalpha\aspnum\faauto\adjustright\rin0\lin0\itap0 \rtlch\fcs1 _x000d__x000a_\af0\afs20\alang1025 \ltrch\fcs0 \fs24\lang2057\langfe2057\cgrid\langnp2057\langfenp2057 \sbasedon0 \snext18 \spriority0 \styrsid3412371 AmOrLang;}{\s19\qc \li0\ri0\sa240\nowidctlpar\wrapdefault\aspalpha\aspnum\faauto\adjustright\rin0\lin0\itap0 _x000d__x000a_\rtlch\fcs1 \af0\afs20\alang1025 \ltrch\fcs0 \i\fs24\lang2057\langfe2057\cgrid\langnp2057\langfenp2057 \sbasedon0 \snext19 \spriority0 \styrsid3412371 AmColumnHeading;}{\s20\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0 \spriority0 \styrsid3412371 AmNumberTabs;}{\s21\ql \li0\ri0\sb240\nowidctlpar\wrapdefault\aspalpha\aspnum\faauto\adjustright\rin0\lin0\itap0 \rtlch\fcs1 _x000d__x000a_\af0\afs20\alang1025 \ltrch\fcs0 \b\fs24\lang2057\langfe2057\cgrid\langnp2057\langfenp2057 \sbasedon0 \snext21 \spriority0 \styrsid3412371 NormalBold12b;}}{\*\rsidtbl \rsid24658\rsid358857\rsid735077\rsid787282\rsid2892074\rsid3412371\rsid3622648_x000d__x000a_\rsid4666813\rsid5708216\rsid6104898\rsid6641733\rsid7553164\rsid8465581\rsid8681905\rsid8724649\rsid9636012\rsid9862312\rsid11215221\rsid11370291\rsid11434737\rsid11607138\rsid11824949\rsid12154954\rsid14424199\rsid15204470\rsid15285974\rsid15535219_x000d__x000a_\rsid15950462\rsid16324206\rsid16662270}{\mmathPr\mmathFont34\mbrkBin0\mbrkBinSub0\msmallFrac0\mdispDef1\mlMargin0\mrMargin0\mdefJc1\mwrapIndent1440\mintLim0\mnaryLim1}{\info{\author FELIX Karina}{\operator FELIX Karina}_x000d__x000a_{\creatim\yr2019\mo7\dy9\hr18\min11}{\revtim\yr2019\mo7\dy9\hr18\min11}{\version1}{\edmins0}{\nofpages1}{\nofwords43}{\nofchars249}{\*\company European Parliament}{\nofcharsws291}{\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3412371\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6104898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6104898 \chftnsepc _x000d__x000a_\par }}{\*\aftnsep \ltrpar \pard\plain \ltrpar\ql \li0\ri0\widctlpar\wrapdefault\aspalpha\aspnum\faauto\adjustright\rin0\lin0\itap0 \rtlch\fcs1 \af0\afs20\alang1025 \ltrch\fcs0 \fs24\lang2057\langfe2057\cgrid\langnp2057\langfenp2057 {\rtlch\fcs1 \af0 _x000d__x000a_\ltrch\fcs0 \insrsid6104898 \chftnsep _x000d__x000a_\par }}{\*\aftnsepc \ltrpar \pard\plain \ltrpar\ql \li0\ri0\widctlpar\wrapdefault\aspalpha\aspnum\faauto\adjustright\rin0\lin0\itap0 \rtlch\fcs1 \af0\afs20\alang1025 \ltrch\fcs0 \fs24\lang2057\langfe2057\cgrid\langnp2057\langfenp2057 {\rtlch\fcs1 \af0 _x000d__x000a_\ltrch\fcs0 \insrsid6104898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0\ql \li0\ri0\sb240\keepn\nowidctlpar\tx879\tx936\tx1021\tx1077\tx1134\tx1191\tx1247\tx1304\tx1361\tx1418\tx1474\tx1531\tx1588\tx1644\tx1701\tx1758\tx1814\tx1871\tx2070\tx2126\tx3374\tx3430\wrapdefault\aspalpha\aspnum\faauto\adjustright\rin0_x000d__x000a_\lin0\itap0\pararsid3412371 \rtlch\fcs1 \af0\afs20\alang1025 \ltrch\fcs0 \b\fs24\lang2057\langfe2057\cgrid\langnp2057\langfenp2057 {\rtlch\fcs1 \af0 \ltrch\fcs0 \cs15\b0\v\f1\fs20\cf9\lang1036\langfe2057\langnp1036\insrsid3412371\charrsid7815033 _x000d__x000a_{\*\bkmkstart restart}&lt;Amend&gt;}{\rtlch\fcs1 \af0 \ltrch\fcs0 \lang1036\langfe2057\langnp1036\insrsid3412371\charrsid7815033 [ZAMENDMENT]\tab \tab }{\rtlch\fcs1 \af0 \ltrch\fcs0 _x000d__x000a_\cs15\b0\v\f1\fs20\cf9\lang1036\langfe2057\langnp1036\insrsid3412371\charrsid7815033 &lt;NumAm&gt;}{\rtlch\fcs1 \af0 \ltrch\fcs0 \lang1036\langfe2057\langnp1036\insrsid3412371\charrsid7815033 [ZNRAM]}{\rtlch\fcs1 \af0 \ltrch\fcs0 _x000d__x000a_\cs15\b0\v\f1\fs20\cf9\lang1036\langfe2057\langnp1036\insrsid3412371\charrsid7815033 &lt;/NumAm&gt;}{\rtlch\fcs1 \af0 \ltrch\fcs0 \lang1036\langfe2057\langnp1036\insrsid3412371\charrsid7815033 _x000d__x000a_\par }\pard\plain \ltrpar\s21\ql \li0\ri0\sb240\keepn\nowidctlpar\wrapdefault\aspalpha\aspnum\faauto\adjustright\rin0\lin0\itap0\pararsid3412371 \rtlch\fcs1 \af0\afs20\alang1025 \ltrch\fcs0 \b\fs24\lang2057\langfe2057\cgrid\langnp2057\langfenp2057 {_x000d__x000a_\rtlch\fcs1 \af0 \ltrch\fcs0 \cs15\b0\v\f1\fs20\cf9\lang1036\langfe2057\langnp1036\insrsid3412371\charrsid7815033 &lt;DocAmend&gt;}{\rtlch\fcs1 \af0 \ltrch\fcs0 \lang1036\langfe2057\langnp1036\insrsid3412371\charrsid7815033 [ZAMDOC][ZAMACT]}{\rtlch\fcs1 \af0 _x000d__x000a_\ltrch\fcs0 \cs15\b0\v\f1\fs20\cf9\lang1036\langfe2057\langnp1036\insrsid3412371\charrsid7815033 &lt;/DocAmend&gt;}{\rtlch\fcs1 \af0 \ltrch\fcs0 \lang1036\langfe2057\langnp1036\insrsid3412371\charrsid7815033 _x000d__x000a_\par }\pard\plain \ltrpar\s17\ql \li0\ri0\nowidctlpar\wrapdefault\aspalpha\aspnum\faauto\adjustright\rin0\lin0\itap0\pararsid3412371 \rtlch\fcs1 \af0\afs20\alang1025 \ltrch\fcs0 \b\fs24\lang2057\langfe2057\cgrid\langnp2057\langfenp2057 {\rtlch\fcs1 \af0 _x000d__x000a_\ltrch\fcs0 \cs15\b0\v\f1\fs20\cf9\lang1036\langfe2057\langnp1036\insrsid3412371\charrsid7815033 &lt;Article&gt;}{\rtlch\fcs1 \af0 \ltrch\fcs0 \lang1036\langfe2057\langnp1036\insrsid3412371\charrsid7815033 [ZAMPART]}{\rtlch\fcs1 \af0 \ltrch\fcs0 _x000d__x000a_\cs15\b0\v\f1\fs20\cf9\lang1036\langfe2057\langnp1036\insrsid3412371\charrsid7815033 &lt;/Article&gt;}{\rtlch\fcs1 \af0 \ltrch\fcs0 \lang1036\langfe2057\langnp1036\insrsid3412371\charrsid7815033 _x000d__x000a_\par }\pard\plain \ltrpar\ql \li0\ri0\keepn\widctlpar\wrapdefault\aspalpha\aspnum\faauto\adjustright\rin0\lin0\itap0\pararsid3412371 \rtlch\fcs1 \af0\afs20\alang1025 \ltrch\fcs0 \fs24\lang2057\langfe2057\cgrid\langnp2057\langfenp2057 {\rtlch\fcs1 \af0 _x000d__x000a_\ltrch\fcs0 \cs15\v\f1\fs20\cf9\lang1043\langfe2057\langnp1043\insrsid3412371\charrsid816287 &lt;DocAmend2&gt;&lt;OptDel&gt;}{\rtlch\fcs1 \af0 \ltrch\fcs0 \lang1043\langfe2057\langnp1043\insrsid3412371\charrsid816287 [ZNRACT]}{\rtlch\fcs1 \af0 \ltrch\fcs0 _x000d__x000a_\cs15\v\f1\fs20\cf9\lang1043\langfe2057\langnp1043\insrsid3412371\charrsid816287 &lt;/OptDel&gt;&lt;/DocAmend2&gt;}{\rtlch\fcs1 \af0 \ltrch\fcs0 \lang1043\langfe2057\langnp1043\insrsid3412371\charrsid816287 _x000d__x000a_\par }\pard \ltrpar\ql \li0\ri0\widctlpar\wrapdefault\aspalpha\aspnum\faauto\adjustright\rin0\lin0\itap0\pararsid3412371 {\rtlch\fcs1 \af0 \ltrch\fcs0 \cs15\v\f1\fs20\cf9\lang1036\langfe2057\langnp1036\insrsid3412371\charrsid7815033 &lt;Article2&gt;&lt;OptDel&gt;}{_x000d__x000a_\rtlch\fcs1 \af0 \ltrch\fcs0 \lang1036\langfe2057\langnp1036\insrsid3412371\charrsid7815033 [ZACTPART]}{\rtlch\fcs1 \af0 \ltrch\fcs0 \cs15\v\f1\fs20\cf9\lang1036\langfe2057\langnp1036\insrsid3412371\charrsid7815033 &lt;/OptDel&gt;&lt;/Article2&gt;}{\rtlch\fcs1 \af0 _x000d__x000a_\ltrch\fcs0 \lang1036\langfe2057\langnp1036\insrsid3412371\charrsid7815033 _x000d__x000a_\par \ltrrow}\trowd \irow0\irowband0\ltrrow\ts11\trqc\trgaph340\trleft-340\trftsWidth3\trwWidth9752\trftsWidthB3\trpaddl340\trpaddr340\trpaddfl3\trpaddft3\trpaddfb3\trpaddfr3\tblrsid2766093\tblind0\tblindtype3 \clvertalt\clbrdrt\brdrtbl \clbrdrl\brdrtbl _x000d__x000a_\clbrdrb\brdrtbl \clbrdrr\brdrtbl \cltxlrtb\clftsWidth3\clwWidth9752\clshdrawnil \cellx9412\pard\plain \ltrpar\ql \li0\ri0\keepn\widctlpar\intbl\wrapdefault\aspalpha\aspnum\faauto\adjustright\rin0\lin0\pararsid11779 \rtlch\fcs1 \af0\afs20\alang1025 _x000d__x000a_\ltrch\fcs0 \fs24\lang2057\langfe2057\cgrid\langnp2057\langfenp2057 {\rtlch\fcs1 \af0 \ltrch\fcs0 \lang1036\langfe2057\langnp1036\insrsid3412371\charrsid7815033 \cell }\pard\plain \ltrpar_x000d__x000a_\ql \li0\ri0\widctlpar\intbl\wrapdefault\aspalpha\aspnum\faauto\adjustright\rin0\lin0 \rtlch\fcs1 \af0\afs20\alang1025 \ltrch\fcs0 \fs24\lang2057\langfe2057\cgrid\langnp2057\langfenp2057 {\rtlch\fcs1 \af0 \ltrch\fcs0 \insrsid3412371\charrsid2570729 _x000d__x000a_\trowd \irow0\irowband0\ltrrow\ts11\trqc\trgaph340\trleft-340\trftsWidth3\trwWidth9752\trftsWidthB3\trpaddl340\trpaddr340\trpaddfl3\trpaddft3\trpaddfb3\trpaddfr3\tblrsid2766093\tblind0\tblindtype3 \clvertalt\clbrdrt\brdrtbl \clbrdrl\brdrtbl \clbrdrb_x000d__x000a_\brdrtbl \clbrdrr\brdrtbl \cltxlrtb\clftsWidth3\clwWidth9752\clshdrawnil \cellx9412\row \ltrrow}\trowd \irow1\irowband1\ltrrow_x000d__x000a_\ts11\trqc\trgaph340\trleft-340\trftsWidth3\trwWidth9752\trftsWidthB3\trpaddl340\trpaddr340\trpaddfl3\trpaddft3\trpaddfb3\trpaddfr3\tblrsid2766093\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19\qc \li0\ri0\sa240\keepn\nowidctlpar\intbl\wrapdefault\aspalpha\aspnum\faauto\adjustright\rin0\lin0\pararsid11779 \rtlch\fcs1 \af0\afs20\alang1025 \ltrch\fcs0 \i\fs24\lang2057\langfe2057\cgrid\langnp2057\langfenp2057 {\rtlch\fcs1 \af0 \ltrch\fcs0 _x000d__x000a_\insrsid3412371\charrsid11885557 [ZLEFT]\cell [ZRIGHT]\cell }\pard\plain \ltrpar\ql \li0\ri0\widctlpar\intbl\wrapdefault\aspalpha\aspnum\faauto\adjustright\rin0\lin0 \rtlch\fcs1 \af0\afs20\alang1025 \ltrch\fcs0 _x000d__x000a_\fs24\lang2057\langfe2057\cgrid\langnp2057\langfenp2057 {\rtlch\fcs1 \af0 \ltrch\fcs0 \insrsid3412371\charrsid11885557 \trowd \irow1\irowband1\ltrrow_x000d__x000a_\ts11\trqc\trgaph340\trleft-340\trftsWidth3\trwWidth9752\trftsWidthB3\trpaddl340\trpaddr340\trpaddfl3\trpaddft3\trpaddfb3\trpaddfr3\tblrsid276609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6046295 \rtlch\fcs1 \af0\afs20\alang1025 \ltrch\fcs0 \fs24\lang2057\langfe2057\cgrid\langnp2057\langfenp2057 {\rtlch\fcs1 \af0 \ltrch\fcs0 _x000d__x000a_\insrsid3412371\charrsid11885557 [ZTEXTL]\cell [ZTEXTR]}{\rtlch\fcs1 \af0\afs24 \ltrch\fcs0 \insrsid3412371\charrsid11885557 \cell }\pard\plain \ltrpar\ql \li0\ri0\widctlpar\intbl\wrapdefault\aspalpha\aspnum\faauto\adjustright\rin0\lin0 \rtlch\fcs1 _x000d__x000a_\af0\afs20\alang1025 \ltrch\fcs0 \fs24\lang2057\langfe2057\cgrid\langnp2057\langfenp2057 {\rtlch\fcs1 \af0 \ltrch\fcs0 \insrsid3412371\charrsid11885557 \trowd \irow2\irowband2\lastrow \ltrrow_x000d__x000a_\ts11\trqc\trgaph340\trleft-340\trftsWidth3\trwWidth9752\trftsWidthB3\trpaddl340\trpaddr340\trpaddfl3\trpaddft3\trpaddfb3\trpaddfr3\tblrsid276609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18\qr \li0\ri0\sb240\sa240\nowidctlpar\wrapdefault\aspalpha\aspnum\faauto\adjustright\rin0\lin0\itap0\pararsid3412371 \rtlch\fcs1 \af0\afs20\alang1025 \ltrch\fcs0 \fs24\lang2057\langfe2057\cgrid\langnp2057\langfenp2057 {\rtlch\fcs1 \af0 \ltrch\fcs0 _x000d__x000a_\insrsid3412371\charrsid11885557 Or. }{\rtlch\fcs1 \af0 \ltrch\fcs0 \cs15\v\f1\fs20\cf9\insrsid3412371\charrsid11885557 &lt;Original&gt;}{\rtlch\fcs1 \af0 \ltrch\fcs0 \insrsid3412371\charrsid11885557 [ZORLANG]}{\rtlch\fcs1 \af0 \ltrch\fcs0 _x000d__x000a_\cs15\v\f1\fs20\cf9\insrsid3412371\charrsid11885557 &lt;/Original&gt;}{\rtlch\fcs1 \af0 \ltrch\fcs0 \insrsid3412371\charrsid11885557 _x000d__x000a_\par }\pard\plain \ltrpar\ql \li0\ri0\widctlpar\wrapdefault\aspalpha\aspnum\faauto\adjustright\rin0\lin0\itap0\pararsid3412371 \rtlch\fcs1 \af0\afs20\alang1025 \ltrch\fcs0 \fs24\lang2057\langfe2057\cgrid\langnp2057\langfenp2057 {\rtlch\fcs1 \af0 \ltrch\fcs0 _x000d__x000a_\cs15\v\f1\fs20\cf9\insrsid3412371\charrsid11885557 &lt;/Amend&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fe_x000d__x000a_71ef7036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PR_Consent_InterimMod"/>
    <w:docVar w:name="strSubDir" w:val="1330"/>
    <w:docVar w:name="TITLEAPPMNU" w:val=" 1"/>
    <w:docVar w:name="TVTACTPART" w:val="Article"/>
    <w:docVar w:name="TVTAMACTPART" w:val="Article 3a"/>
    <w:docVar w:name="TXTLANGUE" w:val="EN"/>
    <w:docVar w:name="TXTLANGUEMIN" w:val="en"/>
    <w:docVar w:name="TXTNRFIRSTAM" w:val="1"/>
    <w:docVar w:name="TXTNRLASTAM" w:val="39"/>
    <w:docVar w:name="TXTNRPE" w:val="779.351"/>
    <w:docVar w:name="TXTNRREC" w:val="xxx"/>
    <w:docVar w:name="TXTPEorAP" w:val="PE"/>
    <w:docVar w:name="TXTROUTE" w:val="PR\1330655EN.docx"/>
    <w:docVar w:name="TXTVERSION" w:val="01-00"/>
  </w:docVars>
  <w:rsids>
    <w:rsidRoot w:val="00202563"/>
    <w:rsid w:val="00000A36"/>
    <w:rsid w:val="00002E03"/>
    <w:rsid w:val="00005D02"/>
    <w:rsid w:val="000100A3"/>
    <w:rsid w:val="00022DAC"/>
    <w:rsid w:val="00033AFD"/>
    <w:rsid w:val="00065EC2"/>
    <w:rsid w:val="00070121"/>
    <w:rsid w:val="00075058"/>
    <w:rsid w:val="000766C7"/>
    <w:rsid w:val="000958C8"/>
    <w:rsid w:val="000A3C58"/>
    <w:rsid w:val="000C749F"/>
    <w:rsid w:val="000C7D89"/>
    <w:rsid w:val="000D2786"/>
    <w:rsid w:val="00106CA6"/>
    <w:rsid w:val="00120B0B"/>
    <w:rsid w:val="00122313"/>
    <w:rsid w:val="00127185"/>
    <w:rsid w:val="00147328"/>
    <w:rsid w:val="00160A4D"/>
    <w:rsid w:val="00162B53"/>
    <w:rsid w:val="00183F61"/>
    <w:rsid w:val="001A6781"/>
    <w:rsid w:val="001C5815"/>
    <w:rsid w:val="001D796A"/>
    <w:rsid w:val="001F1422"/>
    <w:rsid w:val="001F2F1A"/>
    <w:rsid w:val="002013A1"/>
    <w:rsid w:val="00201586"/>
    <w:rsid w:val="00202563"/>
    <w:rsid w:val="00202CB3"/>
    <w:rsid w:val="0021356A"/>
    <w:rsid w:val="0023533C"/>
    <w:rsid w:val="00246257"/>
    <w:rsid w:val="00252FC4"/>
    <w:rsid w:val="002739E9"/>
    <w:rsid w:val="00280D3C"/>
    <w:rsid w:val="0028120C"/>
    <w:rsid w:val="002901C4"/>
    <w:rsid w:val="0029702D"/>
    <w:rsid w:val="002A350D"/>
    <w:rsid w:val="002C795B"/>
    <w:rsid w:val="002E0F3D"/>
    <w:rsid w:val="003037CC"/>
    <w:rsid w:val="0031136F"/>
    <w:rsid w:val="00312975"/>
    <w:rsid w:val="00335E14"/>
    <w:rsid w:val="00336FD7"/>
    <w:rsid w:val="0034027E"/>
    <w:rsid w:val="00340D9C"/>
    <w:rsid w:val="0035103A"/>
    <w:rsid w:val="003643BC"/>
    <w:rsid w:val="00371FF3"/>
    <w:rsid w:val="00375696"/>
    <w:rsid w:val="00380ACF"/>
    <w:rsid w:val="003A074C"/>
    <w:rsid w:val="003A1613"/>
    <w:rsid w:val="003A2F21"/>
    <w:rsid w:val="003A5E52"/>
    <w:rsid w:val="003B4897"/>
    <w:rsid w:val="003C3EE0"/>
    <w:rsid w:val="003D0A74"/>
    <w:rsid w:val="003D3402"/>
    <w:rsid w:val="003F1E4D"/>
    <w:rsid w:val="003F2D82"/>
    <w:rsid w:val="00401D30"/>
    <w:rsid w:val="00421E8C"/>
    <w:rsid w:val="00423A17"/>
    <w:rsid w:val="00436E13"/>
    <w:rsid w:val="00464903"/>
    <w:rsid w:val="0047299B"/>
    <w:rsid w:val="004735BD"/>
    <w:rsid w:val="00480A2C"/>
    <w:rsid w:val="00483F26"/>
    <w:rsid w:val="004850C5"/>
    <w:rsid w:val="00493FF6"/>
    <w:rsid w:val="004B2233"/>
    <w:rsid w:val="004B41FC"/>
    <w:rsid w:val="004D2871"/>
    <w:rsid w:val="004D75FF"/>
    <w:rsid w:val="004E025A"/>
    <w:rsid w:val="004E0F4C"/>
    <w:rsid w:val="004F62B1"/>
    <w:rsid w:val="00505E38"/>
    <w:rsid w:val="00514227"/>
    <w:rsid w:val="00514526"/>
    <w:rsid w:val="00556AE0"/>
    <w:rsid w:val="00581585"/>
    <w:rsid w:val="005A1311"/>
    <w:rsid w:val="005A4E34"/>
    <w:rsid w:val="005C1505"/>
    <w:rsid w:val="005C2F65"/>
    <w:rsid w:val="005C4257"/>
    <w:rsid w:val="005E2BBA"/>
    <w:rsid w:val="005E5721"/>
    <w:rsid w:val="00604C0A"/>
    <w:rsid w:val="00607737"/>
    <w:rsid w:val="00607D22"/>
    <w:rsid w:val="00611F4A"/>
    <w:rsid w:val="00612D7D"/>
    <w:rsid w:val="006267A3"/>
    <w:rsid w:val="0066003E"/>
    <w:rsid w:val="0067359F"/>
    <w:rsid w:val="00674D17"/>
    <w:rsid w:val="00675DF4"/>
    <w:rsid w:val="006833E6"/>
    <w:rsid w:val="00684096"/>
    <w:rsid w:val="006910F2"/>
    <w:rsid w:val="006917BB"/>
    <w:rsid w:val="00694F45"/>
    <w:rsid w:val="006A2C64"/>
    <w:rsid w:val="006C2D2B"/>
    <w:rsid w:val="006D2B48"/>
    <w:rsid w:val="006F3608"/>
    <w:rsid w:val="006F64C2"/>
    <w:rsid w:val="00704A76"/>
    <w:rsid w:val="007076B5"/>
    <w:rsid w:val="007214C8"/>
    <w:rsid w:val="00734027"/>
    <w:rsid w:val="00742BB4"/>
    <w:rsid w:val="00760CDA"/>
    <w:rsid w:val="00770FDC"/>
    <w:rsid w:val="00773F79"/>
    <w:rsid w:val="007857E3"/>
    <w:rsid w:val="00796BFF"/>
    <w:rsid w:val="007D7E59"/>
    <w:rsid w:val="00812118"/>
    <w:rsid w:val="00821228"/>
    <w:rsid w:val="00824807"/>
    <w:rsid w:val="00827786"/>
    <w:rsid w:val="00834D92"/>
    <w:rsid w:val="008504B0"/>
    <w:rsid w:val="00866F9F"/>
    <w:rsid w:val="00871319"/>
    <w:rsid w:val="008740DC"/>
    <w:rsid w:val="00875750"/>
    <w:rsid w:val="008804BB"/>
    <w:rsid w:val="00887CFB"/>
    <w:rsid w:val="008B1F35"/>
    <w:rsid w:val="008B2D19"/>
    <w:rsid w:val="008B63E4"/>
    <w:rsid w:val="008B7B8A"/>
    <w:rsid w:val="008D361A"/>
    <w:rsid w:val="008E6CB7"/>
    <w:rsid w:val="008F3762"/>
    <w:rsid w:val="00901D35"/>
    <w:rsid w:val="00921125"/>
    <w:rsid w:val="00944DE7"/>
    <w:rsid w:val="00962157"/>
    <w:rsid w:val="009737E2"/>
    <w:rsid w:val="009747E8"/>
    <w:rsid w:val="009758CA"/>
    <w:rsid w:val="009816B3"/>
    <w:rsid w:val="009819C2"/>
    <w:rsid w:val="00987109"/>
    <w:rsid w:val="009B39B3"/>
    <w:rsid w:val="009D10CB"/>
    <w:rsid w:val="009F0082"/>
    <w:rsid w:val="009F2699"/>
    <w:rsid w:val="00A01E59"/>
    <w:rsid w:val="00A22A58"/>
    <w:rsid w:val="00A23044"/>
    <w:rsid w:val="00A2324E"/>
    <w:rsid w:val="00A303AC"/>
    <w:rsid w:val="00A31F5C"/>
    <w:rsid w:val="00A516D8"/>
    <w:rsid w:val="00A607D7"/>
    <w:rsid w:val="00A64A35"/>
    <w:rsid w:val="00A72AE2"/>
    <w:rsid w:val="00A77684"/>
    <w:rsid w:val="00A81E02"/>
    <w:rsid w:val="00A90626"/>
    <w:rsid w:val="00AB0855"/>
    <w:rsid w:val="00AB15CF"/>
    <w:rsid w:val="00AB2A52"/>
    <w:rsid w:val="00AB5484"/>
    <w:rsid w:val="00AD6F18"/>
    <w:rsid w:val="00AD7221"/>
    <w:rsid w:val="00AF294C"/>
    <w:rsid w:val="00AF3A62"/>
    <w:rsid w:val="00B10D14"/>
    <w:rsid w:val="00B118BE"/>
    <w:rsid w:val="00B16B27"/>
    <w:rsid w:val="00B2794A"/>
    <w:rsid w:val="00B304B9"/>
    <w:rsid w:val="00B40152"/>
    <w:rsid w:val="00B41CCB"/>
    <w:rsid w:val="00B43DFC"/>
    <w:rsid w:val="00B450EF"/>
    <w:rsid w:val="00B55BF5"/>
    <w:rsid w:val="00B74203"/>
    <w:rsid w:val="00B75E05"/>
    <w:rsid w:val="00B809F4"/>
    <w:rsid w:val="00B936F9"/>
    <w:rsid w:val="00BA423D"/>
    <w:rsid w:val="00BB5C7F"/>
    <w:rsid w:val="00BB5D2C"/>
    <w:rsid w:val="00BB62EE"/>
    <w:rsid w:val="00BC0BDB"/>
    <w:rsid w:val="00BE05CC"/>
    <w:rsid w:val="00C04C3A"/>
    <w:rsid w:val="00C12EF5"/>
    <w:rsid w:val="00C14206"/>
    <w:rsid w:val="00C20FC4"/>
    <w:rsid w:val="00C30AB9"/>
    <w:rsid w:val="00C4712F"/>
    <w:rsid w:val="00C55FE9"/>
    <w:rsid w:val="00C70C7B"/>
    <w:rsid w:val="00C70FF0"/>
    <w:rsid w:val="00C728B7"/>
    <w:rsid w:val="00C7532E"/>
    <w:rsid w:val="00C84F08"/>
    <w:rsid w:val="00CA1BDC"/>
    <w:rsid w:val="00CB6DBA"/>
    <w:rsid w:val="00CC1283"/>
    <w:rsid w:val="00CD4F84"/>
    <w:rsid w:val="00D00C83"/>
    <w:rsid w:val="00D06826"/>
    <w:rsid w:val="00D348F9"/>
    <w:rsid w:val="00D579D8"/>
    <w:rsid w:val="00D636B9"/>
    <w:rsid w:val="00D7649D"/>
    <w:rsid w:val="00D7747A"/>
    <w:rsid w:val="00D77D1C"/>
    <w:rsid w:val="00D808EB"/>
    <w:rsid w:val="00D81AE8"/>
    <w:rsid w:val="00D908C5"/>
    <w:rsid w:val="00D95D22"/>
    <w:rsid w:val="00D96F13"/>
    <w:rsid w:val="00DA4D2F"/>
    <w:rsid w:val="00DA6737"/>
    <w:rsid w:val="00DB42AD"/>
    <w:rsid w:val="00DB659A"/>
    <w:rsid w:val="00DC6429"/>
    <w:rsid w:val="00DF360B"/>
    <w:rsid w:val="00DF3BD7"/>
    <w:rsid w:val="00DF5C9F"/>
    <w:rsid w:val="00E160AF"/>
    <w:rsid w:val="00E308C4"/>
    <w:rsid w:val="00E40530"/>
    <w:rsid w:val="00E41703"/>
    <w:rsid w:val="00E54DF1"/>
    <w:rsid w:val="00E55A4B"/>
    <w:rsid w:val="00E7681F"/>
    <w:rsid w:val="00E94221"/>
    <w:rsid w:val="00EA0FE0"/>
    <w:rsid w:val="00EA1952"/>
    <w:rsid w:val="00EB136E"/>
    <w:rsid w:val="00EE625C"/>
    <w:rsid w:val="00EF38FA"/>
    <w:rsid w:val="00EF5000"/>
    <w:rsid w:val="00EF5518"/>
    <w:rsid w:val="00EF6424"/>
    <w:rsid w:val="00F125DD"/>
    <w:rsid w:val="00F203D6"/>
    <w:rsid w:val="00F27352"/>
    <w:rsid w:val="00F526C8"/>
    <w:rsid w:val="00F5306C"/>
    <w:rsid w:val="00F85B81"/>
    <w:rsid w:val="00F91D58"/>
    <w:rsid w:val="00FD3190"/>
    <w:rsid w:val="00FE0DEA"/>
    <w:rsid w:val="00FE3747"/>
    <w:rsid w:val="00FF103E"/>
    <w:rsid w:val="00FF3A41"/>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BCB7B"/>
  <w15:chartTrackingRefBased/>
  <w15:docId w15:val="{9D4BE17A-6F94-4B3F-8D3C-63F29817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note text" w:uiPriority="99"/>
    <w:lsdException w:name="annotation text" w:uiPriority="99"/>
    <w:lsdException w:name="header" w:uiPriority="99"/>
    <w:lsdException w:name="footer" w:semiHidden="1"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C2"/>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qFormat/>
    <w:pPr>
      <w:keepNext/>
      <w:spacing w:before="240" w:after="60"/>
      <w:outlineLvl w:val="1"/>
    </w:pPr>
    <w:rPr>
      <w:rFonts w:ascii="Arial" w:hAnsi="Arial"/>
      <w:b/>
      <w:i/>
    </w:rPr>
  </w:style>
  <w:style w:type="paragraph" w:styleId="Heading3">
    <w:name w:val="heading 3"/>
    <w:basedOn w:val="Normal"/>
    <w:next w:val="Normal"/>
    <w:link w:val="Heading3Char"/>
    <w:uiPriority w:val="9"/>
    <w:semiHidden/>
    <w:qFormat/>
    <w:pPr>
      <w:keepNext/>
      <w:spacing w:before="240" w:after="60"/>
      <w:outlineLvl w:val="2"/>
    </w:pPr>
    <w:rPr>
      <w:rFonts w:ascii="Arial" w:hAnsi="Arial"/>
    </w:rPr>
  </w:style>
  <w:style w:type="paragraph" w:styleId="Heading4">
    <w:name w:val="heading 4"/>
    <w:basedOn w:val="Normal"/>
    <w:next w:val="Normal"/>
    <w:link w:val="Heading4Char"/>
    <w:uiPriority w:val="9"/>
    <w:semiHidden/>
    <w:qFormat/>
    <w:pPr>
      <w:keepNext/>
      <w:spacing w:before="240" w:after="60"/>
      <w:outlineLvl w:val="3"/>
    </w:pPr>
    <w:rPr>
      <w:rFonts w:ascii="Arial" w:hAnsi="Arial"/>
      <w:b/>
    </w:rPr>
  </w:style>
  <w:style w:type="paragraph" w:styleId="Heading5">
    <w:name w:val="heading 5"/>
    <w:basedOn w:val="Normal"/>
    <w:next w:val="Normal"/>
    <w:link w:val="Heading5Char"/>
    <w:uiPriority w:val="9"/>
    <w:semiHidden/>
    <w:qFormat/>
    <w:pPr>
      <w:spacing w:before="240" w:after="60"/>
      <w:outlineLvl w:val="4"/>
    </w:pPr>
    <w:rPr>
      <w:sz w:val="22"/>
    </w:rPr>
  </w:style>
  <w:style w:type="paragraph" w:styleId="Heading6">
    <w:name w:val="heading 6"/>
    <w:basedOn w:val="Normal"/>
    <w:next w:val="Normal"/>
    <w:link w:val="Heading6Char"/>
    <w:uiPriority w:val="9"/>
    <w:semiHidden/>
    <w:qFormat/>
    <w:pPr>
      <w:spacing w:before="240" w:after="60"/>
      <w:outlineLvl w:val="5"/>
    </w:pPr>
    <w:rPr>
      <w:i/>
      <w:sz w:val="22"/>
    </w:rPr>
  </w:style>
  <w:style w:type="paragraph" w:styleId="Heading7">
    <w:name w:val="heading 7"/>
    <w:basedOn w:val="Normal"/>
    <w:next w:val="Normal"/>
    <w:link w:val="Heading7Char"/>
    <w:uiPriority w:val="9"/>
    <w:semiHidden/>
    <w:qFormat/>
    <w:pPr>
      <w:spacing w:before="240" w:after="60"/>
      <w:outlineLvl w:val="6"/>
    </w:pPr>
    <w:rPr>
      <w:rFonts w:ascii="Arial" w:hAnsi="Arial"/>
    </w:rPr>
  </w:style>
  <w:style w:type="paragraph" w:styleId="Heading8">
    <w:name w:val="heading 8"/>
    <w:basedOn w:val="Normal"/>
    <w:next w:val="Normal"/>
    <w:link w:val="Heading8Char"/>
    <w:uiPriority w:val="9"/>
    <w:semiHidden/>
    <w:qFormat/>
    <w:pPr>
      <w:spacing w:before="240" w:after="60"/>
      <w:outlineLvl w:val="7"/>
    </w:pPr>
    <w:rPr>
      <w:rFonts w:ascii="Arial" w:hAnsi="Arial"/>
      <w:i/>
    </w:rPr>
  </w:style>
  <w:style w:type="paragraph" w:styleId="Heading9">
    <w:name w:val="heading 9"/>
    <w:basedOn w:val="Normal"/>
    <w:next w:val="Normal"/>
    <w:link w:val="Heading9Char"/>
    <w:uiPriority w:val="9"/>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Normal6a">
    <w:name w:val="Normal6a"/>
    <w:basedOn w:val="Normal"/>
    <w:rsid w:val="005C4257"/>
    <w:pPr>
      <w:spacing w:after="120"/>
    </w:pPr>
  </w:style>
  <w:style w:type="paragraph" w:customStyle="1" w:styleId="EPFooter2">
    <w:name w:val="EPFooter2"/>
    <w:basedOn w:val="Normal"/>
    <w:next w:val="Normal"/>
    <w:pPr>
      <w:tabs>
        <w:tab w:val="center" w:pos="4535"/>
        <w:tab w:val="right" w:pos="9921"/>
      </w:tabs>
      <w:ind w:left="-850" w:right="-850"/>
    </w:pPr>
    <w:rPr>
      <w:rFonts w:ascii="Arial" w:hAnsi="Arial" w:cs="Arial"/>
      <w:b/>
      <w:sz w:val="48"/>
    </w:rPr>
  </w:style>
  <w:style w:type="paragraph" w:customStyle="1" w:styleId="EPComma">
    <w:name w:val="EPComma"/>
    <w:basedOn w:val="Normal"/>
    <w:rsid w:val="00773F79"/>
    <w:pPr>
      <w:spacing w:before="480" w:after="240"/>
    </w:pPr>
  </w:style>
  <w:style w:type="paragraph" w:styleId="TOC1">
    <w:name w:val="toc 1"/>
    <w:basedOn w:val="Normal"/>
    <w:next w:val="Normal"/>
    <w:autoRedefine/>
    <w:uiPriority w:val="39"/>
    <w:rsid w:val="00901D35"/>
    <w:pPr>
      <w:spacing w:after="240"/>
    </w:pPr>
  </w:style>
  <w:style w:type="paragraph" w:styleId="TOCHeading">
    <w:name w:val="TOC Heading"/>
    <w:basedOn w:val="Normal"/>
    <w:next w:val="TOCPage"/>
    <w:uiPriority w:val="39"/>
    <w:qFormat/>
    <w:pPr>
      <w:keepNext/>
      <w:spacing w:before="240" w:after="240"/>
      <w:jc w:val="center"/>
    </w:pPr>
    <w:rPr>
      <w:rFonts w:ascii="Arial" w:hAnsi="Arial"/>
      <w:b/>
    </w:rPr>
  </w:style>
  <w:style w:type="paragraph" w:customStyle="1" w:styleId="TOCPage">
    <w:name w:val="TOC Page"/>
    <w:basedOn w:val="Normal"/>
    <w:next w:val="TOC1"/>
    <w:pPr>
      <w:keepNext/>
      <w:spacing w:after="240"/>
      <w:jc w:val="right"/>
    </w:pPr>
    <w:rPr>
      <w:rFonts w:ascii="Arial" w:hAnsi="Arial"/>
      <w:b/>
    </w:rPr>
  </w:style>
  <w:style w:type="character" w:customStyle="1" w:styleId="HideTWBInt">
    <w:name w:val="HideTWBInt"/>
    <w:rPr>
      <w:rFonts w:ascii="Arial" w:hAnsi="Arial" w:cs="Arial"/>
      <w:vanish/>
      <w:color w:val="808080"/>
      <w:sz w:val="20"/>
    </w:rPr>
  </w:style>
  <w:style w:type="paragraph" w:customStyle="1" w:styleId="PageHeading">
    <w:name w:val="PageHeading"/>
    <w:basedOn w:val="Normal"/>
    <w:rsid w:val="005C4257"/>
    <w:pPr>
      <w:keepNext/>
      <w:spacing w:after="480"/>
      <w:jc w:val="center"/>
    </w:pPr>
    <w:rPr>
      <w:rFonts w:ascii="Arial" w:hAnsi="Arial" w:cs="Arial"/>
      <w:b/>
    </w:rPr>
  </w:style>
  <w:style w:type="paragraph" w:customStyle="1" w:styleId="NormalHanging12a">
    <w:name w:val="NormalHanging12a"/>
    <w:basedOn w:val="Normal"/>
    <w:link w:val="NormalHanging12aChar"/>
    <w:rsid w:val="008E6CB7"/>
    <w:pPr>
      <w:spacing w:after="240"/>
      <w:ind w:left="567" w:hanging="567"/>
    </w:pPr>
  </w:style>
  <w:style w:type="paragraph" w:customStyle="1" w:styleId="EPName">
    <w:name w:val="EPName"/>
    <w:basedOn w:val="Normal"/>
    <w:rsid w:val="00FF103E"/>
    <w:pPr>
      <w:spacing w:before="80" w:after="80"/>
    </w:pPr>
    <w:rPr>
      <w:rFonts w:ascii="Arial Narrow" w:hAnsi="Arial Narrow" w:cs="Arial"/>
      <w:b/>
      <w:sz w:val="32"/>
      <w:szCs w:val="22"/>
    </w:rPr>
  </w:style>
  <w:style w:type="paragraph" w:customStyle="1" w:styleId="NormalBold">
    <w:name w:val="NormalBold"/>
    <w:basedOn w:val="Normal"/>
    <w:rsid w:val="005C4257"/>
    <w:rPr>
      <w:b/>
    </w:rPr>
  </w:style>
  <w:style w:type="paragraph" w:customStyle="1" w:styleId="CoverNormal24a">
    <w:name w:val="CoverNormal24a"/>
    <w:basedOn w:val="Normal"/>
    <w:rsid w:val="005C4257"/>
    <w:pPr>
      <w:spacing w:after="480"/>
      <w:ind w:left="1417"/>
    </w:pPr>
  </w:style>
  <w:style w:type="paragraph" w:customStyle="1" w:styleId="CoverNormal">
    <w:name w:val="CoverNormal"/>
    <w:basedOn w:val="Normal"/>
    <w:pPr>
      <w:ind w:left="1418"/>
    </w:pPr>
  </w:style>
  <w:style w:type="paragraph" w:customStyle="1" w:styleId="CoverReference">
    <w:name w:val="CoverReference"/>
    <w:basedOn w:val="Normal"/>
    <w:rsid w:val="00B450EF"/>
    <w:pPr>
      <w:spacing w:before="1080"/>
      <w:jc w:val="right"/>
    </w:pPr>
    <w:rPr>
      <w:rFonts w:ascii="Arial" w:hAnsi="Arial" w:cs="Arial"/>
      <w:b/>
    </w:rPr>
  </w:style>
  <w:style w:type="paragraph" w:customStyle="1" w:styleId="CoverDocType24a">
    <w:name w:val="CoverDocType24a"/>
    <w:basedOn w:val="Normal"/>
    <w:rsid w:val="005C4257"/>
    <w:pPr>
      <w:spacing w:after="480"/>
      <w:ind w:left="1418"/>
    </w:pPr>
    <w:rPr>
      <w:rFonts w:ascii="Arial" w:hAnsi="Arial"/>
      <w:b/>
      <w:sz w:val="48"/>
    </w:rPr>
  </w:style>
  <w:style w:type="paragraph" w:customStyle="1" w:styleId="CoverDate">
    <w:name w:val="CoverDate"/>
    <w:basedOn w:val="Normal"/>
    <w:pPr>
      <w:spacing w:before="240" w:after="1200"/>
    </w:pPr>
  </w:style>
  <w:style w:type="paragraph" w:customStyle="1" w:styleId="NormalHangingLeft12a">
    <w:name w:val="NormalHangingLeft12a"/>
    <w:basedOn w:val="Normal"/>
    <w:rsid w:val="003643BC"/>
    <w:pPr>
      <w:spacing w:after="240"/>
      <w:ind w:left="1134" w:hanging="567"/>
    </w:pPr>
  </w:style>
  <w:style w:type="paragraph" w:customStyle="1" w:styleId="AmOrLang">
    <w:name w:val="AmOrLang"/>
    <w:basedOn w:val="Normal"/>
    <w:rsid w:val="00147328"/>
    <w:pPr>
      <w:spacing w:before="240" w:after="240"/>
      <w:jc w:val="right"/>
    </w:pPr>
  </w:style>
  <w:style w:type="paragraph" w:customStyle="1" w:styleId="AmColumnHeading">
    <w:name w:val="AmColumnHeading"/>
    <w:basedOn w:val="Normal"/>
    <w:rsid w:val="002A350D"/>
    <w:pPr>
      <w:spacing w:after="240"/>
      <w:jc w:val="center"/>
    </w:pPr>
    <w:rPr>
      <w:i/>
    </w:rPr>
  </w:style>
  <w:style w:type="table" w:styleId="TableGrid">
    <w:name w:val="Table Grid"/>
    <w:basedOn w:val="TableNormal"/>
    <w:uiPriority w:val="39"/>
    <w:rsid w:val="00B5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NumberTabs">
    <w:name w:val="AmNumberTabs"/>
    <w:basedOn w:val="Normal"/>
    <w:rsid w:val="00106CA6"/>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NormalBold12b">
    <w:name w:val="NormalBold12b"/>
    <w:basedOn w:val="Normal"/>
    <w:rsid w:val="00106CA6"/>
    <w:pPr>
      <w:spacing w:before="240"/>
    </w:pPr>
    <w:rPr>
      <w:b/>
    </w:rPr>
  </w:style>
  <w:style w:type="paragraph" w:customStyle="1" w:styleId="EPBody">
    <w:name w:val="EPBody"/>
    <w:basedOn w:val="Normal"/>
    <w:rsid w:val="00B55BF5"/>
    <w:pPr>
      <w:jc w:val="center"/>
    </w:pPr>
    <w:rPr>
      <w:rFonts w:ascii="Arial" w:hAnsi="Arial" w:cs="Arial"/>
      <w:i/>
      <w:sz w:val="22"/>
      <w:szCs w:val="22"/>
    </w:rPr>
  </w:style>
  <w:style w:type="paragraph" w:customStyle="1" w:styleId="LineTop">
    <w:name w:val="LineTop"/>
    <w:basedOn w:val="Normal"/>
    <w:next w:val="Normal"/>
    <w:rsid w:val="00B55BF5"/>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B55BF5"/>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FF103E"/>
    <w:pPr>
      <w:spacing w:after="80"/>
    </w:pPr>
    <w:rPr>
      <w:rFonts w:ascii="Arial" w:hAnsi="Arial" w:cs="Arial"/>
      <w:sz w:val="20"/>
      <w:szCs w:val="22"/>
    </w:rPr>
  </w:style>
  <w:style w:type="paragraph" w:customStyle="1" w:styleId="EPLogo">
    <w:name w:val="EPLogo"/>
    <w:basedOn w:val="Normal"/>
    <w:qFormat/>
    <w:rsid w:val="00FF103E"/>
    <w:pPr>
      <w:jc w:val="right"/>
    </w:pPr>
  </w:style>
  <w:style w:type="paragraph" w:customStyle="1" w:styleId="EPFooter">
    <w:name w:val="EPFooter"/>
    <w:basedOn w:val="Normal"/>
    <w:rsid w:val="00AF3A62"/>
    <w:pPr>
      <w:tabs>
        <w:tab w:val="center" w:pos="4535"/>
        <w:tab w:val="right" w:pos="9071"/>
      </w:tabs>
      <w:spacing w:before="240" w:after="240"/>
    </w:pPr>
    <w:rPr>
      <w:color w:val="010000"/>
      <w:sz w:val="22"/>
    </w:rPr>
  </w:style>
  <w:style w:type="paragraph" w:styleId="Header">
    <w:name w:val="header"/>
    <w:basedOn w:val="Normal"/>
    <w:link w:val="HeaderChar"/>
    <w:uiPriority w:val="99"/>
    <w:rsid w:val="00AF3A62"/>
    <w:pPr>
      <w:tabs>
        <w:tab w:val="center" w:pos="4513"/>
        <w:tab w:val="right" w:pos="9026"/>
      </w:tabs>
    </w:pPr>
  </w:style>
  <w:style w:type="character" w:customStyle="1" w:styleId="HeaderChar">
    <w:name w:val="Header Char"/>
    <w:basedOn w:val="DefaultParagraphFont"/>
    <w:link w:val="Header"/>
    <w:uiPriority w:val="99"/>
    <w:rsid w:val="006F64C2"/>
    <w:rPr>
      <w:sz w:val="24"/>
    </w:rPr>
  </w:style>
  <w:style w:type="character" w:styleId="PageNumber">
    <w:name w:val="page number"/>
    <w:basedOn w:val="DefaultParagraphFont"/>
    <w:semiHidden/>
    <w:rsid w:val="0031136F"/>
  </w:style>
  <w:style w:type="paragraph" w:customStyle="1" w:styleId="Normal12a">
    <w:name w:val="Normal12a"/>
    <w:basedOn w:val="Normal"/>
    <w:rsid w:val="00A77684"/>
    <w:pPr>
      <w:spacing w:after="240"/>
    </w:pPr>
  </w:style>
  <w:style w:type="paragraph" w:styleId="CommentText">
    <w:name w:val="annotation text"/>
    <w:basedOn w:val="Normal"/>
    <w:link w:val="CommentTextChar"/>
    <w:uiPriority w:val="99"/>
    <w:rsid w:val="009737E2"/>
    <w:rPr>
      <w:sz w:val="20"/>
    </w:rPr>
  </w:style>
  <w:style w:type="character" w:customStyle="1" w:styleId="CommentTextChar">
    <w:name w:val="Comment Text Char"/>
    <w:basedOn w:val="DefaultParagraphFont"/>
    <w:link w:val="CommentText"/>
    <w:uiPriority w:val="99"/>
    <w:rsid w:val="009737E2"/>
  </w:style>
  <w:style w:type="character" w:styleId="CommentReference">
    <w:name w:val="annotation reference"/>
    <w:uiPriority w:val="99"/>
    <w:unhideWhenUsed/>
    <w:rsid w:val="009737E2"/>
    <w:rPr>
      <w:rFonts w:ascii="Times New Roman" w:hAnsi="Times New Roman" w:cs="Times New Roman" w:hint="default"/>
      <w:sz w:val="16"/>
      <w:szCs w:val="16"/>
    </w:rPr>
  </w:style>
  <w:style w:type="paragraph" w:customStyle="1" w:styleId="Point0number">
    <w:name w:val="Point 0 (number)"/>
    <w:basedOn w:val="Normal"/>
    <w:rsid w:val="00611F4A"/>
    <w:pPr>
      <w:numPr>
        <w:numId w:val="1"/>
      </w:numPr>
      <w:spacing w:before="120" w:after="120"/>
      <w:jc w:val="both"/>
    </w:pPr>
    <w:rPr>
      <w:rFonts w:eastAsiaTheme="minorHAnsi"/>
      <w:szCs w:val="22"/>
      <w:lang w:eastAsia="en-US"/>
    </w:rPr>
  </w:style>
  <w:style w:type="paragraph" w:customStyle="1" w:styleId="Point1number">
    <w:name w:val="Point 1 (number)"/>
    <w:basedOn w:val="Normal"/>
    <w:rsid w:val="00611F4A"/>
    <w:pPr>
      <w:numPr>
        <w:ilvl w:val="2"/>
        <w:numId w:val="1"/>
      </w:numPr>
      <w:spacing w:before="120" w:after="120"/>
      <w:jc w:val="both"/>
    </w:pPr>
    <w:rPr>
      <w:rFonts w:eastAsiaTheme="minorHAnsi"/>
      <w:szCs w:val="22"/>
      <w:lang w:eastAsia="en-US"/>
    </w:rPr>
  </w:style>
  <w:style w:type="paragraph" w:customStyle="1" w:styleId="Point2number">
    <w:name w:val="Point 2 (number)"/>
    <w:basedOn w:val="Normal"/>
    <w:rsid w:val="00611F4A"/>
    <w:pPr>
      <w:numPr>
        <w:ilvl w:val="4"/>
        <w:numId w:val="1"/>
      </w:numPr>
      <w:spacing w:before="120" w:after="120"/>
      <w:jc w:val="both"/>
    </w:pPr>
    <w:rPr>
      <w:rFonts w:eastAsiaTheme="minorHAnsi"/>
      <w:szCs w:val="22"/>
      <w:lang w:eastAsia="en-US"/>
    </w:rPr>
  </w:style>
  <w:style w:type="paragraph" w:customStyle="1" w:styleId="Point3number">
    <w:name w:val="Point 3 (number)"/>
    <w:basedOn w:val="Normal"/>
    <w:rsid w:val="00611F4A"/>
    <w:pPr>
      <w:numPr>
        <w:ilvl w:val="6"/>
        <w:numId w:val="1"/>
      </w:numPr>
      <w:spacing w:before="120" w:after="120"/>
      <w:jc w:val="both"/>
    </w:pPr>
    <w:rPr>
      <w:rFonts w:eastAsiaTheme="minorHAnsi"/>
      <w:szCs w:val="22"/>
      <w:lang w:eastAsia="en-US"/>
    </w:rPr>
  </w:style>
  <w:style w:type="paragraph" w:customStyle="1" w:styleId="Point0letter">
    <w:name w:val="Point 0 (letter)"/>
    <w:basedOn w:val="Normal"/>
    <w:rsid w:val="00611F4A"/>
    <w:pPr>
      <w:numPr>
        <w:ilvl w:val="1"/>
        <w:numId w:val="1"/>
      </w:numPr>
      <w:spacing w:before="120" w:after="120"/>
      <w:jc w:val="both"/>
    </w:pPr>
    <w:rPr>
      <w:rFonts w:eastAsiaTheme="minorHAnsi"/>
      <w:szCs w:val="22"/>
      <w:lang w:eastAsia="en-US"/>
    </w:rPr>
  </w:style>
  <w:style w:type="paragraph" w:customStyle="1" w:styleId="Point1letter">
    <w:name w:val="Point 1 (letter)"/>
    <w:basedOn w:val="Normal"/>
    <w:rsid w:val="00611F4A"/>
    <w:pPr>
      <w:numPr>
        <w:ilvl w:val="3"/>
        <w:numId w:val="1"/>
      </w:numPr>
      <w:spacing w:before="120" w:after="120"/>
      <w:jc w:val="both"/>
    </w:pPr>
    <w:rPr>
      <w:rFonts w:eastAsiaTheme="minorHAnsi"/>
      <w:szCs w:val="22"/>
      <w:lang w:eastAsia="en-US"/>
    </w:rPr>
  </w:style>
  <w:style w:type="paragraph" w:customStyle="1" w:styleId="Point2letter">
    <w:name w:val="Point 2 (letter)"/>
    <w:basedOn w:val="Normal"/>
    <w:rsid w:val="00611F4A"/>
    <w:pPr>
      <w:numPr>
        <w:ilvl w:val="5"/>
        <w:numId w:val="1"/>
      </w:numPr>
      <w:spacing w:before="120" w:after="120"/>
      <w:jc w:val="both"/>
    </w:pPr>
    <w:rPr>
      <w:rFonts w:eastAsiaTheme="minorHAnsi"/>
      <w:szCs w:val="22"/>
      <w:lang w:eastAsia="en-US"/>
    </w:rPr>
  </w:style>
  <w:style w:type="paragraph" w:customStyle="1" w:styleId="Point3letter">
    <w:name w:val="Point 3 (letter)"/>
    <w:basedOn w:val="Normal"/>
    <w:rsid w:val="00611F4A"/>
    <w:pPr>
      <w:numPr>
        <w:ilvl w:val="7"/>
        <w:numId w:val="1"/>
      </w:numPr>
      <w:spacing w:before="120" w:after="120"/>
      <w:jc w:val="both"/>
    </w:pPr>
    <w:rPr>
      <w:rFonts w:eastAsiaTheme="minorHAnsi"/>
      <w:szCs w:val="22"/>
      <w:lang w:eastAsia="en-US"/>
    </w:rPr>
  </w:style>
  <w:style w:type="paragraph" w:customStyle="1" w:styleId="Point4letter">
    <w:name w:val="Point 4 (letter)"/>
    <w:basedOn w:val="Normal"/>
    <w:rsid w:val="00611F4A"/>
    <w:pPr>
      <w:numPr>
        <w:ilvl w:val="8"/>
        <w:numId w:val="1"/>
      </w:numPr>
      <w:spacing w:before="120" w:after="120"/>
      <w:jc w:val="both"/>
    </w:pPr>
    <w:rPr>
      <w:rFonts w:eastAsiaTheme="minorHAnsi"/>
      <w:szCs w:val="22"/>
      <w:lang w:eastAsia="en-US"/>
    </w:rPr>
  </w:style>
  <w:style w:type="paragraph" w:styleId="Footer">
    <w:name w:val="footer"/>
    <w:basedOn w:val="Normal"/>
    <w:link w:val="FooterChar"/>
    <w:uiPriority w:val="99"/>
    <w:rsid w:val="0029702D"/>
    <w:pPr>
      <w:tabs>
        <w:tab w:val="center" w:pos="4513"/>
        <w:tab w:val="right" w:pos="9026"/>
      </w:tabs>
    </w:pPr>
  </w:style>
  <w:style w:type="character" w:customStyle="1" w:styleId="FooterChar">
    <w:name w:val="Footer Char"/>
    <w:basedOn w:val="DefaultParagraphFont"/>
    <w:link w:val="Footer"/>
    <w:uiPriority w:val="99"/>
    <w:rsid w:val="0029702D"/>
    <w:rPr>
      <w:sz w:val="24"/>
    </w:rPr>
  </w:style>
  <w:style w:type="paragraph" w:styleId="CommentSubject">
    <w:name w:val="annotation subject"/>
    <w:basedOn w:val="CommentText"/>
    <w:next w:val="CommentText"/>
    <w:link w:val="CommentSubjectChar"/>
    <w:uiPriority w:val="99"/>
    <w:semiHidden/>
    <w:unhideWhenUsed/>
    <w:rsid w:val="00AB5484"/>
    <w:rPr>
      <w:b/>
      <w:bCs/>
    </w:rPr>
  </w:style>
  <w:style w:type="character" w:customStyle="1" w:styleId="CommentSubjectChar">
    <w:name w:val="Comment Subject Char"/>
    <w:basedOn w:val="CommentTextChar"/>
    <w:link w:val="CommentSubject"/>
    <w:uiPriority w:val="99"/>
    <w:semiHidden/>
    <w:rsid w:val="00AB5484"/>
    <w:rPr>
      <w:b/>
      <w:bCs/>
    </w:rPr>
  </w:style>
  <w:style w:type="paragraph" w:customStyle="1" w:styleId="Text1">
    <w:name w:val="Text 1"/>
    <w:basedOn w:val="Normal"/>
    <w:rsid w:val="00401D30"/>
    <w:pPr>
      <w:spacing w:before="120" w:after="120"/>
      <w:ind w:left="850"/>
      <w:jc w:val="both"/>
    </w:pPr>
    <w:rPr>
      <w:rFonts w:eastAsiaTheme="minorHAnsi"/>
      <w:szCs w:val="22"/>
      <w:lang w:eastAsia="en-US"/>
    </w:rPr>
  </w:style>
  <w:style w:type="paragraph" w:customStyle="1" w:styleId="ManualNumPar1">
    <w:name w:val="Manual NumPar 1"/>
    <w:basedOn w:val="Normal"/>
    <w:next w:val="Text1"/>
    <w:rsid w:val="00375696"/>
    <w:pPr>
      <w:spacing w:before="120" w:after="120"/>
      <w:ind w:left="850" w:hanging="850"/>
      <w:jc w:val="both"/>
    </w:pPr>
    <w:rPr>
      <w:rFonts w:eastAsiaTheme="minorHAnsi"/>
      <w:szCs w:val="22"/>
      <w:lang w:eastAsia="en-US"/>
    </w:rPr>
  </w:style>
  <w:style w:type="character" w:customStyle="1" w:styleId="Heading1Char">
    <w:name w:val="Heading 1 Char"/>
    <w:basedOn w:val="DefaultParagraphFont"/>
    <w:link w:val="Heading1"/>
    <w:uiPriority w:val="9"/>
    <w:rsid w:val="00F91D58"/>
    <w:rPr>
      <w:rFonts w:ascii="Arial" w:hAnsi="Arial"/>
      <w:b/>
      <w:kern w:val="28"/>
      <w:sz w:val="28"/>
    </w:rPr>
  </w:style>
  <w:style w:type="character" w:customStyle="1" w:styleId="Heading2Char">
    <w:name w:val="Heading 2 Char"/>
    <w:basedOn w:val="DefaultParagraphFont"/>
    <w:link w:val="Heading2"/>
    <w:uiPriority w:val="9"/>
    <w:semiHidden/>
    <w:rsid w:val="00F91D58"/>
    <w:rPr>
      <w:rFonts w:ascii="Arial" w:hAnsi="Arial"/>
      <w:b/>
      <w:i/>
      <w:sz w:val="24"/>
    </w:rPr>
  </w:style>
  <w:style w:type="character" w:customStyle="1" w:styleId="Heading3Char">
    <w:name w:val="Heading 3 Char"/>
    <w:basedOn w:val="DefaultParagraphFont"/>
    <w:link w:val="Heading3"/>
    <w:uiPriority w:val="9"/>
    <w:semiHidden/>
    <w:rsid w:val="00F91D58"/>
    <w:rPr>
      <w:rFonts w:ascii="Arial" w:hAnsi="Arial"/>
      <w:sz w:val="24"/>
    </w:rPr>
  </w:style>
  <w:style w:type="character" w:customStyle="1" w:styleId="Heading4Char">
    <w:name w:val="Heading 4 Char"/>
    <w:basedOn w:val="DefaultParagraphFont"/>
    <w:link w:val="Heading4"/>
    <w:uiPriority w:val="9"/>
    <w:semiHidden/>
    <w:rsid w:val="00F91D58"/>
    <w:rPr>
      <w:rFonts w:ascii="Arial" w:hAnsi="Arial"/>
      <w:b/>
      <w:sz w:val="24"/>
    </w:rPr>
  </w:style>
  <w:style w:type="character" w:customStyle="1" w:styleId="Heading5Char">
    <w:name w:val="Heading 5 Char"/>
    <w:basedOn w:val="DefaultParagraphFont"/>
    <w:link w:val="Heading5"/>
    <w:uiPriority w:val="9"/>
    <w:semiHidden/>
    <w:rsid w:val="00F91D58"/>
    <w:rPr>
      <w:sz w:val="22"/>
    </w:rPr>
  </w:style>
  <w:style w:type="character" w:customStyle="1" w:styleId="Heading6Char">
    <w:name w:val="Heading 6 Char"/>
    <w:basedOn w:val="DefaultParagraphFont"/>
    <w:link w:val="Heading6"/>
    <w:uiPriority w:val="9"/>
    <w:semiHidden/>
    <w:rsid w:val="00F91D58"/>
    <w:rPr>
      <w:i/>
      <w:sz w:val="22"/>
    </w:rPr>
  </w:style>
  <w:style w:type="character" w:customStyle="1" w:styleId="Heading7Char">
    <w:name w:val="Heading 7 Char"/>
    <w:basedOn w:val="DefaultParagraphFont"/>
    <w:link w:val="Heading7"/>
    <w:uiPriority w:val="9"/>
    <w:semiHidden/>
    <w:rsid w:val="00F91D58"/>
    <w:rPr>
      <w:rFonts w:ascii="Arial" w:hAnsi="Arial"/>
      <w:sz w:val="24"/>
    </w:rPr>
  </w:style>
  <w:style w:type="character" w:customStyle="1" w:styleId="Heading8Char">
    <w:name w:val="Heading 8 Char"/>
    <w:basedOn w:val="DefaultParagraphFont"/>
    <w:link w:val="Heading8"/>
    <w:uiPriority w:val="9"/>
    <w:semiHidden/>
    <w:rsid w:val="00F91D58"/>
    <w:rPr>
      <w:rFonts w:ascii="Arial" w:hAnsi="Arial"/>
      <w:i/>
      <w:sz w:val="24"/>
    </w:rPr>
  </w:style>
  <w:style w:type="character" w:customStyle="1" w:styleId="Heading9Char">
    <w:name w:val="Heading 9 Char"/>
    <w:basedOn w:val="DefaultParagraphFont"/>
    <w:link w:val="Heading9"/>
    <w:uiPriority w:val="9"/>
    <w:semiHidden/>
    <w:rsid w:val="00F91D58"/>
    <w:rPr>
      <w:rFonts w:ascii="Arial" w:hAnsi="Arial"/>
      <w:b/>
      <w:i/>
      <w:sz w:val="18"/>
    </w:rPr>
  </w:style>
  <w:style w:type="paragraph" w:styleId="Title">
    <w:name w:val="Title"/>
    <w:basedOn w:val="Normal"/>
    <w:next w:val="Normal"/>
    <w:link w:val="TitleChar"/>
    <w:uiPriority w:val="10"/>
    <w:qFormat/>
    <w:rsid w:val="00F91D58"/>
    <w:pPr>
      <w:spacing w:before="240" w:after="60"/>
      <w:jc w:val="center"/>
      <w:outlineLvl w:val="0"/>
    </w:pPr>
    <w:rPr>
      <w:rFonts w:ascii="Arial" w:eastAsiaTheme="majorEastAsia" w:hAnsi="Arial" w:cs="Arial"/>
      <w:b/>
      <w:bCs/>
      <w:kern w:val="28"/>
      <w:sz w:val="32"/>
      <w:szCs w:val="32"/>
      <w:lang w:eastAsia="en-US"/>
      <w14:ligatures w14:val="standardContextual"/>
    </w:rPr>
  </w:style>
  <w:style w:type="character" w:customStyle="1" w:styleId="TitleChar">
    <w:name w:val="Title Char"/>
    <w:basedOn w:val="DefaultParagraphFont"/>
    <w:link w:val="Title"/>
    <w:uiPriority w:val="10"/>
    <w:rsid w:val="00F91D58"/>
    <w:rPr>
      <w:rFonts w:ascii="Arial" w:eastAsiaTheme="majorEastAsia" w:hAnsi="Arial" w:cs="Arial"/>
      <w:b/>
      <w:bCs/>
      <w:kern w:val="28"/>
      <w:sz w:val="32"/>
      <w:szCs w:val="32"/>
      <w:lang w:eastAsia="en-US"/>
      <w14:ligatures w14:val="standardContextual"/>
    </w:rPr>
  </w:style>
  <w:style w:type="paragraph" w:styleId="Subtitle">
    <w:name w:val="Subtitle"/>
    <w:basedOn w:val="Normal"/>
    <w:next w:val="Normal"/>
    <w:link w:val="SubtitleChar"/>
    <w:uiPriority w:val="11"/>
    <w:qFormat/>
    <w:rsid w:val="00F91D58"/>
    <w:pPr>
      <w:spacing w:after="60"/>
      <w:jc w:val="center"/>
      <w:outlineLvl w:val="1"/>
    </w:pPr>
    <w:rPr>
      <w:rFonts w:ascii="Arial" w:eastAsiaTheme="majorEastAsia" w:hAnsi="Arial" w:cs="Arial"/>
      <w:kern w:val="2"/>
      <w:szCs w:val="24"/>
      <w:lang w:eastAsia="en-US"/>
      <w14:ligatures w14:val="standardContextual"/>
    </w:rPr>
  </w:style>
  <w:style w:type="character" w:customStyle="1" w:styleId="SubtitleChar">
    <w:name w:val="Subtitle Char"/>
    <w:basedOn w:val="DefaultParagraphFont"/>
    <w:link w:val="Subtitle"/>
    <w:uiPriority w:val="11"/>
    <w:rsid w:val="00F91D58"/>
    <w:rPr>
      <w:rFonts w:ascii="Arial" w:eastAsiaTheme="majorEastAsia" w:hAnsi="Arial" w:cs="Arial"/>
      <w:kern w:val="2"/>
      <w:sz w:val="24"/>
      <w:szCs w:val="24"/>
      <w:lang w:eastAsia="en-US"/>
      <w14:ligatures w14:val="standardContextual"/>
    </w:rPr>
  </w:style>
  <w:style w:type="character" w:styleId="Strong">
    <w:name w:val="Strong"/>
    <w:basedOn w:val="DefaultParagraphFont"/>
    <w:uiPriority w:val="22"/>
    <w:qFormat/>
    <w:rsid w:val="00F91D58"/>
    <w:rPr>
      <w:b/>
      <w:bCs/>
    </w:rPr>
  </w:style>
  <w:style w:type="character" w:styleId="Emphasis">
    <w:name w:val="Emphasis"/>
    <w:basedOn w:val="DefaultParagraphFont"/>
    <w:uiPriority w:val="20"/>
    <w:qFormat/>
    <w:rsid w:val="00F91D58"/>
    <w:rPr>
      <w:rFonts w:asciiTheme="minorHAnsi" w:hAnsiTheme="minorHAnsi"/>
      <w:b/>
      <w:i/>
      <w:iCs/>
    </w:rPr>
  </w:style>
  <w:style w:type="paragraph" w:styleId="NoSpacing">
    <w:name w:val="No Spacing"/>
    <w:basedOn w:val="Normal"/>
    <w:uiPriority w:val="1"/>
    <w:qFormat/>
    <w:rsid w:val="00F91D58"/>
    <w:pPr>
      <w:jc w:val="both"/>
    </w:pPr>
    <w:rPr>
      <w:rFonts w:eastAsiaTheme="minorHAnsi"/>
      <w:kern w:val="2"/>
      <w:szCs w:val="32"/>
      <w:lang w:eastAsia="en-US"/>
      <w14:ligatures w14:val="standardContextual"/>
    </w:rPr>
  </w:style>
  <w:style w:type="paragraph" w:styleId="ListParagraph">
    <w:name w:val="List Paragraph"/>
    <w:basedOn w:val="Normal"/>
    <w:uiPriority w:val="34"/>
    <w:qFormat/>
    <w:rsid w:val="00F91D58"/>
    <w:pPr>
      <w:ind w:left="720"/>
      <w:contextualSpacing/>
      <w:jc w:val="both"/>
    </w:pPr>
    <w:rPr>
      <w:rFonts w:eastAsiaTheme="minorHAnsi"/>
      <w:kern w:val="2"/>
      <w:szCs w:val="24"/>
      <w:lang w:eastAsia="en-US"/>
      <w14:ligatures w14:val="standardContextual"/>
    </w:rPr>
  </w:style>
  <w:style w:type="paragraph" w:styleId="Quote">
    <w:name w:val="Quote"/>
    <w:basedOn w:val="Normal"/>
    <w:next w:val="Normal"/>
    <w:link w:val="QuoteChar"/>
    <w:uiPriority w:val="29"/>
    <w:qFormat/>
    <w:rsid w:val="00F91D58"/>
    <w:pPr>
      <w:jc w:val="both"/>
    </w:pPr>
    <w:rPr>
      <w:rFonts w:eastAsiaTheme="minorHAnsi"/>
      <w:i/>
      <w:kern w:val="2"/>
      <w:szCs w:val="24"/>
      <w:lang w:eastAsia="en-US"/>
      <w14:ligatures w14:val="standardContextual"/>
    </w:rPr>
  </w:style>
  <w:style w:type="character" w:customStyle="1" w:styleId="QuoteChar">
    <w:name w:val="Quote Char"/>
    <w:basedOn w:val="DefaultParagraphFont"/>
    <w:link w:val="Quote"/>
    <w:uiPriority w:val="29"/>
    <w:rsid w:val="00F91D58"/>
    <w:rPr>
      <w:rFonts w:eastAsiaTheme="minorHAnsi"/>
      <w:i/>
      <w:kern w:val="2"/>
      <w:sz w:val="24"/>
      <w:szCs w:val="24"/>
      <w:lang w:eastAsia="en-US"/>
      <w14:ligatures w14:val="standardContextual"/>
    </w:rPr>
  </w:style>
  <w:style w:type="paragraph" w:styleId="IntenseQuote">
    <w:name w:val="Intense Quote"/>
    <w:basedOn w:val="Normal"/>
    <w:next w:val="Normal"/>
    <w:link w:val="IntenseQuoteChar"/>
    <w:uiPriority w:val="30"/>
    <w:qFormat/>
    <w:rsid w:val="00F91D58"/>
    <w:pPr>
      <w:ind w:left="720" w:right="720"/>
      <w:jc w:val="both"/>
    </w:pPr>
    <w:rPr>
      <w:rFonts w:eastAsiaTheme="minorHAnsi"/>
      <w:b/>
      <w:i/>
      <w:kern w:val="2"/>
      <w:szCs w:val="22"/>
      <w:lang w:eastAsia="en-US"/>
      <w14:ligatures w14:val="standardContextual"/>
    </w:rPr>
  </w:style>
  <w:style w:type="character" w:customStyle="1" w:styleId="IntenseQuoteChar">
    <w:name w:val="Intense Quote Char"/>
    <w:basedOn w:val="DefaultParagraphFont"/>
    <w:link w:val="IntenseQuote"/>
    <w:uiPriority w:val="30"/>
    <w:rsid w:val="00F91D58"/>
    <w:rPr>
      <w:rFonts w:eastAsiaTheme="minorHAnsi"/>
      <w:b/>
      <w:i/>
      <w:kern w:val="2"/>
      <w:sz w:val="24"/>
      <w:szCs w:val="22"/>
      <w:lang w:eastAsia="en-US"/>
      <w14:ligatures w14:val="standardContextual"/>
    </w:rPr>
  </w:style>
  <w:style w:type="character" w:styleId="SubtleEmphasis">
    <w:name w:val="Subtle Emphasis"/>
    <w:uiPriority w:val="19"/>
    <w:qFormat/>
    <w:rsid w:val="00F91D58"/>
    <w:rPr>
      <w:i/>
      <w:color w:val="5A5A5A" w:themeColor="text1" w:themeTint="A5"/>
    </w:rPr>
  </w:style>
  <w:style w:type="character" w:styleId="IntenseEmphasis">
    <w:name w:val="Intense Emphasis"/>
    <w:basedOn w:val="DefaultParagraphFont"/>
    <w:uiPriority w:val="21"/>
    <w:qFormat/>
    <w:rsid w:val="00F91D58"/>
    <w:rPr>
      <w:b/>
      <w:i/>
      <w:sz w:val="24"/>
      <w:szCs w:val="24"/>
      <w:u w:val="single"/>
    </w:rPr>
  </w:style>
  <w:style w:type="character" w:styleId="SubtleReference">
    <w:name w:val="Subtle Reference"/>
    <w:basedOn w:val="DefaultParagraphFont"/>
    <w:uiPriority w:val="31"/>
    <w:qFormat/>
    <w:rsid w:val="00F91D58"/>
    <w:rPr>
      <w:sz w:val="24"/>
      <w:szCs w:val="24"/>
      <w:u w:val="single"/>
    </w:rPr>
  </w:style>
  <w:style w:type="character" w:styleId="IntenseReference">
    <w:name w:val="Intense Reference"/>
    <w:basedOn w:val="DefaultParagraphFont"/>
    <w:uiPriority w:val="32"/>
    <w:qFormat/>
    <w:rsid w:val="00F91D58"/>
    <w:rPr>
      <w:b/>
      <w:sz w:val="24"/>
      <w:u w:val="single"/>
    </w:rPr>
  </w:style>
  <w:style w:type="character" w:styleId="BookTitle">
    <w:name w:val="Book Title"/>
    <w:basedOn w:val="DefaultParagraphFont"/>
    <w:uiPriority w:val="33"/>
    <w:qFormat/>
    <w:rsid w:val="00F91D58"/>
    <w:rPr>
      <w:rFonts w:asciiTheme="majorHAnsi" w:eastAsiaTheme="majorEastAsia" w:hAnsiTheme="majorHAnsi"/>
      <w:b/>
      <w:i/>
      <w:sz w:val="24"/>
      <w:szCs w:val="24"/>
    </w:rPr>
  </w:style>
  <w:style w:type="paragraph" w:customStyle="1" w:styleId="Default">
    <w:name w:val="Default"/>
    <w:rsid w:val="00F91D58"/>
    <w:pPr>
      <w:autoSpaceDE w:val="0"/>
      <w:autoSpaceDN w:val="0"/>
      <w:adjustRightInd w:val="0"/>
    </w:pPr>
    <w:rPr>
      <w:rFonts w:eastAsiaTheme="minorHAnsi"/>
      <w:color w:val="000000"/>
      <w:sz w:val="24"/>
      <w:szCs w:val="24"/>
      <w:lang w:eastAsia="en-US"/>
    </w:rPr>
  </w:style>
  <w:style w:type="character" w:customStyle="1" w:styleId="NormalHanging12aChar">
    <w:name w:val="NormalHanging12a Char"/>
    <w:basedOn w:val="DefaultParagraphFont"/>
    <w:link w:val="NormalHanging12a"/>
    <w:rsid w:val="00F91D58"/>
    <w:rPr>
      <w:sz w:val="24"/>
    </w:rPr>
  </w:style>
  <w:style w:type="paragraph" w:styleId="FootnoteText">
    <w:name w:val="footnote text"/>
    <w:basedOn w:val="Normal"/>
    <w:link w:val="FootnoteTextChar"/>
    <w:uiPriority w:val="99"/>
    <w:unhideWhenUsed/>
    <w:rsid w:val="00F91D58"/>
    <w:pPr>
      <w:jc w:val="both"/>
    </w:pPr>
    <w:rPr>
      <w:rFonts w:eastAsiaTheme="minorHAnsi"/>
      <w:kern w:val="2"/>
      <w:sz w:val="20"/>
      <w:lang w:eastAsia="en-US"/>
      <w14:ligatures w14:val="standardContextual"/>
    </w:rPr>
  </w:style>
  <w:style w:type="character" w:customStyle="1" w:styleId="FootnoteTextChar">
    <w:name w:val="Footnote Text Char"/>
    <w:basedOn w:val="DefaultParagraphFont"/>
    <w:link w:val="FootnoteText"/>
    <w:uiPriority w:val="99"/>
    <w:rsid w:val="00F91D58"/>
    <w:rPr>
      <w:rFonts w:eastAsiaTheme="minorHAnsi"/>
      <w:kern w:val="2"/>
      <w:lang w:eastAsia="en-US"/>
      <w14:ligatures w14:val="standardContextual"/>
    </w:rPr>
  </w:style>
  <w:style w:type="character" w:styleId="FootnoteReference">
    <w:name w:val="footnote reference"/>
    <w:basedOn w:val="DefaultParagraphFont"/>
    <w:uiPriority w:val="99"/>
    <w:unhideWhenUsed/>
    <w:rsid w:val="00F91D58"/>
    <w:rPr>
      <w:vertAlign w:val="superscript"/>
    </w:rPr>
  </w:style>
  <w:style w:type="paragraph" w:styleId="Revision">
    <w:name w:val="Revision"/>
    <w:hidden/>
    <w:uiPriority w:val="99"/>
    <w:semiHidden/>
    <w:rsid w:val="00F91D58"/>
    <w:rPr>
      <w:rFonts w:eastAsiaTheme="minorHAnsi"/>
      <w:kern w:val="2"/>
      <w:sz w:val="24"/>
      <w:szCs w:val="24"/>
      <w:lang w:eastAsia="en-US"/>
      <w14:ligatures w14:val="standardContextual"/>
    </w:rPr>
  </w:style>
  <w:style w:type="paragraph" w:styleId="BalloonText">
    <w:name w:val="Balloon Text"/>
    <w:basedOn w:val="Normal"/>
    <w:link w:val="BalloonTextChar"/>
    <w:uiPriority w:val="99"/>
    <w:semiHidden/>
    <w:unhideWhenUsed/>
    <w:rsid w:val="00F91D58"/>
    <w:pPr>
      <w:jc w:val="both"/>
    </w:pPr>
    <w:rPr>
      <w:rFonts w:ascii="Segoe UI" w:eastAsiaTheme="minorHAnsi" w:hAnsi="Segoe UI" w:cs="Segoe UI"/>
      <w:kern w:val="2"/>
      <w:sz w:val="18"/>
      <w:szCs w:val="18"/>
      <w:lang w:eastAsia="en-US"/>
      <w14:ligatures w14:val="standardContextual"/>
    </w:rPr>
  </w:style>
  <w:style w:type="character" w:customStyle="1" w:styleId="BalloonTextChar">
    <w:name w:val="Balloon Text Char"/>
    <w:basedOn w:val="DefaultParagraphFont"/>
    <w:link w:val="BalloonText"/>
    <w:uiPriority w:val="99"/>
    <w:semiHidden/>
    <w:rsid w:val="00F91D58"/>
    <w:rPr>
      <w:rFonts w:ascii="Segoe UI" w:eastAsiaTheme="minorHAnsi" w:hAnsi="Segoe UI" w:cs="Segoe UI"/>
      <w:kern w:val="2"/>
      <w:sz w:val="18"/>
      <w:szCs w:val="18"/>
      <w:lang w:eastAsia="en-US"/>
      <w14:ligatures w14:val="standardContextual"/>
    </w:rPr>
  </w:style>
  <w:style w:type="character" w:styleId="Hyperlink">
    <w:name w:val="Hyperlink"/>
    <w:basedOn w:val="DefaultParagraphFont"/>
    <w:rsid w:val="00D95D22"/>
    <w:rPr>
      <w:color w:val="0563C1" w:themeColor="hyperlink"/>
      <w:u w:val="single"/>
    </w:rPr>
  </w:style>
  <w:style w:type="character" w:styleId="FollowedHyperlink">
    <w:name w:val="FollowedHyperlink"/>
    <w:basedOn w:val="DefaultParagraphFont"/>
    <w:rsid w:val="003F2D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252">
      <w:bodyDiv w:val="1"/>
      <w:marLeft w:val="0"/>
      <w:marRight w:val="0"/>
      <w:marTop w:val="0"/>
      <w:marBottom w:val="0"/>
      <w:divBdr>
        <w:top w:val="none" w:sz="0" w:space="0" w:color="auto"/>
        <w:left w:val="none" w:sz="0" w:space="0" w:color="auto"/>
        <w:bottom w:val="none" w:sz="0" w:space="0" w:color="auto"/>
        <w:right w:val="none" w:sz="0" w:space="0" w:color="auto"/>
      </w:divBdr>
    </w:div>
    <w:div w:id="25176378">
      <w:bodyDiv w:val="1"/>
      <w:marLeft w:val="0"/>
      <w:marRight w:val="0"/>
      <w:marTop w:val="0"/>
      <w:marBottom w:val="0"/>
      <w:divBdr>
        <w:top w:val="none" w:sz="0" w:space="0" w:color="auto"/>
        <w:left w:val="none" w:sz="0" w:space="0" w:color="auto"/>
        <w:bottom w:val="none" w:sz="0" w:space="0" w:color="auto"/>
        <w:right w:val="none" w:sz="0" w:space="0" w:color="auto"/>
      </w:divBdr>
    </w:div>
    <w:div w:id="34038824">
      <w:bodyDiv w:val="1"/>
      <w:marLeft w:val="0"/>
      <w:marRight w:val="0"/>
      <w:marTop w:val="0"/>
      <w:marBottom w:val="0"/>
      <w:divBdr>
        <w:top w:val="none" w:sz="0" w:space="0" w:color="auto"/>
        <w:left w:val="none" w:sz="0" w:space="0" w:color="auto"/>
        <w:bottom w:val="none" w:sz="0" w:space="0" w:color="auto"/>
        <w:right w:val="none" w:sz="0" w:space="0" w:color="auto"/>
      </w:divBdr>
    </w:div>
    <w:div w:id="35274907">
      <w:bodyDiv w:val="1"/>
      <w:marLeft w:val="0"/>
      <w:marRight w:val="0"/>
      <w:marTop w:val="0"/>
      <w:marBottom w:val="0"/>
      <w:divBdr>
        <w:top w:val="none" w:sz="0" w:space="0" w:color="auto"/>
        <w:left w:val="none" w:sz="0" w:space="0" w:color="auto"/>
        <w:bottom w:val="none" w:sz="0" w:space="0" w:color="auto"/>
        <w:right w:val="none" w:sz="0" w:space="0" w:color="auto"/>
      </w:divBdr>
    </w:div>
    <w:div w:id="44764702">
      <w:bodyDiv w:val="1"/>
      <w:marLeft w:val="0"/>
      <w:marRight w:val="0"/>
      <w:marTop w:val="0"/>
      <w:marBottom w:val="0"/>
      <w:divBdr>
        <w:top w:val="none" w:sz="0" w:space="0" w:color="auto"/>
        <w:left w:val="none" w:sz="0" w:space="0" w:color="auto"/>
        <w:bottom w:val="none" w:sz="0" w:space="0" w:color="auto"/>
        <w:right w:val="none" w:sz="0" w:space="0" w:color="auto"/>
      </w:divBdr>
    </w:div>
    <w:div w:id="56587538">
      <w:bodyDiv w:val="1"/>
      <w:marLeft w:val="0"/>
      <w:marRight w:val="0"/>
      <w:marTop w:val="0"/>
      <w:marBottom w:val="0"/>
      <w:divBdr>
        <w:top w:val="none" w:sz="0" w:space="0" w:color="auto"/>
        <w:left w:val="none" w:sz="0" w:space="0" w:color="auto"/>
        <w:bottom w:val="none" w:sz="0" w:space="0" w:color="auto"/>
        <w:right w:val="none" w:sz="0" w:space="0" w:color="auto"/>
      </w:divBdr>
    </w:div>
    <w:div w:id="74910103">
      <w:bodyDiv w:val="1"/>
      <w:marLeft w:val="0"/>
      <w:marRight w:val="0"/>
      <w:marTop w:val="0"/>
      <w:marBottom w:val="0"/>
      <w:divBdr>
        <w:top w:val="none" w:sz="0" w:space="0" w:color="auto"/>
        <w:left w:val="none" w:sz="0" w:space="0" w:color="auto"/>
        <w:bottom w:val="none" w:sz="0" w:space="0" w:color="auto"/>
        <w:right w:val="none" w:sz="0" w:space="0" w:color="auto"/>
      </w:divBdr>
    </w:div>
    <w:div w:id="84887865">
      <w:bodyDiv w:val="1"/>
      <w:marLeft w:val="0"/>
      <w:marRight w:val="0"/>
      <w:marTop w:val="0"/>
      <w:marBottom w:val="0"/>
      <w:divBdr>
        <w:top w:val="none" w:sz="0" w:space="0" w:color="auto"/>
        <w:left w:val="none" w:sz="0" w:space="0" w:color="auto"/>
        <w:bottom w:val="none" w:sz="0" w:space="0" w:color="auto"/>
        <w:right w:val="none" w:sz="0" w:space="0" w:color="auto"/>
      </w:divBdr>
      <w:divsChild>
        <w:div w:id="1597245671">
          <w:marLeft w:val="0"/>
          <w:marRight w:val="0"/>
          <w:marTop w:val="0"/>
          <w:marBottom w:val="0"/>
          <w:divBdr>
            <w:top w:val="none" w:sz="0" w:space="0" w:color="auto"/>
            <w:left w:val="none" w:sz="0" w:space="0" w:color="auto"/>
            <w:bottom w:val="none" w:sz="0" w:space="0" w:color="auto"/>
            <w:right w:val="none" w:sz="0" w:space="0" w:color="auto"/>
          </w:divBdr>
          <w:divsChild>
            <w:div w:id="15810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452">
      <w:bodyDiv w:val="1"/>
      <w:marLeft w:val="0"/>
      <w:marRight w:val="0"/>
      <w:marTop w:val="0"/>
      <w:marBottom w:val="0"/>
      <w:divBdr>
        <w:top w:val="none" w:sz="0" w:space="0" w:color="auto"/>
        <w:left w:val="none" w:sz="0" w:space="0" w:color="auto"/>
        <w:bottom w:val="none" w:sz="0" w:space="0" w:color="auto"/>
        <w:right w:val="none" w:sz="0" w:space="0" w:color="auto"/>
      </w:divBdr>
    </w:div>
    <w:div w:id="146676970">
      <w:bodyDiv w:val="1"/>
      <w:marLeft w:val="0"/>
      <w:marRight w:val="0"/>
      <w:marTop w:val="0"/>
      <w:marBottom w:val="0"/>
      <w:divBdr>
        <w:top w:val="none" w:sz="0" w:space="0" w:color="auto"/>
        <w:left w:val="none" w:sz="0" w:space="0" w:color="auto"/>
        <w:bottom w:val="none" w:sz="0" w:space="0" w:color="auto"/>
        <w:right w:val="none" w:sz="0" w:space="0" w:color="auto"/>
      </w:divBdr>
    </w:div>
    <w:div w:id="172380000">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10115059">
      <w:bodyDiv w:val="1"/>
      <w:marLeft w:val="0"/>
      <w:marRight w:val="0"/>
      <w:marTop w:val="0"/>
      <w:marBottom w:val="0"/>
      <w:divBdr>
        <w:top w:val="none" w:sz="0" w:space="0" w:color="auto"/>
        <w:left w:val="none" w:sz="0" w:space="0" w:color="auto"/>
        <w:bottom w:val="none" w:sz="0" w:space="0" w:color="auto"/>
        <w:right w:val="none" w:sz="0" w:space="0" w:color="auto"/>
      </w:divBdr>
    </w:div>
    <w:div w:id="212273712">
      <w:bodyDiv w:val="1"/>
      <w:marLeft w:val="0"/>
      <w:marRight w:val="0"/>
      <w:marTop w:val="0"/>
      <w:marBottom w:val="0"/>
      <w:divBdr>
        <w:top w:val="none" w:sz="0" w:space="0" w:color="auto"/>
        <w:left w:val="none" w:sz="0" w:space="0" w:color="auto"/>
        <w:bottom w:val="none" w:sz="0" w:space="0" w:color="auto"/>
        <w:right w:val="none" w:sz="0" w:space="0" w:color="auto"/>
      </w:divBdr>
    </w:div>
    <w:div w:id="215241947">
      <w:bodyDiv w:val="1"/>
      <w:marLeft w:val="0"/>
      <w:marRight w:val="0"/>
      <w:marTop w:val="0"/>
      <w:marBottom w:val="0"/>
      <w:divBdr>
        <w:top w:val="none" w:sz="0" w:space="0" w:color="auto"/>
        <w:left w:val="none" w:sz="0" w:space="0" w:color="auto"/>
        <w:bottom w:val="none" w:sz="0" w:space="0" w:color="auto"/>
        <w:right w:val="none" w:sz="0" w:space="0" w:color="auto"/>
      </w:divBdr>
    </w:div>
    <w:div w:id="219631833">
      <w:bodyDiv w:val="1"/>
      <w:marLeft w:val="0"/>
      <w:marRight w:val="0"/>
      <w:marTop w:val="0"/>
      <w:marBottom w:val="0"/>
      <w:divBdr>
        <w:top w:val="none" w:sz="0" w:space="0" w:color="auto"/>
        <w:left w:val="none" w:sz="0" w:space="0" w:color="auto"/>
        <w:bottom w:val="none" w:sz="0" w:space="0" w:color="auto"/>
        <w:right w:val="none" w:sz="0" w:space="0" w:color="auto"/>
      </w:divBdr>
    </w:div>
    <w:div w:id="224488942">
      <w:bodyDiv w:val="1"/>
      <w:marLeft w:val="0"/>
      <w:marRight w:val="0"/>
      <w:marTop w:val="0"/>
      <w:marBottom w:val="0"/>
      <w:divBdr>
        <w:top w:val="none" w:sz="0" w:space="0" w:color="auto"/>
        <w:left w:val="none" w:sz="0" w:space="0" w:color="auto"/>
        <w:bottom w:val="none" w:sz="0" w:space="0" w:color="auto"/>
        <w:right w:val="none" w:sz="0" w:space="0" w:color="auto"/>
      </w:divBdr>
    </w:div>
    <w:div w:id="226111827">
      <w:bodyDiv w:val="1"/>
      <w:marLeft w:val="0"/>
      <w:marRight w:val="0"/>
      <w:marTop w:val="0"/>
      <w:marBottom w:val="0"/>
      <w:divBdr>
        <w:top w:val="none" w:sz="0" w:space="0" w:color="auto"/>
        <w:left w:val="none" w:sz="0" w:space="0" w:color="auto"/>
        <w:bottom w:val="none" w:sz="0" w:space="0" w:color="auto"/>
        <w:right w:val="none" w:sz="0" w:space="0" w:color="auto"/>
      </w:divBdr>
    </w:div>
    <w:div w:id="229584316">
      <w:bodyDiv w:val="1"/>
      <w:marLeft w:val="0"/>
      <w:marRight w:val="0"/>
      <w:marTop w:val="0"/>
      <w:marBottom w:val="0"/>
      <w:divBdr>
        <w:top w:val="none" w:sz="0" w:space="0" w:color="auto"/>
        <w:left w:val="none" w:sz="0" w:space="0" w:color="auto"/>
        <w:bottom w:val="none" w:sz="0" w:space="0" w:color="auto"/>
        <w:right w:val="none" w:sz="0" w:space="0" w:color="auto"/>
      </w:divBdr>
    </w:div>
    <w:div w:id="241065671">
      <w:bodyDiv w:val="1"/>
      <w:marLeft w:val="0"/>
      <w:marRight w:val="0"/>
      <w:marTop w:val="0"/>
      <w:marBottom w:val="0"/>
      <w:divBdr>
        <w:top w:val="none" w:sz="0" w:space="0" w:color="auto"/>
        <w:left w:val="none" w:sz="0" w:space="0" w:color="auto"/>
        <w:bottom w:val="none" w:sz="0" w:space="0" w:color="auto"/>
        <w:right w:val="none" w:sz="0" w:space="0" w:color="auto"/>
      </w:divBdr>
    </w:div>
    <w:div w:id="258298811">
      <w:bodyDiv w:val="1"/>
      <w:marLeft w:val="0"/>
      <w:marRight w:val="0"/>
      <w:marTop w:val="0"/>
      <w:marBottom w:val="0"/>
      <w:divBdr>
        <w:top w:val="none" w:sz="0" w:space="0" w:color="auto"/>
        <w:left w:val="none" w:sz="0" w:space="0" w:color="auto"/>
        <w:bottom w:val="none" w:sz="0" w:space="0" w:color="auto"/>
        <w:right w:val="none" w:sz="0" w:space="0" w:color="auto"/>
      </w:divBdr>
    </w:div>
    <w:div w:id="260187750">
      <w:bodyDiv w:val="1"/>
      <w:marLeft w:val="0"/>
      <w:marRight w:val="0"/>
      <w:marTop w:val="0"/>
      <w:marBottom w:val="0"/>
      <w:divBdr>
        <w:top w:val="none" w:sz="0" w:space="0" w:color="auto"/>
        <w:left w:val="none" w:sz="0" w:space="0" w:color="auto"/>
        <w:bottom w:val="none" w:sz="0" w:space="0" w:color="auto"/>
        <w:right w:val="none" w:sz="0" w:space="0" w:color="auto"/>
      </w:divBdr>
    </w:div>
    <w:div w:id="263659541">
      <w:bodyDiv w:val="1"/>
      <w:marLeft w:val="0"/>
      <w:marRight w:val="0"/>
      <w:marTop w:val="0"/>
      <w:marBottom w:val="0"/>
      <w:divBdr>
        <w:top w:val="none" w:sz="0" w:space="0" w:color="auto"/>
        <w:left w:val="none" w:sz="0" w:space="0" w:color="auto"/>
        <w:bottom w:val="none" w:sz="0" w:space="0" w:color="auto"/>
        <w:right w:val="none" w:sz="0" w:space="0" w:color="auto"/>
      </w:divBdr>
    </w:div>
    <w:div w:id="267277060">
      <w:bodyDiv w:val="1"/>
      <w:marLeft w:val="0"/>
      <w:marRight w:val="0"/>
      <w:marTop w:val="0"/>
      <w:marBottom w:val="0"/>
      <w:divBdr>
        <w:top w:val="none" w:sz="0" w:space="0" w:color="auto"/>
        <w:left w:val="none" w:sz="0" w:space="0" w:color="auto"/>
        <w:bottom w:val="none" w:sz="0" w:space="0" w:color="auto"/>
        <w:right w:val="none" w:sz="0" w:space="0" w:color="auto"/>
      </w:divBdr>
    </w:div>
    <w:div w:id="288823277">
      <w:bodyDiv w:val="1"/>
      <w:marLeft w:val="0"/>
      <w:marRight w:val="0"/>
      <w:marTop w:val="0"/>
      <w:marBottom w:val="0"/>
      <w:divBdr>
        <w:top w:val="none" w:sz="0" w:space="0" w:color="auto"/>
        <w:left w:val="none" w:sz="0" w:space="0" w:color="auto"/>
        <w:bottom w:val="none" w:sz="0" w:space="0" w:color="auto"/>
        <w:right w:val="none" w:sz="0" w:space="0" w:color="auto"/>
      </w:divBdr>
    </w:div>
    <w:div w:id="313143834">
      <w:bodyDiv w:val="1"/>
      <w:marLeft w:val="0"/>
      <w:marRight w:val="0"/>
      <w:marTop w:val="0"/>
      <w:marBottom w:val="0"/>
      <w:divBdr>
        <w:top w:val="none" w:sz="0" w:space="0" w:color="auto"/>
        <w:left w:val="none" w:sz="0" w:space="0" w:color="auto"/>
        <w:bottom w:val="none" w:sz="0" w:space="0" w:color="auto"/>
        <w:right w:val="none" w:sz="0" w:space="0" w:color="auto"/>
      </w:divBdr>
    </w:div>
    <w:div w:id="369497660">
      <w:bodyDiv w:val="1"/>
      <w:marLeft w:val="0"/>
      <w:marRight w:val="0"/>
      <w:marTop w:val="0"/>
      <w:marBottom w:val="0"/>
      <w:divBdr>
        <w:top w:val="none" w:sz="0" w:space="0" w:color="auto"/>
        <w:left w:val="none" w:sz="0" w:space="0" w:color="auto"/>
        <w:bottom w:val="none" w:sz="0" w:space="0" w:color="auto"/>
        <w:right w:val="none" w:sz="0" w:space="0" w:color="auto"/>
      </w:divBdr>
    </w:div>
    <w:div w:id="372659779">
      <w:bodyDiv w:val="1"/>
      <w:marLeft w:val="0"/>
      <w:marRight w:val="0"/>
      <w:marTop w:val="0"/>
      <w:marBottom w:val="0"/>
      <w:divBdr>
        <w:top w:val="none" w:sz="0" w:space="0" w:color="auto"/>
        <w:left w:val="none" w:sz="0" w:space="0" w:color="auto"/>
        <w:bottom w:val="none" w:sz="0" w:space="0" w:color="auto"/>
        <w:right w:val="none" w:sz="0" w:space="0" w:color="auto"/>
      </w:divBdr>
    </w:div>
    <w:div w:id="376243564">
      <w:bodyDiv w:val="1"/>
      <w:marLeft w:val="0"/>
      <w:marRight w:val="0"/>
      <w:marTop w:val="0"/>
      <w:marBottom w:val="0"/>
      <w:divBdr>
        <w:top w:val="none" w:sz="0" w:space="0" w:color="auto"/>
        <w:left w:val="none" w:sz="0" w:space="0" w:color="auto"/>
        <w:bottom w:val="none" w:sz="0" w:space="0" w:color="auto"/>
        <w:right w:val="none" w:sz="0" w:space="0" w:color="auto"/>
      </w:divBdr>
    </w:div>
    <w:div w:id="398527277">
      <w:bodyDiv w:val="1"/>
      <w:marLeft w:val="0"/>
      <w:marRight w:val="0"/>
      <w:marTop w:val="0"/>
      <w:marBottom w:val="0"/>
      <w:divBdr>
        <w:top w:val="none" w:sz="0" w:space="0" w:color="auto"/>
        <w:left w:val="none" w:sz="0" w:space="0" w:color="auto"/>
        <w:bottom w:val="none" w:sz="0" w:space="0" w:color="auto"/>
        <w:right w:val="none" w:sz="0" w:space="0" w:color="auto"/>
      </w:divBdr>
    </w:div>
    <w:div w:id="398751151">
      <w:bodyDiv w:val="1"/>
      <w:marLeft w:val="0"/>
      <w:marRight w:val="0"/>
      <w:marTop w:val="0"/>
      <w:marBottom w:val="0"/>
      <w:divBdr>
        <w:top w:val="none" w:sz="0" w:space="0" w:color="auto"/>
        <w:left w:val="none" w:sz="0" w:space="0" w:color="auto"/>
        <w:bottom w:val="none" w:sz="0" w:space="0" w:color="auto"/>
        <w:right w:val="none" w:sz="0" w:space="0" w:color="auto"/>
      </w:divBdr>
    </w:div>
    <w:div w:id="428474686">
      <w:bodyDiv w:val="1"/>
      <w:marLeft w:val="0"/>
      <w:marRight w:val="0"/>
      <w:marTop w:val="0"/>
      <w:marBottom w:val="0"/>
      <w:divBdr>
        <w:top w:val="none" w:sz="0" w:space="0" w:color="auto"/>
        <w:left w:val="none" w:sz="0" w:space="0" w:color="auto"/>
        <w:bottom w:val="none" w:sz="0" w:space="0" w:color="auto"/>
        <w:right w:val="none" w:sz="0" w:space="0" w:color="auto"/>
      </w:divBdr>
    </w:div>
    <w:div w:id="437331268">
      <w:bodyDiv w:val="1"/>
      <w:marLeft w:val="0"/>
      <w:marRight w:val="0"/>
      <w:marTop w:val="0"/>
      <w:marBottom w:val="0"/>
      <w:divBdr>
        <w:top w:val="none" w:sz="0" w:space="0" w:color="auto"/>
        <w:left w:val="none" w:sz="0" w:space="0" w:color="auto"/>
        <w:bottom w:val="none" w:sz="0" w:space="0" w:color="auto"/>
        <w:right w:val="none" w:sz="0" w:space="0" w:color="auto"/>
      </w:divBdr>
    </w:div>
    <w:div w:id="456876620">
      <w:bodyDiv w:val="1"/>
      <w:marLeft w:val="0"/>
      <w:marRight w:val="0"/>
      <w:marTop w:val="0"/>
      <w:marBottom w:val="0"/>
      <w:divBdr>
        <w:top w:val="none" w:sz="0" w:space="0" w:color="auto"/>
        <w:left w:val="none" w:sz="0" w:space="0" w:color="auto"/>
        <w:bottom w:val="none" w:sz="0" w:space="0" w:color="auto"/>
        <w:right w:val="none" w:sz="0" w:space="0" w:color="auto"/>
      </w:divBdr>
    </w:div>
    <w:div w:id="465702012">
      <w:bodyDiv w:val="1"/>
      <w:marLeft w:val="0"/>
      <w:marRight w:val="0"/>
      <w:marTop w:val="0"/>
      <w:marBottom w:val="0"/>
      <w:divBdr>
        <w:top w:val="none" w:sz="0" w:space="0" w:color="auto"/>
        <w:left w:val="none" w:sz="0" w:space="0" w:color="auto"/>
        <w:bottom w:val="none" w:sz="0" w:space="0" w:color="auto"/>
        <w:right w:val="none" w:sz="0" w:space="0" w:color="auto"/>
      </w:divBdr>
    </w:div>
    <w:div w:id="480732886">
      <w:bodyDiv w:val="1"/>
      <w:marLeft w:val="0"/>
      <w:marRight w:val="0"/>
      <w:marTop w:val="0"/>
      <w:marBottom w:val="0"/>
      <w:divBdr>
        <w:top w:val="none" w:sz="0" w:space="0" w:color="auto"/>
        <w:left w:val="none" w:sz="0" w:space="0" w:color="auto"/>
        <w:bottom w:val="none" w:sz="0" w:space="0" w:color="auto"/>
        <w:right w:val="none" w:sz="0" w:space="0" w:color="auto"/>
      </w:divBdr>
    </w:div>
    <w:div w:id="481238487">
      <w:bodyDiv w:val="1"/>
      <w:marLeft w:val="0"/>
      <w:marRight w:val="0"/>
      <w:marTop w:val="0"/>
      <w:marBottom w:val="0"/>
      <w:divBdr>
        <w:top w:val="none" w:sz="0" w:space="0" w:color="auto"/>
        <w:left w:val="none" w:sz="0" w:space="0" w:color="auto"/>
        <w:bottom w:val="none" w:sz="0" w:space="0" w:color="auto"/>
        <w:right w:val="none" w:sz="0" w:space="0" w:color="auto"/>
      </w:divBdr>
    </w:div>
    <w:div w:id="483931876">
      <w:bodyDiv w:val="1"/>
      <w:marLeft w:val="0"/>
      <w:marRight w:val="0"/>
      <w:marTop w:val="0"/>
      <w:marBottom w:val="0"/>
      <w:divBdr>
        <w:top w:val="none" w:sz="0" w:space="0" w:color="auto"/>
        <w:left w:val="none" w:sz="0" w:space="0" w:color="auto"/>
        <w:bottom w:val="none" w:sz="0" w:space="0" w:color="auto"/>
        <w:right w:val="none" w:sz="0" w:space="0" w:color="auto"/>
      </w:divBdr>
    </w:div>
    <w:div w:id="522286071">
      <w:bodyDiv w:val="1"/>
      <w:marLeft w:val="0"/>
      <w:marRight w:val="0"/>
      <w:marTop w:val="0"/>
      <w:marBottom w:val="0"/>
      <w:divBdr>
        <w:top w:val="none" w:sz="0" w:space="0" w:color="auto"/>
        <w:left w:val="none" w:sz="0" w:space="0" w:color="auto"/>
        <w:bottom w:val="none" w:sz="0" w:space="0" w:color="auto"/>
        <w:right w:val="none" w:sz="0" w:space="0" w:color="auto"/>
      </w:divBdr>
    </w:div>
    <w:div w:id="530336176">
      <w:bodyDiv w:val="1"/>
      <w:marLeft w:val="0"/>
      <w:marRight w:val="0"/>
      <w:marTop w:val="0"/>
      <w:marBottom w:val="0"/>
      <w:divBdr>
        <w:top w:val="none" w:sz="0" w:space="0" w:color="auto"/>
        <w:left w:val="none" w:sz="0" w:space="0" w:color="auto"/>
        <w:bottom w:val="none" w:sz="0" w:space="0" w:color="auto"/>
        <w:right w:val="none" w:sz="0" w:space="0" w:color="auto"/>
      </w:divBdr>
    </w:div>
    <w:div w:id="535118486">
      <w:bodyDiv w:val="1"/>
      <w:marLeft w:val="0"/>
      <w:marRight w:val="0"/>
      <w:marTop w:val="0"/>
      <w:marBottom w:val="0"/>
      <w:divBdr>
        <w:top w:val="none" w:sz="0" w:space="0" w:color="auto"/>
        <w:left w:val="none" w:sz="0" w:space="0" w:color="auto"/>
        <w:bottom w:val="none" w:sz="0" w:space="0" w:color="auto"/>
        <w:right w:val="none" w:sz="0" w:space="0" w:color="auto"/>
      </w:divBdr>
    </w:div>
    <w:div w:id="561209693">
      <w:bodyDiv w:val="1"/>
      <w:marLeft w:val="0"/>
      <w:marRight w:val="0"/>
      <w:marTop w:val="0"/>
      <w:marBottom w:val="0"/>
      <w:divBdr>
        <w:top w:val="none" w:sz="0" w:space="0" w:color="auto"/>
        <w:left w:val="none" w:sz="0" w:space="0" w:color="auto"/>
        <w:bottom w:val="none" w:sz="0" w:space="0" w:color="auto"/>
        <w:right w:val="none" w:sz="0" w:space="0" w:color="auto"/>
      </w:divBdr>
    </w:div>
    <w:div w:id="591278930">
      <w:bodyDiv w:val="1"/>
      <w:marLeft w:val="0"/>
      <w:marRight w:val="0"/>
      <w:marTop w:val="0"/>
      <w:marBottom w:val="0"/>
      <w:divBdr>
        <w:top w:val="none" w:sz="0" w:space="0" w:color="auto"/>
        <w:left w:val="none" w:sz="0" w:space="0" w:color="auto"/>
        <w:bottom w:val="none" w:sz="0" w:space="0" w:color="auto"/>
        <w:right w:val="none" w:sz="0" w:space="0" w:color="auto"/>
      </w:divBdr>
    </w:div>
    <w:div w:id="602954160">
      <w:bodyDiv w:val="1"/>
      <w:marLeft w:val="0"/>
      <w:marRight w:val="0"/>
      <w:marTop w:val="0"/>
      <w:marBottom w:val="0"/>
      <w:divBdr>
        <w:top w:val="none" w:sz="0" w:space="0" w:color="auto"/>
        <w:left w:val="none" w:sz="0" w:space="0" w:color="auto"/>
        <w:bottom w:val="none" w:sz="0" w:space="0" w:color="auto"/>
        <w:right w:val="none" w:sz="0" w:space="0" w:color="auto"/>
      </w:divBdr>
      <w:divsChild>
        <w:div w:id="220675517">
          <w:marLeft w:val="0"/>
          <w:marRight w:val="0"/>
          <w:marTop w:val="0"/>
          <w:marBottom w:val="0"/>
          <w:divBdr>
            <w:top w:val="none" w:sz="0" w:space="0" w:color="auto"/>
            <w:left w:val="none" w:sz="0" w:space="0" w:color="auto"/>
            <w:bottom w:val="none" w:sz="0" w:space="0" w:color="auto"/>
            <w:right w:val="none" w:sz="0" w:space="0" w:color="auto"/>
          </w:divBdr>
          <w:divsChild>
            <w:div w:id="14916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1772">
      <w:bodyDiv w:val="1"/>
      <w:marLeft w:val="0"/>
      <w:marRight w:val="0"/>
      <w:marTop w:val="0"/>
      <w:marBottom w:val="0"/>
      <w:divBdr>
        <w:top w:val="none" w:sz="0" w:space="0" w:color="auto"/>
        <w:left w:val="none" w:sz="0" w:space="0" w:color="auto"/>
        <w:bottom w:val="none" w:sz="0" w:space="0" w:color="auto"/>
        <w:right w:val="none" w:sz="0" w:space="0" w:color="auto"/>
      </w:divBdr>
    </w:div>
    <w:div w:id="606737085">
      <w:bodyDiv w:val="1"/>
      <w:marLeft w:val="0"/>
      <w:marRight w:val="0"/>
      <w:marTop w:val="0"/>
      <w:marBottom w:val="0"/>
      <w:divBdr>
        <w:top w:val="none" w:sz="0" w:space="0" w:color="auto"/>
        <w:left w:val="none" w:sz="0" w:space="0" w:color="auto"/>
        <w:bottom w:val="none" w:sz="0" w:space="0" w:color="auto"/>
        <w:right w:val="none" w:sz="0" w:space="0" w:color="auto"/>
      </w:divBdr>
    </w:div>
    <w:div w:id="617563459">
      <w:bodyDiv w:val="1"/>
      <w:marLeft w:val="0"/>
      <w:marRight w:val="0"/>
      <w:marTop w:val="0"/>
      <w:marBottom w:val="0"/>
      <w:divBdr>
        <w:top w:val="none" w:sz="0" w:space="0" w:color="auto"/>
        <w:left w:val="none" w:sz="0" w:space="0" w:color="auto"/>
        <w:bottom w:val="none" w:sz="0" w:space="0" w:color="auto"/>
        <w:right w:val="none" w:sz="0" w:space="0" w:color="auto"/>
      </w:divBdr>
    </w:div>
    <w:div w:id="623272348">
      <w:bodyDiv w:val="1"/>
      <w:marLeft w:val="0"/>
      <w:marRight w:val="0"/>
      <w:marTop w:val="0"/>
      <w:marBottom w:val="0"/>
      <w:divBdr>
        <w:top w:val="none" w:sz="0" w:space="0" w:color="auto"/>
        <w:left w:val="none" w:sz="0" w:space="0" w:color="auto"/>
        <w:bottom w:val="none" w:sz="0" w:space="0" w:color="auto"/>
        <w:right w:val="none" w:sz="0" w:space="0" w:color="auto"/>
      </w:divBdr>
    </w:div>
    <w:div w:id="635797436">
      <w:bodyDiv w:val="1"/>
      <w:marLeft w:val="0"/>
      <w:marRight w:val="0"/>
      <w:marTop w:val="0"/>
      <w:marBottom w:val="0"/>
      <w:divBdr>
        <w:top w:val="none" w:sz="0" w:space="0" w:color="auto"/>
        <w:left w:val="none" w:sz="0" w:space="0" w:color="auto"/>
        <w:bottom w:val="none" w:sz="0" w:space="0" w:color="auto"/>
        <w:right w:val="none" w:sz="0" w:space="0" w:color="auto"/>
      </w:divBdr>
    </w:div>
    <w:div w:id="637958062">
      <w:bodyDiv w:val="1"/>
      <w:marLeft w:val="0"/>
      <w:marRight w:val="0"/>
      <w:marTop w:val="0"/>
      <w:marBottom w:val="0"/>
      <w:divBdr>
        <w:top w:val="none" w:sz="0" w:space="0" w:color="auto"/>
        <w:left w:val="none" w:sz="0" w:space="0" w:color="auto"/>
        <w:bottom w:val="none" w:sz="0" w:space="0" w:color="auto"/>
        <w:right w:val="none" w:sz="0" w:space="0" w:color="auto"/>
      </w:divBdr>
    </w:div>
    <w:div w:id="642588875">
      <w:bodyDiv w:val="1"/>
      <w:marLeft w:val="0"/>
      <w:marRight w:val="0"/>
      <w:marTop w:val="0"/>
      <w:marBottom w:val="0"/>
      <w:divBdr>
        <w:top w:val="none" w:sz="0" w:space="0" w:color="auto"/>
        <w:left w:val="none" w:sz="0" w:space="0" w:color="auto"/>
        <w:bottom w:val="none" w:sz="0" w:space="0" w:color="auto"/>
        <w:right w:val="none" w:sz="0" w:space="0" w:color="auto"/>
      </w:divBdr>
    </w:div>
    <w:div w:id="645624695">
      <w:bodyDiv w:val="1"/>
      <w:marLeft w:val="0"/>
      <w:marRight w:val="0"/>
      <w:marTop w:val="0"/>
      <w:marBottom w:val="0"/>
      <w:divBdr>
        <w:top w:val="none" w:sz="0" w:space="0" w:color="auto"/>
        <w:left w:val="none" w:sz="0" w:space="0" w:color="auto"/>
        <w:bottom w:val="none" w:sz="0" w:space="0" w:color="auto"/>
        <w:right w:val="none" w:sz="0" w:space="0" w:color="auto"/>
      </w:divBdr>
    </w:div>
    <w:div w:id="650404624">
      <w:bodyDiv w:val="1"/>
      <w:marLeft w:val="0"/>
      <w:marRight w:val="0"/>
      <w:marTop w:val="0"/>
      <w:marBottom w:val="0"/>
      <w:divBdr>
        <w:top w:val="none" w:sz="0" w:space="0" w:color="auto"/>
        <w:left w:val="none" w:sz="0" w:space="0" w:color="auto"/>
        <w:bottom w:val="none" w:sz="0" w:space="0" w:color="auto"/>
        <w:right w:val="none" w:sz="0" w:space="0" w:color="auto"/>
      </w:divBdr>
    </w:div>
    <w:div w:id="657660692">
      <w:bodyDiv w:val="1"/>
      <w:marLeft w:val="0"/>
      <w:marRight w:val="0"/>
      <w:marTop w:val="0"/>
      <w:marBottom w:val="0"/>
      <w:divBdr>
        <w:top w:val="none" w:sz="0" w:space="0" w:color="auto"/>
        <w:left w:val="none" w:sz="0" w:space="0" w:color="auto"/>
        <w:bottom w:val="none" w:sz="0" w:space="0" w:color="auto"/>
        <w:right w:val="none" w:sz="0" w:space="0" w:color="auto"/>
      </w:divBdr>
    </w:div>
    <w:div w:id="676424786">
      <w:bodyDiv w:val="1"/>
      <w:marLeft w:val="0"/>
      <w:marRight w:val="0"/>
      <w:marTop w:val="0"/>
      <w:marBottom w:val="0"/>
      <w:divBdr>
        <w:top w:val="none" w:sz="0" w:space="0" w:color="auto"/>
        <w:left w:val="none" w:sz="0" w:space="0" w:color="auto"/>
        <w:bottom w:val="none" w:sz="0" w:space="0" w:color="auto"/>
        <w:right w:val="none" w:sz="0" w:space="0" w:color="auto"/>
      </w:divBdr>
    </w:div>
    <w:div w:id="682393555">
      <w:bodyDiv w:val="1"/>
      <w:marLeft w:val="0"/>
      <w:marRight w:val="0"/>
      <w:marTop w:val="0"/>
      <w:marBottom w:val="0"/>
      <w:divBdr>
        <w:top w:val="none" w:sz="0" w:space="0" w:color="auto"/>
        <w:left w:val="none" w:sz="0" w:space="0" w:color="auto"/>
        <w:bottom w:val="none" w:sz="0" w:space="0" w:color="auto"/>
        <w:right w:val="none" w:sz="0" w:space="0" w:color="auto"/>
      </w:divBdr>
    </w:div>
    <w:div w:id="695232257">
      <w:bodyDiv w:val="1"/>
      <w:marLeft w:val="0"/>
      <w:marRight w:val="0"/>
      <w:marTop w:val="0"/>
      <w:marBottom w:val="0"/>
      <w:divBdr>
        <w:top w:val="none" w:sz="0" w:space="0" w:color="auto"/>
        <w:left w:val="none" w:sz="0" w:space="0" w:color="auto"/>
        <w:bottom w:val="none" w:sz="0" w:space="0" w:color="auto"/>
        <w:right w:val="none" w:sz="0" w:space="0" w:color="auto"/>
      </w:divBdr>
    </w:div>
    <w:div w:id="714086103">
      <w:bodyDiv w:val="1"/>
      <w:marLeft w:val="0"/>
      <w:marRight w:val="0"/>
      <w:marTop w:val="0"/>
      <w:marBottom w:val="0"/>
      <w:divBdr>
        <w:top w:val="none" w:sz="0" w:space="0" w:color="auto"/>
        <w:left w:val="none" w:sz="0" w:space="0" w:color="auto"/>
        <w:bottom w:val="none" w:sz="0" w:space="0" w:color="auto"/>
        <w:right w:val="none" w:sz="0" w:space="0" w:color="auto"/>
      </w:divBdr>
    </w:div>
    <w:div w:id="716322038">
      <w:bodyDiv w:val="1"/>
      <w:marLeft w:val="0"/>
      <w:marRight w:val="0"/>
      <w:marTop w:val="0"/>
      <w:marBottom w:val="0"/>
      <w:divBdr>
        <w:top w:val="none" w:sz="0" w:space="0" w:color="auto"/>
        <w:left w:val="none" w:sz="0" w:space="0" w:color="auto"/>
        <w:bottom w:val="none" w:sz="0" w:space="0" w:color="auto"/>
        <w:right w:val="none" w:sz="0" w:space="0" w:color="auto"/>
      </w:divBdr>
    </w:div>
    <w:div w:id="738361045">
      <w:bodyDiv w:val="1"/>
      <w:marLeft w:val="0"/>
      <w:marRight w:val="0"/>
      <w:marTop w:val="0"/>
      <w:marBottom w:val="0"/>
      <w:divBdr>
        <w:top w:val="none" w:sz="0" w:space="0" w:color="auto"/>
        <w:left w:val="none" w:sz="0" w:space="0" w:color="auto"/>
        <w:bottom w:val="none" w:sz="0" w:space="0" w:color="auto"/>
        <w:right w:val="none" w:sz="0" w:space="0" w:color="auto"/>
      </w:divBdr>
    </w:div>
    <w:div w:id="793452404">
      <w:bodyDiv w:val="1"/>
      <w:marLeft w:val="0"/>
      <w:marRight w:val="0"/>
      <w:marTop w:val="0"/>
      <w:marBottom w:val="0"/>
      <w:divBdr>
        <w:top w:val="none" w:sz="0" w:space="0" w:color="auto"/>
        <w:left w:val="none" w:sz="0" w:space="0" w:color="auto"/>
        <w:bottom w:val="none" w:sz="0" w:space="0" w:color="auto"/>
        <w:right w:val="none" w:sz="0" w:space="0" w:color="auto"/>
      </w:divBdr>
    </w:div>
    <w:div w:id="806239383">
      <w:bodyDiv w:val="1"/>
      <w:marLeft w:val="0"/>
      <w:marRight w:val="0"/>
      <w:marTop w:val="0"/>
      <w:marBottom w:val="0"/>
      <w:divBdr>
        <w:top w:val="none" w:sz="0" w:space="0" w:color="auto"/>
        <w:left w:val="none" w:sz="0" w:space="0" w:color="auto"/>
        <w:bottom w:val="none" w:sz="0" w:space="0" w:color="auto"/>
        <w:right w:val="none" w:sz="0" w:space="0" w:color="auto"/>
      </w:divBdr>
    </w:div>
    <w:div w:id="809057472">
      <w:bodyDiv w:val="1"/>
      <w:marLeft w:val="0"/>
      <w:marRight w:val="0"/>
      <w:marTop w:val="0"/>
      <w:marBottom w:val="0"/>
      <w:divBdr>
        <w:top w:val="none" w:sz="0" w:space="0" w:color="auto"/>
        <w:left w:val="none" w:sz="0" w:space="0" w:color="auto"/>
        <w:bottom w:val="none" w:sz="0" w:space="0" w:color="auto"/>
        <w:right w:val="none" w:sz="0" w:space="0" w:color="auto"/>
      </w:divBdr>
    </w:div>
    <w:div w:id="823666741">
      <w:bodyDiv w:val="1"/>
      <w:marLeft w:val="0"/>
      <w:marRight w:val="0"/>
      <w:marTop w:val="0"/>
      <w:marBottom w:val="0"/>
      <w:divBdr>
        <w:top w:val="none" w:sz="0" w:space="0" w:color="auto"/>
        <w:left w:val="none" w:sz="0" w:space="0" w:color="auto"/>
        <w:bottom w:val="none" w:sz="0" w:space="0" w:color="auto"/>
        <w:right w:val="none" w:sz="0" w:space="0" w:color="auto"/>
      </w:divBdr>
    </w:div>
    <w:div w:id="824472123">
      <w:bodyDiv w:val="1"/>
      <w:marLeft w:val="0"/>
      <w:marRight w:val="0"/>
      <w:marTop w:val="0"/>
      <w:marBottom w:val="0"/>
      <w:divBdr>
        <w:top w:val="none" w:sz="0" w:space="0" w:color="auto"/>
        <w:left w:val="none" w:sz="0" w:space="0" w:color="auto"/>
        <w:bottom w:val="none" w:sz="0" w:space="0" w:color="auto"/>
        <w:right w:val="none" w:sz="0" w:space="0" w:color="auto"/>
      </w:divBdr>
    </w:div>
    <w:div w:id="842008890">
      <w:bodyDiv w:val="1"/>
      <w:marLeft w:val="0"/>
      <w:marRight w:val="0"/>
      <w:marTop w:val="0"/>
      <w:marBottom w:val="0"/>
      <w:divBdr>
        <w:top w:val="none" w:sz="0" w:space="0" w:color="auto"/>
        <w:left w:val="none" w:sz="0" w:space="0" w:color="auto"/>
        <w:bottom w:val="none" w:sz="0" w:space="0" w:color="auto"/>
        <w:right w:val="none" w:sz="0" w:space="0" w:color="auto"/>
      </w:divBdr>
    </w:div>
    <w:div w:id="849611938">
      <w:bodyDiv w:val="1"/>
      <w:marLeft w:val="0"/>
      <w:marRight w:val="0"/>
      <w:marTop w:val="0"/>
      <w:marBottom w:val="0"/>
      <w:divBdr>
        <w:top w:val="none" w:sz="0" w:space="0" w:color="auto"/>
        <w:left w:val="none" w:sz="0" w:space="0" w:color="auto"/>
        <w:bottom w:val="none" w:sz="0" w:space="0" w:color="auto"/>
        <w:right w:val="none" w:sz="0" w:space="0" w:color="auto"/>
      </w:divBdr>
    </w:div>
    <w:div w:id="882134686">
      <w:bodyDiv w:val="1"/>
      <w:marLeft w:val="0"/>
      <w:marRight w:val="0"/>
      <w:marTop w:val="0"/>
      <w:marBottom w:val="0"/>
      <w:divBdr>
        <w:top w:val="none" w:sz="0" w:space="0" w:color="auto"/>
        <w:left w:val="none" w:sz="0" w:space="0" w:color="auto"/>
        <w:bottom w:val="none" w:sz="0" w:space="0" w:color="auto"/>
        <w:right w:val="none" w:sz="0" w:space="0" w:color="auto"/>
      </w:divBdr>
    </w:div>
    <w:div w:id="892932202">
      <w:bodyDiv w:val="1"/>
      <w:marLeft w:val="0"/>
      <w:marRight w:val="0"/>
      <w:marTop w:val="0"/>
      <w:marBottom w:val="0"/>
      <w:divBdr>
        <w:top w:val="none" w:sz="0" w:space="0" w:color="auto"/>
        <w:left w:val="none" w:sz="0" w:space="0" w:color="auto"/>
        <w:bottom w:val="none" w:sz="0" w:space="0" w:color="auto"/>
        <w:right w:val="none" w:sz="0" w:space="0" w:color="auto"/>
      </w:divBdr>
    </w:div>
    <w:div w:id="893079749">
      <w:bodyDiv w:val="1"/>
      <w:marLeft w:val="0"/>
      <w:marRight w:val="0"/>
      <w:marTop w:val="0"/>
      <w:marBottom w:val="0"/>
      <w:divBdr>
        <w:top w:val="none" w:sz="0" w:space="0" w:color="auto"/>
        <w:left w:val="none" w:sz="0" w:space="0" w:color="auto"/>
        <w:bottom w:val="none" w:sz="0" w:space="0" w:color="auto"/>
        <w:right w:val="none" w:sz="0" w:space="0" w:color="auto"/>
      </w:divBdr>
    </w:div>
    <w:div w:id="894657417">
      <w:bodyDiv w:val="1"/>
      <w:marLeft w:val="0"/>
      <w:marRight w:val="0"/>
      <w:marTop w:val="0"/>
      <w:marBottom w:val="0"/>
      <w:divBdr>
        <w:top w:val="none" w:sz="0" w:space="0" w:color="auto"/>
        <w:left w:val="none" w:sz="0" w:space="0" w:color="auto"/>
        <w:bottom w:val="none" w:sz="0" w:space="0" w:color="auto"/>
        <w:right w:val="none" w:sz="0" w:space="0" w:color="auto"/>
      </w:divBdr>
    </w:div>
    <w:div w:id="902645975">
      <w:bodyDiv w:val="1"/>
      <w:marLeft w:val="0"/>
      <w:marRight w:val="0"/>
      <w:marTop w:val="0"/>
      <w:marBottom w:val="0"/>
      <w:divBdr>
        <w:top w:val="none" w:sz="0" w:space="0" w:color="auto"/>
        <w:left w:val="none" w:sz="0" w:space="0" w:color="auto"/>
        <w:bottom w:val="none" w:sz="0" w:space="0" w:color="auto"/>
        <w:right w:val="none" w:sz="0" w:space="0" w:color="auto"/>
      </w:divBdr>
    </w:div>
    <w:div w:id="914558681">
      <w:bodyDiv w:val="1"/>
      <w:marLeft w:val="0"/>
      <w:marRight w:val="0"/>
      <w:marTop w:val="0"/>
      <w:marBottom w:val="0"/>
      <w:divBdr>
        <w:top w:val="none" w:sz="0" w:space="0" w:color="auto"/>
        <w:left w:val="none" w:sz="0" w:space="0" w:color="auto"/>
        <w:bottom w:val="none" w:sz="0" w:space="0" w:color="auto"/>
        <w:right w:val="none" w:sz="0" w:space="0" w:color="auto"/>
      </w:divBdr>
    </w:div>
    <w:div w:id="919216593">
      <w:bodyDiv w:val="1"/>
      <w:marLeft w:val="0"/>
      <w:marRight w:val="0"/>
      <w:marTop w:val="0"/>
      <w:marBottom w:val="0"/>
      <w:divBdr>
        <w:top w:val="none" w:sz="0" w:space="0" w:color="auto"/>
        <w:left w:val="none" w:sz="0" w:space="0" w:color="auto"/>
        <w:bottom w:val="none" w:sz="0" w:space="0" w:color="auto"/>
        <w:right w:val="none" w:sz="0" w:space="0" w:color="auto"/>
      </w:divBdr>
    </w:div>
    <w:div w:id="924188859">
      <w:bodyDiv w:val="1"/>
      <w:marLeft w:val="0"/>
      <w:marRight w:val="0"/>
      <w:marTop w:val="0"/>
      <w:marBottom w:val="0"/>
      <w:divBdr>
        <w:top w:val="none" w:sz="0" w:space="0" w:color="auto"/>
        <w:left w:val="none" w:sz="0" w:space="0" w:color="auto"/>
        <w:bottom w:val="none" w:sz="0" w:space="0" w:color="auto"/>
        <w:right w:val="none" w:sz="0" w:space="0" w:color="auto"/>
      </w:divBdr>
    </w:div>
    <w:div w:id="925386555">
      <w:bodyDiv w:val="1"/>
      <w:marLeft w:val="0"/>
      <w:marRight w:val="0"/>
      <w:marTop w:val="0"/>
      <w:marBottom w:val="0"/>
      <w:divBdr>
        <w:top w:val="none" w:sz="0" w:space="0" w:color="auto"/>
        <w:left w:val="none" w:sz="0" w:space="0" w:color="auto"/>
        <w:bottom w:val="none" w:sz="0" w:space="0" w:color="auto"/>
        <w:right w:val="none" w:sz="0" w:space="0" w:color="auto"/>
      </w:divBdr>
    </w:div>
    <w:div w:id="932589310">
      <w:bodyDiv w:val="1"/>
      <w:marLeft w:val="0"/>
      <w:marRight w:val="0"/>
      <w:marTop w:val="0"/>
      <w:marBottom w:val="0"/>
      <w:divBdr>
        <w:top w:val="none" w:sz="0" w:space="0" w:color="auto"/>
        <w:left w:val="none" w:sz="0" w:space="0" w:color="auto"/>
        <w:bottom w:val="none" w:sz="0" w:space="0" w:color="auto"/>
        <w:right w:val="none" w:sz="0" w:space="0" w:color="auto"/>
      </w:divBdr>
    </w:div>
    <w:div w:id="935869743">
      <w:bodyDiv w:val="1"/>
      <w:marLeft w:val="0"/>
      <w:marRight w:val="0"/>
      <w:marTop w:val="0"/>
      <w:marBottom w:val="0"/>
      <w:divBdr>
        <w:top w:val="none" w:sz="0" w:space="0" w:color="auto"/>
        <w:left w:val="none" w:sz="0" w:space="0" w:color="auto"/>
        <w:bottom w:val="none" w:sz="0" w:space="0" w:color="auto"/>
        <w:right w:val="none" w:sz="0" w:space="0" w:color="auto"/>
      </w:divBdr>
    </w:div>
    <w:div w:id="939794317">
      <w:bodyDiv w:val="1"/>
      <w:marLeft w:val="0"/>
      <w:marRight w:val="0"/>
      <w:marTop w:val="0"/>
      <w:marBottom w:val="0"/>
      <w:divBdr>
        <w:top w:val="none" w:sz="0" w:space="0" w:color="auto"/>
        <w:left w:val="none" w:sz="0" w:space="0" w:color="auto"/>
        <w:bottom w:val="none" w:sz="0" w:space="0" w:color="auto"/>
        <w:right w:val="none" w:sz="0" w:space="0" w:color="auto"/>
      </w:divBdr>
    </w:div>
    <w:div w:id="958412863">
      <w:bodyDiv w:val="1"/>
      <w:marLeft w:val="0"/>
      <w:marRight w:val="0"/>
      <w:marTop w:val="0"/>
      <w:marBottom w:val="0"/>
      <w:divBdr>
        <w:top w:val="none" w:sz="0" w:space="0" w:color="auto"/>
        <w:left w:val="none" w:sz="0" w:space="0" w:color="auto"/>
        <w:bottom w:val="none" w:sz="0" w:space="0" w:color="auto"/>
        <w:right w:val="none" w:sz="0" w:space="0" w:color="auto"/>
      </w:divBdr>
    </w:div>
    <w:div w:id="959066734">
      <w:bodyDiv w:val="1"/>
      <w:marLeft w:val="0"/>
      <w:marRight w:val="0"/>
      <w:marTop w:val="0"/>
      <w:marBottom w:val="0"/>
      <w:divBdr>
        <w:top w:val="none" w:sz="0" w:space="0" w:color="auto"/>
        <w:left w:val="none" w:sz="0" w:space="0" w:color="auto"/>
        <w:bottom w:val="none" w:sz="0" w:space="0" w:color="auto"/>
        <w:right w:val="none" w:sz="0" w:space="0" w:color="auto"/>
      </w:divBdr>
    </w:div>
    <w:div w:id="959265612">
      <w:bodyDiv w:val="1"/>
      <w:marLeft w:val="0"/>
      <w:marRight w:val="0"/>
      <w:marTop w:val="0"/>
      <w:marBottom w:val="0"/>
      <w:divBdr>
        <w:top w:val="none" w:sz="0" w:space="0" w:color="auto"/>
        <w:left w:val="none" w:sz="0" w:space="0" w:color="auto"/>
        <w:bottom w:val="none" w:sz="0" w:space="0" w:color="auto"/>
        <w:right w:val="none" w:sz="0" w:space="0" w:color="auto"/>
      </w:divBdr>
    </w:div>
    <w:div w:id="970205828">
      <w:bodyDiv w:val="1"/>
      <w:marLeft w:val="0"/>
      <w:marRight w:val="0"/>
      <w:marTop w:val="0"/>
      <w:marBottom w:val="0"/>
      <w:divBdr>
        <w:top w:val="none" w:sz="0" w:space="0" w:color="auto"/>
        <w:left w:val="none" w:sz="0" w:space="0" w:color="auto"/>
        <w:bottom w:val="none" w:sz="0" w:space="0" w:color="auto"/>
        <w:right w:val="none" w:sz="0" w:space="0" w:color="auto"/>
      </w:divBdr>
    </w:div>
    <w:div w:id="975332014">
      <w:bodyDiv w:val="1"/>
      <w:marLeft w:val="0"/>
      <w:marRight w:val="0"/>
      <w:marTop w:val="0"/>
      <w:marBottom w:val="0"/>
      <w:divBdr>
        <w:top w:val="none" w:sz="0" w:space="0" w:color="auto"/>
        <w:left w:val="none" w:sz="0" w:space="0" w:color="auto"/>
        <w:bottom w:val="none" w:sz="0" w:space="0" w:color="auto"/>
        <w:right w:val="none" w:sz="0" w:space="0" w:color="auto"/>
      </w:divBdr>
    </w:div>
    <w:div w:id="980428795">
      <w:bodyDiv w:val="1"/>
      <w:marLeft w:val="0"/>
      <w:marRight w:val="0"/>
      <w:marTop w:val="0"/>
      <w:marBottom w:val="0"/>
      <w:divBdr>
        <w:top w:val="none" w:sz="0" w:space="0" w:color="auto"/>
        <w:left w:val="none" w:sz="0" w:space="0" w:color="auto"/>
        <w:bottom w:val="none" w:sz="0" w:space="0" w:color="auto"/>
        <w:right w:val="none" w:sz="0" w:space="0" w:color="auto"/>
      </w:divBdr>
    </w:div>
    <w:div w:id="981158292">
      <w:bodyDiv w:val="1"/>
      <w:marLeft w:val="0"/>
      <w:marRight w:val="0"/>
      <w:marTop w:val="0"/>
      <w:marBottom w:val="0"/>
      <w:divBdr>
        <w:top w:val="none" w:sz="0" w:space="0" w:color="auto"/>
        <w:left w:val="none" w:sz="0" w:space="0" w:color="auto"/>
        <w:bottom w:val="none" w:sz="0" w:space="0" w:color="auto"/>
        <w:right w:val="none" w:sz="0" w:space="0" w:color="auto"/>
      </w:divBdr>
    </w:div>
    <w:div w:id="989401752">
      <w:bodyDiv w:val="1"/>
      <w:marLeft w:val="0"/>
      <w:marRight w:val="0"/>
      <w:marTop w:val="0"/>
      <w:marBottom w:val="0"/>
      <w:divBdr>
        <w:top w:val="none" w:sz="0" w:space="0" w:color="auto"/>
        <w:left w:val="none" w:sz="0" w:space="0" w:color="auto"/>
        <w:bottom w:val="none" w:sz="0" w:space="0" w:color="auto"/>
        <w:right w:val="none" w:sz="0" w:space="0" w:color="auto"/>
      </w:divBdr>
    </w:div>
    <w:div w:id="989790251">
      <w:bodyDiv w:val="1"/>
      <w:marLeft w:val="0"/>
      <w:marRight w:val="0"/>
      <w:marTop w:val="0"/>
      <w:marBottom w:val="0"/>
      <w:divBdr>
        <w:top w:val="none" w:sz="0" w:space="0" w:color="auto"/>
        <w:left w:val="none" w:sz="0" w:space="0" w:color="auto"/>
        <w:bottom w:val="none" w:sz="0" w:space="0" w:color="auto"/>
        <w:right w:val="none" w:sz="0" w:space="0" w:color="auto"/>
      </w:divBdr>
    </w:div>
    <w:div w:id="989945300">
      <w:bodyDiv w:val="1"/>
      <w:marLeft w:val="0"/>
      <w:marRight w:val="0"/>
      <w:marTop w:val="0"/>
      <w:marBottom w:val="0"/>
      <w:divBdr>
        <w:top w:val="none" w:sz="0" w:space="0" w:color="auto"/>
        <w:left w:val="none" w:sz="0" w:space="0" w:color="auto"/>
        <w:bottom w:val="none" w:sz="0" w:space="0" w:color="auto"/>
        <w:right w:val="none" w:sz="0" w:space="0" w:color="auto"/>
      </w:divBdr>
    </w:div>
    <w:div w:id="993727086">
      <w:bodyDiv w:val="1"/>
      <w:marLeft w:val="0"/>
      <w:marRight w:val="0"/>
      <w:marTop w:val="0"/>
      <w:marBottom w:val="0"/>
      <w:divBdr>
        <w:top w:val="none" w:sz="0" w:space="0" w:color="auto"/>
        <w:left w:val="none" w:sz="0" w:space="0" w:color="auto"/>
        <w:bottom w:val="none" w:sz="0" w:space="0" w:color="auto"/>
        <w:right w:val="none" w:sz="0" w:space="0" w:color="auto"/>
      </w:divBdr>
    </w:div>
    <w:div w:id="994264220">
      <w:bodyDiv w:val="1"/>
      <w:marLeft w:val="0"/>
      <w:marRight w:val="0"/>
      <w:marTop w:val="0"/>
      <w:marBottom w:val="0"/>
      <w:divBdr>
        <w:top w:val="none" w:sz="0" w:space="0" w:color="auto"/>
        <w:left w:val="none" w:sz="0" w:space="0" w:color="auto"/>
        <w:bottom w:val="none" w:sz="0" w:space="0" w:color="auto"/>
        <w:right w:val="none" w:sz="0" w:space="0" w:color="auto"/>
      </w:divBdr>
    </w:div>
    <w:div w:id="1033262613">
      <w:bodyDiv w:val="1"/>
      <w:marLeft w:val="0"/>
      <w:marRight w:val="0"/>
      <w:marTop w:val="0"/>
      <w:marBottom w:val="0"/>
      <w:divBdr>
        <w:top w:val="none" w:sz="0" w:space="0" w:color="auto"/>
        <w:left w:val="none" w:sz="0" w:space="0" w:color="auto"/>
        <w:bottom w:val="none" w:sz="0" w:space="0" w:color="auto"/>
        <w:right w:val="none" w:sz="0" w:space="0" w:color="auto"/>
      </w:divBdr>
    </w:div>
    <w:div w:id="1056393893">
      <w:bodyDiv w:val="1"/>
      <w:marLeft w:val="0"/>
      <w:marRight w:val="0"/>
      <w:marTop w:val="0"/>
      <w:marBottom w:val="0"/>
      <w:divBdr>
        <w:top w:val="none" w:sz="0" w:space="0" w:color="auto"/>
        <w:left w:val="none" w:sz="0" w:space="0" w:color="auto"/>
        <w:bottom w:val="none" w:sz="0" w:space="0" w:color="auto"/>
        <w:right w:val="none" w:sz="0" w:space="0" w:color="auto"/>
      </w:divBdr>
    </w:div>
    <w:div w:id="1060129131">
      <w:bodyDiv w:val="1"/>
      <w:marLeft w:val="0"/>
      <w:marRight w:val="0"/>
      <w:marTop w:val="0"/>
      <w:marBottom w:val="0"/>
      <w:divBdr>
        <w:top w:val="none" w:sz="0" w:space="0" w:color="auto"/>
        <w:left w:val="none" w:sz="0" w:space="0" w:color="auto"/>
        <w:bottom w:val="none" w:sz="0" w:space="0" w:color="auto"/>
        <w:right w:val="none" w:sz="0" w:space="0" w:color="auto"/>
      </w:divBdr>
    </w:div>
    <w:div w:id="1065378725">
      <w:bodyDiv w:val="1"/>
      <w:marLeft w:val="0"/>
      <w:marRight w:val="0"/>
      <w:marTop w:val="0"/>
      <w:marBottom w:val="0"/>
      <w:divBdr>
        <w:top w:val="none" w:sz="0" w:space="0" w:color="auto"/>
        <w:left w:val="none" w:sz="0" w:space="0" w:color="auto"/>
        <w:bottom w:val="none" w:sz="0" w:space="0" w:color="auto"/>
        <w:right w:val="none" w:sz="0" w:space="0" w:color="auto"/>
      </w:divBdr>
    </w:div>
    <w:div w:id="1076587690">
      <w:bodyDiv w:val="1"/>
      <w:marLeft w:val="0"/>
      <w:marRight w:val="0"/>
      <w:marTop w:val="0"/>
      <w:marBottom w:val="0"/>
      <w:divBdr>
        <w:top w:val="none" w:sz="0" w:space="0" w:color="auto"/>
        <w:left w:val="none" w:sz="0" w:space="0" w:color="auto"/>
        <w:bottom w:val="none" w:sz="0" w:space="0" w:color="auto"/>
        <w:right w:val="none" w:sz="0" w:space="0" w:color="auto"/>
      </w:divBdr>
    </w:div>
    <w:div w:id="1085420302">
      <w:bodyDiv w:val="1"/>
      <w:marLeft w:val="0"/>
      <w:marRight w:val="0"/>
      <w:marTop w:val="0"/>
      <w:marBottom w:val="0"/>
      <w:divBdr>
        <w:top w:val="none" w:sz="0" w:space="0" w:color="auto"/>
        <w:left w:val="none" w:sz="0" w:space="0" w:color="auto"/>
        <w:bottom w:val="none" w:sz="0" w:space="0" w:color="auto"/>
        <w:right w:val="none" w:sz="0" w:space="0" w:color="auto"/>
      </w:divBdr>
    </w:div>
    <w:div w:id="1086144957">
      <w:bodyDiv w:val="1"/>
      <w:marLeft w:val="0"/>
      <w:marRight w:val="0"/>
      <w:marTop w:val="0"/>
      <w:marBottom w:val="0"/>
      <w:divBdr>
        <w:top w:val="none" w:sz="0" w:space="0" w:color="auto"/>
        <w:left w:val="none" w:sz="0" w:space="0" w:color="auto"/>
        <w:bottom w:val="none" w:sz="0" w:space="0" w:color="auto"/>
        <w:right w:val="none" w:sz="0" w:space="0" w:color="auto"/>
      </w:divBdr>
    </w:div>
    <w:div w:id="1130169457">
      <w:bodyDiv w:val="1"/>
      <w:marLeft w:val="0"/>
      <w:marRight w:val="0"/>
      <w:marTop w:val="0"/>
      <w:marBottom w:val="0"/>
      <w:divBdr>
        <w:top w:val="none" w:sz="0" w:space="0" w:color="auto"/>
        <w:left w:val="none" w:sz="0" w:space="0" w:color="auto"/>
        <w:bottom w:val="none" w:sz="0" w:space="0" w:color="auto"/>
        <w:right w:val="none" w:sz="0" w:space="0" w:color="auto"/>
      </w:divBdr>
    </w:div>
    <w:div w:id="1149785604">
      <w:bodyDiv w:val="1"/>
      <w:marLeft w:val="0"/>
      <w:marRight w:val="0"/>
      <w:marTop w:val="0"/>
      <w:marBottom w:val="0"/>
      <w:divBdr>
        <w:top w:val="none" w:sz="0" w:space="0" w:color="auto"/>
        <w:left w:val="none" w:sz="0" w:space="0" w:color="auto"/>
        <w:bottom w:val="none" w:sz="0" w:space="0" w:color="auto"/>
        <w:right w:val="none" w:sz="0" w:space="0" w:color="auto"/>
      </w:divBdr>
    </w:div>
    <w:div w:id="1153834967">
      <w:bodyDiv w:val="1"/>
      <w:marLeft w:val="0"/>
      <w:marRight w:val="0"/>
      <w:marTop w:val="0"/>
      <w:marBottom w:val="0"/>
      <w:divBdr>
        <w:top w:val="none" w:sz="0" w:space="0" w:color="auto"/>
        <w:left w:val="none" w:sz="0" w:space="0" w:color="auto"/>
        <w:bottom w:val="none" w:sz="0" w:space="0" w:color="auto"/>
        <w:right w:val="none" w:sz="0" w:space="0" w:color="auto"/>
      </w:divBdr>
    </w:div>
    <w:div w:id="1165433717">
      <w:bodyDiv w:val="1"/>
      <w:marLeft w:val="0"/>
      <w:marRight w:val="0"/>
      <w:marTop w:val="0"/>
      <w:marBottom w:val="0"/>
      <w:divBdr>
        <w:top w:val="none" w:sz="0" w:space="0" w:color="auto"/>
        <w:left w:val="none" w:sz="0" w:space="0" w:color="auto"/>
        <w:bottom w:val="none" w:sz="0" w:space="0" w:color="auto"/>
        <w:right w:val="none" w:sz="0" w:space="0" w:color="auto"/>
      </w:divBdr>
    </w:div>
    <w:div w:id="1169711725">
      <w:bodyDiv w:val="1"/>
      <w:marLeft w:val="0"/>
      <w:marRight w:val="0"/>
      <w:marTop w:val="0"/>
      <w:marBottom w:val="0"/>
      <w:divBdr>
        <w:top w:val="none" w:sz="0" w:space="0" w:color="auto"/>
        <w:left w:val="none" w:sz="0" w:space="0" w:color="auto"/>
        <w:bottom w:val="none" w:sz="0" w:space="0" w:color="auto"/>
        <w:right w:val="none" w:sz="0" w:space="0" w:color="auto"/>
      </w:divBdr>
    </w:div>
    <w:div w:id="1176503683">
      <w:bodyDiv w:val="1"/>
      <w:marLeft w:val="0"/>
      <w:marRight w:val="0"/>
      <w:marTop w:val="0"/>
      <w:marBottom w:val="0"/>
      <w:divBdr>
        <w:top w:val="none" w:sz="0" w:space="0" w:color="auto"/>
        <w:left w:val="none" w:sz="0" w:space="0" w:color="auto"/>
        <w:bottom w:val="none" w:sz="0" w:space="0" w:color="auto"/>
        <w:right w:val="none" w:sz="0" w:space="0" w:color="auto"/>
      </w:divBdr>
    </w:div>
    <w:div w:id="1183469337">
      <w:bodyDiv w:val="1"/>
      <w:marLeft w:val="0"/>
      <w:marRight w:val="0"/>
      <w:marTop w:val="0"/>
      <w:marBottom w:val="0"/>
      <w:divBdr>
        <w:top w:val="none" w:sz="0" w:space="0" w:color="auto"/>
        <w:left w:val="none" w:sz="0" w:space="0" w:color="auto"/>
        <w:bottom w:val="none" w:sz="0" w:space="0" w:color="auto"/>
        <w:right w:val="none" w:sz="0" w:space="0" w:color="auto"/>
      </w:divBdr>
    </w:div>
    <w:div w:id="1209873482">
      <w:bodyDiv w:val="1"/>
      <w:marLeft w:val="0"/>
      <w:marRight w:val="0"/>
      <w:marTop w:val="0"/>
      <w:marBottom w:val="0"/>
      <w:divBdr>
        <w:top w:val="none" w:sz="0" w:space="0" w:color="auto"/>
        <w:left w:val="none" w:sz="0" w:space="0" w:color="auto"/>
        <w:bottom w:val="none" w:sz="0" w:space="0" w:color="auto"/>
        <w:right w:val="none" w:sz="0" w:space="0" w:color="auto"/>
      </w:divBdr>
    </w:div>
    <w:div w:id="1220441522">
      <w:bodyDiv w:val="1"/>
      <w:marLeft w:val="0"/>
      <w:marRight w:val="0"/>
      <w:marTop w:val="0"/>
      <w:marBottom w:val="0"/>
      <w:divBdr>
        <w:top w:val="none" w:sz="0" w:space="0" w:color="auto"/>
        <w:left w:val="none" w:sz="0" w:space="0" w:color="auto"/>
        <w:bottom w:val="none" w:sz="0" w:space="0" w:color="auto"/>
        <w:right w:val="none" w:sz="0" w:space="0" w:color="auto"/>
      </w:divBdr>
    </w:div>
    <w:div w:id="1221748216">
      <w:bodyDiv w:val="1"/>
      <w:marLeft w:val="0"/>
      <w:marRight w:val="0"/>
      <w:marTop w:val="0"/>
      <w:marBottom w:val="0"/>
      <w:divBdr>
        <w:top w:val="none" w:sz="0" w:space="0" w:color="auto"/>
        <w:left w:val="none" w:sz="0" w:space="0" w:color="auto"/>
        <w:bottom w:val="none" w:sz="0" w:space="0" w:color="auto"/>
        <w:right w:val="none" w:sz="0" w:space="0" w:color="auto"/>
      </w:divBdr>
    </w:div>
    <w:div w:id="1222596995">
      <w:bodyDiv w:val="1"/>
      <w:marLeft w:val="0"/>
      <w:marRight w:val="0"/>
      <w:marTop w:val="0"/>
      <w:marBottom w:val="0"/>
      <w:divBdr>
        <w:top w:val="none" w:sz="0" w:space="0" w:color="auto"/>
        <w:left w:val="none" w:sz="0" w:space="0" w:color="auto"/>
        <w:bottom w:val="none" w:sz="0" w:space="0" w:color="auto"/>
        <w:right w:val="none" w:sz="0" w:space="0" w:color="auto"/>
      </w:divBdr>
    </w:div>
    <w:div w:id="1224288819">
      <w:bodyDiv w:val="1"/>
      <w:marLeft w:val="0"/>
      <w:marRight w:val="0"/>
      <w:marTop w:val="0"/>
      <w:marBottom w:val="0"/>
      <w:divBdr>
        <w:top w:val="none" w:sz="0" w:space="0" w:color="auto"/>
        <w:left w:val="none" w:sz="0" w:space="0" w:color="auto"/>
        <w:bottom w:val="none" w:sz="0" w:space="0" w:color="auto"/>
        <w:right w:val="none" w:sz="0" w:space="0" w:color="auto"/>
      </w:divBdr>
    </w:div>
    <w:div w:id="1228301597">
      <w:bodyDiv w:val="1"/>
      <w:marLeft w:val="0"/>
      <w:marRight w:val="0"/>
      <w:marTop w:val="0"/>
      <w:marBottom w:val="0"/>
      <w:divBdr>
        <w:top w:val="none" w:sz="0" w:space="0" w:color="auto"/>
        <w:left w:val="none" w:sz="0" w:space="0" w:color="auto"/>
        <w:bottom w:val="none" w:sz="0" w:space="0" w:color="auto"/>
        <w:right w:val="none" w:sz="0" w:space="0" w:color="auto"/>
      </w:divBdr>
    </w:div>
    <w:div w:id="1230119760">
      <w:bodyDiv w:val="1"/>
      <w:marLeft w:val="0"/>
      <w:marRight w:val="0"/>
      <w:marTop w:val="0"/>
      <w:marBottom w:val="0"/>
      <w:divBdr>
        <w:top w:val="none" w:sz="0" w:space="0" w:color="auto"/>
        <w:left w:val="none" w:sz="0" w:space="0" w:color="auto"/>
        <w:bottom w:val="none" w:sz="0" w:space="0" w:color="auto"/>
        <w:right w:val="none" w:sz="0" w:space="0" w:color="auto"/>
      </w:divBdr>
    </w:div>
    <w:div w:id="1240945422">
      <w:bodyDiv w:val="1"/>
      <w:marLeft w:val="0"/>
      <w:marRight w:val="0"/>
      <w:marTop w:val="0"/>
      <w:marBottom w:val="0"/>
      <w:divBdr>
        <w:top w:val="none" w:sz="0" w:space="0" w:color="auto"/>
        <w:left w:val="none" w:sz="0" w:space="0" w:color="auto"/>
        <w:bottom w:val="none" w:sz="0" w:space="0" w:color="auto"/>
        <w:right w:val="none" w:sz="0" w:space="0" w:color="auto"/>
      </w:divBdr>
    </w:div>
    <w:div w:id="1242913895">
      <w:bodyDiv w:val="1"/>
      <w:marLeft w:val="0"/>
      <w:marRight w:val="0"/>
      <w:marTop w:val="0"/>
      <w:marBottom w:val="0"/>
      <w:divBdr>
        <w:top w:val="none" w:sz="0" w:space="0" w:color="auto"/>
        <w:left w:val="none" w:sz="0" w:space="0" w:color="auto"/>
        <w:bottom w:val="none" w:sz="0" w:space="0" w:color="auto"/>
        <w:right w:val="none" w:sz="0" w:space="0" w:color="auto"/>
      </w:divBdr>
    </w:div>
    <w:div w:id="1252158101">
      <w:bodyDiv w:val="1"/>
      <w:marLeft w:val="0"/>
      <w:marRight w:val="0"/>
      <w:marTop w:val="0"/>
      <w:marBottom w:val="0"/>
      <w:divBdr>
        <w:top w:val="none" w:sz="0" w:space="0" w:color="auto"/>
        <w:left w:val="none" w:sz="0" w:space="0" w:color="auto"/>
        <w:bottom w:val="none" w:sz="0" w:space="0" w:color="auto"/>
        <w:right w:val="none" w:sz="0" w:space="0" w:color="auto"/>
      </w:divBdr>
    </w:div>
    <w:div w:id="1256746623">
      <w:bodyDiv w:val="1"/>
      <w:marLeft w:val="0"/>
      <w:marRight w:val="0"/>
      <w:marTop w:val="0"/>
      <w:marBottom w:val="0"/>
      <w:divBdr>
        <w:top w:val="none" w:sz="0" w:space="0" w:color="auto"/>
        <w:left w:val="none" w:sz="0" w:space="0" w:color="auto"/>
        <w:bottom w:val="none" w:sz="0" w:space="0" w:color="auto"/>
        <w:right w:val="none" w:sz="0" w:space="0" w:color="auto"/>
      </w:divBdr>
    </w:div>
    <w:div w:id="1258440130">
      <w:bodyDiv w:val="1"/>
      <w:marLeft w:val="0"/>
      <w:marRight w:val="0"/>
      <w:marTop w:val="0"/>
      <w:marBottom w:val="0"/>
      <w:divBdr>
        <w:top w:val="none" w:sz="0" w:space="0" w:color="auto"/>
        <w:left w:val="none" w:sz="0" w:space="0" w:color="auto"/>
        <w:bottom w:val="none" w:sz="0" w:space="0" w:color="auto"/>
        <w:right w:val="none" w:sz="0" w:space="0" w:color="auto"/>
      </w:divBdr>
    </w:div>
    <w:div w:id="1259364126">
      <w:bodyDiv w:val="1"/>
      <w:marLeft w:val="0"/>
      <w:marRight w:val="0"/>
      <w:marTop w:val="0"/>
      <w:marBottom w:val="0"/>
      <w:divBdr>
        <w:top w:val="none" w:sz="0" w:space="0" w:color="auto"/>
        <w:left w:val="none" w:sz="0" w:space="0" w:color="auto"/>
        <w:bottom w:val="none" w:sz="0" w:space="0" w:color="auto"/>
        <w:right w:val="none" w:sz="0" w:space="0" w:color="auto"/>
      </w:divBdr>
    </w:div>
    <w:div w:id="1280180432">
      <w:bodyDiv w:val="1"/>
      <w:marLeft w:val="0"/>
      <w:marRight w:val="0"/>
      <w:marTop w:val="0"/>
      <w:marBottom w:val="0"/>
      <w:divBdr>
        <w:top w:val="none" w:sz="0" w:space="0" w:color="auto"/>
        <w:left w:val="none" w:sz="0" w:space="0" w:color="auto"/>
        <w:bottom w:val="none" w:sz="0" w:space="0" w:color="auto"/>
        <w:right w:val="none" w:sz="0" w:space="0" w:color="auto"/>
      </w:divBdr>
    </w:div>
    <w:div w:id="1286736301">
      <w:bodyDiv w:val="1"/>
      <w:marLeft w:val="0"/>
      <w:marRight w:val="0"/>
      <w:marTop w:val="0"/>
      <w:marBottom w:val="0"/>
      <w:divBdr>
        <w:top w:val="none" w:sz="0" w:space="0" w:color="auto"/>
        <w:left w:val="none" w:sz="0" w:space="0" w:color="auto"/>
        <w:bottom w:val="none" w:sz="0" w:space="0" w:color="auto"/>
        <w:right w:val="none" w:sz="0" w:space="0" w:color="auto"/>
      </w:divBdr>
    </w:div>
    <w:div w:id="1287931915">
      <w:bodyDiv w:val="1"/>
      <w:marLeft w:val="0"/>
      <w:marRight w:val="0"/>
      <w:marTop w:val="0"/>
      <w:marBottom w:val="0"/>
      <w:divBdr>
        <w:top w:val="none" w:sz="0" w:space="0" w:color="auto"/>
        <w:left w:val="none" w:sz="0" w:space="0" w:color="auto"/>
        <w:bottom w:val="none" w:sz="0" w:space="0" w:color="auto"/>
        <w:right w:val="none" w:sz="0" w:space="0" w:color="auto"/>
      </w:divBdr>
    </w:div>
    <w:div w:id="1300451786">
      <w:bodyDiv w:val="1"/>
      <w:marLeft w:val="0"/>
      <w:marRight w:val="0"/>
      <w:marTop w:val="0"/>
      <w:marBottom w:val="0"/>
      <w:divBdr>
        <w:top w:val="none" w:sz="0" w:space="0" w:color="auto"/>
        <w:left w:val="none" w:sz="0" w:space="0" w:color="auto"/>
        <w:bottom w:val="none" w:sz="0" w:space="0" w:color="auto"/>
        <w:right w:val="none" w:sz="0" w:space="0" w:color="auto"/>
      </w:divBdr>
    </w:div>
    <w:div w:id="1319384666">
      <w:bodyDiv w:val="1"/>
      <w:marLeft w:val="0"/>
      <w:marRight w:val="0"/>
      <w:marTop w:val="0"/>
      <w:marBottom w:val="0"/>
      <w:divBdr>
        <w:top w:val="none" w:sz="0" w:space="0" w:color="auto"/>
        <w:left w:val="none" w:sz="0" w:space="0" w:color="auto"/>
        <w:bottom w:val="none" w:sz="0" w:space="0" w:color="auto"/>
        <w:right w:val="none" w:sz="0" w:space="0" w:color="auto"/>
      </w:divBdr>
    </w:div>
    <w:div w:id="1326325289">
      <w:bodyDiv w:val="1"/>
      <w:marLeft w:val="0"/>
      <w:marRight w:val="0"/>
      <w:marTop w:val="0"/>
      <w:marBottom w:val="0"/>
      <w:divBdr>
        <w:top w:val="none" w:sz="0" w:space="0" w:color="auto"/>
        <w:left w:val="none" w:sz="0" w:space="0" w:color="auto"/>
        <w:bottom w:val="none" w:sz="0" w:space="0" w:color="auto"/>
        <w:right w:val="none" w:sz="0" w:space="0" w:color="auto"/>
      </w:divBdr>
    </w:div>
    <w:div w:id="1333296783">
      <w:bodyDiv w:val="1"/>
      <w:marLeft w:val="0"/>
      <w:marRight w:val="0"/>
      <w:marTop w:val="0"/>
      <w:marBottom w:val="0"/>
      <w:divBdr>
        <w:top w:val="none" w:sz="0" w:space="0" w:color="auto"/>
        <w:left w:val="none" w:sz="0" w:space="0" w:color="auto"/>
        <w:bottom w:val="none" w:sz="0" w:space="0" w:color="auto"/>
        <w:right w:val="none" w:sz="0" w:space="0" w:color="auto"/>
      </w:divBdr>
    </w:div>
    <w:div w:id="1334380396">
      <w:bodyDiv w:val="1"/>
      <w:marLeft w:val="0"/>
      <w:marRight w:val="0"/>
      <w:marTop w:val="0"/>
      <w:marBottom w:val="0"/>
      <w:divBdr>
        <w:top w:val="none" w:sz="0" w:space="0" w:color="auto"/>
        <w:left w:val="none" w:sz="0" w:space="0" w:color="auto"/>
        <w:bottom w:val="none" w:sz="0" w:space="0" w:color="auto"/>
        <w:right w:val="none" w:sz="0" w:space="0" w:color="auto"/>
      </w:divBdr>
    </w:div>
    <w:div w:id="1341618853">
      <w:bodyDiv w:val="1"/>
      <w:marLeft w:val="0"/>
      <w:marRight w:val="0"/>
      <w:marTop w:val="0"/>
      <w:marBottom w:val="0"/>
      <w:divBdr>
        <w:top w:val="none" w:sz="0" w:space="0" w:color="auto"/>
        <w:left w:val="none" w:sz="0" w:space="0" w:color="auto"/>
        <w:bottom w:val="none" w:sz="0" w:space="0" w:color="auto"/>
        <w:right w:val="none" w:sz="0" w:space="0" w:color="auto"/>
      </w:divBdr>
    </w:div>
    <w:div w:id="1342515385">
      <w:bodyDiv w:val="1"/>
      <w:marLeft w:val="0"/>
      <w:marRight w:val="0"/>
      <w:marTop w:val="0"/>
      <w:marBottom w:val="0"/>
      <w:divBdr>
        <w:top w:val="none" w:sz="0" w:space="0" w:color="auto"/>
        <w:left w:val="none" w:sz="0" w:space="0" w:color="auto"/>
        <w:bottom w:val="none" w:sz="0" w:space="0" w:color="auto"/>
        <w:right w:val="none" w:sz="0" w:space="0" w:color="auto"/>
      </w:divBdr>
    </w:div>
    <w:div w:id="1359893542">
      <w:bodyDiv w:val="1"/>
      <w:marLeft w:val="0"/>
      <w:marRight w:val="0"/>
      <w:marTop w:val="0"/>
      <w:marBottom w:val="0"/>
      <w:divBdr>
        <w:top w:val="none" w:sz="0" w:space="0" w:color="auto"/>
        <w:left w:val="none" w:sz="0" w:space="0" w:color="auto"/>
        <w:bottom w:val="none" w:sz="0" w:space="0" w:color="auto"/>
        <w:right w:val="none" w:sz="0" w:space="0" w:color="auto"/>
      </w:divBdr>
    </w:div>
    <w:div w:id="1393848824">
      <w:bodyDiv w:val="1"/>
      <w:marLeft w:val="0"/>
      <w:marRight w:val="0"/>
      <w:marTop w:val="0"/>
      <w:marBottom w:val="0"/>
      <w:divBdr>
        <w:top w:val="none" w:sz="0" w:space="0" w:color="auto"/>
        <w:left w:val="none" w:sz="0" w:space="0" w:color="auto"/>
        <w:bottom w:val="none" w:sz="0" w:space="0" w:color="auto"/>
        <w:right w:val="none" w:sz="0" w:space="0" w:color="auto"/>
      </w:divBdr>
    </w:div>
    <w:div w:id="1405251896">
      <w:bodyDiv w:val="1"/>
      <w:marLeft w:val="0"/>
      <w:marRight w:val="0"/>
      <w:marTop w:val="0"/>
      <w:marBottom w:val="0"/>
      <w:divBdr>
        <w:top w:val="none" w:sz="0" w:space="0" w:color="auto"/>
        <w:left w:val="none" w:sz="0" w:space="0" w:color="auto"/>
        <w:bottom w:val="none" w:sz="0" w:space="0" w:color="auto"/>
        <w:right w:val="none" w:sz="0" w:space="0" w:color="auto"/>
      </w:divBdr>
    </w:div>
    <w:div w:id="1426001866">
      <w:bodyDiv w:val="1"/>
      <w:marLeft w:val="0"/>
      <w:marRight w:val="0"/>
      <w:marTop w:val="0"/>
      <w:marBottom w:val="0"/>
      <w:divBdr>
        <w:top w:val="none" w:sz="0" w:space="0" w:color="auto"/>
        <w:left w:val="none" w:sz="0" w:space="0" w:color="auto"/>
        <w:bottom w:val="none" w:sz="0" w:space="0" w:color="auto"/>
        <w:right w:val="none" w:sz="0" w:space="0" w:color="auto"/>
      </w:divBdr>
    </w:div>
    <w:div w:id="1427310291">
      <w:bodyDiv w:val="1"/>
      <w:marLeft w:val="0"/>
      <w:marRight w:val="0"/>
      <w:marTop w:val="0"/>
      <w:marBottom w:val="0"/>
      <w:divBdr>
        <w:top w:val="none" w:sz="0" w:space="0" w:color="auto"/>
        <w:left w:val="none" w:sz="0" w:space="0" w:color="auto"/>
        <w:bottom w:val="none" w:sz="0" w:space="0" w:color="auto"/>
        <w:right w:val="none" w:sz="0" w:space="0" w:color="auto"/>
      </w:divBdr>
    </w:div>
    <w:div w:id="1428623442">
      <w:bodyDiv w:val="1"/>
      <w:marLeft w:val="0"/>
      <w:marRight w:val="0"/>
      <w:marTop w:val="0"/>
      <w:marBottom w:val="0"/>
      <w:divBdr>
        <w:top w:val="none" w:sz="0" w:space="0" w:color="auto"/>
        <w:left w:val="none" w:sz="0" w:space="0" w:color="auto"/>
        <w:bottom w:val="none" w:sz="0" w:space="0" w:color="auto"/>
        <w:right w:val="none" w:sz="0" w:space="0" w:color="auto"/>
      </w:divBdr>
    </w:div>
    <w:div w:id="1435443671">
      <w:bodyDiv w:val="1"/>
      <w:marLeft w:val="0"/>
      <w:marRight w:val="0"/>
      <w:marTop w:val="0"/>
      <w:marBottom w:val="0"/>
      <w:divBdr>
        <w:top w:val="none" w:sz="0" w:space="0" w:color="auto"/>
        <w:left w:val="none" w:sz="0" w:space="0" w:color="auto"/>
        <w:bottom w:val="none" w:sz="0" w:space="0" w:color="auto"/>
        <w:right w:val="none" w:sz="0" w:space="0" w:color="auto"/>
      </w:divBdr>
    </w:div>
    <w:div w:id="1444223438">
      <w:bodyDiv w:val="1"/>
      <w:marLeft w:val="0"/>
      <w:marRight w:val="0"/>
      <w:marTop w:val="0"/>
      <w:marBottom w:val="0"/>
      <w:divBdr>
        <w:top w:val="none" w:sz="0" w:space="0" w:color="auto"/>
        <w:left w:val="none" w:sz="0" w:space="0" w:color="auto"/>
        <w:bottom w:val="none" w:sz="0" w:space="0" w:color="auto"/>
        <w:right w:val="none" w:sz="0" w:space="0" w:color="auto"/>
      </w:divBdr>
    </w:div>
    <w:div w:id="1467508795">
      <w:bodyDiv w:val="1"/>
      <w:marLeft w:val="0"/>
      <w:marRight w:val="0"/>
      <w:marTop w:val="0"/>
      <w:marBottom w:val="0"/>
      <w:divBdr>
        <w:top w:val="none" w:sz="0" w:space="0" w:color="auto"/>
        <w:left w:val="none" w:sz="0" w:space="0" w:color="auto"/>
        <w:bottom w:val="none" w:sz="0" w:space="0" w:color="auto"/>
        <w:right w:val="none" w:sz="0" w:space="0" w:color="auto"/>
      </w:divBdr>
    </w:div>
    <w:div w:id="1470172563">
      <w:bodyDiv w:val="1"/>
      <w:marLeft w:val="0"/>
      <w:marRight w:val="0"/>
      <w:marTop w:val="0"/>
      <w:marBottom w:val="0"/>
      <w:divBdr>
        <w:top w:val="none" w:sz="0" w:space="0" w:color="auto"/>
        <w:left w:val="none" w:sz="0" w:space="0" w:color="auto"/>
        <w:bottom w:val="none" w:sz="0" w:space="0" w:color="auto"/>
        <w:right w:val="none" w:sz="0" w:space="0" w:color="auto"/>
      </w:divBdr>
    </w:div>
    <w:div w:id="1470702889">
      <w:bodyDiv w:val="1"/>
      <w:marLeft w:val="0"/>
      <w:marRight w:val="0"/>
      <w:marTop w:val="0"/>
      <w:marBottom w:val="0"/>
      <w:divBdr>
        <w:top w:val="none" w:sz="0" w:space="0" w:color="auto"/>
        <w:left w:val="none" w:sz="0" w:space="0" w:color="auto"/>
        <w:bottom w:val="none" w:sz="0" w:space="0" w:color="auto"/>
        <w:right w:val="none" w:sz="0" w:space="0" w:color="auto"/>
      </w:divBdr>
    </w:div>
    <w:div w:id="1504473323">
      <w:bodyDiv w:val="1"/>
      <w:marLeft w:val="0"/>
      <w:marRight w:val="0"/>
      <w:marTop w:val="0"/>
      <w:marBottom w:val="0"/>
      <w:divBdr>
        <w:top w:val="none" w:sz="0" w:space="0" w:color="auto"/>
        <w:left w:val="none" w:sz="0" w:space="0" w:color="auto"/>
        <w:bottom w:val="none" w:sz="0" w:space="0" w:color="auto"/>
        <w:right w:val="none" w:sz="0" w:space="0" w:color="auto"/>
      </w:divBdr>
    </w:div>
    <w:div w:id="1507599793">
      <w:bodyDiv w:val="1"/>
      <w:marLeft w:val="0"/>
      <w:marRight w:val="0"/>
      <w:marTop w:val="0"/>
      <w:marBottom w:val="0"/>
      <w:divBdr>
        <w:top w:val="none" w:sz="0" w:space="0" w:color="auto"/>
        <w:left w:val="none" w:sz="0" w:space="0" w:color="auto"/>
        <w:bottom w:val="none" w:sz="0" w:space="0" w:color="auto"/>
        <w:right w:val="none" w:sz="0" w:space="0" w:color="auto"/>
      </w:divBdr>
    </w:div>
    <w:div w:id="1508402056">
      <w:bodyDiv w:val="1"/>
      <w:marLeft w:val="0"/>
      <w:marRight w:val="0"/>
      <w:marTop w:val="0"/>
      <w:marBottom w:val="0"/>
      <w:divBdr>
        <w:top w:val="none" w:sz="0" w:space="0" w:color="auto"/>
        <w:left w:val="none" w:sz="0" w:space="0" w:color="auto"/>
        <w:bottom w:val="none" w:sz="0" w:space="0" w:color="auto"/>
        <w:right w:val="none" w:sz="0" w:space="0" w:color="auto"/>
      </w:divBdr>
    </w:div>
    <w:div w:id="1519469291">
      <w:bodyDiv w:val="1"/>
      <w:marLeft w:val="0"/>
      <w:marRight w:val="0"/>
      <w:marTop w:val="0"/>
      <w:marBottom w:val="0"/>
      <w:divBdr>
        <w:top w:val="none" w:sz="0" w:space="0" w:color="auto"/>
        <w:left w:val="none" w:sz="0" w:space="0" w:color="auto"/>
        <w:bottom w:val="none" w:sz="0" w:space="0" w:color="auto"/>
        <w:right w:val="none" w:sz="0" w:space="0" w:color="auto"/>
      </w:divBdr>
    </w:div>
    <w:div w:id="1528713015">
      <w:bodyDiv w:val="1"/>
      <w:marLeft w:val="0"/>
      <w:marRight w:val="0"/>
      <w:marTop w:val="0"/>
      <w:marBottom w:val="0"/>
      <w:divBdr>
        <w:top w:val="none" w:sz="0" w:space="0" w:color="auto"/>
        <w:left w:val="none" w:sz="0" w:space="0" w:color="auto"/>
        <w:bottom w:val="none" w:sz="0" w:space="0" w:color="auto"/>
        <w:right w:val="none" w:sz="0" w:space="0" w:color="auto"/>
      </w:divBdr>
    </w:div>
    <w:div w:id="1536697871">
      <w:bodyDiv w:val="1"/>
      <w:marLeft w:val="0"/>
      <w:marRight w:val="0"/>
      <w:marTop w:val="0"/>
      <w:marBottom w:val="0"/>
      <w:divBdr>
        <w:top w:val="none" w:sz="0" w:space="0" w:color="auto"/>
        <w:left w:val="none" w:sz="0" w:space="0" w:color="auto"/>
        <w:bottom w:val="none" w:sz="0" w:space="0" w:color="auto"/>
        <w:right w:val="none" w:sz="0" w:space="0" w:color="auto"/>
      </w:divBdr>
    </w:div>
    <w:div w:id="1550071443">
      <w:bodyDiv w:val="1"/>
      <w:marLeft w:val="0"/>
      <w:marRight w:val="0"/>
      <w:marTop w:val="0"/>
      <w:marBottom w:val="0"/>
      <w:divBdr>
        <w:top w:val="none" w:sz="0" w:space="0" w:color="auto"/>
        <w:left w:val="none" w:sz="0" w:space="0" w:color="auto"/>
        <w:bottom w:val="none" w:sz="0" w:space="0" w:color="auto"/>
        <w:right w:val="none" w:sz="0" w:space="0" w:color="auto"/>
      </w:divBdr>
    </w:div>
    <w:div w:id="1554658194">
      <w:bodyDiv w:val="1"/>
      <w:marLeft w:val="0"/>
      <w:marRight w:val="0"/>
      <w:marTop w:val="0"/>
      <w:marBottom w:val="0"/>
      <w:divBdr>
        <w:top w:val="none" w:sz="0" w:space="0" w:color="auto"/>
        <w:left w:val="none" w:sz="0" w:space="0" w:color="auto"/>
        <w:bottom w:val="none" w:sz="0" w:space="0" w:color="auto"/>
        <w:right w:val="none" w:sz="0" w:space="0" w:color="auto"/>
      </w:divBdr>
    </w:div>
    <w:div w:id="1574703634">
      <w:bodyDiv w:val="1"/>
      <w:marLeft w:val="0"/>
      <w:marRight w:val="0"/>
      <w:marTop w:val="0"/>
      <w:marBottom w:val="0"/>
      <w:divBdr>
        <w:top w:val="none" w:sz="0" w:space="0" w:color="auto"/>
        <w:left w:val="none" w:sz="0" w:space="0" w:color="auto"/>
        <w:bottom w:val="none" w:sz="0" w:space="0" w:color="auto"/>
        <w:right w:val="none" w:sz="0" w:space="0" w:color="auto"/>
      </w:divBdr>
    </w:div>
    <w:div w:id="1584022568">
      <w:bodyDiv w:val="1"/>
      <w:marLeft w:val="0"/>
      <w:marRight w:val="0"/>
      <w:marTop w:val="0"/>
      <w:marBottom w:val="0"/>
      <w:divBdr>
        <w:top w:val="none" w:sz="0" w:space="0" w:color="auto"/>
        <w:left w:val="none" w:sz="0" w:space="0" w:color="auto"/>
        <w:bottom w:val="none" w:sz="0" w:space="0" w:color="auto"/>
        <w:right w:val="none" w:sz="0" w:space="0" w:color="auto"/>
      </w:divBdr>
    </w:div>
    <w:div w:id="1600867478">
      <w:bodyDiv w:val="1"/>
      <w:marLeft w:val="0"/>
      <w:marRight w:val="0"/>
      <w:marTop w:val="0"/>
      <w:marBottom w:val="0"/>
      <w:divBdr>
        <w:top w:val="none" w:sz="0" w:space="0" w:color="auto"/>
        <w:left w:val="none" w:sz="0" w:space="0" w:color="auto"/>
        <w:bottom w:val="none" w:sz="0" w:space="0" w:color="auto"/>
        <w:right w:val="none" w:sz="0" w:space="0" w:color="auto"/>
      </w:divBdr>
    </w:div>
    <w:div w:id="1606383707">
      <w:bodyDiv w:val="1"/>
      <w:marLeft w:val="0"/>
      <w:marRight w:val="0"/>
      <w:marTop w:val="0"/>
      <w:marBottom w:val="0"/>
      <w:divBdr>
        <w:top w:val="none" w:sz="0" w:space="0" w:color="auto"/>
        <w:left w:val="none" w:sz="0" w:space="0" w:color="auto"/>
        <w:bottom w:val="none" w:sz="0" w:space="0" w:color="auto"/>
        <w:right w:val="none" w:sz="0" w:space="0" w:color="auto"/>
      </w:divBdr>
    </w:div>
    <w:div w:id="1627738688">
      <w:bodyDiv w:val="1"/>
      <w:marLeft w:val="0"/>
      <w:marRight w:val="0"/>
      <w:marTop w:val="0"/>
      <w:marBottom w:val="0"/>
      <w:divBdr>
        <w:top w:val="none" w:sz="0" w:space="0" w:color="auto"/>
        <w:left w:val="none" w:sz="0" w:space="0" w:color="auto"/>
        <w:bottom w:val="none" w:sz="0" w:space="0" w:color="auto"/>
        <w:right w:val="none" w:sz="0" w:space="0" w:color="auto"/>
      </w:divBdr>
    </w:div>
    <w:div w:id="1637759167">
      <w:bodyDiv w:val="1"/>
      <w:marLeft w:val="0"/>
      <w:marRight w:val="0"/>
      <w:marTop w:val="0"/>
      <w:marBottom w:val="0"/>
      <w:divBdr>
        <w:top w:val="none" w:sz="0" w:space="0" w:color="auto"/>
        <w:left w:val="none" w:sz="0" w:space="0" w:color="auto"/>
        <w:bottom w:val="none" w:sz="0" w:space="0" w:color="auto"/>
        <w:right w:val="none" w:sz="0" w:space="0" w:color="auto"/>
      </w:divBdr>
    </w:div>
    <w:div w:id="1647002776">
      <w:bodyDiv w:val="1"/>
      <w:marLeft w:val="0"/>
      <w:marRight w:val="0"/>
      <w:marTop w:val="0"/>
      <w:marBottom w:val="0"/>
      <w:divBdr>
        <w:top w:val="none" w:sz="0" w:space="0" w:color="auto"/>
        <w:left w:val="none" w:sz="0" w:space="0" w:color="auto"/>
        <w:bottom w:val="none" w:sz="0" w:space="0" w:color="auto"/>
        <w:right w:val="none" w:sz="0" w:space="0" w:color="auto"/>
      </w:divBdr>
    </w:div>
    <w:div w:id="1654136069">
      <w:bodyDiv w:val="1"/>
      <w:marLeft w:val="0"/>
      <w:marRight w:val="0"/>
      <w:marTop w:val="0"/>
      <w:marBottom w:val="0"/>
      <w:divBdr>
        <w:top w:val="none" w:sz="0" w:space="0" w:color="auto"/>
        <w:left w:val="none" w:sz="0" w:space="0" w:color="auto"/>
        <w:bottom w:val="none" w:sz="0" w:space="0" w:color="auto"/>
        <w:right w:val="none" w:sz="0" w:space="0" w:color="auto"/>
      </w:divBdr>
    </w:div>
    <w:div w:id="1666595112">
      <w:bodyDiv w:val="1"/>
      <w:marLeft w:val="0"/>
      <w:marRight w:val="0"/>
      <w:marTop w:val="0"/>
      <w:marBottom w:val="0"/>
      <w:divBdr>
        <w:top w:val="none" w:sz="0" w:space="0" w:color="auto"/>
        <w:left w:val="none" w:sz="0" w:space="0" w:color="auto"/>
        <w:bottom w:val="none" w:sz="0" w:space="0" w:color="auto"/>
        <w:right w:val="none" w:sz="0" w:space="0" w:color="auto"/>
      </w:divBdr>
    </w:div>
    <w:div w:id="1688093865">
      <w:bodyDiv w:val="1"/>
      <w:marLeft w:val="0"/>
      <w:marRight w:val="0"/>
      <w:marTop w:val="0"/>
      <w:marBottom w:val="0"/>
      <w:divBdr>
        <w:top w:val="none" w:sz="0" w:space="0" w:color="auto"/>
        <w:left w:val="none" w:sz="0" w:space="0" w:color="auto"/>
        <w:bottom w:val="none" w:sz="0" w:space="0" w:color="auto"/>
        <w:right w:val="none" w:sz="0" w:space="0" w:color="auto"/>
      </w:divBdr>
    </w:div>
    <w:div w:id="1689335052">
      <w:bodyDiv w:val="1"/>
      <w:marLeft w:val="0"/>
      <w:marRight w:val="0"/>
      <w:marTop w:val="0"/>
      <w:marBottom w:val="0"/>
      <w:divBdr>
        <w:top w:val="none" w:sz="0" w:space="0" w:color="auto"/>
        <w:left w:val="none" w:sz="0" w:space="0" w:color="auto"/>
        <w:bottom w:val="none" w:sz="0" w:space="0" w:color="auto"/>
        <w:right w:val="none" w:sz="0" w:space="0" w:color="auto"/>
      </w:divBdr>
    </w:div>
    <w:div w:id="1690595983">
      <w:bodyDiv w:val="1"/>
      <w:marLeft w:val="0"/>
      <w:marRight w:val="0"/>
      <w:marTop w:val="0"/>
      <w:marBottom w:val="0"/>
      <w:divBdr>
        <w:top w:val="none" w:sz="0" w:space="0" w:color="auto"/>
        <w:left w:val="none" w:sz="0" w:space="0" w:color="auto"/>
        <w:bottom w:val="none" w:sz="0" w:space="0" w:color="auto"/>
        <w:right w:val="none" w:sz="0" w:space="0" w:color="auto"/>
      </w:divBdr>
    </w:div>
    <w:div w:id="1701933608">
      <w:bodyDiv w:val="1"/>
      <w:marLeft w:val="0"/>
      <w:marRight w:val="0"/>
      <w:marTop w:val="0"/>
      <w:marBottom w:val="0"/>
      <w:divBdr>
        <w:top w:val="none" w:sz="0" w:space="0" w:color="auto"/>
        <w:left w:val="none" w:sz="0" w:space="0" w:color="auto"/>
        <w:bottom w:val="none" w:sz="0" w:space="0" w:color="auto"/>
        <w:right w:val="none" w:sz="0" w:space="0" w:color="auto"/>
      </w:divBdr>
    </w:div>
    <w:div w:id="1726491667">
      <w:bodyDiv w:val="1"/>
      <w:marLeft w:val="0"/>
      <w:marRight w:val="0"/>
      <w:marTop w:val="0"/>
      <w:marBottom w:val="0"/>
      <w:divBdr>
        <w:top w:val="none" w:sz="0" w:space="0" w:color="auto"/>
        <w:left w:val="none" w:sz="0" w:space="0" w:color="auto"/>
        <w:bottom w:val="none" w:sz="0" w:space="0" w:color="auto"/>
        <w:right w:val="none" w:sz="0" w:space="0" w:color="auto"/>
      </w:divBdr>
    </w:div>
    <w:div w:id="1728990529">
      <w:bodyDiv w:val="1"/>
      <w:marLeft w:val="0"/>
      <w:marRight w:val="0"/>
      <w:marTop w:val="0"/>
      <w:marBottom w:val="0"/>
      <w:divBdr>
        <w:top w:val="none" w:sz="0" w:space="0" w:color="auto"/>
        <w:left w:val="none" w:sz="0" w:space="0" w:color="auto"/>
        <w:bottom w:val="none" w:sz="0" w:space="0" w:color="auto"/>
        <w:right w:val="none" w:sz="0" w:space="0" w:color="auto"/>
      </w:divBdr>
    </w:div>
    <w:div w:id="1733505114">
      <w:bodyDiv w:val="1"/>
      <w:marLeft w:val="0"/>
      <w:marRight w:val="0"/>
      <w:marTop w:val="0"/>
      <w:marBottom w:val="0"/>
      <w:divBdr>
        <w:top w:val="none" w:sz="0" w:space="0" w:color="auto"/>
        <w:left w:val="none" w:sz="0" w:space="0" w:color="auto"/>
        <w:bottom w:val="none" w:sz="0" w:space="0" w:color="auto"/>
        <w:right w:val="none" w:sz="0" w:space="0" w:color="auto"/>
      </w:divBdr>
    </w:div>
    <w:div w:id="1734817671">
      <w:bodyDiv w:val="1"/>
      <w:marLeft w:val="0"/>
      <w:marRight w:val="0"/>
      <w:marTop w:val="0"/>
      <w:marBottom w:val="0"/>
      <w:divBdr>
        <w:top w:val="none" w:sz="0" w:space="0" w:color="auto"/>
        <w:left w:val="none" w:sz="0" w:space="0" w:color="auto"/>
        <w:bottom w:val="none" w:sz="0" w:space="0" w:color="auto"/>
        <w:right w:val="none" w:sz="0" w:space="0" w:color="auto"/>
      </w:divBdr>
    </w:div>
    <w:div w:id="1735159662">
      <w:bodyDiv w:val="1"/>
      <w:marLeft w:val="0"/>
      <w:marRight w:val="0"/>
      <w:marTop w:val="0"/>
      <w:marBottom w:val="0"/>
      <w:divBdr>
        <w:top w:val="none" w:sz="0" w:space="0" w:color="auto"/>
        <w:left w:val="none" w:sz="0" w:space="0" w:color="auto"/>
        <w:bottom w:val="none" w:sz="0" w:space="0" w:color="auto"/>
        <w:right w:val="none" w:sz="0" w:space="0" w:color="auto"/>
      </w:divBdr>
    </w:div>
    <w:div w:id="1743673878">
      <w:bodyDiv w:val="1"/>
      <w:marLeft w:val="0"/>
      <w:marRight w:val="0"/>
      <w:marTop w:val="0"/>
      <w:marBottom w:val="0"/>
      <w:divBdr>
        <w:top w:val="none" w:sz="0" w:space="0" w:color="auto"/>
        <w:left w:val="none" w:sz="0" w:space="0" w:color="auto"/>
        <w:bottom w:val="none" w:sz="0" w:space="0" w:color="auto"/>
        <w:right w:val="none" w:sz="0" w:space="0" w:color="auto"/>
      </w:divBdr>
    </w:div>
    <w:div w:id="1747411018">
      <w:bodyDiv w:val="1"/>
      <w:marLeft w:val="0"/>
      <w:marRight w:val="0"/>
      <w:marTop w:val="0"/>
      <w:marBottom w:val="0"/>
      <w:divBdr>
        <w:top w:val="none" w:sz="0" w:space="0" w:color="auto"/>
        <w:left w:val="none" w:sz="0" w:space="0" w:color="auto"/>
        <w:bottom w:val="none" w:sz="0" w:space="0" w:color="auto"/>
        <w:right w:val="none" w:sz="0" w:space="0" w:color="auto"/>
      </w:divBdr>
    </w:div>
    <w:div w:id="1750617425">
      <w:bodyDiv w:val="1"/>
      <w:marLeft w:val="0"/>
      <w:marRight w:val="0"/>
      <w:marTop w:val="0"/>
      <w:marBottom w:val="0"/>
      <w:divBdr>
        <w:top w:val="none" w:sz="0" w:space="0" w:color="auto"/>
        <w:left w:val="none" w:sz="0" w:space="0" w:color="auto"/>
        <w:bottom w:val="none" w:sz="0" w:space="0" w:color="auto"/>
        <w:right w:val="none" w:sz="0" w:space="0" w:color="auto"/>
      </w:divBdr>
    </w:div>
    <w:div w:id="1753894263">
      <w:bodyDiv w:val="1"/>
      <w:marLeft w:val="0"/>
      <w:marRight w:val="0"/>
      <w:marTop w:val="0"/>
      <w:marBottom w:val="0"/>
      <w:divBdr>
        <w:top w:val="none" w:sz="0" w:space="0" w:color="auto"/>
        <w:left w:val="none" w:sz="0" w:space="0" w:color="auto"/>
        <w:bottom w:val="none" w:sz="0" w:space="0" w:color="auto"/>
        <w:right w:val="none" w:sz="0" w:space="0" w:color="auto"/>
      </w:divBdr>
    </w:div>
    <w:div w:id="1757943744">
      <w:bodyDiv w:val="1"/>
      <w:marLeft w:val="0"/>
      <w:marRight w:val="0"/>
      <w:marTop w:val="0"/>
      <w:marBottom w:val="0"/>
      <w:divBdr>
        <w:top w:val="none" w:sz="0" w:space="0" w:color="auto"/>
        <w:left w:val="none" w:sz="0" w:space="0" w:color="auto"/>
        <w:bottom w:val="none" w:sz="0" w:space="0" w:color="auto"/>
        <w:right w:val="none" w:sz="0" w:space="0" w:color="auto"/>
      </w:divBdr>
    </w:div>
    <w:div w:id="1773892667">
      <w:bodyDiv w:val="1"/>
      <w:marLeft w:val="0"/>
      <w:marRight w:val="0"/>
      <w:marTop w:val="0"/>
      <w:marBottom w:val="0"/>
      <w:divBdr>
        <w:top w:val="none" w:sz="0" w:space="0" w:color="auto"/>
        <w:left w:val="none" w:sz="0" w:space="0" w:color="auto"/>
        <w:bottom w:val="none" w:sz="0" w:space="0" w:color="auto"/>
        <w:right w:val="none" w:sz="0" w:space="0" w:color="auto"/>
      </w:divBdr>
    </w:div>
    <w:div w:id="1778671898">
      <w:bodyDiv w:val="1"/>
      <w:marLeft w:val="0"/>
      <w:marRight w:val="0"/>
      <w:marTop w:val="0"/>
      <w:marBottom w:val="0"/>
      <w:divBdr>
        <w:top w:val="none" w:sz="0" w:space="0" w:color="auto"/>
        <w:left w:val="none" w:sz="0" w:space="0" w:color="auto"/>
        <w:bottom w:val="none" w:sz="0" w:space="0" w:color="auto"/>
        <w:right w:val="none" w:sz="0" w:space="0" w:color="auto"/>
      </w:divBdr>
    </w:div>
    <w:div w:id="1792433289">
      <w:bodyDiv w:val="1"/>
      <w:marLeft w:val="0"/>
      <w:marRight w:val="0"/>
      <w:marTop w:val="0"/>
      <w:marBottom w:val="0"/>
      <w:divBdr>
        <w:top w:val="none" w:sz="0" w:space="0" w:color="auto"/>
        <w:left w:val="none" w:sz="0" w:space="0" w:color="auto"/>
        <w:bottom w:val="none" w:sz="0" w:space="0" w:color="auto"/>
        <w:right w:val="none" w:sz="0" w:space="0" w:color="auto"/>
      </w:divBdr>
    </w:div>
    <w:div w:id="1818494867">
      <w:bodyDiv w:val="1"/>
      <w:marLeft w:val="0"/>
      <w:marRight w:val="0"/>
      <w:marTop w:val="0"/>
      <w:marBottom w:val="0"/>
      <w:divBdr>
        <w:top w:val="none" w:sz="0" w:space="0" w:color="auto"/>
        <w:left w:val="none" w:sz="0" w:space="0" w:color="auto"/>
        <w:bottom w:val="none" w:sz="0" w:space="0" w:color="auto"/>
        <w:right w:val="none" w:sz="0" w:space="0" w:color="auto"/>
      </w:divBdr>
    </w:div>
    <w:div w:id="1819420867">
      <w:bodyDiv w:val="1"/>
      <w:marLeft w:val="0"/>
      <w:marRight w:val="0"/>
      <w:marTop w:val="0"/>
      <w:marBottom w:val="0"/>
      <w:divBdr>
        <w:top w:val="none" w:sz="0" w:space="0" w:color="auto"/>
        <w:left w:val="none" w:sz="0" w:space="0" w:color="auto"/>
        <w:bottom w:val="none" w:sz="0" w:space="0" w:color="auto"/>
        <w:right w:val="none" w:sz="0" w:space="0" w:color="auto"/>
      </w:divBdr>
    </w:div>
    <w:div w:id="1826897626">
      <w:bodyDiv w:val="1"/>
      <w:marLeft w:val="0"/>
      <w:marRight w:val="0"/>
      <w:marTop w:val="0"/>
      <w:marBottom w:val="0"/>
      <w:divBdr>
        <w:top w:val="none" w:sz="0" w:space="0" w:color="auto"/>
        <w:left w:val="none" w:sz="0" w:space="0" w:color="auto"/>
        <w:bottom w:val="none" w:sz="0" w:space="0" w:color="auto"/>
        <w:right w:val="none" w:sz="0" w:space="0" w:color="auto"/>
      </w:divBdr>
    </w:div>
    <w:div w:id="1831945594">
      <w:bodyDiv w:val="1"/>
      <w:marLeft w:val="0"/>
      <w:marRight w:val="0"/>
      <w:marTop w:val="0"/>
      <w:marBottom w:val="0"/>
      <w:divBdr>
        <w:top w:val="none" w:sz="0" w:space="0" w:color="auto"/>
        <w:left w:val="none" w:sz="0" w:space="0" w:color="auto"/>
        <w:bottom w:val="none" w:sz="0" w:space="0" w:color="auto"/>
        <w:right w:val="none" w:sz="0" w:space="0" w:color="auto"/>
      </w:divBdr>
    </w:div>
    <w:div w:id="1836071770">
      <w:bodyDiv w:val="1"/>
      <w:marLeft w:val="0"/>
      <w:marRight w:val="0"/>
      <w:marTop w:val="0"/>
      <w:marBottom w:val="0"/>
      <w:divBdr>
        <w:top w:val="none" w:sz="0" w:space="0" w:color="auto"/>
        <w:left w:val="none" w:sz="0" w:space="0" w:color="auto"/>
        <w:bottom w:val="none" w:sz="0" w:space="0" w:color="auto"/>
        <w:right w:val="none" w:sz="0" w:space="0" w:color="auto"/>
      </w:divBdr>
    </w:div>
    <w:div w:id="1849173626">
      <w:bodyDiv w:val="1"/>
      <w:marLeft w:val="0"/>
      <w:marRight w:val="0"/>
      <w:marTop w:val="0"/>
      <w:marBottom w:val="0"/>
      <w:divBdr>
        <w:top w:val="none" w:sz="0" w:space="0" w:color="auto"/>
        <w:left w:val="none" w:sz="0" w:space="0" w:color="auto"/>
        <w:bottom w:val="none" w:sz="0" w:space="0" w:color="auto"/>
        <w:right w:val="none" w:sz="0" w:space="0" w:color="auto"/>
      </w:divBdr>
    </w:div>
    <w:div w:id="1852724022">
      <w:bodyDiv w:val="1"/>
      <w:marLeft w:val="0"/>
      <w:marRight w:val="0"/>
      <w:marTop w:val="0"/>
      <w:marBottom w:val="0"/>
      <w:divBdr>
        <w:top w:val="none" w:sz="0" w:space="0" w:color="auto"/>
        <w:left w:val="none" w:sz="0" w:space="0" w:color="auto"/>
        <w:bottom w:val="none" w:sz="0" w:space="0" w:color="auto"/>
        <w:right w:val="none" w:sz="0" w:space="0" w:color="auto"/>
      </w:divBdr>
    </w:div>
    <w:div w:id="1857453917">
      <w:bodyDiv w:val="1"/>
      <w:marLeft w:val="0"/>
      <w:marRight w:val="0"/>
      <w:marTop w:val="0"/>
      <w:marBottom w:val="0"/>
      <w:divBdr>
        <w:top w:val="none" w:sz="0" w:space="0" w:color="auto"/>
        <w:left w:val="none" w:sz="0" w:space="0" w:color="auto"/>
        <w:bottom w:val="none" w:sz="0" w:space="0" w:color="auto"/>
        <w:right w:val="none" w:sz="0" w:space="0" w:color="auto"/>
      </w:divBdr>
    </w:div>
    <w:div w:id="1884638787">
      <w:bodyDiv w:val="1"/>
      <w:marLeft w:val="0"/>
      <w:marRight w:val="0"/>
      <w:marTop w:val="0"/>
      <w:marBottom w:val="0"/>
      <w:divBdr>
        <w:top w:val="none" w:sz="0" w:space="0" w:color="auto"/>
        <w:left w:val="none" w:sz="0" w:space="0" w:color="auto"/>
        <w:bottom w:val="none" w:sz="0" w:space="0" w:color="auto"/>
        <w:right w:val="none" w:sz="0" w:space="0" w:color="auto"/>
      </w:divBdr>
    </w:div>
    <w:div w:id="1892037773">
      <w:bodyDiv w:val="1"/>
      <w:marLeft w:val="0"/>
      <w:marRight w:val="0"/>
      <w:marTop w:val="0"/>
      <w:marBottom w:val="0"/>
      <w:divBdr>
        <w:top w:val="none" w:sz="0" w:space="0" w:color="auto"/>
        <w:left w:val="none" w:sz="0" w:space="0" w:color="auto"/>
        <w:bottom w:val="none" w:sz="0" w:space="0" w:color="auto"/>
        <w:right w:val="none" w:sz="0" w:space="0" w:color="auto"/>
      </w:divBdr>
    </w:div>
    <w:div w:id="1932470776">
      <w:bodyDiv w:val="1"/>
      <w:marLeft w:val="0"/>
      <w:marRight w:val="0"/>
      <w:marTop w:val="0"/>
      <w:marBottom w:val="0"/>
      <w:divBdr>
        <w:top w:val="none" w:sz="0" w:space="0" w:color="auto"/>
        <w:left w:val="none" w:sz="0" w:space="0" w:color="auto"/>
        <w:bottom w:val="none" w:sz="0" w:space="0" w:color="auto"/>
        <w:right w:val="none" w:sz="0" w:space="0" w:color="auto"/>
      </w:divBdr>
    </w:div>
    <w:div w:id="1937905740">
      <w:bodyDiv w:val="1"/>
      <w:marLeft w:val="0"/>
      <w:marRight w:val="0"/>
      <w:marTop w:val="0"/>
      <w:marBottom w:val="0"/>
      <w:divBdr>
        <w:top w:val="none" w:sz="0" w:space="0" w:color="auto"/>
        <w:left w:val="none" w:sz="0" w:space="0" w:color="auto"/>
        <w:bottom w:val="none" w:sz="0" w:space="0" w:color="auto"/>
        <w:right w:val="none" w:sz="0" w:space="0" w:color="auto"/>
      </w:divBdr>
    </w:div>
    <w:div w:id="1941521386">
      <w:bodyDiv w:val="1"/>
      <w:marLeft w:val="0"/>
      <w:marRight w:val="0"/>
      <w:marTop w:val="0"/>
      <w:marBottom w:val="0"/>
      <w:divBdr>
        <w:top w:val="none" w:sz="0" w:space="0" w:color="auto"/>
        <w:left w:val="none" w:sz="0" w:space="0" w:color="auto"/>
        <w:bottom w:val="none" w:sz="0" w:space="0" w:color="auto"/>
        <w:right w:val="none" w:sz="0" w:space="0" w:color="auto"/>
      </w:divBdr>
    </w:div>
    <w:div w:id="1979147601">
      <w:bodyDiv w:val="1"/>
      <w:marLeft w:val="0"/>
      <w:marRight w:val="0"/>
      <w:marTop w:val="0"/>
      <w:marBottom w:val="0"/>
      <w:divBdr>
        <w:top w:val="none" w:sz="0" w:space="0" w:color="auto"/>
        <w:left w:val="none" w:sz="0" w:space="0" w:color="auto"/>
        <w:bottom w:val="none" w:sz="0" w:space="0" w:color="auto"/>
        <w:right w:val="none" w:sz="0" w:space="0" w:color="auto"/>
      </w:divBdr>
    </w:div>
    <w:div w:id="1987274899">
      <w:bodyDiv w:val="1"/>
      <w:marLeft w:val="0"/>
      <w:marRight w:val="0"/>
      <w:marTop w:val="0"/>
      <w:marBottom w:val="0"/>
      <w:divBdr>
        <w:top w:val="none" w:sz="0" w:space="0" w:color="auto"/>
        <w:left w:val="none" w:sz="0" w:space="0" w:color="auto"/>
        <w:bottom w:val="none" w:sz="0" w:space="0" w:color="auto"/>
        <w:right w:val="none" w:sz="0" w:space="0" w:color="auto"/>
      </w:divBdr>
    </w:div>
    <w:div w:id="1990598186">
      <w:bodyDiv w:val="1"/>
      <w:marLeft w:val="0"/>
      <w:marRight w:val="0"/>
      <w:marTop w:val="0"/>
      <w:marBottom w:val="0"/>
      <w:divBdr>
        <w:top w:val="none" w:sz="0" w:space="0" w:color="auto"/>
        <w:left w:val="none" w:sz="0" w:space="0" w:color="auto"/>
        <w:bottom w:val="none" w:sz="0" w:space="0" w:color="auto"/>
        <w:right w:val="none" w:sz="0" w:space="0" w:color="auto"/>
      </w:divBdr>
    </w:div>
    <w:div w:id="2033145190">
      <w:bodyDiv w:val="1"/>
      <w:marLeft w:val="0"/>
      <w:marRight w:val="0"/>
      <w:marTop w:val="0"/>
      <w:marBottom w:val="0"/>
      <w:divBdr>
        <w:top w:val="none" w:sz="0" w:space="0" w:color="auto"/>
        <w:left w:val="none" w:sz="0" w:space="0" w:color="auto"/>
        <w:bottom w:val="none" w:sz="0" w:space="0" w:color="auto"/>
        <w:right w:val="none" w:sz="0" w:space="0" w:color="auto"/>
      </w:divBdr>
    </w:div>
    <w:div w:id="2061243047">
      <w:bodyDiv w:val="1"/>
      <w:marLeft w:val="0"/>
      <w:marRight w:val="0"/>
      <w:marTop w:val="0"/>
      <w:marBottom w:val="0"/>
      <w:divBdr>
        <w:top w:val="none" w:sz="0" w:space="0" w:color="auto"/>
        <w:left w:val="none" w:sz="0" w:space="0" w:color="auto"/>
        <w:bottom w:val="none" w:sz="0" w:space="0" w:color="auto"/>
        <w:right w:val="none" w:sz="0" w:space="0" w:color="auto"/>
      </w:divBdr>
    </w:div>
    <w:div w:id="2097364407">
      <w:bodyDiv w:val="1"/>
      <w:marLeft w:val="0"/>
      <w:marRight w:val="0"/>
      <w:marTop w:val="0"/>
      <w:marBottom w:val="0"/>
      <w:divBdr>
        <w:top w:val="none" w:sz="0" w:space="0" w:color="auto"/>
        <w:left w:val="none" w:sz="0" w:space="0" w:color="auto"/>
        <w:bottom w:val="none" w:sz="0" w:space="0" w:color="auto"/>
        <w:right w:val="none" w:sz="0" w:space="0" w:color="auto"/>
      </w:divBdr>
    </w:div>
    <w:div w:id="214141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18/1046/oj" TargetMode="External"/><Relationship Id="rId1" Type="http://schemas.openxmlformats.org/officeDocument/2006/relationships/hyperlink" Target="http://data.europa.eu/eli/reg/2020/209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4D1A4-9A84-471F-8922-D34EE50A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15800</Words>
  <Characters>87058</Characters>
  <Application>Microsoft Office Word</Application>
  <DocSecurity>0</DocSecurity>
  <Lines>3627</Lines>
  <Paragraphs>1978</Paragraphs>
  <ScaleCrop>false</ScaleCrop>
  <HeadingPairs>
    <vt:vector size="2" baseType="variant">
      <vt:variant>
        <vt:lpstr>Title</vt:lpstr>
      </vt:variant>
      <vt:variant>
        <vt:i4>1</vt:i4>
      </vt:variant>
    </vt:vector>
  </HeadingPairs>
  <TitlesOfParts>
    <vt:vector size="1" baseType="lpstr">
      <vt:lpstr>PR_Consent_InterimMod</vt:lpstr>
    </vt:vector>
  </TitlesOfParts>
  <Company/>
  <LinksUpToDate>false</LinksUpToDate>
  <CharactersWithSpaces>100880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PR_Consent_InterimMod</dc:title>
  <dc:subject/>
  <dc:creator>JAKUC Angelika</dc:creator>
  <cp:keywords/>
  <dc:description/>
  <cp:lastModifiedBy>WHITE Samuel George</cp:lastModifiedBy>
  <cp:revision>2</cp:revision>
  <cp:lastPrinted>2025-12-01T15:10:00Z</cp:lastPrinted>
  <dcterms:created xsi:type="dcterms:W3CDTF">2025-12-02T09:21:00Z</dcterms:created>
  <dcterms:modified xsi:type="dcterms:W3CDTF">2025-12-02T09:21:00Z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10.2.0 Build [20251001]</vt:lpwstr>
  </property>
  <property fmtid="{D5CDD505-2E9C-101B-9397-08002B2CF9AE}" pid="4" name="LastEdited with">
    <vt:lpwstr>10.2.0 Build [20251118]</vt:lpwstr>
  </property>
  <property fmtid="{D5CDD505-2E9C-101B-9397-08002B2CF9AE}" pid="5" name="&lt;FdR&gt;">
    <vt:lpwstr>1330655</vt:lpwstr>
  </property>
  <property fmtid="{D5CDD505-2E9C-101B-9397-08002B2CF9AE}" pid="6" name="&lt;Type&gt;">
    <vt:lpwstr>PR</vt:lpwstr>
  </property>
  <property fmtid="{D5CDD505-2E9C-101B-9397-08002B2CF9AE}" pid="7" name="&lt;ModelCod&gt;">
    <vt:lpwstr>\\eiciBRUpr1\pdocep$\DocEP\DOCS\General\PR\PR_NonLeg\Other\PR_Consent_InterimMod.dotx(12/08/2024 17:16:00)</vt:lpwstr>
  </property>
  <property fmtid="{D5CDD505-2E9C-101B-9397-08002B2CF9AE}" pid="8" name="&lt;ModelTra&gt;">
    <vt:lpwstr>\\eiciBRUpr1\pdocep$\DocEP\TRANSFIL\EN\PR_Consent_InterimMod.EN(13/08/2024 11:13:03)</vt:lpwstr>
  </property>
  <property fmtid="{D5CDD505-2E9C-101B-9397-08002B2CF9AE}" pid="9" name="&lt;Model&gt;">
    <vt:lpwstr>PR_Consent_InterimMod</vt:lpwstr>
  </property>
  <property fmtid="{D5CDD505-2E9C-101B-9397-08002B2CF9AE}" pid="10" name="FooterPath">
    <vt:lpwstr>PR\1330655EN.docx</vt:lpwstr>
  </property>
  <property fmtid="{D5CDD505-2E9C-101B-9397-08002B2CF9AE}" pid="11" name="PE number">
    <vt:lpwstr>779.351</vt:lpwstr>
  </property>
  <property fmtid="{D5CDD505-2E9C-101B-9397-08002B2CF9AE}" pid="12" name="SendToEpades">
    <vt:lpwstr>OK(AMNUM) - 2025/11/27 20:47</vt:lpwstr>
  </property>
  <property fmtid="{D5CDD505-2E9C-101B-9397-08002B2CF9AE}" pid="13" name="Bookout">
    <vt:lpwstr>OK - 2025/12/02 10:21</vt:lpwstr>
  </property>
</Properties>
</file>