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13FB" w14:textId="4EC0A3F7" w:rsidR="006D1108" w:rsidRDefault="005E440A" w:rsidP="00283BCC">
      <w:pPr>
        <w:jc w:val="center"/>
        <w:rPr>
          <w:rFonts w:asciiTheme="majorHAnsi" w:hAnsiTheme="majorHAnsi"/>
          <w:b/>
          <w:sz w:val="22"/>
          <w:szCs w:val="22"/>
        </w:rPr>
      </w:pPr>
      <w:r>
        <w:rPr>
          <w:rFonts w:asciiTheme="majorHAnsi" w:hAnsiTheme="majorHAnsi"/>
          <w:b/>
          <w:sz w:val="22"/>
          <w:szCs w:val="22"/>
        </w:rPr>
        <w:t>J</w:t>
      </w:r>
      <w:r w:rsidR="00A57363">
        <w:rPr>
          <w:rFonts w:asciiTheme="majorHAnsi" w:hAnsiTheme="majorHAnsi"/>
          <w:b/>
          <w:sz w:val="22"/>
          <w:szCs w:val="22"/>
        </w:rPr>
        <w:t>oint</w:t>
      </w:r>
      <w:r w:rsidR="00EA113D" w:rsidRPr="000214C8">
        <w:rPr>
          <w:rFonts w:asciiTheme="majorHAnsi" w:hAnsiTheme="majorHAnsi"/>
          <w:b/>
          <w:sz w:val="22"/>
          <w:szCs w:val="22"/>
        </w:rPr>
        <w:t xml:space="preserve"> paper</w:t>
      </w:r>
      <w:r w:rsidR="008D5255" w:rsidRPr="000214C8">
        <w:rPr>
          <w:rFonts w:asciiTheme="majorHAnsi" w:hAnsiTheme="majorHAnsi"/>
          <w:b/>
          <w:sz w:val="22"/>
          <w:szCs w:val="22"/>
        </w:rPr>
        <w:t xml:space="preserve"> </w:t>
      </w:r>
      <w:r w:rsidR="006D1108">
        <w:rPr>
          <w:rFonts w:asciiTheme="majorHAnsi" w:hAnsiTheme="majorHAnsi"/>
          <w:b/>
          <w:sz w:val="22"/>
          <w:szCs w:val="22"/>
        </w:rPr>
        <w:t>by the members of the</w:t>
      </w:r>
      <w:r w:rsidR="00EA113D" w:rsidRPr="000214C8">
        <w:rPr>
          <w:rFonts w:asciiTheme="majorHAnsi" w:hAnsiTheme="majorHAnsi"/>
          <w:b/>
          <w:sz w:val="22"/>
          <w:szCs w:val="22"/>
        </w:rPr>
        <w:t xml:space="preserve"> H</w:t>
      </w:r>
      <w:r w:rsidR="00164E4E" w:rsidRPr="000214C8">
        <w:rPr>
          <w:rFonts w:asciiTheme="majorHAnsi" w:hAnsiTheme="majorHAnsi"/>
          <w:b/>
          <w:sz w:val="22"/>
          <w:szCs w:val="22"/>
        </w:rPr>
        <w:t>L</w:t>
      </w:r>
      <w:r w:rsidR="00EA113D" w:rsidRPr="000214C8">
        <w:rPr>
          <w:rFonts w:asciiTheme="majorHAnsi" w:hAnsiTheme="majorHAnsi"/>
          <w:b/>
          <w:sz w:val="22"/>
          <w:szCs w:val="22"/>
        </w:rPr>
        <w:t xml:space="preserve">G </w:t>
      </w:r>
      <w:r w:rsidR="006D1108">
        <w:rPr>
          <w:rFonts w:asciiTheme="majorHAnsi" w:hAnsiTheme="majorHAnsi"/>
          <w:b/>
          <w:sz w:val="22"/>
          <w:szCs w:val="22"/>
        </w:rPr>
        <w:t>on Artificial Intelligence -</w:t>
      </w:r>
    </w:p>
    <w:p w14:paraId="21359471" w14:textId="69D81DC9" w:rsidR="008D5255" w:rsidRPr="00283BCC" w:rsidRDefault="006D1108" w:rsidP="00283BCC">
      <w:pPr>
        <w:jc w:val="center"/>
        <w:rPr>
          <w:rFonts w:asciiTheme="majorHAnsi" w:hAnsiTheme="majorHAnsi"/>
          <w:b/>
          <w:sz w:val="22"/>
          <w:szCs w:val="22"/>
        </w:rPr>
      </w:pPr>
      <w:r>
        <w:rPr>
          <w:rFonts w:asciiTheme="majorHAnsi" w:hAnsiTheme="majorHAnsi"/>
          <w:b/>
          <w:sz w:val="22"/>
          <w:szCs w:val="22"/>
        </w:rPr>
        <w:t>M</w:t>
      </w:r>
      <w:r w:rsidR="00EA113D" w:rsidRPr="000214C8">
        <w:rPr>
          <w:rFonts w:asciiTheme="majorHAnsi" w:hAnsiTheme="majorHAnsi"/>
          <w:b/>
          <w:sz w:val="22"/>
          <w:szCs w:val="22"/>
        </w:rPr>
        <w:t xml:space="preserve">apping </w:t>
      </w:r>
      <w:r>
        <w:rPr>
          <w:rFonts w:asciiTheme="majorHAnsi" w:hAnsiTheme="majorHAnsi"/>
          <w:b/>
          <w:sz w:val="22"/>
          <w:szCs w:val="22"/>
        </w:rPr>
        <w:t xml:space="preserve">out regulatory </w:t>
      </w:r>
      <w:r w:rsidR="00620806">
        <w:rPr>
          <w:rFonts w:asciiTheme="majorHAnsi" w:hAnsiTheme="majorHAnsi"/>
          <w:b/>
          <w:sz w:val="22"/>
          <w:szCs w:val="22"/>
        </w:rPr>
        <w:t xml:space="preserve">interplay </w:t>
      </w:r>
      <w:r>
        <w:rPr>
          <w:rFonts w:asciiTheme="majorHAnsi" w:hAnsiTheme="majorHAnsi"/>
          <w:b/>
          <w:sz w:val="22"/>
          <w:szCs w:val="22"/>
        </w:rPr>
        <w:t xml:space="preserve">related to </w:t>
      </w:r>
      <w:r w:rsidR="00EA113D" w:rsidRPr="000214C8">
        <w:rPr>
          <w:rFonts w:asciiTheme="majorHAnsi" w:hAnsiTheme="majorHAnsi"/>
          <w:b/>
          <w:sz w:val="22"/>
          <w:szCs w:val="22"/>
        </w:rPr>
        <w:t>AI issues</w:t>
      </w:r>
    </w:p>
    <w:p w14:paraId="690ACB7E" w14:textId="77777777" w:rsidR="00842B1B" w:rsidRPr="000214C8" w:rsidRDefault="00842B1B" w:rsidP="00842B1B">
      <w:pPr>
        <w:spacing w:after="240" w:line="240" w:lineRule="auto"/>
        <w:jc w:val="both"/>
        <w:rPr>
          <w:rFonts w:asciiTheme="majorHAnsi" w:hAnsiTheme="majorHAnsi"/>
          <w:sz w:val="22"/>
          <w:szCs w:val="22"/>
        </w:rPr>
      </w:pPr>
    </w:p>
    <w:p w14:paraId="74E92581" w14:textId="255B40D2" w:rsidR="00842B1B" w:rsidRPr="000214C8" w:rsidRDefault="00842B1B" w:rsidP="00842B1B">
      <w:pPr>
        <w:pStyle w:val="ListParagraph"/>
        <w:numPr>
          <w:ilvl w:val="0"/>
          <w:numId w:val="47"/>
        </w:numPr>
        <w:spacing w:before="100" w:beforeAutospacing="1" w:after="240" w:line="240" w:lineRule="auto"/>
        <w:jc w:val="both"/>
        <w:outlineLvl w:val="2"/>
        <w:rPr>
          <w:rFonts w:asciiTheme="majorHAnsi" w:hAnsiTheme="majorHAnsi"/>
          <w:sz w:val="22"/>
          <w:szCs w:val="22"/>
        </w:rPr>
      </w:pPr>
      <w:r w:rsidRPr="000214C8">
        <w:rPr>
          <w:rFonts w:asciiTheme="majorHAnsi" w:hAnsiTheme="majorHAnsi"/>
          <w:b/>
          <w:sz w:val="22"/>
          <w:szCs w:val="22"/>
          <w:u w:val="single"/>
          <w:lang w:eastAsia="en-IE"/>
          <w14:ligatures w14:val="none"/>
        </w:rPr>
        <w:t>Introduction</w:t>
      </w:r>
    </w:p>
    <w:p w14:paraId="1A1773BD" w14:textId="33D06606" w:rsidR="007975E4" w:rsidRPr="000214C8" w:rsidRDefault="00B74CFF" w:rsidP="00842B1B">
      <w:pPr>
        <w:spacing w:after="240" w:line="240" w:lineRule="auto"/>
        <w:jc w:val="both"/>
        <w:rPr>
          <w:rFonts w:asciiTheme="majorHAnsi" w:hAnsiTheme="majorHAnsi"/>
          <w:sz w:val="22"/>
          <w:szCs w:val="22"/>
        </w:rPr>
      </w:pPr>
      <w:r w:rsidRPr="000214C8">
        <w:rPr>
          <w:rFonts w:asciiTheme="majorHAnsi" w:hAnsiTheme="majorHAnsi"/>
          <w:sz w:val="22"/>
          <w:szCs w:val="22"/>
        </w:rPr>
        <w:t xml:space="preserve">The </w:t>
      </w:r>
      <w:r w:rsidR="00A23419" w:rsidRPr="000214C8">
        <w:rPr>
          <w:rFonts w:asciiTheme="majorHAnsi" w:hAnsiTheme="majorHAnsi"/>
          <w:sz w:val="22"/>
          <w:szCs w:val="22"/>
        </w:rPr>
        <w:t>sub-group on Artificial Intelligence</w:t>
      </w:r>
      <w:r w:rsidR="00202CA8">
        <w:rPr>
          <w:rFonts w:asciiTheme="majorHAnsi" w:hAnsiTheme="majorHAnsi"/>
          <w:sz w:val="22"/>
          <w:szCs w:val="22"/>
        </w:rPr>
        <w:t xml:space="preserve"> (‘AI’)</w:t>
      </w:r>
      <w:r w:rsidR="00A23419" w:rsidRPr="000214C8">
        <w:rPr>
          <w:rFonts w:asciiTheme="majorHAnsi" w:hAnsiTheme="majorHAnsi"/>
          <w:sz w:val="22"/>
          <w:szCs w:val="22"/>
        </w:rPr>
        <w:t xml:space="preserve"> of the High-Level Group</w:t>
      </w:r>
      <w:r w:rsidRPr="000214C8">
        <w:rPr>
          <w:rStyle w:val="FootnoteReference"/>
          <w:rFonts w:asciiTheme="majorHAnsi" w:hAnsiTheme="majorHAnsi"/>
          <w:sz w:val="22"/>
          <w:szCs w:val="22"/>
        </w:rPr>
        <w:footnoteReference w:id="2"/>
      </w:r>
      <w:r w:rsidRPr="000214C8">
        <w:rPr>
          <w:rFonts w:asciiTheme="majorHAnsi" w:hAnsiTheme="majorHAnsi"/>
          <w:sz w:val="22"/>
          <w:szCs w:val="22"/>
        </w:rPr>
        <w:t xml:space="preserve"> (</w:t>
      </w:r>
      <w:r w:rsidR="00724DEA" w:rsidRPr="000214C8">
        <w:rPr>
          <w:rFonts w:asciiTheme="majorHAnsi" w:hAnsiTheme="majorHAnsi"/>
          <w:sz w:val="22"/>
          <w:szCs w:val="22"/>
        </w:rPr>
        <w:t>‘</w:t>
      </w:r>
      <w:r w:rsidRPr="000214C8">
        <w:rPr>
          <w:rFonts w:asciiTheme="majorHAnsi" w:hAnsiTheme="majorHAnsi"/>
          <w:sz w:val="22"/>
          <w:szCs w:val="22"/>
        </w:rPr>
        <w:t>HLG</w:t>
      </w:r>
      <w:r w:rsidR="00724DEA" w:rsidRPr="000214C8">
        <w:rPr>
          <w:rFonts w:asciiTheme="majorHAnsi" w:hAnsiTheme="majorHAnsi"/>
          <w:sz w:val="22"/>
          <w:szCs w:val="22"/>
        </w:rPr>
        <w:t>’</w:t>
      </w:r>
      <w:r w:rsidRPr="000214C8">
        <w:rPr>
          <w:rFonts w:asciiTheme="majorHAnsi" w:hAnsiTheme="majorHAnsi"/>
          <w:sz w:val="22"/>
          <w:szCs w:val="22"/>
        </w:rPr>
        <w:t xml:space="preserve">) </w:t>
      </w:r>
      <w:r w:rsidR="00202CA8">
        <w:rPr>
          <w:rFonts w:asciiTheme="majorHAnsi" w:hAnsiTheme="majorHAnsi"/>
          <w:sz w:val="22"/>
          <w:szCs w:val="22"/>
        </w:rPr>
        <w:t>under the</w:t>
      </w:r>
      <w:r w:rsidR="00A23419" w:rsidRPr="000214C8">
        <w:rPr>
          <w:rFonts w:asciiTheme="majorHAnsi" w:hAnsiTheme="majorHAnsi"/>
          <w:sz w:val="22"/>
          <w:szCs w:val="22"/>
        </w:rPr>
        <w:t xml:space="preserve"> Digital Markets Act </w:t>
      </w:r>
      <w:r w:rsidR="00724DEA" w:rsidRPr="000214C8">
        <w:rPr>
          <w:rFonts w:asciiTheme="majorHAnsi" w:hAnsiTheme="majorHAnsi"/>
          <w:sz w:val="22"/>
          <w:szCs w:val="22"/>
        </w:rPr>
        <w:t xml:space="preserve">(‘DMA’) </w:t>
      </w:r>
      <w:r w:rsidRPr="000214C8">
        <w:rPr>
          <w:rFonts w:asciiTheme="majorHAnsi" w:hAnsiTheme="majorHAnsi"/>
          <w:sz w:val="22"/>
          <w:szCs w:val="22"/>
        </w:rPr>
        <w:t xml:space="preserve">was established to </w:t>
      </w:r>
      <w:r w:rsidR="00A57363">
        <w:rPr>
          <w:rFonts w:asciiTheme="majorHAnsi" w:hAnsiTheme="majorHAnsi"/>
          <w:sz w:val="22"/>
          <w:szCs w:val="22"/>
        </w:rPr>
        <w:t>discuss</w:t>
      </w:r>
      <w:r w:rsidR="00202CA8">
        <w:rPr>
          <w:rFonts w:asciiTheme="majorHAnsi" w:hAnsiTheme="majorHAnsi"/>
          <w:sz w:val="22"/>
          <w:szCs w:val="22"/>
        </w:rPr>
        <w:t>, provide advice, expertise and promote a consistent regulatory approach across the different regulatory instruments in relation to AI</w:t>
      </w:r>
      <w:r w:rsidR="00D63DB7" w:rsidRPr="000214C8">
        <w:rPr>
          <w:rFonts w:asciiTheme="majorHAnsi" w:hAnsiTheme="majorHAnsi"/>
          <w:sz w:val="22"/>
          <w:szCs w:val="22"/>
        </w:rPr>
        <w:t xml:space="preserve">. At the </w:t>
      </w:r>
      <w:r w:rsidR="00724DEA" w:rsidRPr="000214C8">
        <w:rPr>
          <w:rFonts w:asciiTheme="majorHAnsi" w:hAnsiTheme="majorHAnsi"/>
          <w:sz w:val="22"/>
          <w:szCs w:val="22"/>
        </w:rPr>
        <w:t>second</w:t>
      </w:r>
      <w:r w:rsidR="00D63DB7" w:rsidRPr="000214C8">
        <w:rPr>
          <w:rFonts w:asciiTheme="majorHAnsi" w:hAnsiTheme="majorHAnsi"/>
          <w:sz w:val="22"/>
          <w:szCs w:val="22"/>
        </w:rPr>
        <w:t xml:space="preserve"> meeting of the </w:t>
      </w:r>
      <w:r w:rsidRPr="000214C8">
        <w:rPr>
          <w:rFonts w:asciiTheme="majorHAnsi" w:hAnsiTheme="majorHAnsi"/>
          <w:sz w:val="22"/>
          <w:szCs w:val="22"/>
        </w:rPr>
        <w:t>sub</w:t>
      </w:r>
      <w:r w:rsidR="00724DEA" w:rsidRPr="000214C8">
        <w:rPr>
          <w:rFonts w:asciiTheme="majorHAnsi" w:hAnsiTheme="majorHAnsi"/>
          <w:sz w:val="22"/>
          <w:szCs w:val="22"/>
        </w:rPr>
        <w:t>-</w:t>
      </w:r>
      <w:r w:rsidRPr="000214C8">
        <w:rPr>
          <w:rFonts w:asciiTheme="majorHAnsi" w:hAnsiTheme="majorHAnsi"/>
          <w:sz w:val="22"/>
          <w:szCs w:val="22"/>
        </w:rPr>
        <w:t>group</w:t>
      </w:r>
      <w:r w:rsidR="00724DEA" w:rsidRPr="000214C8">
        <w:rPr>
          <w:rFonts w:asciiTheme="majorHAnsi" w:hAnsiTheme="majorHAnsi"/>
          <w:sz w:val="22"/>
          <w:szCs w:val="22"/>
        </w:rPr>
        <w:t xml:space="preserve"> on AI</w:t>
      </w:r>
      <w:r w:rsidRPr="000214C8">
        <w:rPr>
          <w:rFonts w:asciiTheme="majorHAnsi" w:hAnsiTheme="majorHAnsi"/>
          <w:sz w:val="22"/>
          <w:szCs w:val="22"/>
        </w:rPr>
        <w:t xml:space="preserve"> </w:t>
      </w:r>
      <w:r w:rsidR="00724DEA" w:rsidRPr="000214C8">
        <w:rPr>
          <w:rFonts w:asciiTheme="majorHAnsi" w:hAnsiTheme="majorHAnsi"/>
          <w:sz w:val="22"/>
          <w:szCs w:val="22"/>
        </w:rPr>
        <w:t xml:space="preserve">which took place </w:t>
      </w:r>
      <w:r w:rsidRPr="000214C8">
        <w:rPr>
          <w:rFonts w:asciiTheme="majorHAnsi" w:hAnsiTheme="majorHAnsi"/>
          <w:sz w:val="22"/>
          <w:szCs w:val="22"/>
        </w:rPr>
        <w:t>on 10 April 2025</w:t>
      </w:r>
      <w:r w:rsidR="00D63DB7" w:rsidRPr="000214C8">
        <w:rPr>
          <w:rFonts w:asciiTheme="majorHAnsi" w:hAnsiTheme="majorHAnsi"/>
          <w:sz w:val="22"/>
          <w:szCs w:val="22"/>
        </w:rPr>
        <w:t xml:space="preserve">, </w:t>
      </w:r>
      <w:r w:rsidR="00D331F2" w:rsidRPr="000214C8">
        <w:rPr>
          <w:rFonts w:asciiTheme="majorHAnsi" w:hAnsiTheme="majorHAnsi"/>
          <w:sz w:val="22"/>
          <w:szCs w:val="22"/>
        </w:rPr>
        <w:t xml:space="preserve">the </w:t>
      </w:r>
      <w:r w:rsidR="00D63DB7" w:rsidRPr="000214C8">
        <w:rPr>
          <w:rFonts w:asciiTheme="majorHAnsi" w:hAnsiTheme="majorHAnsi"/>
          <w:sz w:val="22"/>
          <w:szCs w:val="22"/>
        </w:rPr>
        <w:t>Commission presented</w:t>
      </w:r>
      <w:r w:rsidR="007975E4" w:rsidRPr="000214C8">
        <w:rPr>
          <w:rFonts w:asciiTheme="majorHAnsi" w:hAnsiTheme="majorHAnsi"/>
          <w:sz w:val="22"/>
          <w:szCs w:val="22"/>
        </w:rPr>
        <w:t xml:space="preserve"> </w:t>
      </w:r>
      <w:r w:rsidR="00724DEA" w:rsidRPr="000214C8">
        <w:rPr>
          <w:rFonts w:asciiTheme="majorHAnsi" w:hAnsiTheme="majorHAnsi"/>
          <w:sz w:val="22"/>
          <w:szCs w:val="22"/>
        </w:rPr>
        <w:t>a</w:t>
      </w:r>
      <w:r w:rsidR="007975E4" w:rsidRPr="000214C8">
        <w:rPr>
          <w:rFonts w:asciiTheme="majorHAnsi" w:hAnsiTheme="majorHAnsi"/>
          <w:sz w:val="22"/>
          <w:szCs w:val="22"/>
        </w:rPr>
        <w:t xml:space="preserve"> </w:t>
      </w:r>
      <w:r w:rsidR="00D331F2" w:rsidRPr="000214C8">
        <w:rPr>
          <w:rFonts w:asciiTheme="majorHAnsi" w:hAnsiTheme="majorHAnsi"/>
          <w:sz w:val="22"/>
          <w:szCs w:val="22"/>
        </w:rPr>
        <w:t xml:space="preserve">paper mapping potential contestability and fairness issues </w:t>
      </w:r>
      <w:r w:rsidR="00202CA8">
        <w:rPr>
          <w:rFonts w:asciiTheme="majorHAnsi" w:hAnsiTheme="majorHAnsi"/>
          <w:sz w:val="22"/>
          <w:szCs w:val="22"/>
        </w:rPr>
        <w:t>across</w:t>
      </w:r>
      <w:r w:rsidR="00202CA8" w:rsidRPr="000214C8">
        <w:rPr>
          <w:rFonts w:asciiTheme="majorHAnsi" w:hAnsiTheme="majorHAnsi"/>
          <w:sz w:val="22"/>
          <w:szCs w:val="22"/>
        </w:rPr>
        <w:t xml:space="preserve"> </w:t>
      </w:r>
      <w:r w:rsidR="00D331F2" w:rsidRPr="000214C8">
        <w:rPr>
          <w:rFonts w:asciiTheme="majorHAnsi" w:hAnsiTheme="majorHAnsi"/>
          <w:sz w:val="22"/>
          <w:szCs w:val="22"/>
        </w:rPr>
        <w:t>the AI value chain</w:t>
      </w:r>
      <w:r w:rsidR="00C80E8A">
        <w:rPr>
          <w:rFonts w:asciiTheme="majorHAnsi" w:hAnsiTheme="majorHAnsi"/>
          <w:sz w:val="22"/>
          <w:szCs w:val="22"/>
        </w:rPr>
        <w:t xml:space="preserve"> </w:t>
      </w:r>
      <w:r w:rsidR="007C0FD5">
        <w:rPr>
          <w:rFonts w:asciiTheme="majorHAnsi" w:hAnsiTheme="majorHAnsi"/>
          <w:sz w:val="22"/>
          <w:szCs w:val="22"/>
        </w:rPr>
        <w:t>and</w:t>
      </w:r>
      <w:r w:rsidR="00182DE8" w:rsidRPr="000214C8">
        <w:rPr>
          <w:rFonts w:asciiTheme="majorHAnsi" w:hAnsiTheme="majorHAnsi"/>
          <w:sz w:val="22"/>
          <w:szCs w:val="22"/>
        </w:rPr>
        <w:t xml:space="preserve"> </w:t>
      </w:r>
      <w:r w:rsidR="00C80E8A" w:rsidRPr="00C80E8A">
        <w:rPr>
          <w:rFonts w:asciiTheme="majorHAnsi" w:hAnsiTheme="majorHAnsi"/>
          <w:sz w:val="22"/>
          <w:szCs w:val="22"/>
        </w:rPr>
        <w:t>summaris</w:t>
      </w:r>
      <w:r w:rsidR="007C0FD5">
        <w:rPr>
          <w:rFonts w:asciiTheme="majorHAnsi" w:hAnsiTheme="majorHAnsi"/>
          <w:sz w:val="22"/>
          <w:szCs w:val="22"/>
        </w:rPr>
        <w:t>ing</w:t>
      </w:r>
      <w:r w:rsidR="00C80E8A">
        <w:rPr>
          <w:rFonts w:asciiTheme="majorHAnsi" w:hAnsiTheme="majorHAnsi"/>
          <w:sz w:val="22"/>
          <w:szCs w:val="22"/>
        </w:rPr>
        <w:t xml:space="preserve"> </w:t>
      </w:r>
      <w:r w:rsidR="00202CA8">
        <w:rPr>
          <w:rFonts w:asciiTheme="majorHAnsi" w:hAnsiTheme="majorHAnsi"/>
          <w:sz w:val="22"/>
          <w:szCs w:val="22"/>
        </w:rPr>
        <w:t>some</w:t>
      </w:r>
      <w:r w:rsidR="00C80E8A" w:rsidRPr="00C80E8A">
        <w:rPr>
          <w:rFonts w:asciiTheme="majorHAnsi" w:hAnsiTheme="majorHAnsi"/>
          <w:sz w:val="22"/>
          <w:szCs w:val="22"/>
        </w:rPr>
        <w:t xml:space="preserve"> reflections </w:t>
      </w:r>
      <w:r w:rsidR="00182DE8" w:rsidRPr="000214C8">
        <w:rPr>
          <w:rFonts w:asciiTheme="majorHAnsi" w:hAnsiTheme="majorHAnsi"/>
          <w:sz w:val="22"/>
          <w:szCs w:val="22"/>
        </w:rPr>
        <w:t xml:space="preserve">for </w:t>
      </w:r>
      <w:r w:rsidR="00202CA8">
        <w:rPr>
          <w:rFonts w:asciiTheme="majorHAnsi" w:hAnsiTheme="majorHAnsi"/>
          <w:sz w:val="22"/>
          <w:szCs w:val="22"/>
        </w:rPr>
        <w:t xml:space="preserve">an </w:t>
      </w:r>
      <w:r w:rsidR="00C80E8A">
        <w:rPr>
          <w:rFonts w:asciiTheme="majorHAnsi" w:hAnsiTheme="majorHAnsi"/>
          <w:sz w:val="22"/>
          <w:szCs w:val="22"/>
        </w:rPr>
        <w:t xml:space="preserve">internal </w:t>
      </w:r>
      <w:r w:rsidR="00182DE8" w:rsidRPr="000214C8">
        <w:rPr>
          <w:rFonts w:asciiTheme="majorHAnsi" w:hAnsiTheme="majorHAnsi"/>
          <w:sz w:val="22"/>
          <w:szCs w:val="22"/>
        </w:rPr>
        <w:t>discussion within the sub</w:t>
      </w:r>
      <w:r w:rsidR="00724DEA" w:rsidRPr="000214C8">
        <w:rPr>
          <w:rFonts w:asciiTheme="majorHAnsi" w:hAnsiTheme="majorHAnsi"/>
          <w:sz w:val="22"/>
          <w:szCs w:val="22"/>
        </w:rPr>
        <w:t>-</w:t>
      </w:r>
      <w:r w:rsidR="00182DE8" w:rsidRPr="000214C8">
        <w:rPr>
          <w:rFonts w:asciiTheme="majorHAnsi" w:hAnsiTheme="majorHAnsi"/>
          <w:sz w:val="22"/>
          <w:szCs w:val="22"/>
        </w:rPr>
        <w:t>group</w:t>
      </w:r>
      <w:r w:rsidR="007975E4" w:rsidRPr="000214C8">
        <w:rPr>
          <w:rFonts w:asciiTheme="majorHAnsi" w:hAnsiTheme="majorHAnsi"/>
          <w:sz w:val="22"/>
          <w:szCs w:val="22"/>
        </w:rPr>
        <w:t>.</w:t>
      </w:r>
    </w:p>
    <w:p w14:paraId="2735A6E7" w14:textId="659E774D" w:rsidR="00FE498E" w:rsidRPr="000214C8" w:rsidRDefault="00FE498E" w:rsidP="00FE498E">
      <w:pPr>
        <w:spacing w:after="240" w:line="240" w:lineRule="auto"/>
        <w:jc w:val="both"/>
        <w:rPr>
          <w:rFonts w:asciiTheme="majorHAnsi" w:hAnsiTheme="majorHAnsi"/>
          <w:sz w:val="22"/>
          <w:szCs w:val="22"/>
        </w:rPr>
      </w:pPr>
      <w:r w:rsidRPr="000214C8">
        <w:rPr>
          <w:rFonts w:asciiTheme="majorHAnsi" w:hAnsiTheme="majorHAnsi"/>
          <w:sz w:val="22"/>
          <w:szCs w:val="22"/>
        </w:rPr>
        <w:t xml:space="preserve">Following the discussion, the Commission invited the members of the sub-group to provide their </w:t>
      </w:r>
      <w:r w:rsidR="00482759">
        <w:rPr>
          <w:rFonts w:asciiTheme="majorHAnsi" w:hAnsiTheme="majorHAnsi"/>
          <w:sz w:val="22"/>
          <w:szCs w:val="22"/>
        </w:rPr>
        <w:t xml:space="preserve">own </w:t>
      </w:r>
      <w:r w:rsidRPr="000214C8">
        <w:rPr>
          <w:rFonts w:asciiTheme="majorHAnsi" w:hAnsiTheme="majorHAnsi"/>
          <w:sz w:val="22"/>
          <w:szCs w:val="22"/>
        </w:rPr>
        <w:t>contributions</w:t>
      </w:r>
      <w:r w:rsidR="00482759">
        <w:rPr>
          <w:rFonts w:asciiTheme="majorHAnsi" w:hAnsiTheme="majorHAnsi"/>
          <w:sz w:val="22"/>
          <w:szCs w:val="22"/>
        </w:rPr>
        <w:t xml:space="preserve"> </w:t>
      </w:r>
      <w:r w:rsidR="003060F0" w:rsidRPr="000214C8">
        <w:rPr>
          <w:rFonts w:asciiTheme="majorHAnsi" w:hAnsiTheme="majorHAnsi"/>
          <w:sz w:val="22"/>
          <w:szCs w:val="22"/>
        </w:rPr>
        <w:t xml:space="preserve">with </w:t>
      </w:r>
      <w:r w:rsidR="00202CA8">
        <w:rPr>
          <w:rFonts w:asciiTheme="majorHAnsi" w:hAnsiTheme="majorHAnsi"/>
          <w:sz w:val="22"/>
          <w:szCs w:val="22"/>
        </w:rPr>
        <w:t>a view</w:t>
      </w:r>
      <w:r w:rsidR="003060F0" w:rsidRPr="000214C8">
        <w:rPr>
          <w:rFonts w:asciiTheme="majorHAnsi" w:hAnsiTheme="majorHAnsi"/>
          <w:sz w:val="22"/>
          <w:szCs w:val="22"/>
        </w:rPr>
        <w:t xml:space="preserve"> to further map</w:t>
      </w:r>
      <w:r w:rsidR="00202CA8">
        <w:rPr>
          <w:rFonts w:asciiTheme="majorHAnsi" w:hAnsiTheme="majorHAnsi"/>
          <w:sz w:val="22"/>
          <w:szCs w:val="22"/>
        </w:rPr>
        <w:t>ping</w:t>
      </w:r>
      <w:r w:rsidR="003060F0" w:rsidRPr="000214C8">
        <w:rPr>
          <w:rFonts w:asciiTheme="majorHAnsi" w:hAnsiTheme="majorHAnsi"/>
          <w:sz w:val="22"/>
          <w:szCs w:val="22"/>
        </w:rPr>
        <w:t xml:space="preserve"> regulatory </w:t>
      </w:r>
      <w:r w:rsidR="0026285F" w:rsidRPr="0039144A">
        <w:rPr>
          <w:rFonts w:asciiTheme="majorHAnsi" w:hAnsiTheme="majorHAnsi"/>
          <w:sz w:val="22"/>
          <w:szCs w:val="22"/>
        </w:rPr>
        <w:t xml:space="preserve">complementarities across different legal </w:t>
      </w:r>
      <w:r w:rsidR="0026285F">
        <w:rPr>
          <w:rFonts w:asciiTheme="majorHAnsi" w:hAnsiTheme="majorHAnsi"/>
          <w:sz w:val="22"/>
          <w:szCs w:val="22"/>
        </w:rPr>
        <w:t>frameworks</w:t>
      </w:r>
      <w:r w:rsidR="00BB662A">
        <w:rPr>
          <w:rFonts w:asciiTheme="majorHAnsi" w:hAnsiTheme="majorHAnsi"/>
          <w:sz w:val="22"/>
          <w:szCs w:val="22"/>
        </w:rPr>
        <w:t xml:space="preserve"> </w:t>
      </w:r>
      <w:proofErr w:type="gramStart"/>
      <w:r w:rsidR="00BB662A">
        <w:rPr>
          <w:rFonts w:asciiTheme="majorHAnsi" w:hAnsiTheme="majorHAnsi"/>
          <w:sz w:val="22"/>
          <w:szCs w:val="22"/>
        </w:rPr>
        <w:t>with regard to</w:t>
      </w:r>
      <w:proofErr w:type="gramEnd"/>
      <w:r w:rsidR="00BB662A">
        <w:rPr>
          <w:rFonts w:asciiTheme="majorHAnsi" w:hAnsiTheme="majorHAnsi"/>
          <w:sz w:val="22"/>
          <w:szCs w:val="22"/>
        </w:rPr>
        <w:t xml:space="preserve"> </w:t>
      </w:r>
      <w:r w:rsidR="003060F0" w:rsidRPr="000214C8">
        <w:rPr>
          <w:rFonts w:asciiTheme="majorHAnsi" w:hAnsiTheme="majorHAnsi"/>
          <w:sz w:val="22"/>
          <w:szCs w:val="22"/>
        </w:rPr>
        <w:t>AI</w:t>
      </w:r>
      <w:r w:rsidR="00202CA8">
        <w:rPr>
          <w:rFonts w:asciiTheme="majorHAnsi" w:hAnsiTheme="majorHAnsi"/>
          <w:sz w:val="22"/>
          <w:szCs w:val="22"/>
        </w:rPr>
        <w:t xml:space="preserve">. The Commission </w:t>
      </w:r>
      <w:r w:rsidR="002A6B0B">
        <w:rPr>
          <w:rFonts w:asciiTheme="majorHAnsi" w:hAnsiTheme="majorHAnsi"/>
          <w:sz w:val="22"/>
          <w:szCs w:val="22"/>
        </w:rPr>
        <w:t xml:space="preserve">invited </w:t>
      </w:r>
      <w:r w:rsidR="007D5189">
        <w:rPr>
          <w:rFonts w:asciiTheme="majorHAnsi" w:hAnsiTheme="majorHAnsi"/>
          <w:sz w:val="22"/>
          <w:szCs w:val="22"/>
        </w:rPr>
        <w:t>attention to</w:t>
      </w:r>
      <w:r w:rsidR="00202CA8">
        <w:rPr>
          <w:rFonts w:asciiTheme="majorHAnsi" w:hAnsiTheme="majorHAnsi"/>
          <w:sz w:val="22"/>
          <w:szCs w:val="22"/>
        </w:rPr>
        <w:t xml:space="preserve"> </w:t>
      </w:r>
      <w:r w:rsidR="00202CA8" w:rsidRPr="000214C8">
        <w:rPr>
          <w:rFonts w:asciiTheme="majorHAnsi" w:hAnsiTheme="majorHAnsi"/>
          <w:sz w:val="22"/>
          <w:szCs w:val="22"/>
        </w:rPr>
        <w:t>the following areas</w:t>
      </w:r>
      <w:r w:rsidRPr="000214C8">
        <w:rPr>
          <w:rFonts w:asciiTheme="majorHAnsi" w:hAnsiTheme="majorHAnsi"/>
          <w:sz w:val="22"/>
          <w:szCs w:val="22"/>
        </w:rPr>
        <w:t>:</w:t>
      </w:r>
    </w:p>
    <w:p w14:paraId="5050AB3B" w14:textId="37D5D0FF" w:rsidR="003060F0" w:rsidRPr="000214C8" w:rsidRDefault="00CB04D7" w:rsidP="003060F0">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M</w:t>
      </w:r>
      <w:r w:rsidR="003060F0" w:rsidRPr="000214C8">
        <w:rPr>
          <w:rFonts w:asciiTheme="majorHAnsi" w:hAnsiTheme="majorHAnsi"/>
          <w:sz w:val="22"/>
          <w:szCs w:val="22"/>
        </w:rPr>
        <w:t xml:space="preserve">apping potential contestability and fairness issues </w:t>
      </w:r>
      <w:r w:rsidR="00972115">
        <w:rPr>
          <w:rFonts w:asciiTheme="majorHAnsi" w:hAnsiTheme="majorHAnsi"/>
          <w:sz w:val="22"/>
          <w:szCs w:val="22"/>
        </w:rPr>
        <w:t>across</w:t>
      </w:r>
      <w:r w:rsidR="00972115" w:rsidRPr="000214C8">
        <w:rPr>
          <w:rFonts w:asciiTheme="majorHAnsi" w:hAnsiTheme="majorHAnsi"/>
          <w:sz w:val="22"/>
          <w:szCs w:val="22"/>
        </w:rPr>
        <w:t xml:space="preserve"> </w:t>
      </w:r>
      <w:r w:rsidR="003060F0" w:rsidRPr="000214C8">
        <w:rPr>
          <w:rFonts w:asciiTheme="majorHAnsi" w:hAnsiTheme="majorHAnsi"/>
          <w:sz w:val="22"/>
          <w:szCs w:val="22"/>
        </w:rPr>
        <w:t xml:space="preserve">the AI value chain, building on those identified in the Commission’s discussion paper and </w:t>
      </w:r>
      <w:r w:rsidR="00972115">
        <w:rPr>
          <w:rFonts w:asciiTheme="majorHAnsi" w:hAnsiTheme="majorHAnsi"/>
          <w:sz w:val="22"/>
          <w:szCs w:val="22"/>
        </w:rPr>
        <w:t xml:space="preserve">identifying </w:t>
      </w:r>
      <w:r w:rsidR="003060F0" w:rsidRPr="000214C8">
        <w:rPr>
          <w:rFonts w:asciiTheme="majorHAnsi" w:hAnsiTheme="majorHAnsi"/>
          <w:sz w:val="22"/>
          <w:szCs w:val="22"/>
        </w:rPr>
        <w:t xml:space="preserve">possible </w:t>
      </w:r>
      <w:proofErr w:type="gramStart"/>
      <w:r w:rsidR="003060F0" w:rsidRPr="000214C8">
        <w:rPr>
          <w:rFonts w:asciiTheme="majorHAnsi" w:hAnsiTheme="majorHAnsi"/>
          <w:sz w:val="22"/>
          <w:szCs w:val="22"/>
        </w:rPr>
        <w:t>gaps;</w:t>
      </w:r>
      <w:proofErr w:type="gramEnd"/>
    </w:p>
    <w:p w14:paraId="294931FE" w14:textId="24E73716" w:rsidR="003060F0" w:rsidRPr="000214C8" w:rsidRDefault="00CB04D7" w:rsidP="003060F0">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M</w:t>
      </w:r>
      <w:r w:rsidR="003060F0" w:rsidRPr="000214C8">
        <w:rPr>
          <w:rFonts w:asciiTheme="majorHAnsi" w:hAnsiTheme="majorHAnsi"/>
          <w:sz w:val="22"/>
          <w:szCs w:val="22"/>
        </w:rPr>
        <w:t>apping potential issues</w:t>
      </w:r>
      <w:r w:rsidR="002A6B0B">
        <w:rPr>
          <w:rFonts w:asciiTheme="majorHAnsi" w:hAnsiTheme="majorHAnsi"/>
          <w:sz w:val="22"/>
          <w:szCs w:val="22"/>
        </w:rPr>
        <w:t xml:space="preserve"> across the AI value chain</w:t>
      </w:r>
      <w:r w:rsidR="003060F0" w:rsidRPr="000214C8">
        <w:rPr>
          <w:rFonts w:asciiTheme="majorHAnsi" w:hAnsiTheme="majorHAnsi"/>
          <w:sz w:val="22"/>
          <w:szCs w:val="22"/>
        </w:rPr>
        <w:t xml:space="preserve"> relating to the interplay of </w:t>
      </w:r>
      <w:r w:rsidR="00C32D10">
        <w:rPr>
          <w:rFonts w:asciiTheme="majorHAnsi" w:hAnsiTheme="majorHAnsi"/>
          <w:sz w:val="22"/>
          <w:szCs w:val="22"/>
        </w:rPr>
        <w:t>different regulatory frameworks</w:t>
      </w:r>
      <w:r w:rsidR="003060F0" w:rsidRPr="000214C8">
        <w:rPr>
          <w:rFonts w:asciiTheme="majorHAnsi" w:hAnsiTheme="majorHAnsi"/>
          <w:sz w:val="22"/>
          <w:szCs w:val="22"/>
        </w:rPr>
        <w:t xml:space="preserve"> (data protection, consumer protection, competition,</w:t>
      </w:r>
      <w:r w:rsidR="00A57363">
        <w:rPr>
          <w:rFonts w:asciiTheme="majorHAnsi" w:hAnsiTheme="majorHAnsi"/>
          <w:sz w:val="22"/>
          <w:szCs w:val="22"/>
        </w:rPr>
        <w:t xml:space="preserve"> media, electronic communication</w:t>
      </w:r>
      <w:r w:rsidR="003060F0" w:rsidRPr="000214C8">
        <w:rPr>
          <w:rFonts w:asciiTheme="majorHAnsi" w:hAnsiTheme="majorHAnsi"/>
          <w:sz w:val="22"/>
          <w:szCs w:val="22"/>
        </w:rPr>
        <w:t xml:space="preserve">) with respect to the AI value </w:t>
      </w:r>
      <w:proofErr w:type="gramStart"/>
      <w:r w:rsidR="003060F0" w:rsidRPr="000214C8">
        <w:rPr>
          <w:rFonts w:asciiTheme="majorHAnsi" w:hAnsiTheme="majorHAnsi"/>
          <w:sz w:val="22"/>
          <w:szCs w:val="22"/>
        </w:rPr>
        <w:t>chain;</w:t>
      </w:r>
      <w:proofErr w:type="gramEnd"/>
    </w:p>
    <w:p w14:paraId="5F9F9EE6" w14:textId="36745249" w:rsidR="003060F0" w:rsidRPr="000214C8" w:rsidRDefault="00CB04D7" w:rsidP="003060F0">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 xml:space="preserve">Identifying </w:t>
      </w:r>
      <w:r w:rsidR="003060F0" w:rsidRPr="000214C8">
        <w:rPr>
          <w:rFonts w:asciiTheme="majorHAnsi" w:hAnsiTheme="majorHAnsi"/>
          <w:sz w:val="22"/>
          <w:szCs w:val="22"/>
        </w:rPr>
        <w:t xml:space="preserve">areas of potential </w:t>
      </w:r>
      <w:r w:rsidR="006A6A24">
        <w:rPr>
          <w:rFonts w:asciiTheme="majorHAnsi" w:hAnsiTheme="majorHAnsi"/>
          <w:sz w:val="22"/>
          <w:szCs w:val="22"/>
        </w:rPr>
        <w:t>touch points and synergies</w:t>
      </w:r>
      <w:r w:rsidR="006A6A24" w:rsidRPr="000214C8">
        <w:rPr>
          <w:rFonts w:asciiTheme="majorHAnsi" w:hAnsiTheme="majorHAnsi"/>
          <w:sz w:val="22"/>
          <w:szCs w:val="22"/>
        </w:rPr>
        <w:t xml:space="preserve"> </w:t>
      </w:r>
      <w:r w:rsidR="006A6A24">
        <w:rPr>
          <w:rFonts w:asciiTheme="majorHAnsi" w:hAnsiTheme="majorHAnsi"/>
          <w:sz w:val="22"/>
          <w:szCs w:val="22"/>
        </w:rPr>
        <w:t>across</w:t>
      </w:r>
      <w:r w:rsidR="006A6A24" w:rsidRPr="000214C8">
        <w:rPr>
          <w:rFonts w:asciiTheme="majorHAnsi" w:hAnsiTheme="majorHAnsi"/>
          <w:sz w:val="22"/>
          <w:szCs w:val="22"/>
        </w:rPr>
        <w:t xml:space="preserve"> </w:t>
      </w:r>
      <w:r w:rsidR="003060F0" w:rsidRPr="000214C8">
        <w:rPr>
          <w:rFonts w:asciiTheme="majorHAnsi" w:hAnsiTheme="majorHAnsi"/>
          <w:sz w:val="22"/>
          <w:szCs w:val="22"/>
        </w:rPr>
        <w:t xml:space="preserve">EU regulatory frameworks concerning </w:t>
      </w:r>
      <w:proofErr w:type="gramStart"/>
      <w:r w:rsidR="003060F0" w:rsidRPr="000214C8">
        <w:rPr>
          <w:rFonts w:asciiTheme="majorHAnsi" w:hAnsiTheme="majorHAnsi"/>
          <w:sz w:val="22"/>
          <w:szCs w:val="22"/>
        </w:rPr>
        <w:t>AI;</w:t>
      </w:r>
      <w:proofErr w:type="gramEnd"/>
    </w:p>
    <w:p w14:paraId="0B7E0167" w14:textId="130FA7D8" w:rsidR="003060F0" w:rsidRPr="000214C8" w:rsidRDefault="00CB04D7" w:rsidP="003060F0">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Identifying</w:t>
      </w:r>
      <w:r w:rsidRPr="000214C8">
        <w:rPr>
          <w:rFonts w:asciiTheme="majorHAnsi" w:hAnsiTheme="majorHAnsi"/>
          <w:sz w:val="22"/>
          <w:szCs w:val="22"/>
        </w:rPr>
        <w:t xml:space="preserve"> </w:t>
      </w:r>
      <w:r w:rsidR="003060F0" w:rsidRPr="000214C8">
        <w:rPr>
          <w:rFonts w:asciiTheme="majorHAnsi" w:hAnsiTheme="majorHAnsi"/>
          <w:sz w:val="22"/>
          <w:szCs w:val="22"/>
        </w:rPr>
        <w:t>areas where</w:t>
      </w:r>
      <w:r>
        <w:rPr>
          <w:rFonts w:asciiTheme="majorHAnsi" w:hAnsiTheme="majorHAnsi"/>
          <w:sz w:val="22"/>
          <w:szCs w:val="22"/>
        </w:rPr>
        <w:t xml:space="preserve"> it will be essential to ensure</w:t>
      </w:r>
      <w:r w:rsidR="003060F0" w:rsidRPr="000214C8">
        <w:rPr>
          <w:rFonts w:asciiTheme="majorHAnsi" w:hAnsiTheme="majorHAnsi"/>
          <w:sz w:val="22"/>
          <w:szCs w:val="22"/>
        </w:rPr>
        <w:t xml:space="preserve"> regulatory consistency across different legal </w:t>
      </w:r>
      <w:proofErr w:type="gramStart"/>
      <w:r w:rsidR="003060F0" w:rsidRPr="000214C8">
        <w:rPr>
          <w:rFonts w:asciiTheme="majorHAnsi" w:hAnsiTheme="majorHAnsi"/>
          <w:sz w:val="22"/>
          <w:szCs w:val="22"/>
        </w:rPr>
        <w:t>instruments;</w:t>
      </w:r>
      <w:proofErr w:type="gramEnd"/>
    </w:p>
    <w:p w14:paraId="1FA19B7B" w14:textId="2523E502" w:rsidR="00ED1A76" w:rsidRDefault="00CB04D7" w:rsidP="00A57363">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Identifying a</w:t>
      </w:r>
      <w:r w:rsidR="003060F0" w:rsidRPr="000214C8">
        <w:rPr>
          <w:rFonts w:asciiTheme="majorHAnsi" w:hAnsiTheme="majorHAnsi"/>
          <w:sz w:val="22"/>
          <w:szCs w:val="22"/>
        </w:rPr>
        <w:t xml:space="preserve">ny areas </w:t>
      </w:r>
      <w:r>
        <w:rPr>
          <w:rFonts w:asciiTheme="majorHAnsi" w:hAnsiTheme="majorHAnsi"/>
          <w:sz w:val="22"/>
          <w:szCs w:val="22"/>
        </w:rPr>
        <w:t xml:space="preserve">where barriers to enforcement could occur from the </w:t>
      </w:r>
      <w:r w:rsidR="003060F0" w:rsidRPr="000214C8">
        <w:rPr>
          <w:rFonts w:asciiTheme="majorHAnsi" w:hAnsiTheme="majorHAnsi"/>
          <w:sz w:val="22"/>
          <w:szCs w:val="22"/>
        </w:rPr>
        <w:t xml:space="preserve">ambiguity in how different legal instruments scope key </w:t>
      </w:r>
      <w:r>
        <w:rPr>
          <w:rFonts w:asciiTheme="majorHAnsi" w:hAnsiTheme="majorHAnsi"/>
          <w:sz w:val="22"/>
          <w:szCs w:val="22"/>
        </w:rPr>
        <w:t xml:space="preserve">AI </w:t>
      </w:r>
      <w:r w:rsidR="003060F0" w:rsidRPr="000214C8">
        <w:rPr>
          <w:rFonts w:asciiTheme="majorHAnsi" w:hAnsiTheme="majorHAnsi"/>
          <w:sz w:val="22"/>
          <w:szCs w:val="22"/>
        </w:rPr>
        <w:t>concepts</w:t>
      </w:r>
      <w:r w:rsidR="00ED1A76">
        <w:rPr>
          <w:rFonts w:asciiTheme="majorHAnsi" w:hAnsiTheme="majorHAnsi"/>
          <w:sz w:val="22"/>
          <w:szCs w:val="22"/>
        </w:rPr>
        <w:t>;</w:t>
      </w:r>
      <w:r>
        <w:rPr>
          <w:rFonts w:asciiTheme="majorHAnsi" w:hAnsiTheme="majorHAnsi"/>
          <w:sz w:val="22"/>
          <w:szCs w:val="22"/>
        </w:rPr>
        <w:t xml:space="preserve"> and</w:t>
      </w:r>
    </w:p>
    <w:p w14:paraId="6DC60BC4" w14:textId="6D154BB9" w:rsidR="00A57363" w:rsidRPr="00ED1A76" w:rsidRDefault="00CB04D7" w:rsidP="00A57363">
      <w:pPr>
        <w:pStyle w:val="ListParagraph"/>
        <w:numPr>
          <w:ilvl w:val="0"/>
          <w:numId w:val="54"/>
        </w:numPr>
        <w:spacing w:after="240" w:line="240" w:lineRule="auto"/>
        <w:jc w:val="both"/>
        <w:rPr>
          <w:rFonts w:asciiTheme="majorHAnsi" w:hAnsiTheme="majorHAnsi"/>
          <w:sz w:val="22"/>
          <w:szCs w:val="22"/>
        </w:rPr>
      </w:pPr>
      <w:r>
        <w:rPr>
          <w:rFonts w:asciiTheme="majorHAnsi" w:hAnsiTheme="majorHAnsi"/>
          <w:sz w:val="22"/>
          <w:szCs w:val="22"/>
        </w:rPr>
        <w:t>Identifying a</w:t>
      </w:r>
      <w:r w:rsidR="003060F0" w:rsidRPr="00ED1A76">
        <w:rPr>
          <w:rFonts w:asciiTheme="majorHAnsi" w:hAnsiTheme="majorHAnsi"/>
          <w:sz w:val="22"/>
          <w:szCs w:val="22"/>
        </w:rPr>
        <w:t xml:space="preserve">ny instances where regulatory inconsistency or uncertainty may be a discouraging factor for AI innovation or a burden for small actors. </w:t>
      </w:r>
    </w:p>
    <w:p w14:paraId="2A4612E5" w14:textId="132B2458" w:rsidR="0057060A" w:rsidRPr="00ED1A76" w:rsidRDefault="00842B1B" w:rsidP="00A57363">
      <w:pPr>
        <w:spacing w:after="240" w:line="240" w:lineRule="auto"/>
        <w:jc w:val="both"/>
        <w:rPr>
          <w:rFonts w:asciiTheme="majorHAnsi" w:hAnsiTheme="majorHAnsi"/>
          <w:sz w:val="22"/>
          <w:szCs w:val="22"/>
        </w:rPr>
      </w:pPr>
      <w:r w:rsidRPr="00ED1A76">
        <w:rPr>
          <w:rFonts w:asciiTheme="majorHAnsi" w:hAnsiTheme="majorHAnsi"/>
          <w:sz w:val="22"/>
          <w:szCs w:val="22"/>
        </w:rPr>
        <w:t xml:space="preserve">This paper </w:t>
      </w:r>
      <w:r w:rsidR="00D331F2" w:rsidRPr="00ED1A76">
        <w:rPr>
          <w:rFonts w:asciiTheme="majorHAnsi" w:hAnsiTheme="majorHAnsi"/>
          <w:sz w:val="22"/>
          <w:szCs w:val="22"/>
        </w:rPr>
        <w:t xml:space="preserve">provides an overview of the commonalities and cross-cutting themes </w:t>
      </w:r>
      <w:r w:rsidR="007975E4" w:rsidRPr="00ED1A76">
        <w:rPr>
          <w:rFonts w:asciiTheme="majorHAnsi" w:hAnsiTheme="majorHAnsi"/>
          <w:sz w:val="22"/>
          <w:szCs w:val="22"/>
        </w:rPr>
        <w:t xml:space="preserve">identified by the </w:t>
      </w:r>
      <w:r w:rsidR="006A6A24">
        <w:rPr>
          <w:rFonts w:asciiTheme="majorHAnsi" w:hAnsiTheme="majorHAnsi"/>
          <w:sz w:val="22"/>
          <w:szCs w:val="22"/>
        </w:rPr>
        <w:t>members of the DMA High Level Group</w:t>
      </w:r>
      <w:r w:rsidR="00D331F2" w:rsidRPr="00ED1A76">
        <w:rPr>
          <w:rFonts w:asciiTheme="majorHAnsi" w:hAnsiTheme="majorHAnsi"/>
          <w:sz w:val="22"/>
          <w:szCs w:val="22"/>
        </w:rPr>
        <w:t>.</w:t>
      </w:r>
      <w:r w:rsidR="007A088B" w:rsidRPr="00ED1A76">
        <w:rPr>
          <w:rFonts w:asciiTheme="majorHAnsi" w:hAnsiTheme="majorHAnsi"/>
          <w:sz w:val="22"/>
          <w:szCs w:val="22"/>
        </w:rPr>
        <w:t xml:space="preserve"> It aims to outline areas of common ground </w:t>
      </w:r>
      <w:r w:rsidR="00BE199E" w:rsidRPr="00ED1A76">
        <w:rPr>
          <w:rFonts w:asciiTheme="majorHAnsi" w:hAnsiTheme="majorHAnsi"/>
          <w:sz w:val="22"/>
          <w:szCs w:val="22"/>
        </w:rPr>
        <w:t xml:space="preserve">and the </w:t>
      </w:r>
      <w:r w:rsidR="007A088B" w:rsidRPr="00ED1A76">
        <w:rPr>
          <w:rFonts w:asciiTheme="majorHAnsi" w:hAnsiTheme="majorHAnsi"/>
          <w:sz w:val="22"/>
          <w:szCs w:val="22"/>
        </w:rPr>
        <w:t>added value</w:t>
      </w:r>
      <w:r w:rsidR="00BE199E" w:rsidRPr="00ED1A76">
        <w:rPr>
          <w:rFonts w:asciiTheme="majorHAnsi" w:hAnsiTheme="majorHAnsi"/>
          <w:sz w:val="22"/>
          <w:szCs w:val="22"/>
        </w:rPr>
        <w:t xml:space="preserve"> </w:t>
      </w:r>
      <w:r w:rsidR="004A0982">
        <w:rPr>
          <w:rFonts w:asciiTheme="majorHAnsi" w:hAnsiTheme="majorHAnsi"/>
          <w:sz w:val="22"/>
          <w:szCs w:val="22"/>
        </w:rPr>
        <w:t xml:space="preserve">of </w:t>
      </w:r>
      <w:r w:rsidR="004E627F" w:rsidRPr="00ED1A76">
        <w:rPr>
          <w:rFonts w:asciiTheme="majorHAnsi" w:hAnsiTheme="majorHAnsi"/>
          <w:sz w:val="22"/>
          <w:szCs w:val="22"/>
        </w:rPr>
        <w:t>a coordinated</w:t>
      </w:r>
      <w:r w:rsidR="00BE199E" w:rsidRPr="00ED1A76">
        <w:rPr>
          <w:rFonts w:asciiTheme="majorHAnsi" w:hAnsiTheme="majorHAnsi"/>
          <w:sz w:val="22"/>
          <w:szCs w:val="22"/>
        </w:rPr>
        <w:t xml:space="preserve"> approach</w:t>
      </w:r>
      <w:r w:rsidRPr="00ED1A76">
        <w:rPr>
          <w:rFonts w:asciiTheme="majorHAnsi" w:hAnsiTheme="majorHAnsi"/>
          <w:sz w:val="22"/>
          <w:szCs w:val="22"/>
        </w:rPr>
        <w:t xml:space="preserve">. </w:t>
      </w:r>
    </w:p>
    <w:p w14:paraId="2F50C5B1" w14:textId="69C320C3" w:rsidR="00842B1B" w:rsidRPr="000214C8" w:rsidRDefault="00BB366A" w:rsidP="00842B1B">
      <w:pPr>
        <w:spacing w:after="240" w:line="240" w:lineRule="auto"/>
        <w:jc w:val="both"/>
        <w:rPr>
          <w:rFonts w:asciiTheme="majorHAnsi" w:hAnsiTheme="majorHAnsi"/>
          <w:sz w:val="22"/>
          <w:szCs w:val="22"/>
        </w:rPr>
      </w:pPr>
      <w:r>
        <w:rPr>
          <w:rFonts w:asciiTheme="majorHAnsi" w:hAnsiTheme="majorHAnsi"/>
          <w:sz w:val="22"/>
          <w:szCs w:val="22"/>
        </w:rPr>
        <w:t xml:space="preserve">Following this introductory section, </w:t>
      </w:r>
      <w:r w:rsidR="00B27A0F" w:rsidRPr="000214C8">
        <w:rPr>
          <w:rFonts w:asciiTheme="majorHAnsi" w:hAnsiTheme="majorHAnsi"/>
          <w:sz w:val="22"/>
          <w:szCs w:val="22"/>
        </w:rPr>
        <w:t xml:space="preserve">Section II </w:t>
      </w:r>
      <w:r w:rsidR="000D4BF1" w:rsidRPr="000214C8">
        <w:rPr>
          <w:rFonts w:asciiTheme="majorHAnsi" w:hAnsiTheme="majorHAnsi"/>
          <w:sz w:val="22"/>
          <w:szCs w:val="22"/>
        </w:rPr>
        <w:t>examines</w:t>
      </w:r>
      <w:r w:rsidR="00B27A0F" w:rsidRPr="000214C8">
        <w:rPr>
          <w:rFonts w:asciiTheme="majorHAnsi" w:hAnsiTheme="majorHAnsi"/>
          <w:sz w:val="22"/>
          <w:szCs w:val="22"/>
        </w:rPr>
        <w:t xml:space="preserve"> the </w:t>
      </w:r>
      <w:r w:rsidR="0019008E" w:rsidRPr="000214C8">
        <w:rPr>
          <w:rFonts w:asciiTheme="majorHAnsi" w:hAnsiTheme="majorHAnsi"/>
          <w:sz w:val="22"/>
          <w:szCs w:val="22"/>
        </w:rPr>
        <w:t>k</w:t>
      </w:r>
      <w:r w:rsidR="00B27A0F" w:rsidRPr="000214C8">
        <w:rPr>
          <w:rFonts w:asciiTheme="majorHAnsi" w:hAnsiTheme="majorHAnsi"/>
          <w:sz w:val="22"/>
          <w:szCs w:val="22"/>
        </w:rPr>
        <w:t xml:space="preserve">ey </w:t>
      </w:r>
      <w:r w:rsidR="000D4BF1" w:rsidRPr="000214C8">
        <w:rPr>
          <w:rFonts w:asciiTheme="majorHAnsi" w:hAnsiTheme="majorHAnsi"/>
          <w:sz w:val="22"/>
          <w:szCs w:val="22"/>
        </w:rPr>
        <w:t>issues</w:t>
      </w:r>
      <w:r w:rsidR="00B27A0F" w:rsidRPr="000214C8">
        <w:rPr>
          <w:rFonts w:asciiTheme="majorHAnsi" w:hAnsiTheme="majorHAnsi"/>
          <w:sz w:val="22"/>
          <w:szCs w:val="22"/>
        </w:rPr>
        <w:t xml:space="preserve"> raised </w:t>
      </w:r>
      <w:r w:rsidR="00D320E3" w:rsidRPr="000214C8">
        <w:rPr>
          <w:rFonts w:asciiTheme="majorHAnsi" w:hAnsiTheme="majorHAnsi"/>
          <w:sz w:val="22"/>
          <w:szCs w:val="22"/>
        </w:rPr>
        <w:t>by</w:t>
      </w:r>
      <w:r w:rsidR="00B27A0F" w:rsidRPr="000214C8">
        <w:rPr>
          <w:rFonts w:asciiTheme="majorHAnsi" w:hAnsiTheme="majorHAnsi"/>
          <w:sz w:val="22"/>
          <w:szCs w:val="22"/>
        </w:rPr>
        <w:t xml:space="preserve"> the </w:t>
      </w:r>
      <w:r w:rsidR="0019008E" w:rsidRPr="000214C8">
        <w:rPr>
          <w:rFonts w:asciiTheme="majorHAnsi" w:hAnsiTheme="majorHAnsi"/>
          <w:sz w:val="22"/>
          <w:szCs w:val="22"/>
        </w:rPr>
        <w:t>sub</w:t>
      </w:r>
      <w:r w:rsidR="00734234" w:rsidRPr="000214C8">
        <w:rPr>
          <w:rFonts w:asciiTheme="majorHAnsi" w:hAnsiTheme="majorHAnsi"/>
          <w:sz w:val="22"/>
          <w:szCs w:val="22"/>
        </w:rPr>
        <w:t>-</w:t>
      </w:r>
      <w:r w:rsidR="0019008E" w:rsidRPr="000214C8">
        <w:rPr>
          <w:rFonts w:asciiTheme="majorHAnsi" w:hAnsiTheme="majorHAnsi"/>
          <w:sz w:val="22"/>
          <w:szCs w:val="22"/>
        </w:rPr>
        <w:t>group</w:t>
      </w:r>
      <w:r w:rsidR="00A57363">
        <w:rPr>
          <w:rFonts w:asciiTheme="majorHAnsi" w:hAnsiTheme="majorHAnsi"/>
          <w:sz w:val="22"/>
          <w:szCs w:val="22"/>
        </w:rPr>
        <w:t xml:space="preserve"> members</w:t>
      </w:r>
      <w:r w:rsidR="00182DE8" w:rsidRPr="000214C8">
        <w:rPr>
          <w:rFonts w:asciiTheme="majorHAnsi" w:hAnsiTheme="majorHAnsi"/>
          <w:sz w:val="22"/>
          <w:szCs w:val="22"/>
        </w:rPr>
        <w:t>,</w:t>
      </w:r>
      <w:r w:rsidR="0019008E" w:rsidRPr="000214C8">
        <w:rPr>
          <w:rFonts w:asciiTheme="majorHAnsi" w:hAnsiTheme="majorHAnsi"/>
          <w:sz w:val="22"/>
          <w:szCs w:val="22"/>
        </w:rPr>
        <w:t xml:space="preserve"> while </w:t>
      </w:r>
      <w:r w:rsidR="004A0982">
        <w:rPr>
          <w:rFonts w:asciiTheme="majorHAnsi" w:hAnsiTheme="majorHAnsi"/>
          <w:sz w:val="22"/>
          <w:szCs w:val="22"/>
        </w:rPr>
        <w:t>S</w:t>
      </w:r>
      <w:r w:rsidR="000D4BF1" w:rsidRPr="000214C8">
        <w:rPr>
          <w:rFonts w:asciiTheme="majorHAnsi" w:hAnsiTheme="majorHAnsi"/>
          <w:sz w:val="22"/>
          <w:szCs w:val="22"/>
        </w:rPr>
        <w:t xml:space="preserve">ection III identifies </w:t>
      </w:r>
      <w:r w:rsidR="0019008E" w:rsidRPr="000214C8">
        <w:rPr>
          <w:rFonts w:asciiTheme="majorHAnsi" w:hAnsiTheme="majorHAnsi"/>
          <w:sz w:val="22"/>
          <w:szCs w:val="22"/>
        </w:rPr>
        <w:t>the cross</w:t>
      </w:r>
      <w:r w:rsidR="00A47C08" w:rsidRPr="000214C8">
        <w:rPr>
          <w:rFonts w:asciiTheme="majorHAnsi" w:hAnsiTheme="majorHAnsi"/>
          <w:sz w:val="22"/>
          <w:szCs w:val="22"/>
        </w:rPr>
        <w:t>-</w:t>
      </w:r>
      <w:r w:rsidR="0019008E" w:rsidRPr="000214C8">
        <w:rPr>
          <w:rFonts w:asciiTheme="majorHAnsi" w:hAnsiTheme="majorHAnsi"/>
          <w:sz w:val="22"/>
          <w:szCs w:val="22"/>
        </w:rPr>
        <w:t>cutting issues</w:t>
      </w:r>
      <w:r w:rsidR="00182DE8" w:rsidRPr="000214C8">
        <w:rPr>
          <w:rFonts w:asciiTheme="majorHAnsi" w:hAnsiTheme="majorHAnsi"/>
          <w:sz w:val="22"/>
          <w:szCs w:val="22"/>
        </w:rPr>
        <w:t xml:space="preserve"> and common threads</w:t>
      </w:r>
      <w:r w:rsidR="006A3493" w:rsidRPr="000214C8">
        <w:rPr>
          <w:rFonts w:asciiTheme="majorHAnsi" w:hAnsiTheme="majorHAnsi"/>
          <w:sz w:val="22"/>
          <w:szCs w:val="22"/>
          <w:lang w:eastAsia="en-IE"/>
          <w14:ligatures w14:val="none"/>
        </w:rPr>
        <w:t xml:space="preserve">. </w:t>
      </w:r>
      <w:r w:rsidR="000D4BF1" w:rsidRPr="000214C8">
        <w:rPr>
          <w:rFonts w:asciiTheme="majorHAnsi" w:hAnsiTheme="majorHAnsi"/>
          <w:sz w:val="22"/>
          <w:szCs w:val="22"/>
          <w:lang w:eastAsia="en-IE"/>
          <w14:ligatures w14:val="none"/>
        </w:rPr>
        <w:t xml:space="preserve">Section IV </w:t>
      </w:r>
      <w:r w:rsidR="006A3493" w:rsidRPr="000214C8">
        <w:rPr>
          <w:rFonts w:asciiTheme="majorHAnsi" w:hAnsiTheme="majorHAnsi"/>
          <w:sz w:val="22"/>
          <w:szCs w:val="22"/>
          <w:lang w:eastAsia="en-IE"/>
          <w14:ligatures w14:val="none"/>
        </w:rPr>
        <w:t>concludes</w:t>
      </w:r>
      <w:r w:rsidR="0019008E" w:rsidRPr="000214C8">
        <w:rPr>
          <w:rFonts w:asciiTheme="majorHAnsi" w:hAnsiTheme="majorHAnsi"/>
          <w:sz w:val="22"/>
          <w:szCs w:val="22"/>
          <w:lang w:eastAsia="en-IE"/>
          <w14:ligatures w14:val="none"/>
        </w:rPr>
        <w:t xml:space="preserve"> identifying </w:t>
      </w:r>
      <w:r w:rsidR="006A6A24">
        <w:rPr>
          <w:rFonts w:asciiTheme="majorHAnsi" w:hAnsiTheme="majorHAnsi"/>
          <w:sz w:val="22"/>
          <w:szCs w:val="22"/>
          <w:lang w:eastAsia="en-IE"/>
          <w14:ligatures w14:val="none"/>
        </w:rPr>
        <w:t xml:space="preserve">an enhanced </w:t>
      </w:r>
      <w:r w:rsidR="00A57363">
        <w:rPr>
          <w:rFonts w:asciiTheme="majorHAnsi" w:hAnsiTheme="majorHAnsi"/>
          <w:sz w:val="22"/>
          <w:szCs w:val="22"/>
          <w:lang w:eastAsia="en-IE"/>
          <w14:ligatures w14:val="none"/>
        </w:rPr>
        <w:t xml:space="preserve">regulatory </w:t>
      </w:r>
      <w:r w:rsidR="0019008E" w:rsidRPr="000214C8">
        <w:rPr>
          <w:rFonts w:asciiTheme="majorHAnsi" w:hAnsiTheme="majorHAnsi"/>
          <w:sz w:val="22"/>
          <w:szCs w:val="22"/>
          <w:lang w:eastAsia="en-IE"/>
          <w14:ligatures w14:val="none"/>
        </w:rPr>
        <w:t>cooperation</w:t>
      </w:r>
      <w:r w:rsidR="00A57363">
        <w:rPr>
          <w:rFonts w:asciiTheme="majorHAnsi" w:hAnsiTheme="majorHAnsi"/>
          <w:sz w:val="22"/>
          <w:szCs w:val="22"/>
          <w:lang w:eastAsia="en-IE"/>
          <w14:ligatures w14:val="none"/>
        </w:rPr>
        <w:t xml:space="preserve"> as </w:t>
      </w:r>
      <w:r w:rsidR="004A0982">
        <w:rPr>
          <w:rFonts w:asciiTheme="majorHAnsi" w:hAnsiTheme="majorHAnsi"/>
          <w:sz w:val="22"/>
          <w:szCs w:val="22"/>
          <w:lang w:eastAsia="en-IE"/>
          <w14:ligatures w14:val="none"/>
        </w:rPr>
        <w:t xml:space="preserve">the </w:t>
      </w:r>
      <w:r w:rsidR="00A57363">
        <w:rPr>
          <w:rFonts w:asciiTheme="majorHAnsi" w:hAnsiTheme="majorHAnsi"/>
          <w:sz w:val="22"/>
          <w:szCs w:val="22"/>
          <w:lang w:eastAsia="en-IE"/>
          <w14:ligatures w14:val="none"/>
        </w:rPr>
        <w:t>key topic for</w:t>
      </w:r>
      <w:r w:rsidR="0019008E" w:rsidRPr="000214C8">
        <w:rPr>
          <w:rFonts w:asciiTheme="majorHAnsi" w:hAnsiTheme="majorHAnsi"/>
          <w:sz w:val="22"/>
          <w:szCs w:val="22"/>
          <w:lang w:eastAsia="en-IE"/>
          <w14:ligatures w14:val="none"/>
        </w:rPr>
        <w:t xml:space="preserve"> discussion</w:t>
      </w:r>
      <w:r w:rsidR="006A3493" w:rsidRPr="000214C8" w:rsidDel="00A57363">
        <w:rPr>
          <w:rFonts w:asciiTheme="majorHAnsi" w:hAnsiTheme="majorHAnsi"/>
          <w:sz w:val="22"/>
          <w:szCs w:val="22"/>
          <w:lang w:eastAsia="en-IE"/>
          <w14:ligatures w14:val="none"/>
        </w:rPr>
        <w:t>.</w:t>
      </w:r>
    </w:p>
    <w:p w14:paraId="7E014813" w14:textId="5F62C369" w:rsidR="00F83210" w:rsidRPr="000214C8" w:rsidRDefault="000C70B4" w:rsidP="00842B1B">
      <w:pPr>
        <w:pStyle w:val="ListParagraph"/>
        <w:numPr>
          <w:ilvl w:val="0"/>
          <w:numId w:val="47"/>
        </w:numPr>
        <w:spacing w:before="100" w:beforeAutospacing="1" w:after="240" w:line="240" w:lineRule="auto"/>
        <w:jc w:val="both"/>
        <w:outlineLvl w:val="2"/>
        <w:rPr>
          <w:rFonts w:asciiTheme="majorHAnsi" w:hAnsiTheme="majorHAnsi"/>
          <w:b/>
          <w:sz w:val="22"/>
          <w:szCs w:val="22"/>
          <w:u w:val="single"/>
          <w:lang w:eastAsia="en-IE"/>
          <w14:ligatures w14:val="none"/>
        </w:rPr>
      </w:pPr>
      <w:r w:rsidRPr="000214C8">
        <w:rPr>
          <w:rFonts w:asciiTheme="majorHAnsi" w:hAnsiTheme="majorHAnsi"/>
          <w:b/>
          <w:sz w:val="22"/>
          <w:szCs w:val="22"/>
          <w:u w:val="single"/>
          <w:lang w:eastAsia="en-IE"/>
          <w14:ligatures w14:val="none"/>
        </w:rPr>
        <w:t>K</w:t>
      </w:r>
      <w:r w:rsidR="00F83210" w:rsidRPr="000214C8">
        <w:rPr>
          <w:rFonts w:asciiTheme="majorHAnsi" w:hAnsiTheme="majorHAnsi"/>
          <w:b/>
          <w:sz w:val="22"/>
          <w:szCs w:val="22"/>
          <w:u w:val="single"/>
          <w:lang w:eastAsia="en-IE"/>
          <w14:ligatures w14:val="none"/>
        </w:rPr>
        <w:t>ey themes</w:t>
      </w:r>
    </w:p>
    <w:p w14:paraId="3AA80107" w14:textId="004598C9" w:rsidR="0052180A" w:rsidRPr="000214C8" w:rsidRDefault="0052180A" w:rsidP="00842B1B">
      <w:pPr>
        <w:numPr>
          <w:ilvl w:val="0"/>
          <w:numId w:val="36"/>
        </w:numPr>
        <w:spacing w:before="100" w:beforeAutospacing="1" w:after="240" w:line="240" w:lineRule="auto"/>
        <w:jc w:val="both"/>
        <w:rPr>
          <w:rFonts w:asciiTheme="majorHAnsi" w:hAnsiTheme="majorHAnsi"/>
          <w:sz w:val="22"/>
          <w:szCs w:val="22"/>
          <w:u w:val="single"/>
          <w:lang w:eastAsia="en-IE"/>
          <w14:ligatures w14:val="none"/>
        </w:rPr>
      </w:pPr>
      <w:r w:rsidRPr="000214C8">
        <w:rPr>
          <w:rFonts w:asciiTheme="majorHAnsi" w:hAnsiTheme="majorHAnsi"/>
          <w:sz w:val="22"/>
          <w:szCs w:val="22"/>
          <w:u w:val="single"/>
          <w:lang w:eastAsia="en-IE"/>
          <w14:ligatures w14:val="none"/>
        </w:rPr>
        <w:t>Contestability &amp; Fairness in AI value chain</w:t>
      </w:r>
    </w:p>
    <w:p w14:paraId="0A7CAB74" w14:textId="2C58C3FA" w:rsidR="001F1712" w:rsidRPr="000214C8" w:rsidRDefault="00CC244A" w:rsidP="00A47C08">
      <w:pPr>
        <w:spacing w:after="240" w:line="240" w:lineRule="auto"/>
        <w:jc w:val="both"/>
        <w:rPr>
          <w:rFonts w:asciiTheme="majorHAnsi" w:hAnsiTheme="majorHAnsi"/>
          <w:sz w:val="22"/>
          <w:szCs w:val="22"/>
        </w:rPr>
      </w:pPr>
      <w:r w:rsidRPr="000214C8">
        <w:rPr>
          <w:rFonts w:asciiTheme="majorHAnsi" w:hAnsiTheme="majorHAnsi"/>
          <w:sz w:val="22"/>
          <w:szCs w:val="22"/>
        </w:rPr>
        <w:t>T</w:t>
      </w:r>
      <w:r w:rsidR="001F1712" w:rsidRPr="000214C8">
        <w:rPr>
          <w:rFonts w:asciiTheme="majorHAnsi" w:hAnsiTheme="majorHAnsi"/>
          <w:sz w:val="22"/>
          <w:szCs w:val="22"/>
        </w:rPr>
        <w:t>he DMA</w:t>
      </w:r>
      <w:r w:rsidRPr="000214C8">
        <w:rPr>
          <w:rFonts w:asciiTheme="majorHAnsi" w:hAnsiTheme="majorHAnsi"/>
          <w:sz w:val="22"/>
          <w:szCs w:val="22"/>
        </w:rPr>
        <w:t xml:space="preserve"> </w:t>
      </w:r>
      <w:r w:rsidR="006A6A24">
        <w:rPr>
          <w:rFonts w:asciiTheme="majorHAnsi" w:hAnsiTheme="majorHAnsi"/>
          <w:sz w:val="22"/>
          <w:szCs w:val="22"/>
        </w:rPr>
        <w:t>contributes</w:t>
      </w:r>
      <w:r w:rsidR="006A6A24" w:rsidRPr="000214C8" w:rsidDel="00A57363">
        <w:rPr>
          <w:rFonts w:asciiTheme="majorHAnsi" w:hAnsiTheme="majorHAnsi"/>
          <w:sz w:val="22"/>
          <w:szCs w:val="22"/>
        </w:rPr>
        <w:t xml:space="preserve"> </w:t>
      </w:r>
      <w:r w:rsidR="001F1712" w:rsidRPr="000214C8">
        <w:rPr>
          <w:rFonts w:asciiTheme="majorHAnsi" w:hAnsiTheme="majorHAnsi"/>
          <w:sz w:val="22"/>
          <w:szCs w:val="22"/>
        </w:rPr>
        <w:t>to ensur</w:t>
      </w:r>
      <w:r w:rsidR="006A6A24">
        <w:rPr>
          <w:rFonts w:asciiTheme="majorHAnsi" w:hAnsiTheme="majorHAnsi"/>
          <w:sz w:val="22"/>
          <w:szCs w:val="22"/>
        </w:rPr>
        <w:t>ing</w:t>
      </w:r>
      <w:r w:rsidR="001F1712" w:rsidRPr="000214C8">
        <w:rPr>
          <w:rFonts w:asciiTheme="majorHAnsi" w:hAnsiTheme="majorHAnsi"/>
          <w:sz w:val="22"/>
          <w:szCs w:val="22"/>
        </w:rPr>
        <w:t xml:space="preserve"> that the </w:t>
      </w:r>
      <w:r w:rsidRPr="000214C8">
        <w:rPr>
          <w:rFonts w:asciiTheme="majorHAnsi" w:hAnsiTheme="majorHAnsi"/>
          <w:sz w:val="22"/>
          <w:szCs w:val="22"/>
        </w:rPr>
        <w:t xml:space="preserve">rapidly growing </w:t>
      </w:r>
      <w:r w:rsidR="001F1712" w:rsidRPr="000214C8">
        <w:rPr>
          <w:rFonts w:asciiTheme="majorHAnsi" w:hAnsiTheme="majorHAnsi"/>
          <w:sz w:val="22"/>
          <w:szCs w:val="22"/>
        </w:rPr>
        <w:t>AI value chain remain</w:t>
      </w:r>
      <w:r w:rsidR="004F5EA2">
        <w:rPr>
          <w:rFonts w:asciiTheme="majorHAnsi" w:hAnsiTheme="majorHAnsi"/>
          <w:sz w:val="22"/>
          <w:szCs w:val="22"/>
        </w:rPr>
        <w:t>s</w:t>
      </w:r>
      <w:r w:rsidR="001F1712" w:rsidRPr="000214C8">
        <w:rPr>
          <w:rFonts w:asciiTheme="majorHAnsi" w:hAnsiTheme="majorHAnsi"/>
          <w:sz w:val="22"/>
          <w:szCs w:val="22"/>
        </w:rPr>
        <w:t xml:space="preserve"> contestable and fair </w:t>
      </w:r>
      <w:r w:rsidRPr="000214C8">
        <w:rPr>
          <w:rFonts w:asciiTheme="majorHAnsi" w:hAnsiTheme="majorHAnsi"/>
          <w:sz w:val="22"/>
          <w:szCs w:val="22"/>
        </w:rPr>
        <w:t xml:space="preserve">in the long term to the benefit of </w:t>
      </w:r>
      <w:r w:rsidR="002D19BF" w:rsidRPr="000214C8">
        <w:rPr>
          <w:rFonts w:asciiTheme="majorHAnsi" w:hAnsiTheme="majorHAnsi"/>
          <w:sz w:val="22"/>
          <w:szCs w:val="22"/>
        </w:rPr>
        <w:t>busines</w:t>
      </w:r>
      <w:r w:rsidR="00AB2881">
        <w:rPr>
          <w:rFonts w:asciiTheme="majorHAnsi" w:hAnsiTheme="majorHAnsi"/>
          <w:sz w:val="22"/>
          <w:szCs w:val="22"/>
        </w:rPr>
        <w:t>s</w:t>
      </w:r>
      <w:r w:rsidRPr="000214C8">
        <w:rPr>
          <w:rFonts w:asciiTheme="majorHAnsi" w:hAnsiTheme="majorHAnsi"/>
          <w:sz w:val="22"/>
          <w:szCs w:val="22"/>
        </w:rPr>
        <w:t xml:space="preserve"> </w:t>
      </w:r>
      <w:r w:rsidR="001F1712" w:rsidRPr="000214C8">
        <w:rPr>
          <w:rFonts w:asciiTheme="majorHAnsi" w:hAnsiTheme="majorHAnsi"/>
          <w:sz w:val="22"/>
          <w:szCs w:val="22"/>
        </w:rPr>
        <w:t xml:space="preserve">and end users. </w:t>
      </w:r>
      <w:r w:rsidR="00C816ED">
        <w:rPr>
          <w:rFonts w:asciiTheme="majorHAnsi" w:hAnsiTheme="majorHAnsi"/>
          <w:sz w:val="22"/>
          <w:szCs w:val="22"/>
        </w:rPr>
        <w:t>G</w:t>
      </w:r>
      <w:r w:rsidRPr="000214C8">
        <w:rPr>
          <w:rFonts w:asciiTheme="majorHAnsi" w:hAnsiTheme="majorHAnsi"/>
          <w:sz w:val="22"/>
          <w:szCs w:val="22"/>
        </w:rPr>
        <w:t xml:space="preserve">atekeepers enjoy </w:t>
      </w:r>
      <w:r w:rsidR="001F1712" w:rsidRPr="000214C8">
        <w:rPr>
          <w:rFonts w:asciiTheme="majorHAnsi" w:hAnsiTheme="majorHAnsi"/>
          <w:sz w:val="22"/>
          <w:szCs w:val="22"/>
        </w:rPr>
        <w:t xml:space="preserve">a strong presence </w:t>
      </w:r>
      <w:r w:rsidR="001D62E9">
        <w:rPr>
          <w:rFonts w:asciiTheme="majorHAnsi" w:hAnsiTheme="majorHAnsi"/>
          <w:sz w:val="22"/>
          <w:szCs w:val="22"/>
        </w:rPr>
        <w:t>at</w:t>
      </w:r>
      <w:r w:rsidR="001F1712" w:rsidRPr="000214C8">
        <w:rPr>
          <w:rFonts w:asciiTheme="majorHAnsi" w:hAnsiTheme="majorHAnsi"/>
          <w:sz w:val="22"/>
          <w:szCs w:val="22"/>
        </w:rPr>
        <w:t xml:space="preserve"> various levels of the </w:t>
      </w:r>
      <w:r w:rsidRPr="000214C8">
        <w:rPr>
          <w:rFonts w:asciiTheme="majorHAnsi" w:hAnsiTheme="majorHAnsi"/>
          <w:sz w:val="22"/>
          <w:szCs w:val="22"/>
        </w:rPr>
        <w:t xml:space="preserve">AI value </w:t>
      </w:r>
      <w:r w:rsidR="001F1712" w:rsidRPr="000214C8">
        <w:rPr>
          <w:rFonts w:asciiTheme="majorHAnsi" w:hAnsiTheme="majorHAnsi"/>
          <w:sz w:val="22"/>
          <w:szCs w:val="22"/>
        </w:rPr>
        <w:t xml:space="preserve">chain. </w:t>
      </w:r>
      <w:r w:rsidR="00833002">
        <w:rPr>
          <w:rFonts w:asciiTheme="majorHAnsi" w:hAnsiTheme="majorHAnsi"/>
          <w:sz w:val="22"/>
          <w:szCs w:val="22"/>
        </w:rPr>
        <w:t>G</w:t>
      </w:r>
      <w:r w:rsidR="001F1712" w:rsidRPr="000214C8">
        <w:rPr>
          <w:rFonts w:asciiTheme="majorHAnsi" w:hAnsiTheme="majorHAnsi"/>
          <w:sz w:val="22"/>
          <w:szCs w:val="22"/>
        </w:rPr>
        <w:t>eneral-purpose AI models</w:t>
      </w:r>
      <w:r w:rsidR="00833002">
        <w:rPr>
          <w:rFonts w:asciiTheme="majorHAnsi" w:hAnsiTheme="majorHAnsi"/>
          <w:sz w:val="22"/>
          <w:szCs w:val="22"/>
        </w:rPr>
        <w:t xml:space="preserve"> </w:t>
      </w:r>
      <w:proofErr w:type="gramStart"/>
      <w:r w:rsidR="00833002">
        <w:rPr>
          <w:rFonts w:asciiTheme="majorHAnsi" w:hAnsiTheme="majorHAnsi"/>
          <w:sz w:val="22"/>
          <w:szCs w:val="22"/>
        </w:rPr>
        <w:t>in particular</w:t>
      </w:r>
      <w:r w:rsidRPr="000214C8">
        <w:rPr>
          <w:rFonts w:asciiTheme="majorHAnsi" w:hAnsiTheme="majorHAnsi"/>
          <w:sz w:val="22"/>
          <w:szCs w:val="22"/>
        </w:rPr>
        <w:t xml:space="preserve"> are</w:t>
      </w:r>
      <w:proofErr w:type="gramEnd"/>
      <w:r w:rsidRPr="000214C8" w:rsidDel="00C816ED">
        <w:rPr>
          <w:rFonts w:asciiTheme="majorHAnsi" w:hAnsiTheme="majorHAnsi"/>
          <w:sz w:val="22"/>
          <w:szCs w:val="22"/>
        </w:rPr>
        <w:t xml:space="preserve"> </w:t>
      </w:r>
      <w:r w:rsidR="006A6A24">
        <w:rPr>
          <w:rFonts w:asciiTheme="majorHAnsi" w:hAnsiTheme="majorHAnsi"/>
          <w:sz w:val="22"/>
          <w:szCs w:val="22"/>
        </w:rPr>
        <w:t>increasingly present within</w:t>
      </w:r>
      <w:r w:rsidR="001F1712" w:rsidRPr="000214C8">
        <w:rPr>
          <w:rFonts w:asciiTheme="majorHAnsi" w:hAnsiTheme="majorHAnsi"/>
          <w:sz w:val="22"/>
          <w:szCs w:val="22"/>
        </w:rPr>
        <w:t xml:space="preserve"> gatekeeper</w:t>
      </w:r>
      <w:r w:rsidR="00833002">
        <w:rPr>
          <w:rFonts w:asciiTheme="majorHAnsi" w:hAnsiTheme="majorHAnsi"/>
          <w:sz w:val="22"/>
          <w:szCs w:val="22"/>
        </w:rPr>
        <w:t>s’</w:t>
      </w:r>
      <w:r w:rsidR="001F1712" w:rsidRPr="000214C8" w:rsidDel="00C816ED">
        <w:rPr>
          <w:rFonts w:asciiTheme="majorHAnsi" w:hAnsiTheme="majorHAnsi"/>
          <w:sz w:val="22"/>
          <w:szCs w:val="22"/>
        </w:rPr>
        <w:t xml:space="preserve"> </w:t>
      </w:r>
      <w:r w:rsidR="001F1712" w:rsidRPr="000214C8">
        <w:rPr>
          <w:rFonts w:asciiTheme="majorHAnsi" w:hAnsiTheme="majorHAnsi"/>
          <w:sz w:val="22"/>
          <w:szCs w:val="22"/>
        </w:rPr>
        <w:t xml:space="preserve">ecosystems. </w:t>
      </w:r>
      <w:r w:rsidR="006A6A24" w:rsidRPr="006A6A24">
        <w:rPr>
          <w:rFonts w:asciiTheme="majorHAnsi" w:hAnsiTheme="majorHAnsi"/>
          <w:sz w:val="22"/>
          <w:szCs w:val="22"/>
        </w:rPr>
        <w:t xml:space="preserve">Therefore, the DMA in its current form could contribute to fostering a more open AI value chain insofar as the rules of the DMA affect the conduct of gatekeepers when they deploy AI with their core platform services and in their broader ecosystems. However, there is a need to clarify </w:t>
      </w:r>
      <w:r w:rsidR="006A6A24" w:rsidRPr="006A6A24">
        <w:rPr>
          <w:rFonts w:asciiTheme="majorHAnsi" w:hAnsiTheme="majorHAnsi"/>
          <w:sz w:val="22"/>
          <w:szCs w:val="22"/>
        </w:rPr>
        <w:lastRenderedPageBreak/>
        <w:t>to what extent, AI services are covered by the DMA in its current form, and how the current set of obligations would apply to such services.</w:t>
      </w:r>
    </w:p>
    <w:p w14:paraId="496AEAE3" w14:textId="577F7EBF" w:rsidR="001F1712" w:rsidRPr="000214C8" w:rsidRDefault="00833002" w:rsidP="00A47C08">
      <w:pPr>
        <w:spacing w:after="240" w:line="240" w:lineRule="auto"/>
        <w:jc w:val="both"/>
        <w:rPr>
          <w:rFonts w:asciiTheme="majorHAnsi" w:hAnsiTheme="majorHAnsi"/>
          <w:i/>
          <w:sz w:val="22"/>
          <w:szCs w:val="22"/>
        </w:rPr>
      </w:pPr>
      <w:bookmarkStart w:id="0" w:name="_Hlk211411068"/>
      <w:r>
        <w:rPr>
          <w:rFonts w:asciiTheme="majorHAnsi" w:hAnsiTheme="majorHAnsi"/>
          <w:sz w:val="22"/>
          <w:szCs w:val="22"/>
        </w:rPr>
        <w:t>Against this background</w:t>
      </w:r>
      <w:r w:rsidR="001F1712" w:rsidRPr="000214C8">
        <w:rPr>
          <w:rFonts w:asciiTheme="majorHAnsi" w:hAnsiTheme="majorHAnsi"/>
          <w:sz w:val="22"/>
          <w:szCs w:val="22"/>
        </w:rPr>
        <w:t xml:space="preserve">, </w:t>
      </w:r>
      <w:r w:rsidR="00242369" w:rsidRPr="00242369">
        <w:rPr>
          <w:rFonts w:asciiTheme="majorHAnsi" w:hAnsiTheme="majorHAnsi"/>
          <w:sz w:val="22"/>
          <w:szCs w:val="22"/>
        </w:rPr>
        <w:t>and without prejudice to the enforcement of the existing legal frameworks applicable at EU and Member State level</w:t>
      </w:r>
      <w:r w:rsidR="00242369">
        <w:rPr>
          <w:rFonts w:asciiTheme="majorHAnsi" w:hAnsiTheme="majorHAnsi"/>
          <w:sz w:val="22"/>
          <w:szCs w:val="22"/>
        </w:rPr>
        <w:t xml:space="preserve">, </w:t>
      </w:r>
      <w:r w:rsidR="001F1712" w:rsidRPr="000214C8">
        <w:rPr>
          <w:rFonts w:asciiTheme="majorHAnsi" w:hAnsiTheme="majorHAnsi"/>
          <w:sz w:val="22"/>
          <w:szCs w:val="22"/>
        </w:rPr>
        <w:t xml:space="preserve">the </w:t>
      </w:r>
      <w:r w:rsidR="004F5EA2">
        <w:rPr>
          <w:rFonts w:asciiTheme="majorHAnsi" w:hAnsiTheme="majorHAnsi"/>
          <w:sz w:val="22"/>
          <w:szCs w:val="22"/>
        </w:rPr>
        <w:t xml:space="preserve">HLG </w:t>
      </w:r>
      <w:r w:rsidR="00CC244A" w:rsidRPr="000214C8">
        <w:rPr>
          <w:rFonts w:asciiTheme="majorHAnsi" w:hAnsiTheme="majorHAnsi"/>
          <w:sz w:val="22"/>
          <w:szCs w:val="22"/>
        </w:rPr>
        <w:t>sub</w:t>
      </w:r>
      <w:r w:rsidR="00F21F69">
        <w:rPr>
          <w:rFonts w:asciiTheme="majorHAnsi" w:hAnsiTheme="majorHAnsi"/>
          <w:sz w:val="22"/>
          <w:szCs w:val="22"/>
        </w:rPr>
        <w:t>-</w:t>
      </w:r>
      <w:r w:rsidR="00CC244A" w:rsidRPr="000214C8">
        <w:rPr>
          <w:rFonts w:asciiTheme="majorHAnsi" w:hAnsiTheme="majorHAnsi"/>
          <w:sz w:val="22"/>
          <w:szCs w:val="22"/>
        </w:rPr>
        <w:t xml:space="preserve">group </w:t>
      </w:r>
      <w:r w:rsidR="00B43796">
        <w:rPr>
          <w:rFonts w:asciiTheme="majorHAnsi" w:hAnsiTheme="majorHAnsi"/>
          <w:sz w:val="22"/>
          <w:szCs w:val="22"/>
        </w:rPr>
        <w:t xml:space="preserve">on </w:t>
      </w:r>
      <w:r w:rsidR="00CC244A" w:rsidRPr="000214C8">
        <w:rPr>
          <w:rFonts w:asciiTheme="majorHAnsi" w:hAnsiTheme="majorHAnsi"/>
          <w:sz w:val="22"/>
          <w:szCs w:val="22"/>
        </w:rPr>
        <w:t>AI i</w:t>
      </w:r>
      <w:r w:rsidR="001F1712" w:rsidRPr="000214C8">
        <w:rPr>
          <w:rFonts w:asciiTheme="majorHAnsi" w:hAnsiTheme="majorHAnsi"/>
          <w:sz w:val="22"/>
          <w:szCs w:val="22"/>
        </w:rPr>
        <w:t>dentifies</w:t>
      </w:r>
      <w:bookmarkEnd w:id="0"/>
      <w:r w:rsidR="001F1712" w:rsidRPr="000214C8">
        <w:rPr>
          <w:rFonts w:asciiTheme="majorHAnsi" w:hAnsiTheme="majorHAnsi"/>
          <w:sz w:val="22"/>
          <w:szCs w:val="22"/>
        </w:rPr>
        <w:t xml:space="preserve"> </w:t>
      </w:r>
      <w:r w:rsidR="00540C03" w:rsidRPr="000214C8">
        <w:rPr>
          <w:rFonts w:asciiTheme="majorHAnsi" w:hAnsiTheme="majorHAnsi"/>
          <w:sz w:val="22"/>
          <w:szCs w:val="22"/>
        </w:rPr>
        <w:t>t</w:t>
      </w:r>
      <w:r w:rsidR="00540C03">
        <w:rPr>
          <w:rFonts w:asciiTheme="majorHAnsi" w:hAnsiTheme="majorHAnsi"/>
          <w:sz w:val="22"/>
          <w:szCs w:val="22"/>
        </w:rPr>
        <w:t xml:space="preserve">wo </w:t>
      </w:r>
      <w:r w:rsidR="001F1712" w:rsidRPr="000214C8">
        <w:rPr>
          <w:rFonts w:asciiTheme="majorHAnsi" w:hAnsiTheme="majorHAnsi"/>
          <w:sz w:val="22"/>
          <w:szCs w:val="22"/>
        </w:rPr>
        <w:t>main interconnected areas</w:t>
      </w:r>
      <w:r w:rsidR="00CC244A" w:rsidRPr="000214C8">
        <w:rPr>
          <w:rFonts w:asciiTheme="majorHAnsi" w:hAnsiTheme="majorHAnsi"/>
          <w:sz w:val="22"/>
          <w:szCs w:val="22"/>
        </w:rPr>
        <w:t xml:space="preserve"> where the DMA may be able </w:t>
      </w:r>
      <w:r w:rsidR="00CC244A" w:rsidRPr="000214C8" w:rsidDel="00C816ED">
        <w:rPr>
          <w:rFonts w:asciiTheme="majorHAnsi" w:hAnsiTheme="majorHAnsi"/>
          <w:sz w:val="22"/>
          <w:szCs w:val="22"/>
        </w:rPr>
        <w:t xml:space="preserve">to </w:t>
      </w:r>
      <w:r w:rsidR="00C816ED">
        <w:rPr>
          <w:rFonts w:asciiTheme="majorHAnsi" w:hAnsiTheme="majorHAnsi"/>
          <w:sz w:val="22"/>
          <w:szCs w:val="22"/>
        </w:rPr>
        <w:t>contribute to ensuring contestability and fairness</w:t>
      </w:r>
      <w:r w:rsidR="001F1712" w:rsidRPr="000214C8">
        <w:rPr>
          <w:rFonts w:asciiTheme="majorHAnsi" w:hAnsiTheme="majorHAnsi"/>
          <w:sz w:val="22"/>
          <w:szCs w:val="22"/>
        </w:rPr>
        <w:t xml:space="preserve">: </w:t>
      </w:r>
    </w:p>
    <w:p w14:paraId="09873C7B" w14:textId="4CF6F8A5" w:rsidR="00F93BA5" w:rsidRDefault="00F93BA5" w:rsidP="001F1712">
      <w:pPr>
        <w:pStyle w:val="ListParagraph"/>
        <w:numPr>
          <w:ilvl w:val="0"/>
          <w:numId w:val="51"/>
        </w:numPr>
        <w:spacing w:after="240" w:line="240" w:lineRule="auto"/>
        <w:jc w:val="both"/>
        <w:rPr>
          <w:rFonts w:asciiTheme="majorHAnsi" w:hAnsiTheme="majorHAnsi"/>
          <w:sz w:val="22"/>
          <w:szCs w:val="22"/>
        </w:rPr>
      </w:pPr>
      <w:r>
        <w:rPr>
          <w:rFonts w:asciiTheme="majorHAnsi" w:hAnsiTheme="majorHAnsi"/>
          <w:i/>
          <w:sz w:val="22"/>
          <w:szCs w:val="22"/>
        </w:rPr>
        <w:t xml:space="preserve">Access to </w:t>
      </w:r>
      <w:r w:rsidR="00540C03">
        <w:rPr>
          <w:rFonts w:asciiTheme="majorHAnsi" w:hAnsiTheme="majorHAnsi"/>
          <w:i/>
          <w:sz w:val="22"/>
          <w:szCs w:val="22"/>
        </w:rPr>
        <w:t>AI infrastructure and</w:t>
      </w:r>
      <w:r>
        <w:rPr>
          <w:rFonts w:asciiTheme="majorHAnsi" w:hAnsiTheme="majorHAnsi"/>
          <w:i/>
          <w:sz w:val="22"/>
          <w:szCs w:val="22"/>
        </w:rPr>
        <w:t xml:space="preserve"> distribution: </w:t>
      </w:r>
      <w:proofErr w:type="gramStart"/>
      <w:r w:rsidR="00242369" w:rsidRPr="009E3377">
        <w:rPr>
          <w:rFonts w:asciiTheme="majorHAnsi" w:hAnsiTheme="majorHAnsi"/>
          <w:iCs/>
          <w:sz w:val="22"/>
          <w:szCs w:val="22"/>
        </w:rPr>
        <w:t>First of all</w:t>
      </w:r>
      <w:proofErr w:type="gramEnd"/>
      <w:r w:rsidR="00242369" w:rsidRPr="009E3377">
        <w:rPr>
          <w:rFonts w:asciiTheme="majorHAnsi" w:hAnsiTheme="majorHAnsi"/>
          <w:iCs/>
          <w:sz w:val="22"/>
          <w:szCs w:val="22"/>
        </w:rPr>
        <w:t>, AI services strongly rely on cloud computing infrastructures which are currently concentrated around very few players. Secondly, by means</w:t>
      </w:r>
      <w:r w:rsidR="00242369" w:rsidRPr="000F7C48">
        <w:rPr>
          <w:rFonts w:asciiTheme="majorHAnsi" w:hAnsiTheme="majorHAnsi"/>
          <w:i/>
          <w:sz w:val="22"/>
        </w:rPr>
        <w:t xml:space="preserve"> </w:t>
      </w:r>
      <w:r w:rsidR="003F1918">
        <w:rPr>
          <w:rFonts w:asciiTheme="majorHAnsi" w:hAnsiTheme="majorHAnsi"/>
          <w:sz w:val="22"/>
          <w:szCs w:val="22"/>
        </w:rPr>
        <w:t>of</w:t>
      </w:r>
      <w:r w:rsidR="003F1918" w:rsidRPr="000214C8">
        <w:rPr>
          <w:rFonts w:asciiTheme="majorHAnsi" w:hAnsiTheme="majorHAnsi"/>
          <w:sz w:val="22"/>
          <w:szCs w:val="22"/>
        </w:rPr>
        <w:t xml:space="preserve"> their rapid integration into gatekeepers’ services</w:t>
      </w:r>
      <w:r w:rsidR="003F1918">
        <w:rPr>
          <w:rFonts w:asciiTheme="majorHAnsi" w:hAnsiTheme="majorHAnsi"/>
          <w:sz w:val="22"/>
          <w:szCs w:val="22"/>
        </w:rPr>
        <w:t>,</w:t>
      </w:r>
      <w:r w:rsidR="00CC244A" w:rsidRPr="00B76B12">
        <w:rPr>
          <w:rFonts w:asciiTheme="majorHAnsi" w:hAnsiTheme="majorHAnsi"/>
          <w:i/>
          <w:sz w:val="22"/>
          <w:szCs w:val="22"/>
        </w:rPr>
        <w:t xml:space="preserve"> </w:t>
      </w:r>
      <w:r w:rsidR="001F1712" w:rsidRPr="000214C8">
        <w:rPr>
          <w:rFonts w:asciiTheme="majorHAnsi" w:hAnsiTheme="majorHAnsi"/>
          <w:sz w:val="22"/>
          <w:szCs w:val="22"/>
        </w:rPr>
        <w:t>AI</w:t>
      </w:r>
      <w:r w:rsidR="00833002">
        <w:rPr>
          <w:rFonts w:asciiTheme="majorHAnsi" w:hAnsiTheme="majorHAnsi"/>
          <w:sz w:val="22"/>
          <w:szCs w:val="22"/>
        </w:rPr>
        <w:t xml:space="preserve"> technologies are</w:t>
      </w:r>
      <w:r w:rsidR="001F1712" w:rsidRPr="000214C8">
        <w:rPr>
          <w:rFonts w:asciiTheme="majorHAnsi" w:hAnsiTheme="majorHAnsi"/>
          <w:sz w:val="22"/>
          <w:szCs w:val="22"/>
        </w:rPr>
        <w:t xml:space="preserve"> increasingly </w:t>
      </w:r>
      <w:r w:rsidR="00C816ED">
        <w:rPr>
          <w:rFonts w:asciiTheme="majorHAnsi" w:hAnsiTheme="majorHAnsi"/>
          <w:sz w:val="22"/>
          <w:szCs w:val="22"/>
        </w:rPr>
        <w:t xml:space="preserve">becoming </w:t>
      </w:r>
      <w:r w:rsidR="001F1712" w:rsidRPr="000214C8">
        <w:rPr>
          <w:rFonts w:asciiTheme="majorHAnsi" w:hAnsiTheme="majorHAnsi"/>
          <w:sz w:val="22"/>
          <w:szCs w:val="22"/>
        </w:rPr>
        <w:t xml:space="preserve">gateways for </w:t>
      </w:r>
      <w:r w:rsidR="00540C03">
        <w:rPr>
          <w:rFonts w:asciiTheme="majorHAnsi" w:hAnsiTheme="majorHAnsi"/>
          <w:sz w:val="22"/>
          <w:szCs w:val="22"/>
        </w:rPr>
        <w:t xml:space="preserve">digital service providers </w:t>
      </w:r>
      <w:r w:rsidR="001F1712" w:rsidRPr="000214C8">
        <w:rPr>
          <w:rFonts w:asciiTheme="majorHAnsi" w:hAnsiTheme="majorHAnsi"/>
          <w:sz w:val="22"/>
          <w:szCs w:val="22"/>
        </w:rPr>
        <w:t>to reach end users</w:t>
      </w:r>
      <w:r w:rsidR="001005BA" w:rsidRPr="000214C8">
        <w:rPr>
          <w:rFonts w:asciiTheme="majorHAnsi" w:hAnsiTheme="majorHAnsi"/>
          <w:sz w:val="22"/>
          <w:szCs w:val="22"/>
        </w:rPr>
        <w:t>.</w:t>
      </w:r>
      <w:r w:rsidR="001F1712" w:rsidRPr="000214C8">
        <w:rPr>
          <w:rFonts w:asciiTheme="majorHAnsi" w:hAnsiTheme="majorHAnsi"/>
          <w:sz w:val="22"/>
          <w:szCs w:val="22"/>
        </w:rPr>
        <w:t xml:space="preserve"> This is the case, for instance, </w:t>
      </w:r>
      <w:r w:rsidR="00C816ED">
        <w:rPr>
          <w:rFonts w:asciiTheme="majorHAnsi" w:hAnsiTheme="majorHAnsi"/>
          <w:sz w:val="22"/>
          <w:szCs w:val="22"/>
        </w:rPr>
        <w:t xml:space="preserve">with the </w:t>
      </w:r>
      <w:r w:rsidR="00242369" w:rsidRPr="00242369">
        <w:rPr>
          <w:rFonts w:asciiTheme="majorHAnsi" w:hAnsiTheme="majorHAnsi"/>
          <w:sz w:val="22"/>
          <w:szCs w:val="22"/>
        </w:rPr>
        <w:t>expanding role of</w:t>
      </w:r>
      <w:r w:rsidR="006E51B4">
        <w:rPr>
          <w:rFonts w:asciiTheme="majorHAnsi" w:hAnsiTheme="majorHAnsi"/>
          <w:sz w:val="22"/>
          <w:szCs w:val="22"/>
        </w:rPr>
        <w:t xml:space="preserve"> </w:t>
      </w:r>
      <w:r w:rsidR="001F1712" w:rsidRPr="000214C8">
        <w:rPr>
          <w:rFonts w:asciiTheme="majorHAnsi" w:hAnsiTheme="majorHAnsi"/>
          <w:sz w:val="22"/>
          <w:szCs w:val="22"/>
        </w:rPr>
        <w:t xml:space="preserve">AI </w:t>
      </w:r>
      <w:r w:rsidR="00AB2881">
        <w:rPr>
          <w:rFonts w:asciiTheme="majorHAnsi" w:hAnsiTheme="majorHAnsi"/>
          <w:sz w:val="22"/>
          <w:szCs w:val="22"/>
        </w:rPr>
        <w:t>assistants</w:t>
      </w:r>
      <w:r w:rsidR="001F1712" w:rsidRPr="007D64D9">
        <w:rPr>
          <w:rFonts w:asciiTheme="majorHAnsi" w:hAnsiTheme="majorHAnsi"/>
          <w:sz w:val="22"/>
          <w:szCs w:val="22"/>
        </w:rPr>
        <w:t>,</w:t>
      </w:r>
      <w:r w:rsidR="00C816ED" w:rsidRPr="007D64D9">
        <w:rPr>
          <w:rFonts w:asciiTheme="majorHAnsi" w:hAnsiTheme="majorHAnsi"/>
          <w:sz w:val="22"/>
          <w:szCs w:val="22"/>
        </w:rPr>
        <w:t xml:space="preserve"> </w:t>
      </w:r>
      <w:r w:rsidR="00795CB0" w:rsidRPr="007D64D9">
        <w:rPr>
          <w:rFonts w:asciiTheme="majorHAnsi" w:hAnsiTheme="majorHAnsi"/>
          <w:sz w:val="22"/>
          <w:szCs w:val="22"/>
        </w:rPr>
        <w:t>chatbots</w:t>
      </w:r>
      <w:r w:rsidR="00C816ED" w:rsidRPr="007D64D9">
        <w:rPr>
          <w:rFonts w:asciiTheme="majorHAnsi" w:hAnsiTheme="majorHAnsi"/>
          <w:sz w:val="22"/>
          <w:szCs w:val="22"/>
        </w:rPr>
        <w:t>,</w:t>
      </w:r>
      <w:r w:rsidR="00795CB0">
        <w:rPr>
          <w:rFonts w:asciiTheme="majorHAnsi" w:hAnsiTheme="majorHAnsi"/>
          <w:sz w:val="22"/>
          <w:szCs w:val="22"/>
        </w:rPr>
        <w:t xml:space="preserve"> </w:t>
      </w:r>
      <w:proofErr w:type="spellStart"/>
      <w:r w:rsidR="00242369" w:rsidRPr="00242369">
        <w:rPr>
          <w:rFonts w:asciiTheme="majorHAnsi" w:hAnsiTheme="majorHAnsi"/>
          <w:sz w:val="22"/>
          <w:szCs w:val="22"/>
        </w:rPr>
        <w:t>Maa</w:t>
      </w:r>
      <w:r w:rsidR="00CB5BFE">
        <w:rPr>
          <w:rFonts w:asciiTheme="majorHAnsi" w:hAnsiTheme="majorHAnsi"/>
          <w:sz w:val="22"/>
          <w:szCs w:val="22"/>
        </w:rPr>
        <w:t>S</w:t>
      </w:r>
      <w:proofErr w:type="spellEnd"/>
      <w:r w:rsidR="00242369" w:rsidRPr="00242369">
        <w:rPr>
          <w:rFonts w:asciiTheme="majorHAnsi" w:hAnsiTheme="majorHAnsi"/>
          <w:sz w:val="22"/>
          <w:szCs w:val="22"/>
          <w:vertAlign w:val="superscript"/>
        </w:rPr>
        <w:footnoteReference w:id="3"/>
      </w:r>
      <w:r w:rsidR="00242369" w:rsidRPr="00242369">
        <w:rPr>
          <w:rFonts w:asciiTheme="majorHAnsi" w:hAnsiTheme="majorHAnsi"/>
          <w:sz w:val="22"/>
          <w:szCs w:val="22"/>
        </w:rPr>
        <w:t xml:space="preserve"> </w:t>
      </w:r>
      <w:r w:rsidR="00795CB0">
        <w:rPr>
          <w:rFonts w:asciiTheme="majorHAnsi" w:hAnsiTheme="majorHAnsi"/>
          <w:sz w:val="22"/>
          <w:szCs w:val="22"/>
        </w:rPr>
        <w:t>and other services</w:t>
      </w:r>
      <w:r w:rsidR="00242369" w:rsidRPr="000F7C48">
        <w:t xml:space="preserve"> </w:t>
      </w:r>
      <w:r w:rsidR="00242369" w:rsidRPr="00242369">
        <w:rPr>
          <w:rFonts w:asciiTheme="majorHAnsi" w:hAnsiTheme="majorHAnsi"/>
          <w:sz w:val="22"/>
          <w:szCs w:val="22"/>
        </w:rPr>
        <w:t>that can be integrated</w:t>
      </w:r>
      <w:r w:rsidR="00242369">
        <w:rPr>
          <w:rFonts w:asciiTheme="majorHAnsi" w:hAnsiTheme="majorHAnsi"/>
          <w:sz w:val="22"/>
          <w:szCs w:val="22"/>
        </w:rPr>
        <w:t xml:space="preserve"> within the </w:t>
      </w:r>
      <w:r w:rsidR="008E0917">
        <w:rPr>
          <w:rFonts w:asciiTheme="majorHAnsi" w:hAnsiTheme="majorHAnsi"/>
          <w:sz w:val="22"/>
          <w:szCs w:val="22"/>
        </w:rPr>
        <w:t>gatekeeper</w:t>
      </w:r>
      <w:r w:rsidR="00242369">
        <w:rPr>
          <w:rFonts w:asciiTheme="majorHAnsi" w:hAnsiTheme="majorHAnsi"/>
          <w:sz w:val="22"/>
          <w:szCs w:val="22"/>
        </w:rPr>
        <w:t>’</w:t>
      </w:r>
      <w:r w:rsidR="00AB2881">
        <w:rPr>
          <w:rFonts w:asciiTheme="majorHAnsi" w:hAnsiTheme="majorHAnsi"/>
          <w:sz w:val="22"/>
          <w:szCs w:val="22"/>
        </w:rPr>
        <w:t>s</w:t>
      </w:r>
      <w:r w:rsidR="008E0917">
        <w:rPr>
          <w:rFonts w:asciiTheme="majorHAnsi" w:hAnsiTheme="majorHAnsi"/>
          <w:sz w:val="22"/>
          <w:szCs w:val="22"/>
        </w:rPr>
        <w:t xml:space="preserve"> ecosystem</w:t>
      </w:r>
      <w:r w:rsidR="00795CB0">
        <w:rPr>
          <w:rFonts w:asciiTheme="majorHAnsi" w:hAnsiTheme="majorHAnsi"/>
          <w:sz w:val="22"/>
          <w:szCs w:val="22"/>
        </w:rPr>
        <w:t>.</w:t>
      </w:r>
      <w:r>
        <w:rPr>
          <w:rFonts w:asciiTheme="majorHAnsi" w:hAnsiTheme="majorHAnsi"/>
          <w:sz w:val="22"/>
          <w:szCs w:val="22"/>
        </w:rPr>
        <w:t xml:space="preserve"> </w:t>
      </w:r>
    </w:p>
    <w:p w14:paraId="2227FDA4" w14:textId="77777777" w:rsidR="00F93BA5" w:rsidRDefault="00F93BA5" w:rsidP="00F93BA5">
      <w:pPr>
        <w:pStyle w:val="ListParagraph"/>
        <w:spacing w:after="240" w:line="240" w:lineRule="auto"/>
        <w:ind w:left="1080"/>
        <w:jc w:val="both"/>
        <w:rPr>
          <w:rFonts w:asciiTheme="majorHAnsi" w:hAnsiTheme="majorHAnsi"/>
          <w:sz w:val="22"/>
          <w:szCs w:val="22"/>
        </w:rPr>
      </w:pPr>
    </w:p>
    <w:p w14:paraId="728C2800" w14:textId="02A15795" w:rsidR="00F93BA5" w:rsidRPr="007D64D9" w:rsidRDefault="00A8101C" w:rsidP="007D64D9">
      <w:pPr>
        <w:pStyle w:val="ListParagraph"/>
        <w:spacing w:after="240" w:line="240" w:lineRule="auto"/>
        <w:ind w:left="1080"/>
        <w:jc w:val="both"/>
        <w:rPr>
          <w:rFonts w:asciiTheme="majorHAnsi" w:hAnsiTheme="majorHAnsi"/>
          <w:sz w:val="22"/>
          <w:szCs w:val="22"/>
        </w:rPr>
      </w:pPr>
      <w:r>
        <w:rPr>
          <w:rFonts w:asciiTheme="majorHAnsi" w:hAnsiTheme="majorHAnsi"/>
          <w:sz w:val="22"/>
          <w:szCs w:val="22"/>
        </w:rPr>
        <w:t xml:space="preserve">Such </w:t>
      </w:r>
      <w:r w:rsidR="003F1918">
        <w:rPr>
          <w:rFonts w:asciiTheme="majorHAnsi" w:hAnsiTheme="majorHAnsi"/>
          <w:sz w:val="22"/>
          <w:szCs w:val="22"/>
        </w:rPr>
        <w:t>increasing level of</w:t>
      </w:r>
      <w:r w:rsidR="00F93BA5">
        <w:rPr>
          <w:rFonts w:asciiTheme="majorHAnsi" w:hAnsiTheme="majorHAnsi"/>
          <w:sz w:val="22"/>
          <w:szCs w:val="22"/>
        </w:rPr>
        <w:t xml:space="preserve"> integration</w:t>
      </w:r>
      <w:r w:rsidR="001F1712" w:rsidRPr="000214C8">
        <w:rPr>
          <w:rFonts w:asciiTheme="majorHAnsi" w:hAnsiTheme="majorHAnsi"/>
          <w:sz w:val="22"/>
          <w:szCs w:val="22"/>
        </w:rPr>
        <w:t xml:space="preserve"> </w:t>
      </w:r>
      <w:r w:rsidR="00A0787B">
        <w:rPr>
          <w:rFonts w:asciiTheme="majorHAnsi" w:hAnsiTheme="majorHAnsi"/>
          <w:sz w:val="22"/>
          <w:szCs w:val="22"/>
        </w:rPr>
        <w:t xml:space="preserve">may be a significant obstacle to third parties’ </w:t>
      </w:r>
      <w:r w:rsidR="001F1712" w:rsidRPr="000214C8">
        <w:rPr>
          <w:rFonts w:asciiTheme="majorHAnsi" w:hAnsiTheme="majorHAnsi"/>
          <w:sz w:val="22"/>
          <w:szCs w:val="22"/>
        </w:rPr>
        <w:t xml:space="preserve">ability to </w:t>
      </w:r>
      <w:r w:rsidR="00A0787B">
        <w:rPr>
          <w:rFonts w:asciiTheme="majorHAnsi" w:hAnsiTheme="majorHAnsi"/>
          <w:sz w:val="22"/>
          <w:szCs w:val="22"/>
        </w:rPr>
        <w:t xml:space="preserve">offer </w:t>
      </w:r>
      <w:r w:rsidR="006E0227" w:rsidRPr="000214C8">
        <w:rPr>
          <w:rFonts w:asciiTheme="majorHAnsi" w:hAnsiTheme="majorHAnsi"/>
          <w:sz w:val="22"/>
          <w:szCs w:val="22"/>
        </w:rPr>
        <w:t xml:space="preserve">customised AI services </w:t>
      </w:r>
      <w:r w:rsidR="003F1918">
        <w:rPr>
          <w:rFonts w:asciiTheme="majorHAnsi" w:hAnsiTheme="majorHAnsi"/>
          <w:sz w:val="22"/>
          <w:szCs w:val="22"/>
        </w:rPr>
        <w:t>to</w:t>
      </w:r>
      <w:r w:rsidR="001F1712" w:rsidRPr="000214C8">
        <w:rPr>
          <w:rFonts w:asciiTheme="majorHAnsi" w:hAnsiTheme="majorHAnsi"/>
          <w:sz w:val="22"/>
          <w:szCs w:val="22"/>
        </w:rPr>
        <w:t xml:space="preserve"> end users</w:t>
      </w:r>
      <w:r w:rsidR="003F1918">
        <w:rPr>
          <w:rFonts w:asciiTheme="majorHAnsi" w:hAnsiTheme="majorHAnsi"/>
          <w:sz w:val="22"/>
          <w:szCs w:val="22"/>
        </w:rPr>
        <w:t xml:space="preserve">, </w:t>
      </w:r>
      <w:r w:rsidR="00A0787B">
        <w:rPr>
          <w:rFonts w:asciiTheme="majorHAnsi" w:hAnsiTheme="majorHAnsi"/>
          <w:sz w:val="22"/>
          <w:szCs w:val="22"/>
        </w:rPr>
        <w:t xml:space="preserve">and by the same token create disincentives for end users to seek third parties’ offers. Moreover, it </w:t>
      </w:r>
      <w:r w:rsidR="003F1918" w:rsidRPr="00A04A51">
        <w:rPr>
          <w:rFonts w:asciiTheme="majorHAnsi" w:hAnsiTheme="majorHAnsi"/>
          <w:sz w:val="22"/>
          <w:szCs w:val="22"/>
        </w:rPr>
        <w:t>creat</w:t>
      </w:r>
      <w:r w:rsidR="00A0787B">
        <w:rPr>
          <w:rFonts w:asciiTheme="majorHAnsi" w:hAnsiTheme="majorHAnsi"/>
          <w:sz w:val="22"/>
          <w:szCs w:val="22"/>
        </w:rPr>
        <w:t>es</w:t>
      </w:r>
      <w:r w:rsidR="003F1918" w:rsidRPr="00A04A51">
        <w:rPr>
          <w:rFonts w:asciiTheme="majorHAnsi" w:hAnsiTheme="majorHAnsi"/>
          <w:sz w:val="22"/>
          <w:szCs w:val="22"/>
        </w:rPr>
        <w:t xml:space="preserve"> incentives </w:t>
      </w:r>
      <w:r w:rsidR="00A0787B">
        <w:rPr>
          <w:rFonts w:asciiTheme="majorHAnsi" w:hAnsiTheme="majorHAnsi"/>
          <w:sz w:val="22"/>
          <w:szCs w:val="22"/>
        </w:rPr>
        <w:t xml:space="preserve">and opportunities </w:t>
      </w:r>
      <w:r w:rsidR="003F1918" w:rsidRPr="00A04A51">
        <w:rPr>
          <w:rFonts w:asciiTheme="majorHAnsi" w:hAnsiTheme="majorHAnsi"/>
          <w:sz w:val="22"/>
          <w:szCs w:val="22"/>
        </w:rPr>
        <w:t>for self-preferencing</w:t>
      </w:r>
      <w:r w:rsidR="00A0787B">
        <w:rPr>
          <w:rFonts w:asciiTheme="majorHAnsi" w:hAnsiTheme="majorHAnsi"/>
          <w:sz w:val="22"/>
          <w:szCs w:val="22"/>
        </w:rPr>
        <w:t xml:space="preserve"> by the </w:t>
      </w:r>
      <w:proofErr w:type="gramStart"/>
      <w:r w:rsidR="00A0787B">
        <w:rPr>
          <w:rFonts w:asciiTheme="majorHAnsi" w:hAnsiTheme="majorHAnsi"/>
          <w:sz w:val="22"/>
          <w:szCs w:val="22"/>
        </w:rPr>
        <w:t>gatekeepers</w:t>
      </w:r>
      <w:r w:rsidR="003F1918">
        <w:rPr>
          <w:rFonts w:asciiTheme="majorHAnsi" w:hAnsiTheme="majorHAnsi"/>
          <w:sz w:val="22"/>
          <w:szCs w:val="22"/>
        </w:rPr>
        <w:t>,</w:t>
      </w:r>
      <w:r w:rsidR="003F1918" w:rsidRPr="00A04A51">
        <w:rPr>
          <w:rFonts w:asciiTheme="majorHAnsi" w:hAnsiTheme="majorHAnsi"/>
          <w:sz w:val="22"/>
          <w:szCs w:val="22"/>
        </w:rPr>
        <w:t xml:space="preserve"> and</w:t>
      </w:r>
      <w:proofErr w:type="gramEnd"/>
      <w:r w:rsidR="003F1918" w:rsidRPr="00A04A51">
        <w:rPr>
          <w:rFonts w:asciiTheme="majorHAnsi" w:hAnsiTheme="majorHAnsi"/>
          <w:sz w:val="22"/>
          <w:szCs w:val="22"/>
        </w:rPr>
        <w:t xml:space="preserve"> may lock-in </w:t>
      </w:r>
      <w:r w:rsidR="00A0787B">
        <w:rPr>
          <w:rFonts w:asciiTheme="majorHAnsi" w:hAnsiTheme="majorHAnsi"/>
          <w:sz w:val="22"/>
          <w:szCs w:val="22"/>
        </w:rPr>
        <w:t xml:space="preserve">users </w:t>
      </w:r>
      <w:r w:rsidR="003F1918" w:rsidRPr="00A04A51">
        <w:rPr>
          <w:rFonts w:asciiTheme="majorHAnsi" w:hAnsiTheme="majorHAnsi"/>
          <w:sz w:val="22"/>
          <w:szCs w:val="22"/>
        </w:rPr>
        <w:t xml:space="preserve">due to a lack of </w:t>
      </w:r>
      <w:r w:rsidR="006E245F">
        <w:rPr>
          <w:rFonts w:asciiTheme="majorHAnsi" w:hAnsiTheme="majorHAnsi"/>
          <w:sz w:val="22"/>
          <w:szCs w:val="22"/>
        </w:rPr>
        <w:t>effective</w:t>
      </w:r>
      <w:r w:rsidR="003F1918" w:rsidRPr="00A04A51">
        <w:rPr>
          <w:rFonts w:asciiTheme="majorHAnsi" w:hAnsiTheme="majorHAnsi"/>
          <w:sz w:val="22"/>
          <w:szCs w:val="22"/>
        </w:rPr>
        <w:t xml:space="preserve"> interoperability with alternative</w:t>
      </w:r>
      <w:r w:rsidR="00BB662A">
        <w:rPr>
          <w:rFonts w:asciiTheme="majorHAnsi" w:hAnsiTheme="majorHAnsi"/>
          <w:sz w:val="22"/>
          <w:szCs w:val="22"/>
        </w:rPr>
        <w:t>s</w:t>
      </w:r>
      <w:r w:rsidR="003F1918" w:rsidRPr="00A04A51">
        <w:rPr>
          <w:rFonts w:asciiTheme="majorHAnsi" w:hAnsiTheme="majorHAnsi"/>
          <w:sz w:val="22"/>
          <w:szCs w:val="22"/>
        </w:rPr>
        <w:t xml:space="preserve">. </w:t>
      </w:r>
      <w:r w:rsidR="0092780D">
        <w:rPr>
          <w:rFonts w:asciiTheme="majorHAnsi" w:hAnsiTheme="majorHAnsi"/>
          <w:sz w:val="22"/>
          <w:szCs w:val="22"/>
        </w:rPr>
        <w:t>Furthermore</w:t>
      </w:r>
      <w:r w:rsidR="001005BA" w:rsidRPr="000214C8">
        <w:rPr>
          <w:rFonts w:asciiTheme="majorHAnsi" w:hAnsiTheme="majorHAnsi"/>
          <w:sz w:val="22"/>
          <w:szCs w:val="22"/>
        </w:rPr>
        <w:t>, w</w:t>
      </w:r>
      <w:r w:rsidR="001F1712" w:rsidRPr="000214C8">
        <w:rPr>
          <w:rFonts w:asciiTheme="majorHAnsi" w:hAnsiTheme="majorHAnsi"/>
          <w:sz w:val="22"/>
          <w:szCs w:val="22"/>
        </w:rPr>
        <w:t xml:space="preserve">hen gatekeepers embed AI </w:t>
      </w:r>
      <w:r w:rsidR="00833002">
        <w:rPr>
          <w:rFonts w:asciiTheme="majorHAnsi" w:hAnsiTheme="majorHAnsi"/>
          <w:sz w:val="22"/>
          <w:szCs w:val="22"/>
        </w:rPr>
        <w:t>technologies</w:t>
      </w:r>
      <w:r w:rsidR="001F1712" w:rsidRPr="000214C8">
        <w:rPr>
          <w:rFonts w:asciiTheme="majorHAnsi" w:hAnsiTheme="majorHAnsi"/>
          <w:sz w:val="22"/>
          <w:szCs w:val="22"/>
        </w:rPr>
        <w:t xml:space="preserve"> into their </w:t>
      </w:r>
      <w:r w:rsidR="00C4217F">
        <w:rPr>
          <w:rFonts w:asciiTheme="majorHAnsi" w:hAnsiTheme="majorHAnsi"/>
          <w:sz w:val="22"/>
          <w:szCs w:val="22"/>
        </w:rPr>
        <w:t xml:space="preserve">core platform </w:t>
      </w:r>
      <w:r w:rsidR="004F5EA2">
        <w:rPr>
          <w:rFonts w:asciiTheme="majorHAnsi" w:hAnsiTheme="majorHAnsi"/>
          <w:sz w:val="22"/>
          <w:szCs w:val="22"/>
        </w:rPr>
        <w:t>services,</w:t>
      </w:r>
      <w:r w:rsidR="00C4217F">
        <w:rPr>
          <w:rFonts w:asciiTheme="majorHAnsi" w:hAnsiTheme="majorHAnsi"/>
          <w:sz w:val="22"/>
          <w:szCs w:val="22"/>
        </w:rPr>
        <w:t xml:space="preserve"> </w:t>
      </w:r>
      <w:r w:rsidR="00C93BB9">
        <w:rPr>
          <w:rFonts w:asciiTheme="majorHAnsi" w:hAnsiTheme="majorHAnsi"/>
          <w:sz w:val="22"/>
          <w:szCs w:val="22"/>
        </w:rPr>
        <w:t xml:space="preserve">this may, have implications also for content providers on the Internet in particular </w:t>
      </w:r>
      <w:proofErr w:type="gramStart"/>
      <w:r w:rsidR="00C93BB9">
        <w:rPr>
          <w:rFonts w:asciiTheme="majorHAnsi" w:hAnsiTheme="majorHAnsi"/>
          <w:sz w:val="22"/>
          <w:szCs w:val="22"/>
        </w:rPr>
        <w:t>with regard to</w:t>
      </w:r>
      <w:proofErr w:type="gramEnd"/>
      <w:r w:rsidR="00C93BB9">
        <w:rPr>
          <w:rFonts w:asciiTheme="majorHAnsi" w:hAnsiTheme="majorHAnsi"/>
          <w:sz w:val="22"/>
          <w:szCs w:val="22"/>
        </w:rPr>
        <w:t xml:space="preserve"> their traffic volume and visibility.</w:t>
      </w:r>
      <w:r w:rsidR="0092780D">
        <w:rPr>
          <w:rFonts w:asciiTheme="majorHAnsi" w:hAnsiTheme="majorHAnsi"/>
          <w:sz w:val="22"/>
          <w:szCs w:val="22"/>
        </w:rPr>
        <w:t xml:space="preserve"> </w:t>
      </w:r>
    </w:p>
    <w:p w14:paraId="13D084CC" w14:textId="77777777" w:rsidR="00AC6A9C" w:rsidRPr="00F93BA5" w:rsidRDefault="00AC6A9C" w:rsidP="007D64D9">
      <w:pPr>
        <w:pStyle w:val="ListParagraph"/>
        <w:spacing w:after="240" w:line="240" w:lineRule="auto"/>
        <w:ind w:left="1080"/>
        <w:jc w:val="both"/>
      </w:pPr>
    </w:p>
    <w:p w14:paraId="111A2E5F" w14:textId="26228499" w:rsidR="005649A0" w:rsidRPr="000214C8" w:rsidRDefault="001F1712" w:rsidP="00A47C08">
      <w:pPr>
        <w:pStyle w:val="ListParagraph"/>
        <w:numPr>
          <w:ilvl w:val="0"/>
          <w:numId w:val="51"/>
        </w:numPr>
        <w:spacing w:after="240" w:line="240" w:lineRule="auto"/>
        <w:jc w:val="both"/>
        <w:rPr>
          <w:rFonts w:asciiTheme="majorHAnsi" w:hAnsiTheme="majorHAnsi"/>
          <w:sz w:val="22"/>
          <w:szCs w:val="22"/>
        </w:rPr>
      </w:pPr>
      <w:r w:rsidRPr="000214C8">
        <w:rPr>
          <w:rFonts w:asciiTheme="majorHAnsi" w:hAnsiTheme="majorHAnsi"/>
          <w:i/>
          <w:sz w:val="22"/>
          <w:szCs w:val="22"/>
        </w:rPr>
        <w:t>Access to data</w:t>
      </w:r>
      <w:r w:rsidRPr="000214C8">
        <w:rPr>
          <w:rFonts w:asciiTheme="majorHAnsi" w:hAnsiTheme="majorHAnsi"/>
          <w:sz w:val="22"/>
          <w:szCs w:val="22"/>
        </w:rPr>
        <w:t>:</w:t>
      </w:r>
      <w:r w:rsidR="00E26DE1">
        <w:rPr>
          <w:rFonts w:asciiTheme="majorHAnsi" w:hAnsiTheme="majorHAnsi"/>
          <w:sz w:val="22"/>
          <w:szCs w:val="22"/>
        </w:rPr>
        <w:t xml:space="preserve"> the</w:t>
      </w:r>
      <w:r w:rsidRPr="000214C8">
        <w:rPr>
          <w:rFonts w:asciiTheme="majorHAnsi" w:hAnsiTheme="majorHAnsi"/>
          <w:sz w:val="22"/>
          <w:szCs w:val="22"/>
        </w:rPr>
        <w:t xml:space="preserve"> </w:t>
      </w:r>
      <w:r w:rsidR="008D6460">
        <w:rPr>
          <w:rFonts w:asciiTheme="majorHAnsi" w:hAnsiTheme="majorHAnsi"/>
          <w:sz w:val="22"/>
          <w:szCs w:val="22"/>
        </w:rPr>
        <w:t xml:space="preserve">ability to </w:t>
      </w:r>
      <w:r w:rsidR="00897EC5">
        <w:rPr>
          <w:rFonts w:asciiTheme="majorHAnsi" w:hAnsiTheme="majorHAnsi"/>
          <w:sz w:val="22"/>
          <w:szCs w:val="22"/>
        </w:rPr>
        <w:t xml:space="preserve">establish </w:t>
      </w:r>
      <w:r w:rsidRPr="000214C8">
        <w:rPr>
          <w:rFonts w:asciiTheme="majorHAnsi" w:hAnsiTheme="majorHAnsi"/>
          <w:sz w:val="22"/>
          <w:szCs w:val="22"/>
        </w:rPr>
        <w:t xml:space="preserve">exclusive partnerships </w:t>
      </w:r>
      <w:r w:rsidR="008D6460">
        <w:rPr>
          <w:rFonts w:asciiTheme="majorHAnsi" w:hAnsiTheme="majorHAnsi"/>
          <w:sz w:val="22"/>
          <w:szCs w:val="22"/>
        </w:rPr>
        <w:t xml:space="preserve">coupled with </w:t>
      </w:r>
      <w:r w:rsidR="00A0787B">
        <w:rPr>
          <w:rFonts w:asciiTheme="majorHAnsi" w:hAnsiTheme="majorHAnsi"/>
          <w:sz w:val="22"/>
          <w:szCs w:val="22"/>
        </w:rPr>
        <w:t xml:space="preserve">exclusive access to </w:t>
      </w:r>
      <w:r w:rsidRPr="000214C8">
        <w:rPr>
          <w:rFonts w:asciiTheme="majorHAnsi" w:hAnsiTheme="majorHAnsi"/>
          <w:sz w:val="22"/>
          <w:szCs w:val="22"/>
        </w:rPr>
        <w:t>first-party data</w:t>
      </w:r>
      <w:r w:rsidR="00A0787B">
        <w:rPr>
          <w:rFonts w:asciiTheme="majorHAnsi" w:hAnsiTheme="majorHAnsi"/>
          <w:sz w:val="22"/>
          <w:szCs w:val="22"/>
        </w:rPr>
        <w:t xml:space="preserve"> for use in </w:t>
      </w:r>
      <w:r w:rsidR="009F2A1C">
        <w:rPr>
          <w:rFonts w:asciiTheme="majorHAnsi" w:hAnsiTheme="majorHAnsi"/>
          <w:sz w:val="22"/>
          <w:szCs w:val="22"/>
        </w:rPr>
        <w:t>G</w:t>
      </w:r>
      <w:r w:rsidR="00E26DE1">
        <w:rPr>
          <w:rFonts w:asciiTheme="majorHAnsi" w:hAnsiTheme="majorHAnsi"/>
          <w:sz w:val="22"/>
          <w:szCs w:val="22"/>
        </w:rPr>
        <w:t xml:space="preserve">enerative </w:t>
      </w:r>
      <w:r w:rsidR="00A0787B">
        <w:rPr>
          <w:rFonts w:asciiTheme="majorHAnsi" w:hAnsiTheme="majorHAnsi"/>
          <w:sz w:val="22"/>
          <w:szCs w:val="22"/>
        </w:rPr>
        <w:t xml:space="preserve">AI development </w:t>
      </w:r>
      <w:r w:rsidR="00897EC5">
        <w:rPr>
          <w:rFonts w:asciiTheme="majorHAnsi" w:hAnsiTheme="majorHAnsi"/>
          <w:sz w:val="22"/>
          <w:szCs w:val="22"/>
        </w:rPr>
        <w:t xml:space="preserve">may </w:t>
      </w:r>
      <w:r w:rsidR="008D6460">
        <w:rPr>
          <w:rFonts w:asciiTheme="majorHAnsi" w:hAnsiTheme="majorHAnsi"/>
          <w:sz w:val="22"/>
          <w:szCs w:val="22"/>
        </w:rPr>
        <w:t xml:space="preserve">create an unmatchable advantage for gatekeepers compared to </w:t>
      </w:r>
      <w:r w:rsidR="004F5EA2">
        <w:rPr>
          <w:rFonts w:asciiTheme="majorHAnsi" w:hAnsiTheme="majorHAnsi"/>
          <w:sz w:val="22"/>
          <w:szCs w:val="22"/>
        </w:rPr>
        <w:t>third parties</w:t>
      </w:r>
      <w:r w:rsidR="00532410" w:rsidRPr="000214C8">
        <w:rPr>
          <w:rFonts w:asciiTheme="majorHAnsi" w:hAnsiTheme="majorHAnsi"/>
          <w:sz w:val="22"/>
          <w:szCs w:val="22"/>
        </w:rPr>
        <w:t>. Although public</w:t>
      </w:r>
      <w:r w:rsidRPr="000214C8">
        <w:rPr>
          <w:rFonts w:asciiTheme="majorHAnsi" w:hAnsiTheme="majorHAnsi"/>
          <w:sz w:val="22"/>
          <w:szCs w:val="22"/>
        </w:rPr>
        <w:t>, pretraining</w:t>
      </w:r>
      <w:r w:rsidR="00B76B12">
        <w:rPr>
          <w:rFonts w:asciiTheme="majorHAnsi" w:hAnsiTheme="majorHAnsi"/>
          <w:sz w:val="22"/>
          <w:szCs w:val="22"/>
        </w:rPr>
        <w:t>,</w:t>
      </w:r>
      <w:r w:rsidRPr="000214C8">
        <w:rPr>
          <w:rFonts w:asciiTheme="majorHAnsi" w:hAnsiTheme="majorHAnsi"/>
          <w:sz w:val="22"/>
          <w:szCs w:val="22"/>
        </w:rPr>
        <w:t xml:space="preserve"> and fine-tuning data </w:t>
      </w:r>
      <w:r w:rsidR="00897EC5">
        <w:rPr>
          <w:rFonts w:asciiTheme="majorHAnsi" w:hAnsiTheme="majorHAnsi"/>
          <w:sz w:val="22"/>
          <w:szCs w:val="22"/>
        </w:rPr>
        <w:t>are</w:t>
      </w:r>
      <w:r w:rsidR="00897EC5" w:rsidRPr="000214C8">
        <w:rPr>
          <w:rFonts w:asciiTheme="majorHAnsi" w:hAnsiTheme="majorHAnsi"/>
          <w:sz w:val="22"/>
          <w:szCs w:val="22"/>
        </w:rPr>
        <w:t xml:space="preserve"> </w:t>
      </w:r>
      <w:r w:rsidR="00AB2881">
        <w:rPr>
          <w:rFonts w:asciiTheme="majorHAnsi" w:hAnsiTheme="majorHAnsi"/>
          <w:sz w:val="22"/>
          <w:szCs w:val="22"/>
        </w:rPr>
        <w:t>important for the development of AI</w:t>
      </w:r>
      <w:r w:rsidR="00532410" w:rsidRPr="000214C8">
        <w:rPr>
          <w:rFonts w:asciiTheme="majorHAnsi" w:hAnsiTheme="majorHAnsi"/>
          <w:sz w:val="22"/>
          <w:szCs w:val="22"/>
        </w:rPr>
        <w:t xml:space="preserve">, user interaction data </w:t>
      </w:r>
      <w:r w:rsidR="00B76B12">
        <w:rPr>
          <w:rFonts w:asciiTheme="majorHAnsi" w:hAnsiTheme="majorHAnsi"/>
          <w:sz w:val="22"/>
          <w:szCs w:val="22"/>
        </w:rPr>
        <w:t>appears</w:t>
      </w:r>
      <w:r w:rsidR="00AB2881">
        <w:rPr>
          <w:rFonts w:asciiTheme="majorHAnsi" w:hAnsiTheme="majorHAnsi"/>
          <w:sz w:val="22"/>
          <w:szCs w:val="22"/>
        </w:rPr>
        <w:t xml:space="preserve"> </w:t>
      </w:r>
      <w:r w:rsidR="00A04A51">
        <w:rPr>
          <w:rFonts w:asciiTheme="majorHAnsi" w:hAnsiTheme="majorHAnsi"/>
          <w:sz w:val="22"/>
          <w:szCs w:val="22"/>
        </w:rPr>
        <w:t xml:space="preserve">key </w:t>
      </w:r>
      <w:r w:rsidR="00AB2881">
        <w:rPr>
          <w:rFonts w:asciiTheme="majorHAnsi" w:hAnsiTheme="majorHAnsi"/>
          <w:sz w:val="22"/>
          <w:szCs w:val="22"/>
        </w:rPr>
        <w:t>to ensure contestability in the AI sector</w:t>
      </w:r>
      <w:r w:rsidR="00532410" w:rsidRPr="000214C8">
        <w:rPr>
          <w:rFonts w:asciiTheme="majorHAnsi" w:hAnsiTheme="majorHAnsi"/>
          <w:sz w:val="22"/>
          <w:szCs w:val="22"/>
        </w:rPr>
        <w:t xml:space="preserve">. </w:t>
      </w:r>
      <w:r w:rsidR="00AB2881">
        <w:rPr>
          <w:rFonts w:asciiTheme="majorHAnsi" w:hAnsiTheme="majorHAnsi"/>
          <w:sz w:val="22"/>
          <w:szCs w:val="22"/>
        </w:rPr>
        <w:t>User data</w:t>
      </w:r>
      <w:r w:rsidR="00AB2881" w:rsidRPr="000214C8">
        <w:rPr>
          <w:rFonts w:asciiTheme="majorHAnsi" w:hAnsiTheme="majorHAnsi"/>
          <w:sz w:val="22"/>
          <w:szCs w:val="22"/>
        </w:rPr>
        <w:t xml:space="preserve"> </w:t>
      </w:r>
      <w:r w:rsidR="00532410" w:rsidRPr="000214C8">
        <w:rPr>
          <w:rFonts w:asciiTheme="majorHAnsi" w:hAnsiTheme="majorHAnsi"/>
          <w:sz w:val="22"/>
          <w:szCs w:val="22"/>
        </w:rPr>
        <w:t>is often</w:t>
      </w:r>
      <w:r w:rsidRPr="000214C8">
        <w:rPr>
          <w:rFonts w:asciiTheme="majorHAnsi" w:hAnsiTheme="majorHAnsi"/>
          <w:sz w:val="22"/>
          <w:szCs w:val="22"/>
        </w:rPr>
        <w:t xml:space="preserve"> </w:t>
      </w:r>
      <w:r w:rsidR="00897EC5">
        <w:rPr>
          <w:rFonts w:asciiTheme="majorHAnsi" w:hAnsiTheme="majorHAnsi"/>
          <w:sz w:val="22"/>
          <w:szCs w:val="22"/>
        </w:rPr>
        <w:t xml:space="preserve">personal, </w:t>
      </w:r>
      <w:r w:rsidRPr="000214C8">
        <w:rPr>
          <w:rFonts w:asciiTheme="majorHAnsi" w:hAnsiTheme="majorHAnsi"/>
          <w:sz w:val="22"/>
          <w:szCs w:val="22"/>
        </w:rPr>
        <w:t>first-party</w:t>
      </w:r>
      <w:r w:rsidR="00AB2881">
        <w:rPr>
          <w:rFonts w:asciiTheme="majorHAnsi" w:hAnsiTheme="majorHAnsi"/>
          <w:sz w:val="22"/>
          <w:szCs w:val="22"/>
        </w:rPr>
        <w:t xml:space="preserve">, </w:t>
      </w:r>
      <w:r w:rsidRPr="000214C8">
        <w:rPr>
          <w:rFonts w:asciiTheme="majorHAnsi" w:hAnsiTheme="majorHAnsi"/>
          <w:sz w:val="22"/>
          <w:szCs w:val="22"/>
        </w:rPr>
        <w:t>proprietary</w:t>
      </w:r>
      <w:r w:rsidR="00AB2881">
        <w:rPr>
          <w:rFonts w:asciiTheme="majorHAnsi" w:hAnsiTheme="majorHAnsi"/>
          <w:sz w:val="22"/>
          <w:szCs w:val="22"/>
        </w:rPr>
        <w:t xml:space="preserve"> and </w:t>
      </w:r>
      <w:r w:rsidR="003262BD" w:rsidRPr="000214C8">
        <w:rPr>
          <w:rFonts w:asciiTheme="majorHAnsi" w:hAnsiTheme="majorHAnsi"/>
          <w:sz w:val="22"/>
          <w:szCs w:val="22"/>
        </w:rPr>
        <w:t xml:space="preserve">subject to </w:t>
      </w:r>
      <w:r w:rsidR="00897EC5">
        <w:rPr>
          <w:rFonts w:asciiTheme="majorHAnsi" w:hAnsiTheme="majorHAnsi"/>
          <w:sz w:val="22"/>
          <w:szCs w:val="22"/>
        </w:rPr>
        <w:t xml:space="preserve">the various </w:t>
      </w:r>
      <w:r w:rsidR="003262BD" w:rsidRPr="000214C8">
        <w:rPr>
          <w:rFonts w:asciiTheme="majorHAnsi" w:hAnsiTheme="majorHAnsi"/>
          <w:sz w:val="22"/>
          <w:szCs w:val="22"/>
        </w:rPr>
        <w:t xml:space="preserve">applicable </w:t>
      </w:r>
      <w:r w:rsidR="00897EC5">
        <w:rPr>
          <w:rFonts w:asciiTheme="majorHAnsi" w:hAnsiTheme="majorHAnsi"/>
          <w:sz w:val="22"/>
          <w:szCs w:val="22"/>
        </w:rPr>
        <w:t xml:space="preserve">data protection </w:t>
      </w:r>
      <w:r w:rsidR="003262BD" w:rsidRPr="000214C8">
        <w:rPr>
          <w:rFonts w:asciiTheme="majorHAnsi" w:hAnsiTheme="majorHAnsi"/>
          <w:sz w:val="22"/>
          <w:szCs w:val="22"/>
        </w:rPr>
        <w:t xml:space="preserve">legislation, </w:t>
      </w:r>
      <w:r w:rsidR="00897EC5">
        <w:rPr>
          <w:rFonts w:asciiTheme="majorHAnsi" w:hAnsiTheme="majorHAnsi"/>
          <w:sz w:val="22"/>
          <w:szCs w:val="22"/>
        </w:rPr>
        <w:t xml:space="preserve">entailing specific legal grounds for the processing, </w:t>
      </w:r>
      <w:r w:rsidR="00AB2881">
        <w:rPr>
          <w:rFonts w:asciiTheme="majorHAnsi" w:hAnsiTheme="majorHAnsi"/>
          <w:sz w:val="22"/>
          <w:szCs w:val="22"/>
        </w:rPr>
        <w:t xml:space="preserve">and </w:t>
      </w:r>
      <w:r w:rsidR="00B76B12">
        <w:rPr>
          <w:rFonts w:asciiTheme="majorHAnsi" w:hAnsiTheme="majorHAnsi"/>
          <w:sz w:val="22"/>
          <w:szCs w:val="22"/>
        </w:rPr>
        <w:t xml:space="preserve">is not made </w:t>
      </w:r>
      <w:r w:rsidR="00B76B12" w:rsidRPr="000214C8">
        <w:rPr>
          <w:rFonts w:asciiTheme="majorHAnsi" w:hAnsiTheme="majorHAnsi"/>
          <w:sz w:val="22"/>
          <w:szCs w:val="22"/>
        </w:rPr>
        <w:t>available</w:t>
      </w:r>
      <w:r w:rsidRPr="000214C8">
        <w:rPr>
          <w:rFonts w:asciiTheme="majorHAnsi" w:hAnsiTheme="majorHAnsi"/>
          <w:sz w:val="22"/>
          <w:szCs w:val="22"/>
        </w:rPr>
        <w:t xml:space="preserve"> to third parties</w:t>
      </w:r>
      <w:r w:rsidR="00B76B12">
        <w:rPr>
          <w:rFonts w:asciiTheme="majorHAnsi" w:hAnsiTheme="majorHAnsi"/>
          <w:sz w:val="22"/>
          <w:szCs w:val="22"/>
        </w:rPr>
        <w:t xml:space="preserve"> by gatekeepers. </w:t>
      </w:r>
      <w:r w:rsidR="008D6460">
        <w:rPr>
          <w:rFonts w:asciiTheme="majorHAnsi" w:hAnsiTheme="majorHAnsi"/>
          <w:sz w:val="22"/>
          <w:szCs w:val="22"/>
        </w:rPr>
        <w:t>N</w:t>
      </w:r>
      <w:r w:rsidRPr="000214C8">
        <w:rPr>
          <w:rFonts w:asciiTheme="majorHAnsi" w:hAnsiTheme="majorHAnsi"/>
          <w:sz w:val="22"/>
          <w:szCs w:val="22"/>
        </w:rPr>
        <w:t>etwork effects and feedback loops</w:t>
      </w:r>
      <w:r w:rsidR="008D6460">
        <w:rPr>
          <w:rFonts w:asciiTheme="majorHAnsi" w:hAnsiTheme="majorHAnsi"/>
          <w:sz w:val="22"/>
          <w:szCs w:val="22"/>
        </w:rPr>
        <w:t xml:space="preserve"> </w:t>
      </w:r>
      <w:r w:rsidR="00BA51C2">
        <w:rPr>
          <w:rFonts w:asciiTheme="majorHAnsi" w:hAnsiTheme="majorHAnsi"/>
          <w:sz w:val="22"/>
          <w:szCs w:val="22"/>
        </w:rPr>
        <w:t xml:space="preserve">relating to data obtained </w:t>
      </w:r>
      <w:r w:rsidR="00897EC5">
        <w:rPr>
          <w:rFonts w:asciiTheme="majorHAnsi" w:hAnsiTheme="majorHAnsi"/>
          <w:sz w:val="22"/>
          <w:szCs w:val="22"/>
        </w:rPr>
        <w:t xml:space="preserve">by the gatekeepers </w:t>
      </w:r>
      <w:r w:rsidR="00BA51C2">
        <w:rPr>
          <w:rFonts w:asciiTheme="majorHAnsi" w:hAnsiTheme="majorHAnsi"/>
          <w:sz w:val="22"/>
          <w:szCs w:val="22"/>
        </w:rPr>
        <w:t xml:space="preserve">from the use of these AI systems </w:t>
      </w:r>
      <w:r w:rsidR="008D6460">
        <w:rPr>
          <w:rFonts w:asciiTheme="majorHAnsi" w:hAnsiTheme="majorHAnsi"/>
          <w:sz w:val="22"/>
          <w:szCs w:val="22"/>
        </w:rPr>
        <w:t>further</w:t>
      </w:r>
      <w:r w:rsidR="003262BD" w:rsidRPr="000214C8">
        <w:rPr>
          <w:rFonts w:asciiTheme="majorHAnsi" w:hAnsiTheme="majorHAnsi"/>
          <w:sz w:val="22"/>
          <w:szCs w:val="22"/>
        </w:rPr>
        <w:t xml:space="preserve"> </w:t>
      </w:r>
      <w:r w:rsidR="00B76B12">
        <w:rPr>
          <w:rFonts w:asciiTheme="majorHAnsi" w:hAnsiTheme="majorHAnsi"/>
          <w:sz w:val="22"/>
          <w:szCs w:val="22"/>
        </w:rPr>
        <w:t xml:space="preserve">exacerbate </w:t>
      </w:r>
      <w:r w:rsidR="003262BD" w:rsidRPr="000214C8">
        <w:rPr>
          <w:rFonts w:asciiTheme="majorHAnsi" w:hAnsiTheme="majorHAnsi"/>
          <w:sz w:val="22"/>
          <w:szCs w:val="22"/>
        </w:rPr>
        <w:t xml:space="preserve">the data-driven advantages that </w:t>
      </w:r>
      <w:r w:rsidR="008D6460">
        <w:rPr>
          <w:rFonts w:asciiTheme="majorHAnsi" w:hAnsiTheme="majorHAnsi"/>
          <w:sz w:val="22"/>
          <w:szCs w:val="22"/>
        </w:rPr>
        <w:t>gatekeepers</w:t>
      </w:r>
      <w:r w:rsidR="008D6460" w:rsidRPr="000214C8">
        <w:rPr>
          <w:rFonts w:asciiTheme="majorHAnsi" w:hAnsiTheme="majorHAnsi"/>
          <w:sz w:val="22"/>
          <w:szCs w:val="22"/>
        </w:rPr>
        <w:t xml:space="preserve"> </w:t>
      </w:r>
      <w:r w:rsidR="003262BD" w:rsidRPr="000214C8">
        <w:rPr>
          <w:rFonts w:asciiTheme="majorHAnsi" w:hAnsiTheme="majorHAnsi"/>
          <w:sz w:val="22"/>
          <w:szCs w:val="22"/>
        </w:rPr>
        <w:t>already enjoy.</w:t>
      </w:r>
    </w:p>
    <w:p w14:paraId="22407D69" w14:textId="470DB371" w:rsidR="0052180A" w:rsidRPr="000214C8" w:rsidRDefault="0052180A" w:rsidP="00842B1B">
      <w:pPr>
        <w:numPr>
          <w:ilvl w:val="0"/>
          <w:numId w:val="36"/>
        </w:numPr>
        <w:spacing w:before="100" w:beforeAutospacing="1" w:after="240" w:line="240" w:lineRule="auto"/>
        <w:jc w:val="both"/>
        <w:rPr>
          <w:rFonts w:asciiTheme="majorHAnsi" w:hAnsiTheme="majorHAnsi"/>
          <w:sz w:val="22"/>
          <w:szCs w:val="22"/>
          <w:u w:val="single"/>
          <w:lang w:eastAsia="en-IE"/>
          <w14:ligatures w14:val="none"/>
        </w:rPr>
      </w:pPr>
      <w:r w:rsidRPr="000214C8">
        <w:rPr>
          <w:rFonts w:asciiTheme="majorHAnsi" w:hAnsiTheme="majorHAnsi"/>
          <w:sz w:val="22"/>
          <w:szCs w:val="22"/>
          <w:u w:val="single"/>
          <w:lang w:eastAsia="en-IE"/>
          <w14:ligatures w14:val="none"/>
        </w:rPr>
        <w:t>Interplay</w:t>
      </w:r>
      <w:r w:rsidR="00C60796">
        <w:rPr>
          <w:rFonts w:asciiTheme="majorHAnsi" w:hAnsiTheme="majorHAnsi"/>
          <w:sz w:val="22"/>
          <w:szCs w:val="22"/>
          <w:u w:val="single"/>
          <w:lang w:eastAsia="en-IE"/>
          <w14:ligatures w14:val="none"/>
        </w:rPr>
        <w:t xml:space="preserve"> </w:t>
      </w:r>
      <w:r w:rsidRPr="00C628D6">
        <w:rPr>
          <w:rFonts w:asciiTheme="majorHAnsi" w:hAnsiTheme="majorHAnsi"/>
          <w:sz w:val="22"/>
          <w:szCs w:val="22"/>
          <w:u w:val="single"/>
          <w:lang w:eastAsia="en-IE"/>
          <w14:ligatures w14:val="none"/>
        </w:rPr>
        <w:t>of</w:t>
      </w:r>
      <w:r w:rsidRPr="000214C8">
        <w:rPr>
          <w:rFonts w:asciiTheme="majorHAnsi" w:hAnsiTheme="majorHAnsi"/>
          <w:sz w:val="22"/>
          <w:szCs w:val="22"/>
          <w:u w:val="single"/>
          <w:lang w:eastAsia="en-IE"/>
          <w14:ligatures w14:val="none"/>
        </w:rPr>
        <w:t xml:space="preserve"> </w:t>
      </w:r>
      <w:r w:rsidR="0045453C" w:rsidRPr="0045453C">
        <w:rPr>
          <w:rFonts w:asciiTheme="majorHAnsi" w:hAnsiTheme="majorHAnsi"/>
          <w:sz w:val="22"/>
          <w:szCs w:val="22"/>
          <w:u w:val="single"/>
          <w:lang w:eastAsia="en-IE"/>
          <w14:ligatures w14:val="none"/>
        </w:rPr>
        <w:t>different regulatory frameworks</w:t>
      </w:r>
    </w:p>
    <w:p w14:paraId="23125B12" w14:textId="73A9C613" w:rsidR="00266274" w:rsidRDefault="009F733E" w:rsidP="00D46DE8">
      <w:pPr>
        <w:spacing w:before="100" w:beforeAutospacing="1" w:after="240" w:line="240" w:lineRule="auto"/>
        <w:ind w:left="360"/>
        <w:jc w:val="both"/>
        <w:rPr>
          <w:rFonts w:asciiTheme="majorHAnsi" w:hAnsiTheme="majorHAnsi"/>
          <w:sz w:val="22"/>
          <w:szCs w:val="22"/>
        </w:rPr>
      </w:pPr>
      <w:r>
        <w:rPr>
          <w:rFonts w:asciiTheme="majorHAnsi" w:hAnsiTheme="majorHAnsi"/>
          <w:sz w:val="22"/>
          <w:szCs w:val="22"/>
        </w:rPr>
        <w:t>T</w:t>
      </w:r>
      <w:r w:rsidR="00C96692" w:rsidRPr="000214C8">
        <w:rPr>
          <w:rFonts w:asciiTheme="majorHAnsi" w:hAnsiTheme="majorHAnsi"/>
          <w:sz w:val="22"/>
          <w:szCs w:val="22"/>
        </w:rPr>
        <w:t>he</w:t>
      </w:r>
      <w:r w:rsidR="00D177E0">
        <w:rPr>
          <w:rFonts w:asciiTheme="majorHAnsi" w:hAnsiTheme="majorHAnsi"/>
          <w:sz w:val="22"/>
          <w:szCs w:val="22"/>
        </w:rPr>
        <w:t xml:space="preserve"> </w:t>
      </w:r>
      <w:r w:rsidR="00A77C74">
        <w:rPr>
          <w:rFonts w:asciiTheme="majorHAnsi" w:hAnsiTheme="majorHAnsi"/>
          <w:sz w:val="22"/>
          <w:szCs w:val="22"/>
        </w:rPr>
        <w:t xml:space="preserve">HLG </w:t>
      </w:r>
      <w:r w:rsidR="00C96692" w:rsidRPr="000214C8">
        <w:rPr>
          <w:rFonts w:asciiTheme="majorHAnsi" w:hAnsiTheme="majorHAnsi"/>
          <w:sz w:val="22"/>
          <w:szCs w:val="22"/>
        </w:rPr>
        <w:t>sub</w:t>
      </w:r>
      <w:r w:rsidR="00B43796">
        <w:rPr>
          <w:rFonts w:asciiTheme="majorHAnsi" w:hAnsiTheme="majorHAnsi"/>
          <w:sz w:val="22"/>
          <w:szCs w:val="22"/>
        </w:rPr>
        <w:t>-</w:t>
      </w:r>
      <w:r w:rsidR="00C96692" w:rsidRPr="000214C8">
        <w:rPr>
          <w:rFonts w:asciiTheme="majorHAnsi" w:hAnsiTheme="majorHAnsi"/>
          <w:sz w:val="22"/>
          <w:szCs w:val="22"/>
        </w:rPr>
        <w:t>group</w:t>
      </w:r>
      <w:r w:rsidR="00B43796">
        <w:rPr>
          <w:rFonts w:asciiTheme="majorHAnsi" w:hAnsiTheme="majorHAnsi"/>
          <w:sz w:val="22"/>
          <w:szCs w:val="22"/>
        </w:rPr>
        <w:t xml:space="preserve"> on</w:t>
      </w:r>
      <w:r w:rsidR="00D177E0">
        <w:rPr>
          <w:rFonts w:asciiTheme="majorHAnsi" w:hAnsiTheme="majorHAnsi"/>
          <w:sz w:val="22"/>
          <w:szCs w:val="22"/>
        </w:rPr>
        <w:t xml:space="preserve"> </w:t>
      </w:r>
      <w:r w:rsidR="00C96692" w:rsidRPr="000214C8">
        <w:rPr>
          <w:rFonts w:asciiTheme="majorHAnsi" w:hAnsiTheme="majorHAnsi"/>
          <w:sz w:val="22"/>
          <w:szCs w:val="22"/>
        </w:rPr>
        <w:t xml:space="preserve">AI </w:t>
      </w:r>
      <w:r>
        <w:rPr>
          <w:rFonts w:asciiTheme="majorHAnsi" w:hAnsiTheme="majorHAnsi"/>
          <w:sz w:val="22"/>
          <w:szCs w:val="22"/>
        </w:rPr>
        <w:t xml:space="preserve">identified </w:t>
      </w:r>
      <w:proofErr w:type="gramStart"/>
      <w:r>
        <w:rPr>
          <w:rFonts w:asciiTheme="majorHAnsi" w:hAnsiTheme="majorHAnsi"/>
          <w:sz w:val="22"/>
          <w:szCs w:val="22"/>
        </w:rPr>
        <w:t>a number of</w:t>
      </w:r>
      <w:proofErr w:type="gramEnd"/>
      <w:r>
        <w:rPr>
          <w:rFonts w:asciiTheme="majorHAnsi" w:hAnsiTheme="majorHAnsi"/>
          <w:sz w:val="22"/>
          <w:szCs w:val="22"/>
        </w:rPr>
        <w:t xml:space="preserve"> areas of interplay between </w:t>
      </w:r>
      <w:r w:rsidR="0045453C">
        <w:rPr>
          <w:rFonts w:asciiTheme="majorHAnsi" w:hAnsiTheme="majorHAnsi"/>
          <w:sz w:val="22"/>
          <w:szCs w:val="22"/>
        </w:rPr>
        <w:t>different regulatory frameworks</w:t>
      </w:r>
      <w:r>
        <w:rPr>
          <w:rFonts w:asciiTheme="majorHAnsi" w:hAnsiTheme="majorHAnsi"/>
          <w:sz w:val="22"/>
          <w:szCs w:val="22"/>
        </w:rPr>
        <w:t>,</w:t>
      </w:r>
      <w:r>
        <w:rPr>
          <w:rStyle w:val="FootnoteReference"/>
          <w:rFonts w:asciiTheme="majorHAnsi" w:hAnsiTheme="majorHAnsi"/>
          <w:sz w:val="22"/>
          <w:szCs w:val="22"/>
        </w:rPr>
        <w:footnoteReference w:id="4"/>
      </w:r>
      <w:r>
        <w:rPr>
          <w:rFonts w:asciiTheme="majorHAnsi" w:hAnsiTheme="majorHAnsi"/>
          <w:sz w:val="22"/>
          <w:szCs w:val="22"/>
        </w:rPr>
        <w:t xml:space="preserve"> </w:t>
      </w:r>
      <w:r w:rsidR="00D43304">
        <w:rPr>
          <w:rFonts w:asciiTheme="majorHAnsi" w:hAnsiTheme="majorHAnsi"/>
          <w:sz w:val="22"/>
          <w:szCs w:val="22"/>
        </w:rPr>
        <w:t>acknowledging</w:t>
      </w:r>
      <w:r w:rsidR="00C96692" w:rsidRPr="000214C8">
        <w:rPr>
          <w:rFonts w:asciiTheme="majorHAnsi" w:hAnsiTheme="majorHAnsi"/>
          <w:sz w:val="22"/>
          <w:szCs w:val="22"/>
        </w:rPr>
        <w:t xml:space="preserve"> </w:t>
      </w:r>
      <w:r w:rsidR="00266274" w:rsidRPr="000214C8">
        <w:rPr>
          <w:rFonts w:asciiTheme="majorHAnsi" w:hAnsiTheme="majorHAnsi"/>
          <w:sz w:val="22"/>
          <w:szCs w:val="22"/>
        </w:rPr>
        <w:t>a</w:t>
      </w:r>
      <w:r w:rsidR="00E22554" w:rsidRPr="000214C8">
        <w:rPr>
          <w:rFonts w:asciiTheme="majorHAnsi" w:hAnsiTheme="majorHAnsi"/>
          <w:sz w:val="22"/>
          <w:szCs w:val="22"/>
        </w:rPr>
        <w:t xml:space="preserve"> need for cooperation and coordination</w:t>
      </w:r>
      <w:r w:rsidR="00266274" w:rsidRPr="000214C8">
        <w:rPr>
          <w:rFonts w:asciiTheme="majorHAnsi" w:hAnsiTheme="majorHAnsi"/>
          <w:sz w:val="22"/>
          <w:szCs w:val="22"/>
        </w:rPr>
        <w:t xml:space="preserve"> between </w:t>
      </w:r>
      <w:r w:rsidR="00E22554" w:rsidRPr="000214C8">
        <w:rPr>
          <w:rFonts w:asciiTheme="majorHAnsi" w:hAnsiTheme="majorHAnsi"/>
          <w:sz w:val="22"/>
          <w:szCs w:val="22"/>
        </w:rPr>
        <w:t xml:space="preserve">the authorities supervising </w:t>
      </w:r>
      <w:r w:rsidR="00D177E0">
        <w:rPr>
          <w:rFonts w:asciiTheme="majorHAnsi" w:hAnsiTheme="majorHAnsi"/>
          <w:sz w:val="22"/>
          <w:szCs w:val="22"/>
        </w:rPr>
        <w:t>the</w:t>
      </w:r>
      <w:r>
        <w:rPr>
          <w:rFonts w:asciiTheme="majorHAnsi" w:hAnsiTheme="majorHAnsi"/>
          <w:sz w:val="22"/>
          <w:szCs w:val="22"/>
        </w:rPr>
        <w:t>ir</w:t>
      </w:r>
      <w:r w:rsidR="00D177E0">
        <w:rPr>
          <w:rFonts w:asciiTheme="majorHAnsi" w:hAnsiTheme="majorHAnsi"/>
          <w:sz w:val="22"/>
          <w:szCs w:val="22"/>
        </w:rPr>
        <w:t xml:space="preserve"> </w:t>
      </w:r>
      <w:r w:rsidR="00E22554" w:rsidRPr="000214C8">
        <w:rPr>
          <w:rFonts w:asciiTheme="majorHAnsi" w:hAnsiTheme="majorHAnsi"/>
          <w:sz w:val="22"/>
          <w:szCs w:val="22"/>
        </w:rPr>
        <w:t xml:space="preserve">enforcement </w:t>
      </w:r>
      <w:r>
        <w:rPr>
          <w:rFonts w:asciiTheme="majorHAnsi" w:hAnsiTheme="majorHAnsi"/>
          <w:sz w:val="22"/>
          <w:szCs w:val="22"/>
        </w:rPr>
        <w:t xml:space="preserve">in relation </w:t>
      </w:r>
      <w:r w:rsidR="00A77C74">
        <w:rPr>
          <w:rFonts w:asciiTheme="majorHAnsi" w:hAnsiTheme="majorHAnsi"/>
          <w:sz w:val="22"/>
          <w:szCs w:val="22"/>
        </w:rPr>
        <w:t>to</w:t>
      </w:r>
      <w:r>
        <w:rPr>
          <w:rFonts w:asciiTheme="majorHAnsi" w:hAnsiTheme="majorHAnsi"/>
          <w:sz w:val="22"/>
          <w:szCs w:val="22"/>
        </w:rPr>
        <w:t xml:space="preserve"> </w:t>
      </w:r>
      <w:r w:rsidR="00266274" w:rsidRPr="000214C8">
        <w:rPr>
          <w:rFonts w:asciiTheme="majorHAnsi" w:hAnsiTheme="majorHAnsi"/>
          <w:sz w:val="22"/>
          <w:szCs w:val="22"/>
        </w:rPr>
        <w:t>AI</w:t>
      </w:r>
      <w:r>
        <w:rPr>
          <w:rFonts w:asciiTheme="majorHAnsi" w:hAnsiTheme="majorHAnsi"/>
          <w:sz w:val="22"/>
          <w:szCs w:val="22"/>
        </w:rPr>
        <w:t xml:space="preserve"> technologies. </w:t>
      </w:r>
      <w:r w:rsidR="00C96692" w:rsidRPr="000214C8">
        <w:rPr>
          <w:rFonts w:asciiTheme="majorHAnsi" w:hAnsiTheme="majorHAnsi"/>
          <w:sz w:val="22"/>
          <w:szCs w:val="22"/>
        </w:rPr>
        <w:t xml:space="preserve">The following </w:t>
      </w:r>
      <w:r w:rsidR="003741F2">
        <w:rPr>
          <w:rFonts w:asciiTheme="majorHAnsi" w:hAnsiTheme="majorHAnsi"/>
          <w:sz w:val="22"/>
          <w:szCs w:val="22"/>
        </w:rPr>
        <w:t>paragraphs set out</w:t>
      </w:r>
      <w:r w:rsidR="00C96692" w:rsidRPr="000214C8">
        <w:rPr>
          <w:rFonts w:asciiTheme="majorHAnsi" w:hAnsiTheme="majorHAnsi"/>
          <w:sz w:val="22"/>
          <w:szCs w:val="22"/>
        </w:rPr>
        <w:t xml:space="preserve"> some </w:t>
      </w:r>
      <w:r w:rsidR="005B6955">
        <w:rPr>
          <w:rFonts w:asciiTheme="majorHAnsi" w:hAnsiTheme="majorHAnsi"/>
          <w:sz w:val="22"/>
          <w:szCs w:val="22"/>
        </w:rPr>
        <w:t xml:space="preserve">examples </w:t>
      </w:r>
      <w:r w:rsidR="00C96692" w:rsidRPr="000214C8">
        <w:rPr>
          <w:rFonts w:asciiTheme="majorHAnsi" w:hAnsiTheme="majorHAnsi"/>
          <w:sz w:val="22"/>
          <w:szCs w:val="22"/>
        </w:rPr>
        <w:t xml:space="preserve">of the </w:t>
      </w:r>
      <w:r w:rsidR="00A04A51">
        <w:rPr>
          <w:rFonts w:asciiTheme="majorHAnsi" w:hAnsiTheme="majorHAnsi"/>
          <w:sz w:val="22"/>
          <w:szCs w:val="22"/>
        </w:rPr>
        <w:t>touchpoints that were identified</w:t>
      </w:r>
      <w:r w:rsidR="00C96692" w:rsidRPr="000214C8">
        <w:rPr>
          <w:rFonts w:asciiTheme="majorHAnsi" w:hAnsiTheme="majorHAnsi"/>
          <w:sz w:val="22"/>
          <w:szCs w:val="22"/>
        </w:rPr>
        <w:t>:</w:t>
      </w:r>
      <w:r w:rsidR="004E2C09" w:rsidRPr="000214C8">
        <w:rPr>
          <w:rFonts w:asciiTheme="majorHAnsi" w:hAnsiTheme="majorHAnsi"/>
          <w:sz w:val="22"/>
          <w:szCs w:val="22"/>
        </w:rPr>
        <w:t xml:space="preserve"> </w:t>
      </w:r>
    </w:p>
    <w:p w14:paraId="6A7C50EE" w14:textId="74207753" w:rsidR="002E0186" w:rsidRPr="00D177E0" w:rsidRDefault="00590359" w:rsidP="002E0186">
      <w:pPr>
        <w:numPr>
          <w:ilvl w:val="0"/>
          <w:numId w:val="52"/>
        </w:numPr>
        <w:spacing w:after="240" w:line="240" w:lineRule="auto"/>
        <w:contextualSpacing/>
        <w:jc w:val="both"/>
        <w:rPr>
          <w:rFonts w:asciiTheme="majorHAnsi" w:hAnsiTheme="majorHAnsi"/>
          <w:sz w:val="22"/>
          <w:szCs w:val="22"/>
          <w:lang w:eastAsia="en-IE"/>
          <w14:ligatures w14:val="none"/>
        </w:rPr>
      </w:pPr>
      <w:r w:rsidRPr="000214C8">
        <w:rPr>
          <w:rFonts w:asciiTheme="majorHAnsi" w:hAnsiTheme="majorHAnsi"/>
          <w:i/>
          <w:sz w:val="22"/>
          <w:szCs w:val="22"/>
          <w:lang w:eastAsia="en-IE"/>
          <w14:ligatures w14:val="none"/>
        </w:rPr>
        <w:t xml:space="preserve">AI integration </w:t>
      </w:r>
      <w:r w:rsidR="009F733E">
        <w:rPr>
          <w:rFonts w:asciiTheme="majorHAnsi" w:hAnsiTheme="majorHAnsi"/>
          <w:i/>
          <w:sz w:val="22"/>
          <w:szCs w:val="22"/>
          <w:lang w:eastAsia="en-IE"/>
          <w14:ligatures w14:val="none"/>
        </w:rPr>
        <w:t xml:space="preserve">– </w:t>
      </w:r>
      <w:r w:rsidR="002E0186" w:rsidRPr="000214C8">
        <w:rPr>
          <w:rFonts w:asciiTheme="majorHAnsi" w:hAnsiTheme="majorHAnsi"/>
          <w:i/>
          <w:sz w:val="22"/>
          <w:szCs w:val="22"/>
          <w:lang w:eastAsia="en-IE"/>
          <w14:ligatures w14:val="none"/>
        </w:rPr>
        <w:t xml:space="preserve">DMA and </w:t>
      </w:r>
      <w:r w:rsidR="002E0186" w:rsidRPr="000214C8">
        <w:rPr>
          <w:rFonts w:asciiTheme="majorHAnsi" w:hAnsiTheme="majorHAnsi"/>
          <w:i/>
          <w:sz w:val="22"/>
          <w:szCs w:val="22"/>
        </w:rPr>
        <w:t>Competition</w:t>
      </w:r>
      <w:r w:rsidR="002E0186" w:rsidRPr="000214C8">
        <w:rPr>
          <w:rFonts w:asciiTheme="majorHAnsi" w:hAnsiTheme="majorHAnsi"/>
          <w:i/>
          <w:sz w:val="22"/>
          <w:szCs w:val="22"/>
          <w:lang w:eastAsia="en-IE"/>
          <w14:ligatures w14:val="none"/>
        </w:rPr>
        <w:t xml:space="preserve"> law: </w:t>
      </w:r>
    </w:p>
    <w:p w14:paraId="621C44C5" w14:textId="77777777" w:rsidR="00D177E0" w:rsidRPr="000214C8" w:rsidRDefault="00D177E0" w:rsidP="00D177E0">
      <w:pPr>
        <w:spacing w:after="240" w:line="240" w:lineRule="auto"/>
        <w:ind w:left="1080"/>
        <w:contextualSpacing/>
        <w:jc w:val="both"/>
        <w:rPr>
          <w:rFonts w:asciiTheme="majorHAnsi" w:hAnsiTheme="majorHAnsi"/>
          <w:sz w:val="22"/>
          <w:szCs w:val="22"/>
          <w:lang w:eastAsia="en-IE"/>
          <w14:ligatures w14:val="none"/>
        </w:rPr>
      </w:pPr>
    </w:p>
    <w:p w14:paraId="5D6621D0" w14:textId="5320ABE8" w:rsidR="00D177E0" w:rsidRDefault="002E0186" w:rsidP="002E0186">
      <w:pPr>
        <w:numPr>
          <w:ilvl w:val="0"/>
          <w:numId w:val="53"/>
        </w:numPr>
        <w:spacing w:after="240" w:line="240" w:lineRule="auto"/>
        <w:ind w:left="1134"/>
        <w:contextualSpacing/>
        <w:jc w:val="both"/>
        <w:rPr>
          <w:rFonts w:asciiTheme="majorHAnsi" w:hAnsiTheme="majorHAnsi"/>
          <w:sz w:val="22"/>
          <w:szCs w:val="22"/>
          <w:lang w:eastAsia="en-IE"/>
          <w14:ligatures w14:val="none"/>
        </w:rPr>
      </w:pPr>
      <w:r w:rsidRPr="000214C8">
        <w:rPr>
          <w:rFonts w:asciiTheme="majorHAnsi" w:hAnsiTheme="majorHAnsi"/>
          <w:i/>
          <w:sz w:val="22"/>
          <w:szCs w:val="22"/>
          <w:lang w:eastAsia="en-IE"/>
          <w14:ligatures w14:val="none"/>
        </w:rPr>
        <w:t xml:space="preserve">Scope </w:t>
      </w:r>
      <w:r w:rsidR="00343939">
        <w:rPr>
          <w:rFonts w:asciiTheme="majorHAnsi" w:hAnsiTheme="majorHAnsi"/>
          <w:i/>
          <w:sz w:val="22"/>
          <w:szCs w:val="22"/>
          <w:lang w:eastAsia="en-IE"/>
          <w14:ligatures w14:val="none"/>
        </w:rPr>
        <w:t>interplay</w:t>
      </w:r>
      <w:r w:rsidRPr="000214C8">
        <w:rPr>
          <w:rFonts w:asciiTheme="majorHAnsi" w:hAnsiTheme="majorHAnsi"/>
          <w:sz w:val="22"/>
          <w:szCs w:val="22"/>
          <w:lang w:eastAsia="en-IE"/>
          <w14:ligatures w14:val="none"/>
        </w:rPr>
        <w:t xml:space="preserve">: </w:t>
      </w:r>
      <w:r w:rsidR="00726F1A" w:rsidRPr="000214C8">
        <w:rPr>
          <w:rFonts w:asciiTheme="majorHAnsi" w:hAnsiTheme="majorHAnsi"/>
          <w:sz w:val="22"/>
          <w:szCs w:val="22"/>
          <w:lang w:eastAsia="en-IE"/>
          <w14:ligatures w14:val="none"/>
        </w:rPr>
        <w:t>T</w:t>
      </w:r>
      <w:r w:rsidR="00C96692" w:rsidRPr="000214C8">
        <w:rPr>
          <w:rFonts w:asciiTheme="majorHAnsi" w:hAnsiTheme="majorHAnsi"/>
          <w:sz w:val="22"/>
          <w:szCs w:val="22"/>
          <w:lang w:eastAsia="en-IE"/>
          <w14:ligatures w14:val="none"/>
        </w:rPr>
        <w:t>he</w:t>
      </w:r>
      <w:r w:rsidRPr="000214C8">
        <w:rPr>
          <w:rFonts w:asciiTheme="majorHAnsi" w:hAnsiTheme="majorHAnsi"/>
          <w:sz w:val="22"/>
          <w:szCs w:val="22"/>
          <w:lang w:eastAsia="en-IE"/>
          <w14:ligatures w14:val="none"/>
        </w:rPr>
        <w:t xml:space="preserve"> DMA applies </w:t>
      </w:r>
      <w:r w:rsidR="00EF7C91" w:rsidRPr="00B52E7F">
        <w:rPr>
          <w:rFonts w:asciiTheme="majorHAnsi" w:hAnsiTheme="majorHAnsi"/>
          <w:i/>
          <w:iCs/>
          <w:sz w:val="22"/>
          <w:szCs w:val="22"/>
          <w:lang w:eastAsia="en-IE"/>
          <w14:ligatures w14:val="none"/>
        </w:rPr>
        <w:t>ex ante</w:t>
      </w:r>
      <w:r w:rsidR="00EF7C91">
        <w:rPr>
          <w:rFonts w:asciiTheme="majorHAnsi" w:hAnsiTheme="majorHAnsi"/>
          <w:sz w:val="22"/>
          <w:szCs w:val="22"/>
          <w:lang w:eastAsia="en-IE"/>
          <w14:ligatures w14:val="none"/>
        </w:rPr>
        <w:t xml:space="preserve"> </w:t>
      </w:r>
      <w:r w:rsidRPr="00C628D6">
        <w:rPr>
          <w:rFonts w:asciiTheme="majorHAnsi" w:hAnsiTheme="majorHAnsi"/>
          <w:sz w:val="22"/>
          <w:szCs w:val="22"/>
          <w:lang w:eastAsia="en-IE"/>
          <w14:ligatures w14:val="none"/>
        </w:rPr>
        <w:t xml:space="preserve">to </w:t>
      </w:r>
      <w:r w:rsidR="00EF7C91">
        <w:rPr>
          <w:rFonts w:asciiTheme="majorHAnsi" w:hAnsiTheme="majorHAnsi"/>
          <w:sz w:val="22"/>
          <w:szCs w:val="22"/>
          <w:lang w:eastAsia="en-IE"/>
          <w14:ligatures w14:val="none"/>
        </w:rPr>
        <w:t>the pre-defined core platform services of</w:t>
      </w:r>
      <w:r>
        <w:rPr>
          <w:rFonts w:asciiTheme="majorHAnsi" w:hAnsiTheme="majorHAnsi"/>
          <w:sz w:val="22"/>
          <w:szCs w:val="22"/>
          <w:lang w:eastAsia="en-IE"/>
          <w14:ligatures w14:val="none"/>
        </w:rPr>
        <w:t xml:space="preserve"> </w:t>
      </w:r>
      <w:r w:rsidRPr="000214C8">
        <w:rPr>
          <w:rFonts w:asciiTheme="majorHAnsi" w:hAnsiTheme="majorHAnsi"/>
          <w:sz w:val="22"/>
          <w:szCs w:val="22"/>
          <w:lang w:eastAsia="en-IE"/>
          <w14:ligatures w14:val="none"/>
        </w:rPr>
        <w:t>designated gatekeepers</w:t>
      </w:r>
      <w:r w:rsidR="00726F1A" w:rsidRPr="000214C8">
        <w:rPr>
          <w:rFonts w:asciiTheme="majorHAnsi" w:hAnsiTheme="majorHAnsi"/>
          <w:sz w:val="22"/>
          <w:szCs w:val="22"/>
          <w:lang w:eastAsia="en-IE"/>
          <w14:ligatures w14:val="none"/>
        </w:rPr>
        <w:t>,</w:t>
      </w:r>
      <w:r w:rsidR="00C139AA" w:rsidRPr="000214C8">
        <w:rPr>
          <w:rFonts w:asciiTheme="majorHAnsi" w:hAnsiTheme="majorHAnsi"/>
          <w:sz w:val="22"/>
          <w:szCs w:val="22"/>
          <w:lang w:eastAsia="en-IE"/>
          <w14:ligatures w14:val="none"/>
        </w:rPr>
        <w:t xml:space="preserve"> whereas</w:t>
      </w:r>
      <w:r w:rsidRPr="000214C8">
        <w:rPr>
          <w:rFonts w:asciiTheme="majorHAnsi" w:hAnsiTheme="majorHAnsi"/>
          <w:sz w:val="22"/>
          <w:szCs w:val="22"/>
          <w:lang w:eastAsia="en-IE"/>
          <w14:ligatures w14:val="none"/>
        </w:rPr>
        <w:t xml:space="preserve"> </w:t>
      </w:r>
      <w:r w:rsidR="00A04A51">
        <w:rPr>
          <w:rFonts w:asciiTheme="majorHAnsi" w:hAnsiTheme="majorHAnsi"/>
          <w:sz w:val="22"/>
          <w:szCs w:val="22"/>
          <w:lang w:eastAsia="en-IE"/>
          <w14:ligatures w14:val="none"/>
        </w:rPr>
        <w:t xml:space="preserve">EU </w:t>
      </w:r>
      <w:r w:rsidR="00726F1A" w:rsidRPr="000214C8">
        <w:rPr>
          <w:rFonts w:asciiTheme="majorHAnsi" w:hAnsiTheme="majorHAnsi"/>
          <w:sz w:val="22"/>
          <w:szCs w:val="22"/>
          <w:lang w:eastAsia="en-IE"/>
          <w14:ligatures w14:val="none"/>
        </w:rPr>
        <w:t>c</w:t>
      </w:r>
      <w:r w:rsidRPr="000214C8">
        <w:rPr>
          <w:rFonts w:asciiTheme="majorHAnsi" w:hAnsiTheme="majorHAnsi"/>
          <w:sz w:val="22"/>
          <w:szCs w:val="22"/>
          <w:lang w:eastAsia="en-IE"/>
          <w14:ligatures w14:val="none"/>
        </w:rPr>
        <w:t xml:space="preserve">ompetition </w:t>
      </w:r>
      <w:r w:rsidR="00D177E0" w:rsidRPr="000214C8">
        <w:rPr>
          <w:rFonts w:asciiTheme="majorHAnsi" w:hAnsiTheme="majorHAnsi"/>
          <w:sz w:val="22"/>
          <w:szCs w:val="22"/>
          <w:lang w:eastAsia="en-IE"/>
          <w14:ligatures w14:val="none"/>
        </w:rPr>
        <w:t>law applies</w:t>
      </w:r>
      <w:r w:rsidR="00726F1A" w:rsidRPr="000214C8">
        <w:rPr>
          <w:rFonts w:asciiTheme="majorHAnsi" w:hAnsiTheme="majorHAnsi"/>
          <w:sz w:val="22"/>
          <w:szCs w:val="22"/>
          <w:lang w:eastAsia="en-IE"/>
          <w14:ligatures w14:val="none"/>
        </w:rPr>
        <w:t xml:space="preserve"> </w:t>
      </w:r>
      <w:r w:rsidR="00B93D38" w:rsidRPr="00B52E7F">
        <w:rPr>
          <w:rFonts w:asciiTheme="majorHAnsi" w:hAnsiTheme="majorHAnsi"/>
          <w:i/>
          <w:iCs/>
          <w:sz w:val="22"/>
          <w:szCs w:val="22"/>
          <w:lang w:eastAsia="en-IE"/>
          <w14:ligatures w14:val="none"/>
        </w:rPr>
        <w:t>ex post</w:t>
      </w:r>
      <w:r w:rsidR="00B93D38" w:rsidRPr="000214C8">
        <w:rPr>
          <w:rFonts w:asciiTheme="majorHAnsi" w:hAnsiTheme="majorHAnsi"/>
          <w:sz w:val="22"/>
          <w:szCs w:val="22"/>
          <w:lang w:eastAsia="en-IE"/>
          <w14:ligatures w14:val="none"/>
        </w:rPr>
        <w:t xml:space="preserve"> </w:t>
      </w:r>
      <w:r w:rsidR="00C60FD2" w:rsidRPr="000214C8">
        <w:rPr>
          <w:rFonts w:asciiTheme="majorHAnsi" w:hAnsiTheme="majorHAnsi"/>
          <w:sz w:val="22"/>
          <w:szCs w:val="22"/>
          <w:lang w:eastAsia="en-IE"/>
          <w14:ligatures w14:val="none"/>
        </w:rPr>
        <w:t>to</w:t>
      </w:r>
      <w:r w:rsidR="00D177E0">
        <w:rPr>
          <w:rFonts w:asciiTheme="majorHAnsi" w:hAnsiTheme="majorHAnsi"/>
          <w:sz w:val="22"/>
          <w:szCs w:val="22"/>
          <w:lang w:eastAsia="en-IE"/>
          <w14:ligatures w14:val="none"/>
        </w:rPr>
        <w:t xml:space="preserve"> </w:t>
      </w:r>
      <w:r w:rsidR="00EF7C91">
        <w:rPr>
          <w:rFonts w:asciiTheme="majorHAnsi" w:hAnsiTheme="majorHAnsi"/>
          <w:sz w:val="22"/>
          <w:szCs w:val="22"/>
          <w:lang w:eastAsia="en-IE"/>
          <w14:ligatures w14:val="none"/>
        </w:rPr>
        <w:t>anticompetitive behaviour by</w:t>
      </w:r>
      <w:r w:rsidR="00C60FD2" w:rsidRPr="00C628D6">
        <w:rPr>
          <w:rFonts w:asciiTheme="majorHAnsi" w:hAnsiTheme="majorHAnsi"/>
          <w:sz w:val="22"/>
          <w:szCs w:val="22"/>
          <w:lang w:eastAsia="en-IE"/>
          <w14:ligatures w14:val="none"/>
        </w:rPr>
        <w:t xml:space="preserve"> </w:t>
      </w:r>
      <w:r w:rsidRPr="00C628D6">
        <w:rPr>
          <w:rFonts w:asciiTheme="majorHAnsi" w:hAnsiTheme="majorHAnsi"/>
          <w:sz w:val="22"/>
          <w:szCs w:val="22"/>
          <w:lang w:eastAsia="en-IE"/>
          <w14:ligatures w14:val="none"/>
        </w:rPr>
        <w:t>dominant firms</w:t>
      </w:r>
      <w:r w:rsidR="0045453C">
        <w:rPr>
          <w:rFonts w:asciiTheme="majorHAnsi" w:hAnsiTheme="majorHAnsi"/>
          <w:sz w:val="22"/>
          <w:szCs w:val="22"/>
          <w:lang w:eastAsia="en-IE"/>
          <w14:ligatures w14:val="none"/>
        </w:rPr>
        <w:t xml:space="preserve"> and restrictive practices</w:t>
      </w:r>
      <w:r w:rsidR="00726F1A" w:rsidRPr="00C628D6">
        <w:rPr>
          <w:rFonts w:asciiTheme="majorHAnsi" w:hAnsiTheme="majorHAnsi"/>
          <w:sz w:val="22"/>
          <w:szCs w:val="22"/>
          <w:lang w:eastAsia="en-IE"/>
          <w14:ligatures w14:val="none"/>
        </w:rPr>
        <w:t>.</w:t>
      </w:r>
      <w:r w:rsidR="00726F1A" w:rsidRPr="000214C8">
        <w:rPr>
          <w:rFonts w:asciiTheme="majorHAnsi" w:hAnsiTheme="majorHAnsi"/>
          <w:sz w:val="22"/>
          <w:szCs w:val="22"/>
          <w:lang w:eastAsia="en-IE"/>
          <w14:ligatures w14:val="none"/>
        </w:rPr>
        <w:t xml:space="preserve"> While the DMA can also cover </w:t>
      </w:r>
      <w:r w:rsidR="00726F1A" w:rsidRPr="000214C8">
        <w:rPr>
          <w:rFonts w:asciiTheme="majorHAnsi" w:hAnsiTheme="majorHAnsi"/>
          <w:sz w:val="22"/>
          <w:szCs w:val="22"/>
          <w:lang w:eastAsia="en-IE"/>
          <w14:ligatures w14:val="none"/>
        </w:rPr>
        <w:lastRenderedPageBreak/>
        <w:t>gatekeepers that are not dominant</w:t>
      </w:r>
      <w:r w:rsidR="00D177E0">
        <w:rPr>
          <w:rFonts w:asciiTheme="majorHAnsi" w:hAnsiTheme="majorHAnsi"/>
          <w:sz w:val="22"/>
          <w:szCs w:val="22"/>
          <w:lang w:eastAsia="en-IE"/>
          <w14:ligatures w14:val="none"/>
        </w:rPr>
        <w:t xml:space="preserve"> under competition law</w:t>
      </w:r>
      <w:r w:rsidR="00726F1A" w:rsidRPr="000214C8">
        <w:rPr>
          <w:rFonts w:asciiTheme="majorHAnsi" w:hAnsiTheme="majorHAnsi"/>
          <w:sz w:val="22"/>
          <w:szCs w:val="22"/>
          <w:lang w:eastAsia="en-IE"/>
          <w14:ligatures w14:val="none"/>
        </w:rPr>
        <w:t xml:space="preserve">, </w:t>
      </w:r>
      <w:r w:rsidR="00D177E0">
        <w:rPr>
          <w:rFonts w:asciiTheme="majorHAnsi" w:hAnsiTheme="majorHAnsi"/>
          <w:sz w:val="22"/>
          <w:szCs w:val="22"/>
          <w:lang w:eastAsia="en-IE"/>
          <w14:ligatures w14:val="none"/>
        </w:rPr>
        <w:t>their</w:t>
      </w:r>
      <w:r w:rsidR="00D177E0" w:rsidRPr="000214C8">
        <w:rPr>
          <w:rFonts w:asciiTheme="majorHAnsi" w:hAnsiTheme="majorHAnsi"/>
          <w:sz w:val="22"/>
          <w:szCs w:val="22"/>
          <w:lang w:eastAsia="en-IE"/>
          <w14:ligatures w14:val="none"/>
        </w:rPr>
        <w:t xml:space="preserve"> AI</w:t>
      </w:r>
      <w:r w:rsidR="00927037" w:rsidRPr="000214C8">
        <w:rPr>
          <w:rFonts w:asciiTheme="majorHAnsi" w:hAnsiTheme="majorHAnsi"/>
          <w:sz w:val="22"/>
          <w:szCs w:val="22"/>
          <w:lang w:eastAsia="en-IE"/>
          <w14:ligatures w14:val="none"/>
        </w:rPr>
        <w:t xml:space="preserve"> initiatives</w:t>
      </w:r>
      <w:r w:rsidR="00C60FD2" w:rsidRPr="000214C8">
        <w:rPr>
          <w:rFonts w:asciiTheme="majorHAnsi" w:hAnsiTheme="majorHAnsi"/>
          <w:sz w:val="22"/>
          <w:szCs w:val="22"/>
          <w:lang w:eastAsia="en-IE"/>
          <w14:ligatures w14:val="none"/>
        </w:rPr>
        <w:t xml:space="preserve"> </w:t>
      </w:r>
      <w:r w:rsidR="00D177E0">
        <w:rPr>
          <w:rFonts w:asciiTheme="majorHAnsi" w:hAnsiTheme="majorHAnsi"/>
          <w:sz w:val="22"/>
          <w:szCs w:val="22"/>
          <w:lang w:eastAsia="en-IE"/>
          <w14:ligatures w14:val="none"/>
        </w:rPr>
        <w:t xml:space="preserve">may </w:t>
      </w:r>
      <w:r w:rsidR="00927037" w:rsidRPr="000214C8">
        <w:rPr>
          <w:rFonts w:asciiTheme="majorHAnsi" w:hAnsiTheme="majorHAnsi"/>
          <w:sz w:val="22"/>
          <w:szCs w:val="22"/>
          <w:lang w:eastAsia="en-IE"/>
          <w14:ligatures w14:val="none"/>
        </w:rPr>
        <w:t xml:space="preserve">fall under both </w:t>
      </w:r>
      <w:r w:rsidR="00D177E0">
        <w:rPr>
          <w:rFonts w:asciiTheme="majorHAnsi" w:hAnsiTheme="majorHAnsi"/>
          <w:sz w:val="22"/>
          <w:szCs w:val="22"/>
          <w:lang w:eastAsia="en-IE"/>
          <w14:ligatures w14:val="none"/>
        </w:rPr>
        <w:t>legal frameworks</w:t>
      </w:r>
      <w:r w:rsidR="0045453C">
        <w:rPr>
          <w:rFonts w:asciiTheme="majorHAnsi" w:hAnsiTheme="majorHAnsi"/>
          <w:sz w:val="22"/>
          <w:szCs w:val="22"/>
          <w:lang w:eastAsia="en-IE"/>
          <w14:ligatures w14:val="none"/>
        </w:rPr>
        <w:t>, in presence of a dominant position.</w:t>
      </w:r>
    </w:p>
    <w:p w14:paraId="3E399DE4" w14:textId="3917B421" w:rsidR="002E0186" w:rsidRPr="000214C8" w:rsidRDefault="00EF7C91" w:rsidP="00D177E0">
      <w:pPr>
        <w:spacing w:after="240" w:line="240" w:lineRule="auto"/>
        <w:ind w:left="1134"/>
        <w:contextualSpacing/>
        <w:jc w:val="both"/>
        <w:rPr>
          <w:rFonts w:asciiTheme="majorHAnsi" w:hAnsiTheme="majorHAnsi"/>
          <w:sz w:val="22"/>
          <w:szCs w:val="22"/>
          <w:lang w:eastAsia="en-IE"/>
          <w14:ligatures w14:val="none"/>
        </w:rPr>
      </w:pPr>
      <w:r>
        <w:rPr>
          <w:rFonts w:asciiTheme="majorHAnsi" w:hAnsiTheme="majorHAnsi"/>
          <w:sz w:val="22"/>
          <w:szCs w:val="22"/>
          <w:lang w:eastAsia="en-IE"/>
          <w14:ligatures w14:val="none"/>
        </w:rPr>
        <w:t xml:space="preserve"> </w:t>
      </w:r>
    </w:p>
    <w:p w14:paraId="1FA78344" w14:textId="0AAEDBE2" w:rsidR="009F733E" w:rsidRDefault="002E0186" w:rsidP="00C47C3B">
      <w:pPr>
        <w:numPr>
          <w:ilvl w:val="0"/>
          <w:numId w:val="53"/>
        </w:numPr>
        <w:spacing w:after="240" w:line="240" w:lineRule="auto"/>
        <w:ind w:left="1134"/>
        <w:contextualSpacing/>
        <w:jc w:val="both"/>
        <w:rPr>
          <w:rFonts w:asciiTheme="majorHAnsi" w:hAnsiTheme="majorHAnsi"/>
          <w:sz w:val="22"/>
          <w:szCs w:val="22"/>
          <w:lang w:eastAsia="en-IE"/>
          <w14:ligatures w14:val="none"/>
        </w:rPr>
      </w:pPr>
      <w:r w:rsidRPr="00B509B6">
        <w:rPr>
          <w:rFonts w:asciiTheme="majorHAnsi" w:hAnsiTheme="majorHAnsi"/>
          <w:i/>
          <w:sz w:val="22"/>
          <w:szCs w:val="22"/>
          <w:lang w:eastAsia="en-IE"/>
          <w14:ligatures w14:val="none"/>
        </w:rPr>
        <w:t xml:space="preserve">Potential </w:t>
      </w:r>
      <w:r w:rsidR="00A04A51" w:rsidRPr="00B509B6">
        <w:rPr>
          <w:rFonts w:asciiTheme="majorHAnsi" w:hAnsiTheme="majorHAnsi"/>
          <w:i/>
          <w:sz w:val="22"/>
          <w:szCs w:val="22"/>
          <w:lang w:eastAsia="en-IE"/>
          <w14:ligatures w14:val="none"/>
        </w:rPr>
        <w:t xml:space="preserve">touchpoints </w:t>
      </w:r>
      <w:r w:rsidRPr="00B509B6">
        <w:rPr>
          <w:rFonts w:asciiTheme="majorHAnsi" w:hAnsiTheme="majorHAnsi"/>
          <w:i/>
          <w:sz w:val="22"/>
          <w:szCs w:val="22"/>
          <w:lang w:eastAsia="en-IE"/>
          <w14:ligatures w14:val="none"/>
        </w:rPr>
        <w:t>in assessing AI integration</w:t>
      </w:r>
      <w:r w:rsidRPr="00B509B6">
        <w:rPr>
          <w:rFonts w:asciiTheme="majorHAnsi" w:hAnsiTheme="majorHAnsi"/>
          <w:sz w:val="22"/>
          <w:szCs w:val="22"/>
          <w:lang w:eastAsia="en-IE"/>
          <w14:ligatures w14:val="none"/>
        </w:rPr>
        <w:t xml:space="preserve">: </w:t>
      </w:r>
      <w:r w:rsidR="00A04A51" w:rsidRPr="00B509B6">
        <w:rPr>
          <w:rFonts w:asciiTheme="majorHAnsi" w:hAnsiTheme="majorHAnsi"/>
          <w:sz w:val="22"/>
          <w:szCs w:val="22"/>
          <w:lang w:eastAsia="en-IE"/>
          <w14:ligatures w14:val="none"/>
        </w:rPr>
        <w:t>A</w:t>
      </w:r>
      <w:r w:rsidRPr="00B509B6">
        <w:rPr>
          <w:rFonts w:asciiTheme="majorHAnsi" w:hAnsiTheme="majorHAnsi"/>
          <w:sz w:val="22"/>
          <w:szCs w:val="22"/>
          <w:lang w:eastAsia="en-IE"/>
          <w14:ligatures w14:val="none"/>
        </w:rPr>
        <w:t xml:space="preserve">n AI component </w:t>
      </w:r>
      <w:r w:rsidR="00A04A51" w:rsidRPr="00B509B6">
        <w:rPr>
          <w:rFonts w:asciiTheme="majorHAnsi" w:hAnsiTheme="majorHAnsi"/>
          <w:sz w:val="22"/>
          <w:szCs w:val="22"/>
          <w:lang w:eastAsia="en-IE"/>
          <w14:ligatures w14:val="none"/>
        </w:rPr>
        <w:t xml:space="preserve">may </w:t>
      </w:r>
      <w:r w:rsidRPr="00B509B6">
        <w:rPr>
          <w:rFonts w:asciiTheme="majorHAnsi" w:hAnsiTheme="majorHAnsi"/>
          <w:sz w:val="22"/>
          <w:szCs w:val="22"/>
          <w:lang w:eastAsia="en-IE"/>
          <w14:ligatures w14:val="none"/>
        </w:rPr>
        <w:t>form part of an existing</w:t>
      </w:r>
      <w:r w:rsidR="00A04A51" w:rsidRPr="00B509B6">
        <w:rPr>
          <w:rFonts w:asciiTheme="majorHAnsi" w:hAnsiTheme="majorHAnsi"/>
          <w:sz w:val="22"/>
          <w:szCs w:val="22"/>
          <w:lang w:eastAsia="en-IE"/>
          <w14:ligatures w14:val="none"/>
        </w:rPr>
        <w:t xml:space="preserve"> core</w:t>
      </w:r>
      <w:r w:rsidRPr="00B509B6">
        <w:rPr>
          <w:rFonts w:asciiTheme="majorHAnsi" w:hAnsiTheme="majorHAnsi"/>
          <w:sz w:val="22"/>
          <w:szCs w:val="22"/>
          <w:lang w:eastAsia="en-IE"/>
          <w14:ligatures w14:val="none"/>
        </w:rPr>
        <w:t xml:space="preserve"> platform </w:t>
      </w:r>
      <w:r w:rsidR="00EF7C91" w:rsidRPr="00B509B6">
        <w:rPr>
          <w:rFonts w:asciiTheme="majorHAnsi" w:hAnsiTheme="majorHAnsi"/>
          <w:sz w:val="22"/>
          <w:szCs w:val="22"/>
          <w:lang w:eastAsia="en-IE"/>
          <w14:ligatures w14:val="none"/>
        </w:rPr>
        <w:t xml:space="preserve">service </w:t>
      </w:r>
      <w:r w:rsidR="00B509B6" w:rsidRPr="00B509B6">
        <w:rPr>
          <w:rFonts w:asciiTheme="majorHAnsi" w:hAnsiTheme="majorHAnsi"/>
          <w:sz w:val="22"/>
          <w:szCs w:val="22"/>
          <w:lang w:eastAsia="en-IE"/>
          <w14:ligatures w14:val="none"/>
        </w:rPr>
        <w:t xml:space="preserve">under the DMA </w:t>
      </w:r>
      <w:r w:rsidRPr="00B509B6">
        <w:rPr>
          <w:rFonts w:asciiTheme="majorHAnsi" w:hAnsiTheme="majorHAnsi"/>
          <w:sz w:val="22"/>
          <w:szCs w:val="22"/>
          <w:lang w:eastAsia="en-IE"/>
          <w14:ligatures w14:val="none"/>
        </w:rPr>
        <w:t xml:space="preserve">(e.g., online social networking service, operating system, </w:t>
      </w:r>
      <w:r w:rsidR="00927037" w:rsidRPr="00B509B6">
        <w:rPr>
          <w:rFonts w:asciiTheme="majorHAnsi" w:hAnsiTheme="majorHAnsi"/>
          <w:sz w:val="22"/>
          <w:szCs w:val="22"/>
          <w:lang w:eastAsia="en-IE"/>
          <w14:ligatures w14:val="none"/>
        </w:rPr>
        <w:t xml:space="preserve">or </w:t>
      </w:r>
      <w:r w:rsidRPr="00B509B6">
        <w:rPr>
          <w:rFonts w:asciiTheme="majorHAnsi" w:hAnsiTheme="majorHAnsi"/>
          <w:sz w:val="22"/>
          <w:szCs w:val="22"/>
          <w:lang w:eastAsia="en-IE"/>
          <w14:ligatures w14:val="none"/>
        </w:rPr>
        <w:t xml:space="preserve">search engine) or rather constitute a </w:t>
      </w:r>
      <w:r w:rsidR="00A04A51" w:rsidRPr="00B509B6">
        <w:rPr>
          <w:rFonts w:asciiTheme="majorHAnsi" w:hAnsiTheme="majorHAnsi"/>
          <w:sz w:val="22"/>
          <w:szCs w:val="22"/>
          <w:lang w:eastAsia="en-IE"/>
          <w14:ligatures w14:val="none"/>
        </w:rPr>
        <w:t xml:space="preserve">distinct </w:t>
      </w:r>
      <w:r w:rsidRPr="00B509B6">
        <w:rPr>
          <w:rFonts w:asciiTheme="majorHAnsi" w:hAnsiTheme="majorHAnsi"/>
          <w:sz w:val="22"/>
          <w:szCs w:val="22"/>
          <w:lang w:eastAsia="en-IE"/>
          <w14:ligatures w14:val="none"/>
        </w:rPr>
        <w:t xml:space="preserve">service. </w:t>
      </w:r>
      <w:r w:rsidR="00F22BD1">
        <w:rPr>
          <w:rFonts w:asciiTheme="majorHAnsi" w:hAnsiTheme="majorHAnsi"/>
          <w:sz w:val="22"/>
          <w:szCs w:val="22"/>
          <w:lang w:eastAsia="en-IE"/>
          <w14:ligatures w14:val="none"/>
        </w:rPr>
        <w:t xml:space="preserve">Both </w:t>
      </w:r>
      <w:r w:rsidR="00792CCA">
        <w:rPr>
          <w:rFonts w:asciiTheme="majorHAnsi" w:hAnsiTheme="majorHAnsi"/>
          <w:sz w:val="22"/>
          <w:szCs w:val="22"/>
          <w:lang w:eastAsia="en-IE"/>
          <w14:ligatures w14:val="none"/>
        </w:rPr>
        <w:t>situation</w:t>
      </w:r>
      <w:r w:rsidR="00F22BD1">
        <w:rPr>
          <w:rFonts w:asciiTheme="majorHAnsi" w:hAnsiTheme="majorHAnsi"/>
          <w:sz w:val="22"/>
          <w:szCs w:val="22"/>
          <w:lang w:eastAsia="en-IE"/>
          <w14:ligatures w14:val="none"/>
        </w:rPr>
        <w:t>s</w:t>
      </w:r>
      <w:r w:rsidR="00792CCA">
        <w:rPr>
          <w:rFonts w:asciiTheme="majorHAnsi" w:hAnsiTheme="majorHAnsi"/>
          <w:sz w:val="22"/>
          <w:szCs w:val="22"/>
          <w:lang w:eastAsia="en-IE"/>
          <w14:ligatures w14:val="none"/>
        </w:rPr>
        <w:t xml:space="preserve"> may be relevant </w:t>
      </w:r>
      <w:r w:rsidR="00F22BD1">
        <w:rPr>
          <w:rFonts w:asciiTheme="majorHAnsi" w:hAnsiTheme="majorHAnsi"/>
          <w:sz w:val="22"/>
          <w:szCs w:val="22"/>
          <w:lang w:eastAsia="en-IE"/>
          <w14:ligatures w14:val="none"/>
        </w:rPr>
        <w:t xml:space="preserve">and have implications for the applicability of </w:t>
      </w:r>
      <w:r w:rsidR="00792CCA">
        <w:rPr>
          <w:rFonts w:asciiTheme="majorHAnsi" w:hAnsiTheme="majorHAnsi"/>
          <w:sz w:val="22"/>
          <w:szCs w:val="22"/>
          <w:lang w:eastAsia="en-IE"/>
          <w14:ligatures w14:val="none"/>
        </w:rPr>
        <w:t xml:space="preserve">both </w:t>
      </w:r>
      <w:r w:rsidR="00F22BD1">
        <w:rPr>
          <w:rFonts w:asciiTheme="majorHAnsi" w:hAnsiTheme="majorHAnsi"/>
          <w:sz w:val="22"/>
          <w:szCs w:val="22"/>
          <w:lang w:eastAsia="en-IE"/>
          <w14:ligatures w14:val="none"/>
        </w:rPr>
        <w:t xml:space="preserve">the </w:t>
      </w:r>
      <w:r w:rsidR="00792CCA">
        <w:rPr>
          <w:rFonts w:asciiTheme="majorHAnsi" w:hAnsiTheme="majorHAnsi"/>
          <w:sz w:val="22"/>
          <w:szCs w:val="22"/>
          <w:lang w:eastAsia="en-IE"/>
          <w14:ligatures w14:val="none"/>
        </w:rPr>
        <w:t xml:space="preserve">DMA and competition law. </w:t>
      </w:r>
    </w:p>
    <w:p w14:paraId="6BE5CC16" w14:textId="77777777" w:rsidR="001A0E71" w:rsidRPr="00B509B6" w:rsidRDefault="001A0E71" w:rsidP="009F733E">
      <w:pPr>
        <w:spacing w:after="240" w:line="240" w:lineRule="auto"/>
        <w:ind w:left="1134"/>
        <w:contextualSpacing/>
        <w:jc w:val="both"/>
        <w:rPr>
          <w:rFonts w:asciiTheme="majorHAnsi" w:hAnsiTheme="majorHAnsi"/>
          <w:sz w:val="22"/>
          <w:szCs w:val="22"/>
          <w:lang w:eastAsia="en-IE"/>
          <w14:ligatures w14:val="none"/>
        </w:rPr>
      </w:pPr>
    </w:p>
    <w:p w14:paraId="6101DAC7" w14:textId="356F8EC1" w:rsidR="00CF454F" w:rsidRPr="001A0E71" w:rsidRDefault="00590359" w:rsidP="00CC4836">
      <w:pPr>
        <w:numPr>
          <w:ilvl w:val="0"/>
          <w:numId w:val="52"/>
        </w:numPr>
        <w:spacing w:after="240" w:line="240" w:lineRule="auto"/>
        <w:contextualSpacing/>
        <w:jc w:val="both"/>
        <w:rPr>
          <w:rFonts w:asciiTheme="majorHAnsi" w:hAnsiTheme="majorHAnsi"/>
          <w:i/>
          <w:sz w:val="22"/>
          <w:szCs w:val="22"/>
          <w:lang w:eastAsia="en-IE"/>
          <w14:ligatures w14:val="none"/>
        </w:rPr>
      </w:pPr>
      <w:r w:rsidRPr="000214C8">
        <w:rPr>
          <w:rFonts w:asciiTheme="majorHAnsi" w:hAnsiTheme="majorHAnsi"/>
          <w:i/>
          <w:sz w:val="22"/>
          <w:szCs w:val="22"/>
          <w:lang w:eastAsia="en-IE"/>
          <w14:ligatures w14:val="none"/>
        </w:rPr>
        <w:t xml:space="preserve">Data portability: </w:t>
      </w:r>
      <w:r w:rsidR="00A77C74" w:rsidRPr="00607AA9">
        <w:rPr>
          <w:rFonts w:asciiTheme="majorHAnsi" w:hAnsiTheme="majorHAnsi"/>
          <w:iCs/>
          <w:sz w:val="22"/>
          <w:szCs w:val="22"/>
          <w:lang w:eastAsia="en-IE"/>
          <w14:ligatures w14:val="none"/>
        </w:rPr>
        <w:t>The</w:t>
      </w:r>
      <w:r w:rsidR="00A77C74">
        <w:rPr>
          <w:rFonts w:asciiTheme="majorHAnsi" w:hAnsiTheme="majorHAnsi"/>
          <w:i/>
          <w:sz w:val="22"/>
          <w:szCs w:val="22"/>
          <w:lang w:eastAsia="en-IE"/>
          <w14:ligatures w14:val="none"/>
        </w:rPr>
        <w:t xml:space="preserve"> </w:t>
      </w:r>
      <w:r w:rsidR="00443891" w:rsidRPr="000214C8">
        <w:rPr>
          <w:rFonts w:asciiTheme="majorHAnsi" w:hAnsiTheme="majorHAnsi"/>
          <w:sz w:val="22"/>
          <w:szCs w:val="22"/>
          <w:lang w:eastAsia="en-IE"/>
          <w14:ligatures w14:val="none"/>
        </w:rPr>
        <w:t xml:space="preserve">GDPR, </w:t>
      </w:r>
      <w:r w:rsidR="00A77C74">
        <w:rPr>
          <w:rFonts w:asciiTheme="majorHAnsi" w:hAnsiTheme="majorHAnsi"/>
          <w:sz w:val="22"/>
          <w:szCs w:val="22"/>
          <w:lang w:eastAsia="en-IE"/>
          <w14:ligatures w14:val="none"/>
        </w:rPr>
        <w:t xml:space="preserve">the </w:t>
      </w:r>
      <w:r w:rsidR="00443891" w:rsidRPr="000214C8">
        <w:rPr>
          <w:rFonts w:asciiTheme="majorHAnsi" w:hAnsiTheme="majorHAnsi"/>
          <w:sz w:val="22"/>
          <w:szCs w:val="22"/>
          <w:lang w:eastAsia="en-IE"/>
          <w14:ligatures w14:val="none"/>
        </w:rPr>
        <w:t xml:space="preserve">DMA, </w:t>
      </w:r>
      <w:r w:rsidR="00E53384">
        <w:rPr>
          <w:rFonts w:asciiTheme="majorHAnsi" w:hAnsiTheme="majorHAnsi"/>
          <w:sz w:val="22"/>
          <w:szCs w:val="22"/>
          <w:lang w:eastAsia="en-IE"/>
          <w14:ligatures w14:val="none"/>
        </w:rPr>
        <w:t xml:space="preserve">the Data Act </w:t>
      </w:r>
      <w:r w:rsidR="00443891" w:rsidRPr="000214C8">
        <w:rPr>
          <w:rFonts w:asciiTheme="majorHAnsi" w:hAnsiTheme="majorHAnsi"/>
          <w:sz w:val="22"/>
          <w:szCs w:val="22"/>
          <w:lang w:eastAsia="en-IE"/>
          <w14:ligatures w14:val="none"/>
        </w:rPr>
        <w:t xml:space="preserve">and consumer protection laws (e.g., </w:t>
      </w:r>
      <w:r w:rsidR="00A77C74">
        <w:rPr>
          <w:rFonts w:asciiTheme="majorHAnsi" w:hAnsiTheme="majorHAnsi"/>
          <w:sz w:val="22"/>
          <w:szCs w:val="22"/>
          <w:lang w:eastAsia="en-IE"/>
          <w14:ligatures w14:val="none"/>
        </w:rPr>
        <w:t xml:space="preserve">the </w:t>
      </w:r>
      <w:r w:rsidR="00443891" w:rsidRPr="000214C8">
        <w:rPr>
          <w:rFonts w:asciiTheme="majorHAnsi" w:hAnsiTheme="majorHAnsi"/>
          <w:sz w:val="22"/>
          <w:szCs w:val="22"/>
          <w:lang w:eastAsia="en-IE"/>
          <w14:ligatures w14:val="none"/>
        </w:rPr>
        <w:t>UCPD)</w:t>
      </w:r>
      <w:r w:rsidR="00D1158A" w:rsidRPr="000214C8" w:rsidDel="00B509B6">
        <w:rPr>
          <w:rFonts w:asciiTheme="majorHAnsi" w:hAnsiTheme="majorHAnsi"/>
          <w:sz w:val="22"/>
          <w:szCs w:val="22"/>
          <w:lang w:eastAsia="en-IE"/>
          <w14:ligatures w14:val="none"/>
        </w:rPr>
        <w:t xml:space="preserve"> </w:t>
      </w:r>
      <w:r w:rsidR="00443891" w:rsidRPr="000214C8">
        <w:rPr>
          <w:rFonts w:asciiTheme="majorHAnsi" w:hAnsiTheme="majorHAnsi"/>
          <w:sz w:val="22"/>
          <w:szCs w:val="22"/>
          <w:lang w:eastAsia="en-IE"/>
          <w14:ligatures w14:val="none"/>
        </w:rPr>
        <w:t xml:space="preserve">address </w:t>
      </w:r>
      <w:r w:rsidR="000D146F">
        <w:rPr>
          <w:rFonts w:asciiTheme="majorHAnsi" w:hAnsiTheme="majorHAnsi"/>
          <w:sz w:val="22"/>
          <w:szCs w:val="22"/>
          <w:lang w:eastAsia="en-IE"/>
          <w14:ligatures w14:val="none"/>
        </w:rPr>
        <w:t>similar</w:t>
      </w:r>
      <w:r w:rsidR="00443891" w:rsidRPr="000214C8">
        <w:rPr>
          <w:rFonts w:asciiTheme="majorHAnsi" w:hAnsiTheme="majorHAnsi"/>
          <w:sz w:val="22"/>
          <w:szCs w:val="22"/>
          <w:lang w:eastAsia="en-IE"/>
          <w14:ligatures w14:val="none"/>
        </w:rPr>
        <w:t xml:space="preserve"> AI </w:t>
      </w:r>
      <w:r w:rsidR="00D1158A" w:rsidRPr="000214C8">
        <w:rPr>
          <w:rFonts w:asciiTheme="majorHAnsi" w:hAnsiTheme="majorHAnsi"/>
          <w:sz w:val="22"/>
          <w:szCs w:val="22"/>
          <w:lang w:eastAsia="en-IE"/>
          <w14:ligatures w14:val="none"/>
        </w:rPr>
        <w:t xml:space="preserve">related </w:t>
      </w:r>
      <w:r w:rsidR="00443891" w:rsidRPr="000214C8">
        <w:rPr>
          <w:rFonts w:asciiTheme="majorHAnsi" w:hAnsiTheme="majorHAnsi"/>
          <w:sz w:val="22"/>
          <w:szCs w:val="22"/>
          <w:lang w:eastAsia="en-IE"/>
          <w14:ligatures w14:val="none"/>
        </w:rPr>
        <w:t xml:space="preserve">practices from </w:t>
      </w:r>
      <w:r w:rsidR="00D1158A" w:rsidRPr="000214C8">
        <w:rPr>
          <w:rFonts w:asciiTheme="majorHAnsi" w:hAnsiTheme="majorHAnsi"/>
          <w:sz w:val="22"/>
          <w:szCs w:val="22"/>
          <w:lang w:eastAsia="en-IE"/>
          <w14:ligatures w14:val="none"/>
        </w:rPr>
        <w:t>different</w:t>
      </w:r>
      <w:r w:rsidR="00343939">
        <w:rPr>
          <w:rFonts w:asciiTheme="majorHAnsi" w:hAnsiTheme="majorHAnsi"/>
          <w:sz w:val="22"/>
          <w:szCs w:val="22"/>
          <w:lang w:eastAsia="en-IE"/>
          <w14:ligatures w14:val="none"/>
        </w:rPr>
        <w:t>, complementary,</w:t>
      </w:r>
      <w:r w:rsidR="00D1158A" w:rsidRPr="000214C8">
        <w:rPr>
          <w:rFonts w:asciiTheme="majorHAnsi" w:hAnsiTheme="majorHAnsi"/>
          <w:sz w:val="22"/>
          <w:szCs w:val="22"/>
          <w:lang w:eastAsia="en-IE"/>
          <w14:ligatures w14:val="none"/>
        </w:rPr>
        <w:t xml:space="preserve"> </w:t>
      </w:r>
      <w:r w:rsidR="00443891" w:rsidRPr="000214C8">
        <w:rPr>
          <w:rFonts w:asciiTheme="majorHAnsi" w:hAnsiTheme="majorHAnsi"/>
          <w:sz w:val="22"/>
          <w:szCs w:val="22"/>
          <w:lang w:eastAsia="en-IE"/>
          <w14:ligatures w14:val="none"/>
        </w:rPr>
        <w:t xml:space="preserve">angles. </w:t>
      </w:r>
      <w:r w:rsidR="00D1158A" w:rsidRPr="000214C8">
        <w:rPr>
          <w:rFonts w:asciiTheme="majorHAnsi" w:hAnsiTheme="majorHAnsi"/>
          <w:sz w:val="22"/>
          <w:szCs w:val="22"/>
          <w:lang w:eastAsia="en-IE"/>
          <w14:ligatures w14:val="none"/>
        </w:rPr>
        <w:t>For instance</w:t>
      </w:r>
      <w:r w:rsidR="00443891" w:rsidRPr="000214C8">
        <w:rPr>
          <w:rFonts w:asciiTheme="majorHAnsi" w:hAnsiTheme="majorHAnsi"/>
          <w:sz w:val="22"/>
          <w:szCs w:val="22"/>
          <w:lang w:eastAsia="en-IE"/>
          <w14:ligatures w14:val="none"/>
        </w:rPr>
        <w:t xml:space="preserve">, </w:t>
      </w:r>
      <w:r w:rsidR="00D1158A" w:rsidRPr="000214C8">
        <w:rPr>
          <w:rFonts w:asciiTheme="majorHAnsi" w:hAnsiTheme="majorHAnsi"/>
          <w:sz w:val="22"/>
          <w:szCs w:val="22"/>
          <w:lang w:eastAsia="en-IE"/>
          <w14:ligatures w14:val="none"/>
        </w:rPr>
        <w:t>d</w:t>
      </w:r>
      <w:r w:rsidRPr="000214C8">
        <w:rPr>
          <w:rFonts w:asciiTheme="majorHAnsi" w:hAnsiTheme="majorHAnsi"/>
          <w:sz w:val="22"/>
          <w:szCs w:val="22"/>
          <w:lang w:eastAsia="en-IE"/>
          <w14:ligatures w14:val="none"/>
        </w:rPr>
        <w:t xml:space="preserve">ata portability has the potential to bring more contestability </w:t>
      </w:r>
      <w:r w:rsidR="00837376" w:rsidRPr="000214C8">
        <w:rPr>
          <w:rFonts w:asciiTheme="majorHAnsi" w:hAnsiTheme="majorHAnsi"/>
          <w:sz w:val="22"/>
          <w:szCs w:val="22"/>
          <w:lang w:eastAsia="en-IE"/>
          <w14:ligatures w14:val="none"/>
        </w:rPr>
        <w:t>for AI services by reducing switching costs</w:t>
      </w:r>
      <w:r w:rsidR="00291F64" w:rsidRPr="000214C8">
        <w:rPr>
          <w:rFonts w:asciiTheme="majorHAnsi" w:hAnsiTheme="majorHAnsi"/>
          <w:sz w:val="22"/>
          <w:szCs w:val="22"/>
          <w:lang w:eastAsia="en-IE"/>
          <w14:ligatures w14:val="none"/>
        </w:rPr>
        <w:t>.</w:t>
      </w:r>
      <w:r w:rsidRPr="000214C8">
        <w:rPr>
          <w:rFonts w:asciiTheme="majorHAnsi" w:hAnsiTheme="majorHAnsi"/>
          <w:sz w:val="22"/>
          <w:szCs w:val="22"/>
          <w:lang w:eastAsia="en-IE"/>
          <w14:ligatures w14:val="none"/>
        </w:rPr>
        <w:t xml:space="preserve"> </w:t>
      </w:r>
      <w:r w:rsidR="00837376" w:rsidRPr="000214C8">
        <w:rPr>
          <w:rFonts w:asciiTheme="majorHAnsi" w:hAnsiTheme="majorHAnsi"/>
          <w:sz w:val="22"/>
          <w:szCs w:val="22"/>
          <w:lang w:eastAsia="en-IE"/>
          <w14:ligatures w14:val="none"/>
        </w:rPr>
        <w:t>T</w:t>
      </w:r>
      <w:r w:rsidRPr="000214C8">
        <w:rPr>
          <w:rFonts w:asciiTheme="majorHAnsi" w:hAnsiTheme="majorHAnsi"/>
          <w:sz w:val="22"/>
          <w:szCs w:val="22"/>
          <w:lang w:eastAsia="en-IE"/>
          <w14:ligatures w14:val="none"/>
        </w:rPr>
        <w:t xml:space="preserve">he </w:t>
      </w:r>
      <w:r w:rsidR="00443891" w:rsidRPr="000214C8">
        <w:rPr>
          <w:rFonts w:asciiTheme="majorHAnsi" w:hAnsiTheme="majorHAnsi"/>
          <w:sz w:val="22"/>
          <w:szCs w:val="22"/>
          <w:lang w:eastAsia="en-IE"/>
          <w14:ligatures w14:val="none"/>
        </w:rPr>
        <w:t>user</w:t>
      </w:r>
      <w:r w:rsidR="00D177E0">
        <w:rPr>
          <w:rFonts w:asciiTheme="majorHAnsi" w:hAnsiTheme="majorHAnsi"/>
          <w:sz w:val="22"/>
          <w:szCs w:val="22"/>
          <w:lang w:eastAsia="en-IE"/>
          <w14:ligatures w14:val="none"/>
        </w:rPr>
        <w:t>s’</w:t>
      </w:r>
      <w:r w:rsidRPr="000214C8">
        <w:rPr>
          <w:rFonts w:asciiTheme="majorHAnsi" w:hAnsiTheme="majorHAnsi"/>
          <w:sz w:val="22"/>
          <w:szCs w:val="22"/>
          <w:lang w:eastAsia="en-IE"/>
          <w14:ligatures w14:val="none"/>
        </w:rPr>
        <w:t xml:space="preserve"> right to </w:t>
      </w:r>
      <w:r w:rsidR="00645DE4">
        <w:rPr>
          <w:rFonts w:asciiTheme="majorHAnsi" w:hAnsiTheme="majorHAnsi"/>
          <w:sz w:val="22"/>
          <w:szCs w:val="22"/>
          <w:lang w:eastAsia="en-IE"/>
          <w14:ligatures w14:val="none"/>
        </w:rPr>
        <w:t xml:space="preserve">port </w:t>
      </w:r>
      <w:r w:rsidRPr="000214C8">
        <w:rPr>
          <w:rFonts w:asciiTheme="majorHAnsi" w:hAnsiTheme="majorHAnsi"/>
          <w:sz w:val="22"/>
          <w:szCs w:val="22"/>
          <w:lang w:eastAsia="en-IE"/>
          <w14:ligatures w14:val="none"/>
        </w:rPr>
        <w:t xml:space="preserve">data </w:t>
      </w:r>
      <w:r w:rsidR="00837376" w:rsidRPr="000214C8">
        <w:rPr>
          <w:rFonts w:asciiTheme="majorHAnsi" w:hAnsiTheme="majorHAnsi"/>
          <w:sz w:val="22"/>
          <w:szCs w:val="22"/>
          <w:lang w:eastAsia="en-IE"/>
          <w14:ligatures w14:val="none"/>
        </w:rPr>
        <w:t xml:space="preserve">can </w:t>
      </w:r>
      <w:r w:rsidR="000D146F">
        <w:rPr>
          <w:rFonts w:asciiTheme="majorHAnsi" w:hAnsiTheme="majorHAnsi"/>
          <w:sz w:val="22"/>
          <w:szCs w:val="22"/>
          <w:lang w:eastAsia="en-IE"/>
          <w14:ligatures w14:val="none"/>
        </w:rPr>
        <w:t xml:space="preserve">also </w:t>
      </w:r>
      <w:r w:rsidR="00837376" w:rsidRPr="000214C8">
        <w:rPr>
          <w:rFonts w:asciiTheme="majorHAnsi" w:hAnsiTheme="majorHAnsi"/>
          <w:sz w:val="22"/>
          <w:szCs w:val="22"/>
          <w:lang w:eastAsia="en-IE"/>
          <w14:ligatures w14:val="none"/>
        </w:rPr>
        <w:t xml:space="preserve">be found in </w:t>
      </w:r>
      <w:r w:rsidRPr="000214C8">
        <w:rPr>
          <w:rFonts w:asciiTheme="majorHAnsi" w:hAnsiTheme="majorHAnsi"/>
          <w:sz w:val="22"/>
          <w:szCs w:val="22"/>
          <w:lang w:eastAsia="en-IE"/>
          <w14:ligatures w14:val="none"/>
        </w:rPr>
        <w:t>distinct instruments</w:t>
      </w:r>
      <w:r w:rsidR="00837376" w:rsidRPr="000214C8">
        <w:rPr>
          <w:rFonts w:asciiTheme="majorHAnsi" w:hAnsiTheme="majorHAnsi"/>
          <w:sz w:val="22"/>
          <w:szCs w:val="22"/>
          <w:lang w:eastAsia="en-IE"/>
          <w14:ligatures w14:val="none"/>
        </w:rPr>
        <w:t xml:space="preserve">, </w:t>
      </w:r>
      <w:r w:rsidR="00D1158A" w:rsidRPr="000214C8">
        <w:rPr>
          <w:rFonts w:asciiTheme="majorHAnsi" w:hAnsiTheme="majorHAnsi"/>
          <w:sz w:val="22"/>
          <w:szCs w:val="22"/>
          <w:lang w:eastAsia="en-IE"/>
          <w14:ligatures w14:val="none"/>
        </w:rPr>
        <w:t xml:space="preserve">in </w:t>
      </w:r>
      <w:r w:rsidR="00837376" w:rsidRPr="000214C8">
        <w:rPr>
          <w:rFonts w:asciiTheme="majorHAnsi" w:hAnsiTheme="majorHAnsi"/>
          <w:sz w:val="22"/>
          <w:szCs w:val="22"/>
          <w:lang w:eastAsia="en-IE"/>
          <w14:ligatures w14:val="none"/>
        </w:rPr>
        <w:t xml:space="preserve">the form of </w:t>
      </w:r>
      <w:r w:rsidR="000D146F">
        <w:rPr>
          <w:rFonts w:asciiTheme="majorHAnsi" w:hAnsiTheme="majorHAnsi"/>
          <w:sz w:val="22"/>
          <w:szCs w:val="22"/>
          <w:lang w:eastAsia="en-IE"/>
          <w14:ligatures w14:val="none"/>
        </w:rPr>
        <w:t>contractual obligations for cloud services providers</w:t>
      </w:r>
      <w:r w:rsidR="00D1158A" w:rsidRPr="000214C8">
        <w:rPr>
          <w:rFonts w:asciiTheme="majorHAnsi" w:hAnsiTheme="majorHAnsi"/>
          <w:sz w:val="22"/>
          <w:szCs w:val="22"/>
          <w:lang w:eastAsia="en-IE"/>
          <w14:ligatures w14:val="none"/>
        </w:rPr>
        <w:t xml:space="preserve"> (Art. </w:t>
      </w:r>
      <w:r w:rsidR="000D146F">
        <w:rPr>
          <w:rFonts w:asciiTheme="majorHAnsi" w:hAnsiTheme="majorHAnsi"/>
          <w:sz w:val="22"/>
          <w:szCs w:val="22"/>
          <w:lang w:eastAsia="en-IE"/>
          <w14:ligatures w14:val="none"/>
        </w:rPr>
        <w:t>25</w:t>
      </w:r>
      <w:r w:rsidR="000D146F" w:rsidRPr="000214C8">
        <w:rPr>
          <w:rFonts w:asciiTheme="majorHAnsi" w:hAnsiTheme="majorHAnsi"/>
          <w:sz w:val="22"/>
          <w:szCs w:val="22"/>
          <w:lang w:eastAsia="en-IE"/>
          <w14:ligatures w14:val="none"/>
        </w:rPr>
        <w:t xml:space="preserve"> </w:t>
      </w:r>
      <w:r w:rsidR="00D1158A" w:rsidRPr="000214C8">
        <w:rPr>
          <w:rFonts w:asciiTheme="majorHAnsi" w:hAnsiTheme="majorHAnsi"/>
          <w:sz w:val="22"/>
          <w:szCs w:val="22"/>
          <w:lang w:eastAsia="en-IE"/>
          <w14:ligatures w14:val="none"/>
        </w:rPr>
        <w:t xml:space="preserve">Data Act), </w:t>
      </w:r>
      <w:r w:rsidR="00837376" w:rsidRPr="000214C8">
        <w:rPr>
          <w:rFonts w:asciiTheme="majorHAnsi" w:hAnsiTheme="majorHAnsi"/>
          <w:sz w:val="22"/>
          <w:szCs w:val="22"/>
          <w:lang w:eastAsia="en-IE"/>
          <w14:ligatures w14:val="none"/>
        </w:rPr>
        <w:t xml:space="preserve">the </w:t>
      </w:r>
      <w:r w:rsidR="00D1158A" w:rsidRPr="000214C8">
        <w:rPr>
          <w:rFonts w:asciiTheme="majorHAnsi" w:hAnsiTheme="majorHAnsi"/>
          <w:sz w:val="22"/>
          <w:szCs w:val="22"/>
          <w:lang w:eastAsia="en-IE"/>
          <w14:ligatures w14:val="none"/>
        </w:rPr>
        <w:t xml:space="preserve">GDPR’s data portability </w:t>
      </w:r>
      <w:r w:rsidR="00837376" w:rsidRPr="000214C8">
        <w:rPr>
          <w:rFonts w:asciiTheme="majorHAnsi" w:hAnsiTheme="majorHAnsi"/>
          <w:sz w:val="22"/>
          <w:szCs w:val="22"/>
          <w:lang w:eastAsia="en-IE"/>
          <w14:ligatures w14:val="none"/>
        </w:rPr>
        <w:t xml:space="preserve">obligation </w:t>
      </w:r>
      <w:r w:rsidR="00D1158A" w:rsidRPr="000214C8">
        <w:rPr>
          <w:rFonts w:asciiTheme="majorHAnsi" w:hAnsiTheme="majorHAnsi"/>
          <w:sz w:val="22"/>
          <w:szCs w:val="22"/>
          <w:lang w:eastAsia="en-IE"/>
          <w14:ligatures w14:val="none"/>
        </w:rPr>
        <w:t>(Art. 20</w:t>
      </w:r>
      <w:r w:rsidR="00B509B6">
        <w:rPr>
          <w:rFonts w:asciiTheme="majorHAnsi" w:hAnsiTheme="majorHAnsi"/>
          <w:sz w:val="22"/>
          <w:szCs w:val="22"/>
          <w:lang w:eastAsia="en-IE"/>
          <w14:ligatures w14:val="none"/>
        </w:rPr>
        <w:t xml:space="preserve"> GDPR</w:t>
      </w:r>
      <w:r w:rsidR="00D1158A" w:rsidRPr="000214C8">
        <w:rPr>
          <w:rFonts w:asciiTheme="majorHAnsi" w:hAnsiTheme="majorHAnsi"/>
          <w:sz w:val="22"/>
          <w:szCs w:val="22"/>
          <w:lang w:eastAsia="en-IE"/>
          <w14:ligatures w14:val="none"/>
        </w:rPr>
        <w:t xml:space="preserve">) and </w:t>
      </w:r>
      <w:r w:rsidR="00837376" w:rsidRPr="000214C8">
        <w:rPr>
          <w:rFonts w:asciiTheme="majorHAnsi" w:hAnsiTheme="majorHAnsi"/>
          <w:sz w:val="22"/>
          <w:szCs w:val="22"/>
          <w:lang w:eastAsia="en-IE"/>
          <w14:ligatures w14:val="none"/>
        </w:rPr>
        <w:t xml:space="preserve">the </w:t>
      </w:r>
      <w:r w:rsidR="00D1158A" w:rsidRPr="000214C8">
        <w:rPr>
          <w:rFonts w:asciiTheme="majorHAnsi" w:hAnsiTheme="majorHAnsi"/>
          <w:sz w:val="22"/>
          <w:szCs w:val="22"/>
          <w:lang w:eastAsia="en-IE"/>
          <w14:ligatures w14:val="none"/>
        </w:rPr>
        <w:t>DMA</w:t>
      </w:r>
      <w:r w:rsidR="00837376" w:rsidRPr="000214C8">
        <w:rPr>
          <w:rFonts w:asciiTheme="majorHAnsi" w:hAnsiTheme="majorHAnsi"/>
          <w:sz w:val="22"/>
          <w:szCs w:val="22"/>
          <w:lang w:eastAsia="en-IE"/>
          <w14:ligatures w14:val="none"/>
        </w:rPr>
        <w:t>’s</w:t>
      </w:r>
      <w:r w:rsidR="00D1158A" w:rsidRPr="000214C8">
        <w:rPr>
          <w:rFonts w:asciiTheme="majorHAnsi" w:hAnsiTheme="majorHAnsi"/>
          <w:sz w:val="22"/>
          <w:szCs w:val="22"/>
          <w:lang w:eastAsia="en-IE"/>
          <w14:ligatures w14:val="none"/>
        </w:rPr>
        <w:t xml:space="preserve"> </w:t>
      </w:r>
      <w:r w:rsidR="00645DE4">
        <w:rPr>
          <w:rFonts w:asciiTheme="majorHAnsi" w:hAnsiTheme="majorHAnsi"/>
          <w:sz w:val="22"/>
          <w:szCs w:val="22"/>
          <w:lang w:eastAsia="en-IE"/>
          <w14:ligatures w14:val="none"/>
        </w:rPr>
        <w:t>user</w:t>
      </w:r>
      <w:r w:rsidR="00D1158A" w:rsidRPr="000214C8">
        <w:rPr>
          <w:rFonts w:asciiTheme="majorHAnsi" w:hAnsiTheme="majorHAnsi"/>
          <w:sz w:val="22"/>
          <w:szCs w:val="22"/>
          <w:lang w:eastAsia="en-IE"/>
          <w14:ligatures w14:val="none"/>
        </w:rPr>
        <w:t xml:space="preserve"> portability</w:t>
      </w:r>
      <w:r w:rsidR="00645DE4">
        <w:rPr>
          <w:rFonts w:asciiTheme="majorHAnsi" w:hAnsiTheme="majorHAnsi"/>
          <w:sz w:val="22"/>
          <w:szCs w:val="22"/>
          <w:lang w:eastAsia="en-IE"/>
          <w14:ligatures w14:val="none"/>
        </w:rPr>
        <w:t xml:space="preserve"> right</w:t>
      </w:r>
      <w:r w:rsidR="00D1158A" w:rsidRPr="000214C8">
        <w:rPr>
          <w:rFonts w:asciiTheme="majorHAnsi" w:hAnsiTheme="majorHAnsi"/>
          <w:sz w:val="22"/>
          <w:szCs w:val="22"/>
          <w:lang w:eastAsia="en-IE"/>
          <w14:ligatures w14:val="none"/>
        </w:rPr>
        <w:t xml:space="preserve"> (Art.</w:t>
      </w:r>
      <w:r w:rsidR="00A76510">
        <w:rPr>
          <w:rFonts w:asciiTheme="majorHAnsi" w:hAnsiTheme="majorHAnsi"/>
          <w:sz w:val="22"/>
          <w:szCs w:val="22"/>
          <w:lang w:eastAsia="en-IE"/>
          <w14:ligatures w14:val="none"/>
        </w:rPr>
        <w:t xml:space="preserve"> </w:t>
      </w:r>
      <w:r w:rsidR="00D1158A" w:rsidRPr="000214C8">
        <w:rPr>
          <w:rFonts w:asciiTheme="majorHAnsi" w:hAnsiTheme="majorHAnsi"/>
          <w:sz w:val="22"/>
          <w:szCs w:val="22"/>
          <w:lang w:eastAsia="en-IE"/>
          <w14:ligatures w14:val="none"/>
        </w:rPr>
        <w:t>6(9)</w:t>
      </w:r>
      <w:r w:rsidR="00B509B6">
        <w:rPr>
          <w:rFonts w:asciiTheme="majorHAnsi" w:hAnsiTheme="majorHAnsi"/>
          <w:sz w:val="22"/>
          <w:szCs w:val="22"/>
          <w:lang w:eastAsia="en-IE"/>
          <w14:ligatures w14:val="none"/>
        </w:rPr>
        <w:t xml:space="preserve"> DMA</w:t>
      </w:r>
      <w:r w:rsidR="00D177E0">
        <w:rPr>
          <w:rFonts w:asciiTheme="majorHAnsi" w:hAnsiTheme="majorHAnsi"/>
          <w:sz w:val="22"/>
          <w:szCs w:val="22"/>
          <w:lang w:eastAsia="en-IE"/>
          <w14:ligatures w14:val="none"/>
        </w:rPr>
        <w:t>)</w:t>
      </w:r>
      <w:r w:rsidR="00D1158A" w:rsidRPr="000214C8">
        <w:rPr>
          <w:rFonts w:asciiTheme="majorHAnsi" w:hAnsiTheme="majorHAnsi"/>
          <w:sz w:val="22"/>
          <w:szCs w:val="22"/>
          <w:lang w:eastAsia="en-IE"/>
          <w14:ligatures w14:val="none"/>
        </w:rPr>
        <w:t xml:space="preserve">. </w:t>
      </w:r>
      <w:r w:rsidR="00645DE4">
        <w:rPr>
          <w:rFonts w:asciiTheme="majorHAnsi" w:hAnsiTheme="majorHAnsi"/>
          <w:sz w:val="22"/>
          <w:szCs w:val="22"/>
          <w:lang w:eastAsia="en-IE"/>
          <w14:ligatures w14:val="none"/>
        </w:rPr>
        <w:t>In this context</w:t>
      </w:r>
      <w:r w:rsidR="00837376" w:rsidRPr="000214C8">
        <w:rPr>
          <w:rFonts w:asciiTheme="majorHAnsi" w:hAnsiTheme="majorHAnsi"/>
          <w:sz w:val="22"/>
          <w:szCs w:val="22"/>
          <w:lang w:eastAsia="en-IE"/>
          <w14:ligatures w14:val="none"/>
        </w:rPr>
        <w:t>,</w:t>
      </w:r>
      <w:r w:rsidRPr="000214C8">
        <w:rPr>
          <w:rFonts w:asciiTheme="majorHAnsi" w:hAnsiTheme="majorHAnsi"/>
          <w:sz w:val="22"/>
          <w:szCs w:val="22"/>
          <w:lang w:eastAsia="en-IE"/>
          <w14:ligatures w14:val="none"/>
        </w:rPr>
        <w:t xml:space="preserve"> </w:t>
      </w:r>
      <w:r w:rsidR="000D146F">
        <w:rPr>
          <w:rFonts w:asciiTheme="majorHAnsi" w:hAnsiTheme="majorHAnsi"/>
          <w:sz w:val="22"/>
          <w:szCs w:val="22"/>
          <w:lang w:eastAsia="en-IE"/>
          <w14:ligatures w14:val="none"/>
        </w:rPr>
        <w:t>it is beneficial to consider the interplay across these provisions and strive for alignment</w:t>
      </w:r>
    </w:p>
    <w:p w14:paraId="1BB90CD6" w14:textId="77777777" w:rsidR="001A0E71" w:rsidRPr="000214C8" w:rsidRDefault="001A0E71" w:rsidP="001A0E71">
      <w:pPr>
        <w:spacing w:after="240" w:line="240" w:lineRule="auto"/>
        <w:ind w:left="1080"/>
        <w:contextualSpacing/>
        <w:jc w:val="both"/>
        <w:rPr>
          <w:rFonts w:asciiTheme="majorHAnsi" w:hAnsiTheme="majorHAnsi"/>
          <w:i/>
          <w:sz w:val="22"/>
          <w:szCs w:val="22"/>
          <w:lang w:eastAsia="en-IE"/>
          <w14:ligatures w14:val="none"/>
        </w:rPr>
      </w:pPr>
    </w:p>
    <w:p w14:paraId="26AD331F" w14:textId="6AF22063" w:rsidR="001A0E71" w:rsidRPr="001A0E71" w:rsidRDefault="005B2DF8" w:rsidP="001A0E71">
      <w:pPr>
        <w:numPr>
          <w:ilvl w:val="0"/>
          <w:numId w:val="52"/>
        </w:numPr>
        <w:spacing w:after="240" w:line="240" w:lineRule="auto"/>
        <w:contextualSpacing/>
        <w:jc w:val="both"/>
        <w:rPr>
          <w:rFonts w:asciiTheme="majorHAnsi" w:hAnsiTheme="majorHAnsi"/>
          <w:i/>
          <w:sz w:val="22"/>
          <w:szCs w:val="22"/>
          <w:lang w:eastAsia="en-IE"/>
          <w14:ligatures w14:val="none"/>
        </w:rPr>
      </w:pPr>
      <w:r w:rsidRPr="000214C8">
        <w:rPr>
          <w:rFonts w:asciiTheme="majorHAnsi" w:hAnsiTheme="majorHAnsi"/>
          <w:i/>
          <w:sz w:val="22"/>
          <w:szCs w:val="22"/>
          <w:lang w:eastAsia="en-IE"/>
          <w14:ligatures w14:val="none"/>
        </w:rPr>
        <w:t xml:space="preserve">Dark patterns: </w:t>
      </w:r>
      <w:r w:rsidR="00645DE4">
        <w:rPr>
          <w:rFonts w:asciiTheme="majorHAnsi" w:hAnsiTheme="majorHAnsi"/>
          <w:iCs/>
          <w:sz w:val="22"/>
          <w:szCs w:val="22"/>
          <w:lang w:eastAsia="en-IE"/>
          <w14:ligatures w14:val="none"/>
        </w:rPr>
        <w:t xml:space="preserve">The </w:t>
      </w:r>
      <w:r w:rsidRPr="000214C8">
        <w:rPr>
          <w:rFonts w:asciiTheme="majorHAnsi" w:hAnsiTheme="majorHAnsi"/>
          <w:sz w:val="22"/>
          <w:szCs w:val="22"/>
          <w:lang w:eastAsia="en-IE"/>
          <w14:ligatures w14:val="none"/>
        </w:rPr>
        <w:t xml:space="preserve">DSA, </w:t>
      </w:r>
      <w:r w:rsidR="00A0303D">
        <w:rPr>
          <w:rFonts w:asciiTheme="majorHAnsi" w:hAnsiTheme="majorHAnsi"/>
          <w:sz w:val="22"/>
          <w:szCs w:val="22"/>
          <w:lang w:eastAsia="en-IE"/>
          <w14:ligatures w14:val="none"/>
        </w:rPr>
        <w:t>AI</w:t>
      </w:r>
      <w:r w:rsidR="00290662">
        <w:rPr>
          <w:rFonts w:asciiTheme="majorHAnsi" w:hAnsiTheme="majorHAnsi"/>
          <w:sz w:val="22"/>
          <w:szCs w:val="22"/>
          <w:lang w:eastAsia="en-IE"/>
          <w14:ligatures w14:val="none"/>
        </w:rPr>
        <w:t>A</w:t>
      </w:r>
      <w:r w:rsidR="00A0303D">
        <w:rPr>
          <w:rFonts w:asciiTheme="majorHAnsi" w:hAnsiTheme="majorHAnsi"/>
          <w:sz w:val="22"/>
          <w:szCs w:val="22"/>
          <w:lang w:eastAsia="en-IE"/>
          <w14:ligatures w14:val="none"/>
        </w:rPr>
        <w:t xml:space="preserve">, </w:t>
      </w:r>
      <w:r w:rsidRPr="000214C8">
        <w:rPr>
          <w:rFonts w:asciiTheme="majorHAnsi" w:hAnsiTheme="majorHAnsi"/>
          <w:sz w:val="22"/>
          <w:szCs w:val="22"/>
          <w:lang w:eastAsia="en-IE"/>
          <w14:ligatures w14:val="none"/>
        </w:rPr>
        <w:t xml:space="preserve">UCPD, GDPR and DMA </w:t>
      </w:r>
      <w:r w:rsidR="00B509B6">
        <w:rPr>
          <w:rFonts w:asciiTheme="majorHAnsi" w:hAnsiTheme="majorHAnsi"/>
          <w:sz w:val="22"/>
          <w:szCs w:val="22"/>
          <w:lang w:eastAsia="en-IE"/>
          <w14:ligatures w14:val="none"/>
        </w:rPr>
        <w:t xml:space="preserve">aim </w:t>
      </w:r>
      <w:r w:rsidR="00363F5F">
        <w:rPr>
          <w:rFonts w:asciiTheme="majorHAnsi" w:hAnsiTheme="majorHAnsi"/>
          <w:sz w:val="22"/>
          <w:szCs w:val="22"/>
          <w:lang w:eastAsia="en-IE"/>
          <w14:ligatures w14:val="none"/>
        </w:rPr>
        <w:t>to</w:t>
      </w:r>
      <w:r w:rsidR="00B509B6">
        <w:rPr>
          <w:rFonts w:asciiTheme="majorHAnsi" w:hAnsiTheme="majorHAnsi"/>
          <w:sz w:val="22"/>
          <w:szCs w:val="22"/>
          <w:lang w:eastAsia="en-IE"/>
          <w14:ligatures w14:val="none"/>
        </w:rPr>
        <w:t xml:space="preserve"> </w:t>
      </w:r>
      <w:r w:rsidRPr="000214C8">
        <w:rPr>
          <w:rFonts w:asciiTheme="majorHAnsi" w:hAnsiTheme="majorHAnsi"/>
          <w:sz w:val="22"/>
          <w:szCs w:val="22"/>
          <w:lang w:eastAsia="en-IE"/>
          <w14:ligatures w14:val="none"/>
        </w:rPr>
        <w:t>prevent manipulative design</w:t>
      </w:r>
      <w:r w:rsidR="008A428B">
        <w:rPr>
          <w:rFonts w:asciiTheme="majorHAnsi" w:hAnsiTheme="majorHAnsi"/>
          <w:sz w:val="22"/>
          <w:szCs w:val="22"/>
          <w:lang w:eastAsia="en-IE"/>
          <w14:ligatures w14:val="none"/>
        </w:rPr>
        <w:t xml:space="preserve">, including </w:t>
      </w:r>
      <w:r w:rsidR="00777349">
        <w:rPr>
          <w:rFonts w:asciiTheme="majorHAnsi" w:hAnsiTheme="majorHAnsi"/>
          <w:sz w:val="22"/>
          <w:szCs w:val="22"/>
          <w:lang w:eastAsia="en-IE"/>
          <w14:ligatures w14:val="none"/>
        </w:rPr>
        <w:t>in</w:t>
      </w:r>
      <w:r w:rsidRPr="000214C8">
        <w:rPr>
          <w:rFonts w:asciiTheme="majorHAnsi" w:hAnsiTheme="majorHAnsi"/>
          <w:sz w:val="22"/>
          <w:szCs w:val="22"/>
          <w:lang w:eastAsia="en-IE"/>
          <w14:ligatures w14:val="none"/>
        </w:rPr>
        <w:t xml:space="preserve"> AI interfaces</w:t>
      </w:r>
      <w:r w:rsidR="006F2FC8" w:rsidRPr="006F2FC8">
        <w:t xml:space="preserve"> </w:t>
      </w:r>
      <w:r w:rsidR="006F2FC8" w:rsidRPr="000E2234">
        <w:rPr>
          <w:rFonts w:asciiTheme="majorHAnsi" w:hAnsiTheme="majorHAnsi"/>
          <w:i/>
          <w:iCs/>
          <w:sz w:val="22"/>
          <w:szCs w:val="22"/>
          <w:lang w:eastAsia="en-IE"/>
          <w14:ligatures w14:val="none"/>
        </w:rPr>
        <w:t>e.g.,</w:t>
      </w:r>
      <w:r w:rsidR="006F2FC8" w:rsidRPr="006F2FC8">
        <w:rPr>
          <w:rFonts w:asciiTheme="majorHAnsi" w:hAnsiTheme="majorHAnsi"/>
          <w:sz w:val="22"/>
          <w:szCs w:val="22"/>
          <w:lang w:eastAsia="en-IE"/>
          <w14:ligatures w14:val="none"/>
        </w:rPr>
        <w:t xml:space="preserve"> undisclosed commercial intent in AI-generated search results</w:t>
      </w:r>
      <w:r w:rsidRPr="000214C8">
        <w:rPr>
          <w:rFonts w:asciiTheme="majorHAnsi" w:hAnsiTheme="majorHAnsi"/>
          <w:sz w:val="22"/>
          <w:szCs w:val="22"/>
          <w:lang w:eastAsia="en-IE"/>
          <w14:ligatures w14:val="none"/>
        </w:rPr>
        <w:t xml:space="preserve">. </w:t>
      </w:r>
      <w:r w:rsidR="00B509B6">
        <w:rPr>
          <w:rFonts w:asciiTheme="majorHAnsi" w:hAnsiTheme="majorHAnsi"/>
          <w:sz w:val="22"/>
          <w:szCs w:val="22"/>
          <w:lang w:eastAsia="en-IE"/>
          <w14:ligatures w14:val="none"/>
        </w:rPr>
        <w:t>T</w:t>
      </w:r>
      <w:r w:rsidR="00837376" w:rsidRPr="000214C8">
        <w:rPr>
          <w:rFonts w:asciiTheme="majorHAnsi" w:hAnsiTheme="majorHAnsi"/>
          <w:sz w:val="22"/>
          <w:szCs w:val="22"/>
          <w:lang w:eastAsia="en-IE"/>
          <w14:ligatures w14:val="none"/>
        </w:rPr>
        <w:t>he</w:t>
      </w:r>
      <w:r w:rsidRPr="000214C8">
        <w:rPr>
          <w:rFonts w:asciiTheme="majorHAnsi" w:hAnsiTheme="majorHAnsi"/>
          <w:sz w:val="22"/>
          <w:szCs w:val="22"/>
          <w:lang w:eastAsia="en-IE"/>
          <w14:ligatures w14:val="none"/>
        </w:rPr>
        <w:t xml:space="preserve"> UCPD prohibits misleading or incomplete information </w:t>
      </w:r>
      <w:r w:rsidR="005E2D08" w:rsidRPr="000214C8">
        <w:rPr>
          <w:rFonts w:asciiTheme="majorHAnsi" w:hAnsiTheme="majorHAnsi"/>
          <w:sz w:val="22"/>
          <w:szCs w:val="22"/>
          <w:lang w:eastAsia="en-IE"/>
          <w14:ligatures w14:val="none"/>
        </w:rPr>
        <w:t xml:space="preserve">and dark patterns </w:t>
      </w:r>
      <w:r w:rsidR="00A0303D">
        <w:rPr>
          <w:rFonts w:asciiTheme="majorHAnsi" w:hAnsiTheme="majorHAnsi"/>
          <w:sz w:val="22"/>
          <w:szCs w:val="22"/>
          <w:lang w:eastAsia="en-IE"/>
          <w14:ligatures w14:val="none"/>
        </w:rPr>
        <w:t>in digital interfaces</w:t>
      </w:r>
      <w:r w:rsidR="00645DE4">
        <w:rPr>
          <w:rFonts w:asciiTheme="majorHAnsi" w:hAnsiTheme="majorHAnsi"/>
          <w:sz w:val="22"/>
          <w:szCs w:val="22"/>
          <w:lang w:eastAsia="en-IE"/>
          <w14:ligatures w14:val="none"/>
        </w:rPr>
        <w:t>, which</w:t>
      </w:r>
      <w:r w:rsidR="00A0303D">
        <w:rPr>
          <w:rFonts w:asciiTheme="majorHAnsi" w:hAnsiTheme="majorHAnsi"/>
          <w:sz w:val="22"/>
          <w:szCs w:val="22"/>
          <w:lang w:eastAsia="en-IE"/>
          <w14:ligatures w14:val="none"/>
        </w:rPr>
        <w:t xml:space="preserve"> </w:t>
      </w:r>
      <w:r w:rsidR="005E2D08" w:rsidRPr="000214C8">
        <w:rPr>
          <w:rFonts w:asciiTheme="majorHAnsi" w:hAnsiTheme="majorHAnsi"/>
          <w:sz w:val="22"/>
          <w:szCs w:val="22"/>
          <w:lang w:eastAsia="en-IE"/>
          <w14:ligatures w14:val="none"/>
        </w:rPr>
        <w:t xml:space="preserve">are directly addressed </w:t>
      </w:r>
      <w:r w:rsidR="00645DE4">
        <w:rPr>
          <w:rFonts w:asciiTheme="majorHAnsi" w:hAnsiTheme="majorHAnsi"/>
          <w:sz w:val="22"/>
          <w:szCs w:val="22"/>
          <w:lang w:eastAsia="en-IE"/>
          <w14:ligatures w14:val="none"/>
        </w:rPr>
        <w:t>by</w:t>
      </w:r>
      <w:r w:rsidR="00645DE4" w:rsidRPr="000214C8">
        <w:rPr>
          <w:rFonts w:asciiTheme="majorHAnsi" w:hAnsiTheme="majorHAnsi"/>
          <w:sz w:val="22"/>
          <w:szCs w:val="22"/>
          <w:lang w:eastAsia="en-IE"/>
          <w14:ligatures w14:val="none"/>
        </w:rPr>
        <w:t xml:space="preserve"> </w:t>
      </w:r>
      <w:r w:rsidR="00A76510">
        <w:rPr>
          <w:rFonts w:asciiTheme="majorHAnsi" w:hAnsiTheme="majorHAnsi"/>
          <w:sz w:val="22"/>
          <w:szCs w:val="22"/>
          <w:lang w:eastAsia="en-IE"/>
          <w14:ligatures w14:val="none"/>
        </w:rPr>
        <w:t>A</w:t>
      </w:r>
      <w:r w:rsidR="00475231">
        <w:rPr>
          <w:rFonts w:asciiTheme="majorHAnsi" w:hAnsiTheme="majorHAnsi"/>
          <w:sz w:val="22"/>
          <w:szCs w:val="22"/>
          <w:lang w:eastAsia="en-IE"/>
          <w14:ligatures w14:val="none"/>
        </w:rPr>
        <w:t>rt</w:t>
      </w:r>
      <w:r w:rsidR="00A76510">
        <w:rPr>
          <w:rFonts w:asciiTheme="majorHAnsi" w:hAnsiTheme="majorHAnsi"/>
          <w:sz w:val="22"/>
          <w:szCs w:val="22"/>
          <w:lang w:eastAsia="en-IE"/>
          <w14:ligatures w14:val="none"/>
        </w:rPr>
        <w:t>.</w:t>
      </w:r>
      <w:r w:rsidR="00475231">
        <w:rPr>
          <w:rFonts w:asciiTheme="majorHAnsi" w:hAnsiTheme="majorHAnsi"/>
          <w:sz w:val="22"/>
          <w:szCs w:val="22"/>
          <w:lang w:eastAsia="en-IE"/>
          <w14:ligatures w14:val="none"/>
        </w:rPr>
        <w:t xml:space="preserve"> 25 and </w:t>
      </w:r>
      <w:r w:rsidR="00A950FA">
        <w:rPr>
          <w:rFonts w:asciiTheme="majorHAnsi" w:hAnsiTheme="majorHAnsi"/>
          <w:sz w:val="22"/>
          <w:szCs w:val="22"/>
          <w:lang w:eastAsia="en-IE"/>
          <w14:ligatures w14:val="none"/>
        </w:rPr>
        <w:t>recital 67</w:t>
      </w:r>
      <w:r w:rsidR="00A950FA" w:rsidRPr="000214C8">
        <w:rPr>
          <w:rFonts w:asciiTheme="majorHAnsi" w:hAnsiTheme="majorHAnsi"/>
          <w:sz w:val="22"/>
          <w:szCs w:val="22"/>
          <w:lang w:eastAsia="en-IE"/>
          <w14:ligatures w14:val="none"/>
        </w:rPr>
        <w:t xml:space="preserve"> </w:t>
      </w:r>
      <w:r w:rsidR="005E2D08" w:rsidRPr="000214C8">
        <w:rPr>
          <w:rFonts w:asciiTheme="majorHAnsi" w:hAnsiTheme="majorHAnsi"/>
          <w:sz w:val="22"/>
          <w:szCs w:val="22"/>
          <w:lang w:eastAsia="en-IE"/>
          <w14:ligatures w14:val="none"/>
        </w:rPr>
        <w:t>DSA</w:t>
      </w:r>
      <w:r w:rsidR="00645DE4">
        <w:rPr>
          <w:rFonts w:asciiTheme="majorHAnsi" w:hAnsiTheme="majorHAnsi"/>
          <w:sz w:val="22"/>
          <w:szCs w:val="22"/>
          <w:lang w:eastAsia="en-IE"/>
          <w14:ligatures w14:val="none"/>
        </w:rPr>
        <w:t xml:space="preserve"> and </w:t>
      </w:r>
      <w:r w:rsidR="00A0303D">
        <w:rPr>
          <w:rFonts w:asciiTheme="majorHAnsi" w:hAnsiTheme="majorHAnsi"/>
          <w:sz w:val="22"/>
          <w:szCs w:val="22"/>
          <w:lang w:eastAsia="en-IE"/>
          <w14:ligatures w14:val="none"/>
        </w:rPr>
        <w:t>by the core principles of</w:t>
      </w:r>
      <w:r w:rsidR="00BB662A">
        <w:rPr>
          <w:rFonts w:asciiTheme="majorHAnsi" w:hAnsiTheme="majorHAnsi"/>
          <w:sz w:val="22"/>
          <w:szCs w:val="22"/>
          <w:lang w:eastAsia="en-IE"/>
          <w14:ligatures w14:val="none"/>
        </w:rPr>
        <w:t xml:space="preserve"> the</w:t>
      </w:r>
      <w:r w:rsidR="00A0303D">
        <w:rPr>
          <w:rFonts w:asciiTheme="majorHAnsi" w:hAnsiTheme="majorHAnsi"/>
          <w:sz w:val="22"/>
          <w:szCs w:val="22"/>
          <w:lang w:eastAsia="en-IE"/>
          <w14:ligatures w14:val="none"/>
        </w:rPr>
        <w:t xml:space="preserve"> </w:t>
      </w:r>
      <w:r w:rsidR="005E2D08" w:rsidRPr="000214C8">
        <w:rPr>
          <w:rFonts w:asciiTheme="majorHAnsi" w:hAnsiTheme="majorHAnsi"/>
          <w:sz w:val="22"/>
          <w:szCs w:val="22"/>
          <w:lang w:eastAsia="en-IE"/>
          <w14:ligatures w14:val="none"/>
        </w:rPr>
        <w:t>GDPR</w:t>
      </w:r>
      <w:r w:rsidR="008A428B">
        <w:rPr>
          <w:rFonts w:asciiTheme="majorHAnsi" w:hAnsiTheme="majorHAnsi"/>
          <w:sz w:val="22"/>
          <w:szCs w:val="22"/>
          <w:lang w:eastAsia="en-IE"/>
          <w14:ligatures w14:val="none"/>
        </w:rPr>
        <w:t>, notably transparency and fairness</w:t>
      </w:r>
      <w:r w:rsidR="00777349">
        <w:rPr>
          <w:rFonts w:asciiTheme="majorHAnsi" w:hAnsiTheme="majorHAnsi"/>
          <w:sz w:val="22"/>
          <w:szCs w:val="22"/>
          <w:lang w:eastAsia="en-IE"/>
          <w14:ligatures w14:val="none"/>
        </w:rPr>
        <w:t>.</w:t>
      </w:r>
      <w:r w:rsidR="00607AA9">
        <w:rPr>
          <w:rStyle w:val="FootnoteReference"/>
          <w:rFonts w:asciiTheme="majorHAnsi" w:hAnsiTheme="majorHAnsi"/>
          <w:sz w:val="22"/>
          <w:szCs w:val="22"/>
          <w:lang w:eastAsia="en-IE"/>
          <w14:ligatures w14:val="none"/>
        </w:rPr>
        <w:footnoteReference w:id="5"/>
      </w:r>
      <w:r w:rsidR="00A0303D">
        <w:rPr>
          <w:rFonts w:asciiTheme="majorHAnsi" w:hAnsiTheme="majorHAnsi"/>
          <w:sz w:val="22"/>
          <w:szCs w:val="22"/>
          <w:lang w:eastAsia="en-IE"/>
          <w14:ligatures w14:val="none"/>
        </w:rPr>
        <w:t xml:space="preserve"> </w:t>
      </w:r>
      <w:r w:rsidR="00A76510">
        <w:rPr>
          <w:rFonts w:asciiTheme="majorHAnsi" w:hAnsiTheme="majorHAnsi"/>
          <w:sz w:val="22"/>
          <w:szCs w:val="22"/>
          <w:lang w:eastAsia="en-IE"/>
          <w14:ligatures w14:val="none"/>
        </w:rPr>
        <w:t>A</w:t>
      </w:r>
      <w:r w:rsidR="00A0303D" w:rsidRPr="00A0303D">
        <w:rPr>
          <w:rFonts w:asciiTheme="majorHAnsi" w:hAnsiTheme="majorHAnsi"/>
          <w:sz w:val="22"/>
          <w:szCs w:val="22"/>
          <w:lang w:eastAsia="en-IE"/>
          <w14:ligatures w14:val="none"/>
        </w:rPr>
        <w:t>rt</w:t>
      </w:r>
      <w:r w:rsidR="00A76510">
        <w:rPr>
          <w:rFonts w:asciiTheme="majorHAnsi" w:hAnsiTheme="majorHAnsi"/>
          <w:sz w:val="22"/>
          <w:szCs w:val="22"/>
          <w:lang w:eastAsia="en-IE"/>
          <w14:ligatures w14:val="none"/>
        </w:rPr>
        <w:t>.</w:t>
      </w:r>
      <w:r w:rsidR="00A0303D" w:rsidRPr="00A0303D">
        <w:rPr>
          <w:rFonts w:asciiTheme="majorHAnsi" w:hAnsiTheme="majorHAnsi"/>
          <w:sz w:val="22"/>
          <w:szCs w:val="22"/>
          <w:lang w:eastAsia="en-IE"/>
          <w14:ligatures w14:val="none"/>
        </w:rPr>
        <w:t xml:space="preserve"> 5(1)(a) and (b)</w:t>
      </w:r>
      <w:r w:rsidR="00A0303D">
        <w:rPr>
          <w:rFonts w:asciiTheme="majorHAnsi" w:hAnsiTheme="majorHAnsi"/>
          <w:sz w:val="22"/>
          <w:szCs w:val="22"/>
          <w:lang w:eastAsia="en-IE"/>
          <w14:ligatures w14:val="none"/>
        </w:rPr>
        <w:t xml:space="preserve"> </w:t>
      </w:r>
      <w:r w:rsidR="00777349">
        <w:rPr>
          <w:rFonts w:asciiTheme="majorHAnsi" w:hAnsiTheme="majorHAnsi"/>
          <w:sz w:val="22"/>
          <w:szCs w:val="22"/>
          <w:lang w:eastAsia="en-IE"/>
          <w14:ligatures w14:val="none"/>
        </w:rPr>
        <w:t>of</w:t>
      </w:r>
      <w:r w:rsidR="00607AA9">
        <w:rPr>
          <w:rFonts w:asciiTheme="majorHAnsi" w:hAnsiTheme="majorHAnsi"/>
          <w:sz w:val="22"/>
          <w:szCs w:val="22"/>
          <w:lang w:eastAsia="en-IE"/>
          <w14:ligatures w14:val="none"/>
        </w:rPr>
        <w:t xml:space="preserve"> the</w:t>
      </w:r>
      <w:r w:rsidR="00777349">
        <w:rPr>
          <w:rFonts w:asciiTheme="majorHAnsi" w:hAnsiTheme="majorHAnsi"/>
          <w:sz w:val="22"/>
          <w:szCs w:val="22"/>
          <w:lang w:eastAsia="en-IE"/>
          <w14:ligatures w14:val="none"/>
        </w:rPr>
        <w:t xml:space="preserve"> AI</w:t>
      </w:r>
      <w:r w:rsidR="00A0303D">
        <w:rPr>
          <w:rFonts w:asciiTheme="majorHAnsi" w:hAnsiTheme="majorHAnsi"/>
          <w:sz w:val="22"/>
          <w:szCs w:val="22"/>
          <w:lang w:eastAsia="en-IE"/>
          <w14:ligatures w14:val="none"/>
        </w:rPr>
        <w:t xml:space="preserve"> Act </w:t>
      </w:r>
      <w:r w:rsidR="00A0303D" w:rsidRPr="00A0303D">
        <w:rPr>
          <w:rFonts w:asciiTheme="majorHAnsi" w:hAnsiTheme="majorHAnsi"/>
          <w:sz w:val="22"/>
          <w:szCs w:val="22"/>
          <w:lang w:eastAsia="en-IE"/>
          <w14:ligatures w14:val="none"/>
        </w:rPr>
        <w:t>prohibit subliminal techniques</w:t>
      </w:r>
      <w:r w:rsidR="00AF5981">
        <w:rPr>
          <w:rFonts w:asciiTheme="majorHAnsi" w:hAnsiTheme="majorHAnsi"/>
          <w:sz w:val="22"/>
          <w:szCs w:val="22"/>
          <w:lang w:eastAsia="en-IE"/>
          <w14:ligatures w14:val="none"/>
        </w:rPr>
        <w:t xml:space="preserve"> </w:t>
      </w:r>
      <w:r w:rsidR="00A0303D" w:rsidRPr="00A0303D">
        <w:rPr>
          <w:rFonts w:asciiTheme="majorHAnsi" w:hAnsiTheme="majorHAnsi"/>
          <w:sz w:val="22"/>
          <w:szCs w:val="22"/>
          <w:lang w:eastAsia="en-IE"/>
          <w14:ligatures w14:val="none"/>
        </w:rPr>
        <w:t xml:space="preserve">or </w:t>
      </w:r>
      <w:r w:rsidR="00607AA9">
        <w:rPr>
          <w:rFonts w:asciiTheme="majorHAnsi" w:hAnsiTheme="majorHAnsi"/>
          <w:sz w:val="22"/>
          <w:szCs w:val="22"/>
          <w:lang w:eastAsia="en-IE"/>
          <w14:ligatures w14:val="none"/>
        </w:rPr>
        <w:t xml:space="preserve">the </w:t>
      </w:r>
      <w:r w:rsidR="00A0303D" w:rsidRPr="00A0303D">
        <w:rPr>
          <w:rFonts w:asciiTheme="majorHAnsi" w:hAnsiTheme="majorHAnsi"/>
          <w:sz w:val="22"/>
          <w:szCs w:val="22"/>
          <w:lang w:eastAsia="en-IE"/>
          <w14:ligatures w14:val="none"/>
        </w:rPr>
        <w:t>use of AI systems that exploit vulnerabilities based on age, disability or a specific social or economic situation</w:t>
      </w:r>
      <w:r w:rsidR="00A0303D">
        <w:rPr>
          <w:rFonts w:asciiTheme="majorHAnsi" w:hAnsiTheme="majorHAnsi"/>
          <w:sz w:val="22"/>
          <w:szCs w:val="22"/>
          <w:lang w:eastAsia="en-IE"/>
          <w14:ligatures w14:val="none"/>
        </w:rPr>
        <w:t xml:space="preserve">, </w:t>
      </w:r>
      <w:r w:rsidR="005E2D08" w:rsidRPr="000214C8">
        <w:rPr>
          <w:rFonts w:asciiTheme="majorHAnsi" w:hAnsiTheme="majorHAnsi"/>
          <w:sz w:val="22"/>
          <w:szCs w:val="22"/>
          <w:lang w:eastAsia="en-IE"/>
          <w14:ligatures w14:val="none"/>
        </w:rPr>
        <w:t xml:space="preserve">while </w:t>
      </w:r>
      <w:r w:rsidR="005978BF" w:rsidRPr="000214C8">
        <w:rPr>
          <w:rFonts w:asciiTheme="majorHAnsi" w:hAnsiTheme="majorHAnsi"/>
          <w:sz w:val="22"/>
          <w:szCs w:val="22"/>
          <w:lang w:eastAsia="en-IE"/>
          <w14:ligatures w14:val="none"/>
        </w:rPr>
        <w:t xml:space="preserve">the </w:t>
      </w:r>
      <w:r w:rsidR="005E2D08" w:rsidRPr="000214C8">
        <w:rPr>
          <w:rFonts w:asciiTheme="majorHAnsi" w:hAnsiTheme="majorHAnsi"/>
          <w:sz w:val="22"/>
          <w:szCs w:val="22"/>
          <w:lang w:eastAsia="en-IE"/>
          <w14:ligatures w14:val="none"/>
        </w:rPr>
        <w:t xml:space="preserve">DMA </w:t>
      </w:r>
      <w:r w:rsidR="005978BF" w:rsidRPr="000214C8">
        <w:rPr>
          <w:rFonts w:asciiTheme="majorHAnsi" w:hAnsiTheme="majorHAnsi"/>
          <w:sz w:val="22"/>
          <w:szCs w:val="22"/>
          <w:lang w:eastAsia="en-IE"/>
          <w14:ligatures w14:val="none"/>
        </w:rPr>
        <w:t>could address such behaviour</w:t>
      </w:r>
      <w:r w:rsidR="005E2D08" w:rsidRPr="000214C8">
        <w:rPr>
          <w:rFonts w:asciiTheme="majorHAnsi" w:hAnsiTheme="majorHAnsi"/>
          <w:sz w:val="22"/>
          <w:szCs w:val="22"/>
          <w:lang w:eastAsia="en-IE"/>
          <w14:ligatures w14:val="none"/>
        </w:rPr>
        <w:t xml:space="preserve"> as </w:t>
      </w:r>
      <w:r w:rsidR="005978BF" w:rsidRPr="000214C8">
        <w:rPr>
          <w:rFonts w:asciiTheme="majorHAnsi" w:hAnsiTheme="majorHAnsi"/>
          <w:sz w:val="22"/>
          <w:szCs w:val="22"/>
          <w:lang w:eastAsia="en-IE"/>
          <w14:ligatures w14:val="none"/>
        </w:rPr>
        <w:t>a</w:t>
      </w:r>
      <w:r w:rsidR="005E2D08" w:rsidRPr="000214C8">
        <w:rPr>
          <w:rFonts w:asciiTheme="majorHAnsi" w:hAnsiTheme="majorHAnsi"/>
          <w:sz w:val="22"/>
          <w:szCs w:val="22"/>
          <w:lang w:eastAsia="en-IE"/>
          <w14:ligatures w14:val="none"/>
        </w:rPr>
        <w:t xml:space="preserve"> for</w:t>
      </w:r>
      <w:r w:rsidR="005978BF" w:rsidRPr="000214C8">
        <w:rPr>
          <w:rFonts w:asciiTheme="majorHAnsi" w:hAnsiTheme="majorHAnsi"/>
          <w:sz w:val="22"/>
          <w:szCs w:val="22"/>
          <w:lang w:eastAsia="en-IE"/>
          <w14:ligatures w14:val="none"/>
        </w:rPr>
        <w:t>m of</w:t>
      </w:r>
      <w:r w:rsidR="005E2D08" w:rsidRPr="000214C8">
        <w:rPr>
          <w:rFonts w:asciiTheme="majorHAnsi" w:hAnsiTheme="majorHAnsi"/>
          <w:sz w:val="22"/>
          <w:szCs w:val="22"/>
          <w:lang w:eastAsia="en-IE"/>
          <w14:ligatures w14:val="none"/>
        </w:rPr>
        <w:t xml:space="preserve"> circumvention</w:t>
      </w:r>
      <w:r w:rsidR="005978BF" w:rsidRPr="000214C8">
        <w:rPr>
          <w:rFonts w:asciiTheme="majorHAnsi" w:hAnsiTheme="majorHAnsi"/>
          <w:sz w:val="22"/>
          <w:szCs w:val="22"/>
          <w:lang w:eastAsia="en-IE"/>
          <w14:ligatures w14:val="none"/>
        </w:rPr>
        <w:t xml:space="preserve"> of existing obligations</w:t>
      </w:r>
      <w:r w:rsidR="00BB662A">
        <w:rPr>
          <w:rFonts w:asciiTheme="majorHAnsi" w:hAnsiTheme="majorHAnsi"/>
          <w:sz w:val="22"/>
          <w:szCs w:val="22"/>
          <w:lang w:eastAsia="en-IE"/>
          <w14:ligatures w14:val="none"/>
        </w:rPr>
        <w:t xml:space="preserve"> (Art 13(6) DMA)</w:t>
      </w:r>
      <w:r w:rsidRPr="000214C8">
        <w:rPr>
          <w:rFonts w:asciiTheme="majorHAnsi" w:hAnsiTheme="majorHAnsi"/>
          <w:sz w:val="22"/>
          <w:szCs w:val="22"/>
          <w:lang w:eastAsia="en-IE"/>
          <w14:ligatures w14:val="none"/>
        </w:rPr>
        <w:t xml:space="preserve">. Therefore, </w:t>
      </w:r>
      <w:r w:rsidR="00777349">
        <w:rPr>
          <w:rFonts w:asciiTheme="majorHAnsi" w:hAnsiTheme="majorHAnsi"/>
          <w:sz w:val="22"/>
          <w:szCs w:val="22"/>
          <w:lang w:eastAsia="en-IE"/>
          <w14:ligatures w14:val="none"/>
        </w:rPr>
        <w:t xml:space="preserve">a </w:t>
      </w:r>
      <w:r w:rsidRPr="000214C8">
        <w:rPr>
          <w:rFonts w:asciiTheme="majorHAnsi" w:hAnsiTheme="majorHAnsi"/>
          <w:sz w:val="22"/>
          <w:szCs w:val="22"/>
          <w:lang w:eastAsia="en-IE"/>
          <w14:ligatures w14:val="none"/>
        </w:rPr>
        <w:t xml:space="preserve">need </w:t>
      </w:r>
      <w:r w:rsidR="00777349">
        <w:rPr>
          <w:rFonts w:asciiTheme="majorHAnsi" w:hAnsiTheme="majorHAnsi"/>
          <w:sz w:val="22"/>
          <w:szCs w:val="22"/>
          <w:lang w:eastAsia="en-IE"/>
          <w14:ligatures w14:val="none"/>
        </w:rPr>
        <w:t xml:space="preserve">emerged </w:t>
      </w:r>
      <w:r w:rsidRPr="000214C8">
        <w:rPr>
          <w:rFonts w:asciiTheme="majorHAnsi" w:hAnsiTheme="majorHAnsi"/>
          <w:sz w:val="22"/>
          <w:szCs w:val="22"/>
          <w:lang w:eastAsia="en-IE"/>
          <w14:ligatures w14:val="none"/>
        </w:rPr>
        <w:t xml:space="preserve">to ensure consistency </w:t>
      </w:r>
      <w:r w:rsidR="005978BF" w:rsidRPr="000214C8">
        <w:rPr>
          <w:rFonts w:asciiTheme="majorHAnsi" w:hAnsiTheme="majorHAnsi"/>
          <w:sz w:val="22"/>
          <w:szCs w:val="22"/>
          <w:lang w:eastAsia="en-IE"/>
          <w14:ligatures w14:val="none"/>
        </w:rPr>
        <w:t>by</w:t>
      </w:r>
      <w:r w:rsidRPr="000214C8">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agreeing on</w:t>
      </w:r>
      <w:r w:rsidRPr="000214C8">
        <w:rPr>
          <w:rFonts w:asciiTheme="majorHAnsi" w:hAnsiTheme="majorHAnsi"/>
          <w:sz w:val="22"/>
          <w:szCs w:val="22"/>
          <w:lang w:eastAsia="en-IE"/>
          <w14:ligatures w14:val="none"/>
        </w:rPr>
        <w:t xml:space="preserve"> "</w:t>
      </w:r>
      <w:r w:rsidRPr="000E2234">
        <w:rPr>
          <w:rFonts w:asciiTheme="majorHAnsi" w:hAnsiTheme="majorHAnsi"/>
          <w:i/>
          <w:iCs/>
          <w:sz w:val="22"/>
          <w:szCs w:val="22"/>
          <w:lang w:eastAsia="en-IE"/>
          <w14:ligatures w14:val="none"/>
        </w:rPr>
        <w:t>clear and comprehensible</w:t>
      </w:r>
      <w:r w:rsidRPr="000214C8">
        <w:rPr>
          <w:rFonts w:asciiTheme="majorHAnsi" w:hAnsiTheme="majorHAnsi"/>
          <w:sz w:val="22"/>
          <w:szCs w:val="22"/>
          <w:lang w:eastAsia="en-IE"/>
          <w14:ligatures w14:val="none"/>
        </w:rPr>
        <w:t xml:space="preserve">" disclosure standards </w:t>
      </w:r>
      <w:r w:rsidR="008A428B">
        <w:rPr>
          <w:rFonts w:asciiTheme="majorHAnsi" w:hAnsiTheme="majorHAnsi"/>
          <w:sz w:val="22"/>
          <w:szCs w:val="22"/>
          <w:lang w:eastAsia="en-IE"/>
          <w14:ligatures w14:val="none"/>
        </w:rPr>
        <w:t xml:space="preserve">that would be adequate </w:t>
      </w:r>
      <w:r w:rsidRPr="000214C8">
        <w:rPr>
          <w:rFonts w:asciiTheme="majorHAnsi" w:hAnsiTheme="majorHAnsi"/>
          <w:sz w:val="22"/>
          <w:szCs w:val="22"/>
          <w:lang w:eastAsia="en-IE"/>
          <w14:ligatures w14:val="none"/>
        </w:rPr>
        <w:t xml:space="preserve">across </w:t>
      </w:r>
      <w:r w:rsidR="0072494E">
        <w:rPr>
          <w:rFonts w:asciiTheme="majorHAnsi" w:hAnsiTheme="majorHAnsi"/>
          <w:sz w:val="22"/>
          <w:szCs w:val="22"/>
          <w:lang w:eastAsia="en-IE"/>
          <w14:ligatures w14:val="none"/>
        </w:rPr>
        <w:t xml:space="preserve">the various </w:t>
      </w:r>
      <w:r w:rsidR="008A428B">
        <w:rPr>
          <w:rFonts w:asciiTheme="majorHAnsi" w:hAnsiTheme="majorHAnsi"/>
          <w:sz w:val="22"/>
          <w:szCs w:val="22"/>
          <w:lang w:eastAsia="en-IE"/>
          <w14:ligatures w14:val="none"/>
        </w:rPr>
        <w:t xml:space="preserve">relevant provisions in these </w:t>
      </w:r>
      <w:r w:rsidR="006F2FC8">
        <w:rPr>
          <w:rFonts w:asciiTheme="majorHAnsi" w:hAnsiTheme="majorHAnsi"/>
          <w:sz w:val="22"/>
          <w:szCs w:val="22"/>
          <w:lang w:eastAsia="en-IE"/>
          <w14:ligatures w14:val="none"/>
        </w:rPr>
        <w:t>regulations</w:t>
      </w:r>
      <w:r w:rsidRPr="000214C8">
        <w:rPr>
          <w:rFonts w:asciiTheme="majorHAnsi" w:hAnsiTheme="majorHAnsi"/>
          <w:sz w:val="22"/>
          <w:szCs w:val="22"/>
          <w:lang w:eastAsia="en-IE"/>
          <w14:ligatures w14:val="none"/>
        </w:rPr>
        <w:t>.</w:t>
      </w:r>
    </w:p>
    <w:p w14:paraId="202AD800" w14:textId="77777777" w:rsidR="001A0E71" w:rsidRPr="000214C8" w:rsidRDefault="001A0E71" w:rsidP="001A0E71">
      <w:pPr>
        <w:spacing w:after="240" w:line="240" w:lineRule="auto"/>
        <w:ind w:left="1080"/>
        <w:contextualSpacing/>
        <w:jc w:val="both"/>
        <w:rPr>
          <w:rFonts w:asciiTheme="majorHAnsi" w:hAnsiTheme="majorHAnsi"/>
          <w:i/>
          <w:sz w:val="22"/>
          <w:szCs w:val="22"/>
          <w:lang w:eastAsia="en-IE"/>
          <w14:ligatures w14:val="none"/>
        </w:rPr>
      </w:pPr>
    </w:p>
    <w:p w14:paraId="3DCB5248" w14:textId="65D15340" w:rsidR="00CC4836" w:rsidRDefault="00CC4836" w:rsidP="00CC4836">
      <w:pPr>
        <w:numPr>
          <w:ilvl w:val="0"/>
          <w:numId w:val="52"/>
        </w:numPr>
        <w:spacing w:after="240" w:line="240" w:lineRule="auto"/>
        <w:contextualSpacing/>
        <w:jc w:val="both"/>
        <w:rPr>
          <w:rFonts w:asciiTheme="majorHAnsi" w:hAnsiTheme="majorHAnsi"/>
          <w:sz w:val="22"/>
          <w:szCs w:val="22"/>
          <w:lang w:eastAsia="en-IE"/>
          <w14:ligatures w14:val="none"/>
        </w:rPr>
      </w:pPr>
      <w:r w:rsidRPr="000214C8">
        <w:rPr>
          <w:rFonts w:asciiTheme="majorHAnsi" w:hAnsiTheme="majorHAnsi"/>
          <w:i/>
          <w:sz w:val="22"/>
          <w:szCs w:val="22"/>
          <w:lang w:eastAsia="en-IE"/>
          <w14:ligatures w14:val="none"/>
        </w:rPr>
        <w:t xml:space="preserve">Transparency: </w:t>
      </w:r>
      <w:r w:rsidRPr="000214C8">
        <w:rPr>
          <w:rFonts w:asciiTheme="majorHAnsi" w:hAnsiTheme="majorHAnsi"/>
          <w:sz w:val="22"/>
          <w:szCs w:val="22"/>
          <w:lang w:eastAsia="en-IE"/>
          <w14:ligatures w14:val="none"/>
        </w:rPr>
        <w:t xml:space="preserve">Regulatory intersections </w:t>
      </w:r>
      <w:r w:rsidR="00046199">
        <w:rPr>
          <w:rFonts w:asciiTheme="majorHAnsi" w:hAnsiTheme="majorHAnsi"/>
          <w:sz w:val="22"/>
          <w:szCs w:val="22"/>
          <w:lang w:eastAsia="en-IE"/>
          <w14:ligatures w14:val="none"/>
        </w:rPr>
        <w:t xml:space="preserve">appear also as regards </w:t>
      </w:r>
      <w:r w:rsidR="00D5766A" w:rsidRPr="000214C8">
        <w:rPr>
          <w:rFonts w:asciiTheme="majorHAnsi" w:hAnsiTheme="majorHAnsi"/>
          <w:sz w:val="22"/>
          <w:szCs w:val="22"/>
          <w:lang w:eastAsia="en-IE"/>
          <w14:ligatures w14:val="none"/>
        </w:rPr>
        <w:t>transparency</w:t>
      </w:r>
      <w:r w:rsidR="002724C1">
        <w:rPr>
          <w:rFonts w:asciiTheme="majorHAnsi" w:hAnsiTheme="majorHAnsi"/>
          <w:sz w:val="22"/>
          <w:szCs w:val="22"/>
          <w:lang w:eastAsia="en-IE"/>
          <w14:ligatures w14:val="none"/>
        </w:rPr>
        <w:t>, e.g.</w:t>
      </w:r>
    </w:p>
    <w:p w14:paraId="39E53CEB" w14:textId="77777777" w:rsidR="00D177E0" w:rsidRPr="000214C8" w:rsidRDefault="00D177E0" w:rsidP="00D177E0">
      <w:pPr>
        <w:spacing w:after="240" w:line="240" w:lineRule="auto"/>
        <w:contextualSpacing/>
        <w:jc w:val="both"/>
        <w:rPr>
          <w:rFonts w:asciiTheme="majorHAnsi" w:hAnsiTheme="majorHAnsi"/>
          <w:sz w:val="22"/>
          <w:szCs w:val="22"/>
          <w:lang w:eastAsia="en-IE"/>
          <w14:ligatures w14:val="none"/>
        </w:rPr>
      </w:pPr>
    </w:p>
    <w:p w14:paraId="11EF4A4E" w14:textId="2D487F0B" w:rsidR="00D5766A" w:rsidRDefault="009B7437" w:rsidP="00D5766A">
      <w:pPr>
        <w:numPr>
          <w:ilvl w:val="0"/>
          <w:numId w:val="53"/>
        </w:numPr>
        <w:spacing w:after="240" w:line="240" w:lineRule="auto"/>
        <w:ind w:left="1134"/>
        <w:contextualSpacing/>
        <w:jc w:val="both"/>
        <w:rPr>
          <w:rFonts w:asciiTheme="majorHAnsi" w:hAnsiTheme="majorHAnsi"/>
          <w:sz w:val="22"/>
          <w:szCs w:val="22"/>
          <w:lang w:eastAsia="en-IE"/>
          <w14:ligatures w14:val="none"/>
        </w:rPr>
      </w:pPr>
      <w:r>
        <w:rPr>
          <w:rFonts w:asciiTheme="majorHAnsi" w:hAnsiTheme="majorHAnsi"/>
          <w:i/>
          <w:sz w:val="22"/>
          <w:szCs w:val="22"/>
          <w:lang w:eastAsia="en-IE"/>
          <w14:ligatures w14:val="none"/>
        </w:rPr>
        <w:t>Provision of service rules</w:t>
      </w:r>
      <w:r w:rsidR="00D5766A" w:rsidRPr="000214C8">
        <w:rPr>
          <w:rFonts w:asciiTheme="majorHAnsi" w:hAnsiTheme="majorHAnsi"/>
          <w:sz w:val="22"/>
          <w:szCs w:val="22"/>
          <w:lang w:eastAsia="en-IE"/>
          <w14:ligatures w14:val="none"/>
        </w:rPr>
        <w:t xml:space="preserve">: </w:t>
      </w:r>
      <w:r w:rsidR="002724C1">
        <w:rPr>
          <w:rFonts w:asciiTheme="majorHAnsi" w:hAnsiTheme="majorHAnsi"/>
          <w:sz w:val="22"/>
          <w:szCs w:val="22"/>
          <w:lang w:eastAsia="en-IE"/>
          <w14:ligatures w14:val="none"/>
        </w:rPr>
        <w:t>Certain</w:t>
      </w:r>
      <w:r w:rsidR="002724C1" w:rsidRPr="000214C8">
        <w:rPr>
          <w:rFonts w:asciiTheme="majorHAnsi" w:hAnsiTheme="majorHAnsi"/>
          <w:sz w:val="22"/>
          <w:szCs w:val="22"/>
          <w:lang w:eastAsia="en-IE"/>
          <w14:ligatures w14:val="none"/>
        </w:rPr>
        <w:t xml:space="preserve"> </w:t>
      </w:r>
      <w:r w:rsidR="002724C1" w:rsidRPr="005B65E8">
        <w:rPr>
          <w:rFonts w:asciiTheme="majorHAnsi" w:hAnsiTheme="majorHAnsi"/>
          <w:sz w:val="22"/>
          <w:szCs w:val="22"/>
          <w:lang w:val="en-US" w:eastAsia="en-IE"/>
          <w14:ligatures w14:val="none"/>
        </w:rPr>
        <w:t>EU legislation</w:t>
      </w:r>
      <w:r w:rsidR="006E51B4">
        <w:rPr>
          <w:rFonts w:asciiTheme="majorHAnsi" w:hAnsiTheme="majorHAnsi"/>
          <w:sz w:val="22"/>
          <w:szCs w:val="22"/>
          <w:lang w:val="en-US" w:eastAsia="en-IE"/>
          <w14:ligatures w14:val="none"/>
        </w:rPr>
        <w:t>s</w:t>
      </w:r>
      <w:r w:rsidR="002724C1" w:rsidRPr="005B65E8">
        <w:rPr>
          <w:rFonts w:asciiTheme="majorHAnsi" w:hAnsiTheme="majorHAnsi"/>
          <w:sz w:val="22"/>
          <w:szCs w:val="22"/>
          <w:lang w:val="en-US" w:eastAsia="en-IE"/>
          <w14:ligatures w14:val="none"/>
        </w:rPr>
        <w:t xml:space="preserve"> (including the </w:t>
      </w:r>
      <w:r w:rsidR="002724C1">
        <w:rPr>
          <w:rFonts w:asciiTheme="majorHAnsi" w:hAnsiTheme="majorHAnsi"/>
          <w:sz w:val="22"/>
          <w:szCs w:val="22"/>
          <w:lang w:val="en-US" w:eastAsia="en-IE"/>
          <w14:ligatures w14:val="none"/>
        </w:rPr>
        <w:t xml:space="preserve">DSA, </w:t>
      </w:r>
      <w:r w:rsidR="002724C1" w:rsidRPr="005B65E8">
        <w:rPr>
          <w:rFonts w:asciiTheme="majorHAnsi" w:hAnsiTheme="majorHAnsi"/>
          <w:sz w:val="22"/>
          <w:szCs w:val="22"/>
          <w:lang w:val="en-US" w:eastAsia="en-IE"/>
          <w14:ligatures w14:val="none"/>
        </w:rPr>
        <w:t xml:space="preserve">AVMSD, EMFA and TTPA) and </w:t>
      </w:r>
      <w:r w:rsidR="006E51B4">
        <w:rPr>
          <w:rFonts w:asciiTheme="majorHAnsi" w:hAnsiTheme="majorHAnsi"/>
          <w:sz w:val="22"/>
          <w:szCs w:val="22"/>
          <w:lang w:val="en-US" w:eastAsia="en-IE"/>
          <w14:ligatures w14:val="none"/>
        </w:rPr>
        <w:t>their</w:t>
      </w:r>
      <w:r w:rsidR="002724C1" w:rsidRPr="005B65E8">
        <w:rPr>
          <w:rFonts w:asciiTheme="majorHAnsi" w:hAnsiTheme="majorHAnsi"/>
          <w:sz w:val="22"/>
          <w:szCs w:val="22"/>
          <w:lang w:val="en-US" w:eastAsia="en-IE"/>
          <w14:ligatures w14:val="none"/>
        </w:rPr>
        <w:t xml:space="preserve"> implementing</w:t>
      </w:r>
      <w:r w:rsidR="002724C1" w:rsidRPr="000F7C48">
        <w:rPr>
          <w:rFonts w:asciiTheme="majorHAnsi" w:hAnsiTheme="majorHAnsi"/>
          <w:sz w:val="22"/>
          <w:lang w:val="en-US"/>
          <w14:ligatures w14:val="none"/>
        </w:rPr>
        <w:t xml:space="preserve"> rules </w:t>
      </w:r>
      <w:r w:rsidR="002724C1">
        <w:rPr>
          <w:rFonts w:asciiTheme="majorHAnsi" w:hAnsiTheme="majorHAnsi"/>
          <w:sz w:val="22"/>
          <w:szCs w:val="22"/>
          <w:lang w:eastAsia="en-IE"/>
          <w14:ligatures w14:val="none"/>
        </w:rPr>
        <w:t>on the provision of services</w:t>
      </w:r>
      <w:r w:rsidR="002724C1" w:rsidRPr="000214C8">
        <w:rPr>
          <w:rFonts w:asciiTheme="majorHAnsi" w:hAnsiTheme="majorHAnsi"/>
          <w:sz w:val="22"/>
          <w:szCs w:val="22"/>
          <w:lang w:eastAsia="en-IE"/>
          <w14:ligatures w14:val="none"/>
        </w:rPr>
        <w:t xml:space="preserve"> focus on protecting minors/harmful content</w:t>
      </w:r>
      <w:r w:rsidR="002724C1">
        <w:rPr>
          <w:rFonts w:asciiTheme="majorHAnsi" w:hAnsiTheme="majorHAnsi"/>
          <w:sz w:val="22"/>
          <w:szCs w:val="22"/>
          <w:lang w:eastAsia="en-IE"/>
          <w14:ligatures w14:val="none"/>
        </w:rPr>
        <w:t xml:space="preserve"> </w:t>
      </w:r>
      <w:r w:rsidR="002724C1" w:rsidRPr="005B65E8">
        <w:rPr>
          <w:rFonts w:asciiTheme="majorHAnsi" w:hAnsiTheme="majorHAnsi"/>
          <w:sz w:val="22"/>
          <w:szCs w:val="22"/>
          <w:lang w:val="en-US" w:eastAsia="en-IE"/>
          <w14:ligatures w14:val="none"/>
        </w:rPr>
        <w:t xml:space="preserve">through </w:t>
      </w:r>
      <w:proofErr w:type="gramStart"/>
      <w:r w:rsidR="002724C1" w:rsidRPr="005B65E8">
        <w:rPr>
          <w:rFonts w:asciiTheme="majorHAnsi" w:hAnsiTheme="majorHAnsi"/>
          <w:sz w:val="22"/>
          <w:szCs w:val="22"/>
          <w:lang w:val="en-US" w:eastAsia="en-IE"/>
          <w14:ligatures w14:val="none"/>
        </w:rPr>
        <w:t>a number of</w:t>
      </w:r>
      <w:proofErr w:type="gramEnd"/>
      <w:r w:rsidR="002724C1" w:rsidRPr="005B65E8">
        <w:rPr>
          <w:rFonts w:asciiTheme="majorHAnsi" w:hAnsiTheme="majorHAnsi"/>
          <w:sz w:val="22"/>
          <w:szCs w:val="22"/>
          <w:lang w:val="en-US" w:eastAsia="en-IE"/>
          <w14:ligatures w14:val="none"/>
        </w:rPr>
        <w:t xml:space="preserve"> specific regulatory tools</w:t>
      </w:r>
      <w:r w:rsidR="002724C1">
        <w:rPr>
          <w:rFonts w:asciiTheme="majorHAnsi" w:hAnsiTheme="majorHAnsi"/>
          <w:sz w:val="22"/>
          <w:szCs w:val="22"/>
          <w:lang w:val="en-US" w:eastAsia="en-IE"/>
          <w14:ligatures w14:val="none"/>
        </w:rPr>
        <w:t xml:space="preserve"> </w:t>
      </w:r>
      <w:r w:rsidR="002724C1" w:rsidRPr="000214C8">
        <w:rPr>
          <w:rFonts w:asciiTheme="majorHAnsi" w:hAnsiTheme="majorHAnsi"/>
          <w:sz w:val="22"/>
          <w:szCs w:val="22"/>
          <w:lang w:eastAsia="en-IE"/>
          <w14:ligatures w14:val="none"/>
        </w:rPr>
        <w:t>(e.g., deepfake labelling)</w:t>
      </w:r>
      <w:r w:rsidR="002724C1">
        <w:rPr>
          <w:rFonts w:asciiTheme="majorHAnsi" w:hAnsiTheme="majorHAnsi"/>
          <w:sz w:val="22"/>
          <w:szCs w:val="22"/>
          <w:lang w:eastAsia="en-IE"/>
          <w14:ligatures w14:val="none"/>
        </w:rPr>
        <w:t>.</w:t>
      </w:r>
      <w:r>
        <w:rPr>
          <w:rFonts w:asciiTheme="majorHAnsi" w:hAnsiTheme="majorHAnsi"/>
          <w:sz w:val="22"/>
          <w:szCs w:val="22"/>
          <w:lang w:eastAsia="en-IE"/>
          <w14:ligatures w14:val="none"/>
        </w:rPr>
        <w:t xml:space="preserve"> These rules</w:t>
      </w:r>
      <w:r w:rsidR="00CC4836" w:rsidRPr="000214C8">
        <w:rPr>
          <w:rFonts w:asciiTheme="majorHAnsi" w:hAnsiTheme="majorHAnsi"/>
          <w:sz w:val="22"/>
          <w:szCs w:val="22"/>
          <w:lang w:eastAsia="en-IE"/>
          <w14:ligatures w14:val="none"/>
        </w:rPr>
        <w:t xml:space="preserve"> </w:t>
      </w:r>
      <w:r w:rsidR="001D2969">
        <w:rPr>
          <w:rFonts w:asciiTheme="majorHAnsi" w:hAnsiTheme="majorHAnsi"/>
          <w:sz w:val="22"/>
          <w:szCs w:val="22"/>
          <w:lang w:eastAsia="en-IE"/>
          <w14:ligatures w14:val="none"/>
        </w:rPr>
        <w:t>may</w:t>
      </w:r>
      <w:r w:rsidR="001D2969" w:rsidRPr="000214C8">
        <w:rPr>
          <w:rFonts w:asciiTheme="majorHAnsi" w:hAnsiTheme="majorHAnsi"/>
          <w:sz w:val="22"/>
          <w:szCs w:val="22"/>
          <w:lang w:eastAsia="en-IE"/>
          <w14:ligatures w14:val="none"/>
        </w:rPr>
        <w:t xml:space="preserve"> </w:t>
      </w:r>
      <w:r w:rsidR="00387303">
        <w:rPr>
          <w:rFonts w:asciiTheme="majorHAnsi" w:hAnsiTheme="majorHAnsi"/>
          <w:sz w:val="22"/>
          <w:szCs w:val="22"/>
          <w:lang w:eastAsia="en-IE"/>
          <w14:ligatures w14:val="none"/>
        </w:rPr>
        <w:t>intersect</w:t>
      </w:r>
      <w:r w:rsidR="005978BF" w:rsidRPr="000214C8">
        <w:rPr>
          <w:rFonts w:asciiTheme="majorHAnsi" w:hAnsiTheme="majorHAnsi"/>
          <w:sz w:val="22"/>
          <w:szCs w:val="22"/>
          <w:lang w:eastAsia="en-IE"/>
          <w14:ligatures w14:val="none"/>
        </w:rPr>
        <w:t xml:space="preserve"> with the</w:t>
      </w:r>
      <w:r w:rsidR="00CC4836" w:rsidRPr="000214C8">
        <w:rPr>
          <w:rFonts w:asciiTheme="majorHAnsi" w:hAnsiTheme="majorHAnsi"/>
          <w:sz w:val="22"/>
          <w:szCs w:val="22"/>
          <w:lang w:eastAsia="en-IE"/>
          <w14:ligatures w14:val="none"/>
        </w:rPr>
        <w:t xml:space="preserve"> DMA’s transparency requirements </w:t>
      </w:r>
      <w:r w:rsidR="00387303">
        <w:rPr>
          <w:rFonts w:asciiTheme="majorHAnsi" w:hAnsiTheme="majorHAnsi"/>
          <w:sz w:val="22"/>
          <w:szCs w:val="22"/>
          <w:lang w:eastAsia="en-IE"/>
          <w14:ligatures w14:val="none"/>
        </w:rPr>
        <w:t xml:space="preserve">and </w:t>
      </w:r>
      <w:r w:rsidR="00BB662A">
        <w:rPr>
          <w:rFonts w:asciiTheme="majorHAnsi" w:hAnsiTheme="majorHAnsi"/>
          <w:sz w:val="22"/>
          <w:szCs w:val="22"/>
          <w:lang w:eastAsia="en-IE"/>
          <w14:ligatures w14:val="none"/>
        </w:rPr>
        <w:t xml:space="preserve">the </w:t>
      </w:r>
      <w:r w:rsidR="00387303">
        <w:rPr>
          <w:rFonts w:asciiTheme="majorHAnsi" w:hAnsiTheme="majorHAnsi"/>
          <w:sz w:val="22"/>
          <w:szCs w:val="22"/>
          <w:lang w:eastAsia="en-IE"/>
          <w14:ligatures w14:val="none"/>
        </w:rPr>
        <w:t xml:space="preserve">self-preferencing prohibition </w:t>
      </w:r>
      <w:r w:rsidR="00CC4836" w:rsidRPr="000214C8">
        <w:rPr>
          <w:rFonts w:asciiTheme="majorHAnsi" w:hAnsiTheme="majorHAnsi"/>
          <w:sz w:val="22"/>
          <w:szCs w:val="22"/>
          <w:lang w:eastAsia="en-IE"/>
          <w14:ligatures w14:val="none"/>
        </w:rPr>
        <w:t>for gatekeeper</w:t>
      </w:r>
      <w:r w:rsidR="00645DE4">
        <w:rPr>
          <w:rFonts w:asciiTheme="majorHAnsi" w:hAnsiTheme="majorHAnsi"/>
          <w:sz w:val="22"/>
          <w:szCs w:val="22"/>
          <w:lang w:eastAsia="en-IE"/>
          <w14:ligatures w14:val="none"/>
        </w:rPr>
        <w:t>s</w:t>
      </w:r>
      <w:r w:rsidR="00CC4836" w:rsidRPr="000214C8">
        <w:rPr>
          <w:rFonts w:asciiTheme="majorHAnsi" w:hAnsiTheme="majorHAnsi"/>
          <w:sz w:val="22"/>
          <w:szCs w:val="22"/>
          <w:lang w:eastAsia="en-IE"/>
          <w14:ligatures w14:val="none"/>
        </w:rPr>
        <w:t xml:space="preserve"> </w:t>
      </w:r>
      <w:r w:rsidR="00695985">
        <w:rPr>
          <w:rFonts w:asciiTheme="majorHAnsi" w:hAnsiTheme="majorHAnsi"/>
          <w:sz w:val="22"/>
          <w:szCs w:val="22"/>
          <w:lang w:eastAsia="en-IE"/>
          <w14:ligatures w14:val="none"/>
        </w:rPr>
        <w:t>(</w:t>
      </w:r>
      <w:r w:rsidR="003C2DFE">
        <w:rPr>
          <w:rFonts w:asciiTheme="majorHAnsi" w:hAnsiTheme="majorHAnsi"/>
          <w:sz w:val="22"/>
          <w:szCs w:val="22"/>
          <w:lang w:eastAsia="en-IE"/>
          <w14:ligatures w14:val="none"/>
        </w:rPr>
        <w:t>A</w:t>
      </w:r>
      <w:r w:rsidR="00E217BC">
        <w:rPr>
          <w:rFonts w:asciiTheme="majorHAnsi" w:hAnsiTheme="majorHAnsi"/>
          <w:sz w:val="22"/>
          <w:szCs w:val="22"/>
          <w:lang w:eastAsia="en-IE"/>
          <w14:ligatures w14:val="none"/>
        </w:rPr>
        <w:t>rt</w:t>
      </w:r>
      <w:r w:rsidR="00BB662A">
        <w:rPr>
          <w:rFonts w:asciiTheme="majorHAnsi" w:hAnsiTheme="majorHAnsi"/>
          <w:sz w:val="22"/>
          <w:szCs w:val="22"/>
          <w:lang w:eastAsia="en-IE"/>
          <w14:ligatures w14:val="none"/>
        </w:rPr>
        <w:t>icles</w:t>
      </w:r>
      <w:r w:rsidR="003C2DFE">
        <w:rPr>
          <w:rFonts w:asciiTheme="majorHAnsi" w:hAnsiTheme="majorHAnsi"/>
          <w:sz w:val="22"/>
          <w:szCs w:val="22"/>
          <w:lang w:eastAsia="en-IE"/>
          <w14:ligatures w14:val="none"/>
        </w:rPr>
        <w:t>.</w:t>
      </w:r>
      <w:r w:rsidR="00E217BC">
        <w:rPr>
          <w:rFonts w:asciiTheme="majorHAnsi" w:hAnsiTheme="majorHAnsi"/>
          <w:sz w:val="22"/>
          <w:szCs w:val="22"/>
          <w:lang w:eastAsia="en-IE"/>
          <w14:ligatures w14:val="none"/>
        </w:rPr>
        <w:t xml:space="preserve"> 5(9), 5(10), 6(11</w:t>
      </w:r>
      <w:r w:rsidR="004F7C22">
        <w:rPr>
          <w:rFonts w:asciiTheme="majorHAnsi" w:hAnsiTheme="majorHAnsi"/>
          <w:sz w:val="22"/>
          <w:szCs w:val="22"/>
          <w:lang w:eastAsia="en-IE"/>
          <w14:ligatures w14:val="none"/>
        </w:rPr>
        <w:t>) and 6(5)</w:t>
      </w:r>
      <w:r w:rsidR="00BB662A">
        <w:rPr>
          <w:rFonts w:asciiTheme="majorHAnsi" w:hAnsiTheme="majorHAnsi"/>
          <w:sz w:val="22"/>
          <w:szCs w:val="22"/>
          <w:lang w:eastAsia="en-IE"/>
          <w14:ligatures w14:val="none"/>
        </w:rPr>
        <w:t xml:space="preserve"> DMA</w:t>
      </w:r>
      <w:r w:rsidR="00695985">
        <w:rPr>
          <w:rFonts w:asciiTheme="majorHAnsi" w:hAnsiTheme="majorHAnsi"/>
          <w:sz w:val="22"/>
          <w:szCs w:val="22"/>
          <w:lang w:eastAsia="en-IE"/>
          <w14:ligatures w14:val="none"/>
        </w:rPr>
        <w:t>)</w:t>
      </w:r>
      <w:r w:rsidR="00D5766A" w:rsidRPr="000214C8">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 xml:space="preserve">the </w:t>
      </w:r>
      <w:r w:rsidR="00D5766A" w:rsidRPr="000214C8">
        <w:rPr>
          <w:rFonts w:asciiTheme="majorHAnsi" w:hAnsiTheme="majorHAnsi"/>
          <w:sz w:val="22"/>
          <w:szCs w:val="22"/>
          <w:lang w:eastAsia="en-IE"/>
          <w14:ligatures w14:val="none"/>
        </w:rPr>
        <w:t>AI Act’s prohibitions on manipulative practices</w:t>
      </w:r>
      <w:r w:rsidR="001D2969">
        <w:rPr>
          <w:rFonts w:asciiTheme="majorHAnsi" w:hAnsiTheme="majorHAnsi"/>
          <w:sz w:val="22"/>
          <w:szCs w:val="22"/>
          <w:lang w:eastAsia="en-IE"/>
          <w14:ligatures w14:val="none"/>
        </w:rPr>
        <w:t>,</w:t>
      </w:r>
      <w:r w:rsidR="006E51B4" w:rsidRPr="000F7C48">
        <w:rPr>
          <w:rFonts w:asciiTheme="majorHAnsi" w:hAnsiTheme="majorHAnsi"/>
          <w:sz w:val="22"/>
          <w14:ligatures w14:val="none"/>
        </w:rPr>
        <w:t xml:space="preserve"> </w:t>
      </w:r>
      <w:r w:rsidR="005978BF" w:rsidRPr="000214C8">
        <w:rPr>
          <w:rFonts w:asciiTheme="majorHAnsi" w:hAnsiTheme="majorHAnsi"/>
          <w:sz w:val="22"/>
          <w:szCs w:val="22"/>
          <w:lang w:eastAsia="en-IE"/>
          <w14:ligatures w14:val="none"/>
        </w:rPr>
        <w:t xml:space="preserve">the </w:t>
      </w:r>
      <w:r w:rsidR="00D5766A" w:rsidRPr="000214C8">
        <w:rPr>
          <w:rFonts w:asciiTheme="majorHAnsi" w:hAnsiTheme="majorHAnsi"/>
          <w:sz w:val="22"/>
          <w:szCs w:val="22"/>
          <w:lang w:eastAsia="en-IE"/>
          <w14:ligatures w14:val="none"/>
        </w:rPr>
        <w:t xml:space="preserve">DSA’s systemic risk mitigation for </w:t>
      </w:r>
      <w:r w:rsidR="00645DE4">
        <w:rPr>
          <w:rFonts w:asciiTheme="majorHAnsi" w:hAnsiTheme="majorHAnsi"/>
          <w:sz w:val="22"/>
          <w:szCs w:val="22"/>
          <w:lang w:eastAsia="en-IE"/>
          <w14:ligatures w14:val="none"/>
        </w:rPr>
        <w:t>very large online platforms (‘</w:t>
      </w:r>
      <w:r w:rsidR="00D5766A" w:rsidRPr="000214C8">
        <w:rPr>
          <w:rFonts w:asciiTheme="majorHAnsi" w:hAnsiTheme="majorHAnsi"/>
          <w:sz w:val="22"/>
          <w:szCs w:val="22"/>
          <w:lang w:eastAsia="en-IE"/>
          <w14:ligatures w14:val="none"/>
        </w:rPr>
        <w:t>VLOPs</w:t>
      </w:r>
      <w:r w:rsidR="00645DE4">
        <w:rPr>
          <w:rFonts w:asciiTheme="majorHAnsi" w:hAnsiTheme="majorHAnsi"/>
          <w:sz w:val="22"/>
          <w:szCs w:val="22"/>
          <w:lang w:eastAsia="en-IE"/>
          <w14:ligatures w14:val="none"/>
        </w:rPr>
        <w:t>’)</w:t>
      </w:r>
      <w:r w:rsidR="001D2969" w:rsidRPr="001D2969">
        <w:rPr>
          <w:rFonts w:asciiTheme="majorHAnsi" w:hAnsiTheme="majorHAnsi"/>
          <w:sz w:val="22"/>
          <w:szCs w:val="22"/>
          <w:lang w:eastAsia="en-IE"/>
          <w14:ligatures w14:val="none"/>
        </w:rPr>
        <w:t xml:space="preserve"> </w:t>
      </w:r>
      <w:r w:rsidR="001D2969">
        <w:rPr>
          <w:rFonts w:asciiTheme="majorHAnsi" w:hAnsiTheme="majorHAnsi"/>
          <w:sz w:val="22"/>
          <w:szCs w:val="22"/>
          <w:lang w:eastAsia="en-IE"/>
          <w14:ligatures w14:val="none"/>
        </w:rPr>
        <w:t xml:space="preserve">and UCPD where </w:t>
      </w:r>
      <w:r w:rsidR="001D2969" w:rsidRPr="00315A3E">
        <w:rPr>
          <w:rFonts w:asciiTheme="majorHAnsi" w:hAnsiTheme="majorHAnsi"/>
          <w:sz w:val="22"/>
          <w:szCs w:val="22"/>
          <w:lang w:eastAsia="en-IE"/>
          <w14:ligatures w14:val="none"/>
        </w:rPr>
        <w:t>commercial practices are harmful for children</w:t>
      </w:r>
      <w:r w:rsidR="001D2969">
        <w:rPr>
          <w:rFonts w:asciiTheme="majorHAnsi" w:hAnsiTheme="majorHAnsi"/>
          <w:sz w:val="22"/>
          <w:szCs w:val="22"/>
          <w:lang w:eastAsia="en-IE"/>
          <w14:ligatures w14:val="none"/>
        </w:rPr>
        <w:t xml:space="preserve"> (Articles</w:t>
      </w:r>
      <w:r w:rsidR="001D2969" w:rsidRPr="00315A3E">
        <w:rPr>
          <w:rFonts w:asciiTheme="majorHAnsi" w:hAnsiTheme="majorHAnsi"/>
          <w:sz w:val="22"/>
          <w:szCs w:val="22"/>
          <w:lang w:eastAsia="en-IE"/>
          <w14:ligatures w14:val="none"/>
        </w:rPr>
        <w:t xml:space="preserve"> 5, 6, 7</w:t>
      </w:r>
      <w:r w:rsidR="001D2969">
        <w:rPr>
          <w:rFonts w:asciiTheme="majorHAnsi" w:hAnsiTheme="majorHAnsi"/>
          <w:sz w:val="22"/>
          <w:szCs w:val="22"/>
          <w:lang w:eastAsia="en-IE"/>
          <w14:ligatures w14:val="none"/>
        </w:rPr>
        <w:t xml:space="preserve"> UCPD)</w:t>
      </w:r>
      <w:r w:rsidR="00D5766A" w:rsidRPr="000214C8">
        <w:rPr>
          <w:rFonts w:asciiTheme="majorHAnsi" w:hAnsiTheme="majorHAnsi"/>
          <w:sz w:val="22"/>
          <w:szCs w:val="22"/>
          <w:lang w:eastAsia="en-IE"/>
          <w14:ligatures w14:val="none"/>
        </w:rPr>
        <w:t>.</w:t>
      </w:r>
    </w:p>
    <w:p w14:paraId="18387EB1" w14:textId="77777777" w:rsidR="0067693C" w:rsidRDefault="0067693C" w:rsidP="0084506A">
      <w:pPr>
        <w:spacing w:after="240" w:line="240" w:lineRule="auto"/>
        <w:ind w:left="1134"/>
        <w:contextualSpacing/>
        <w:jc w:val="both"/>
        <w:rPr>
          <w:rFonts w:asciiTheme="majorHAnsi" w:hAnsiTheme="majorHAnsi"/>
          <w:sz w:val="22"/>
          <w:szCs w:val="22"/>
          <w:lang w:eastAsia="en-IE"/>
          <w14:ligatures w14:val="none"/>
        </w:rPr>
      </w:pPr>
    </w:p>
    <w:p w14:paraId="3755478F" w14:textId="1AE1ECEA" w:rsidR="00D177E0" w:rsidRPr="006962B0" w:rsidRDefault="00E86B45" w:rsidP="006962B0">
      <w:pPr>
        <w:numPr>
          <w:ilvl w:val="0"/>
          <w:numId w:val="53"/>
        </w:numPr>
        <w:spacing w:after="240" w:line="240" w:lineRule="auto"/>
        <w:ind w:left="1134"/>
        <w:contextualSpacing/>
        <w:jc w:val="both"/>
        <w:rPr>
          <w:rFonts w:asciiTheme="majorHAnsi" w:hAnsiTheme="majorHAnsi"/>
          <w:sz w:val="22"/>
          <w:szCs w:val="22"/>
          <w:lang w:eastAsia="en-IE"/>
          <w14:ligatures w14:val="none"/>
        </w:rPr>
      </w:pPr>
      <w:r w:rsidRPr="00F717E6">
        <w:rPr>
          <w:rFonts w:asciiTheme="majorHAnsi" w:hAnsiTheme="majorHAnsi"/>
          <w:i/>
          <w:sz w:val="22"/>
          <w:szCs w:val="22"/>
          <w:lang w:eastAsia="en-IE"/>
          <w14:ligatures w14:val="none"/>
        </w:rPr>
        <w:t>Algorithm</w:t>
      </w:r>
      <w:r w:rsidR="004966FD" w:rsidRPr="00F717E6">
        <w:rPr>
          <w:rFonts w:asciiTheme="majorHAnsi" w:hAnsiTheme="majorHAnsi"/>
          <w:i/>
          <w:sz w:val="22"/>
          <w:szCs w:val="22"/>
          <w:lang w:eastAsia="en-IE"/>
          <w14:ligatures w14:val="none"/>
        </w:rPr>
        <w:t>ic</w:t>
      </w:r>
      <w:r w:rsidRPr="00F717E6">
        <w:rPr>
          <w:rFonts w:asciiTheme="majorHAnsi" w:hAnsiTheme="majorHAnsi"/>
          <w:i/>
          <w:sz w:val="22"/>
          <w:szCs w:val="22"/>
          <w:lang w:eastAsia="en-IE"/>
          <w14:ligatures w14:val="none"/>
        </w:rPr>
        <w:t xml:space="preserve"> explainability: </w:t>
      </w:r>
      <w:r w:rsidRPr="00F717E6">
        <w:rPr>
          <w:rFonts w:asciiTheme="majorHAnsi" w:hAnsiTheme="majorHAnsi"/>
          <w:iCs/>
          <w:sz w:val="22"/>
          <w:szCs w:val="22"/>
          <w:lang w:eastAsia="en-IE"/>
          <w14:ligatures w14:val="none"/>
        </w:rPr>
        <w:t>the GDPR makes explicitly reference to the rights of individuals to explanation in the context of automated individual decision-making, including profiling (Articles 15 and 22 GDPR), which might operate complementarily to the right to an explanation of individual decision-making provided under Article 86 of the AI Act</w:t>
      </w:r>
      <w:r w:rsidR="004966FD" w:rsidRPr="00F717E6">
        <w:rPr>
          <w:rFonts w:asciiTheme="majorHAnsi" w:hAnsiTheme="majorHAnsi"/>
          <w:iCs/>
          <w:sz w:val="22"/>
          <w:szCs w:val="22"/>
          <w:lang w:eastAsia="en-IE"/>
          <w14:ligatures w14:val="none"/>
        </w:rPr>
        <w:t xml:space="preserve"> </w:t>
      </w:r>
      <w:r w:rsidR="004966FD" w:rsidRPr="00F717E6">
        <w:rPr>
          <w:rFonts w:asciiTheme="majorHAnsi" w:hAnsiTheme="majorHAnsi"/>
          <w:sz w:val="22"/>
          <w:szCs w:val="22"/>
        </w:rPr>
        <w:t xml:space="preserve">and to the entitlement of recipients of online platform services to </w:t>
      </w:r>
      <w:r w:rsidR="00E657D7" w:rsidRPr="00F717E6">
        <w:rPr>
          <w:rFonts w:asciiTheme="majorHAnsi" w:hAnsiTheme="majorHAnsi"/>
          <w:sz w:val="22"/>
          <w:szCs w:val="22"/>
        </w:rPr>
        <w:t xml:space="preserve">know and/or </w:t>
      </w:r>
      <w:r w:rsidR="004966FD" w:rsidRPr="00F717E6">
        <w:rPr>
          <w:rFonts w:asciiTheme="majorHAnsi" w:hAnsiTheme="majorHAnsi"/>
          <w:sz w:val="22"/>
          <w:szCs w:val="22"/>
        </w:rPr>
        <w:t>modify the parameters of recommender systems, in line with the transparency obligations concerning the main parameters used, as established in Article 27 D</w:t>
      </w:r>
      <w:r w:rsidR="00F717E6" w:rsidRPr="00F717E6">
        <w:rPr>
          <w:rFonts w:asciiTheme="majorHAnsi" w:hAnsiTheme="majorHAnsi"/>
          <w:sz w:val="22"/>
          <w:szCs w:val="22"/>
        </w:rPr>
        <w:t>SA</w:t>
      </w:r>
      <w:r w:rsidRPr="00F717E6">
        <w:rPr>
          <w:rFonts w:asciiTheme="majorHAnsi" w:hAnsiTheme="majorHAnsi"/>
          <w:iCs/>
          <w:sz w:val="22"/>
          <w:szCs w:val="22"/>
          <w:lang w:eastAsia="en-IE"/>
          <w14:ligatures w14:val="none"/>
        </w:rPr>
        <w:t>.</w:t>
      </w:r>
    </w:p>
    <w:p w14:paraId="4FD97EE6" w14:textId="77777777" w:rsidR="006962B0" w:rsidRDefault="006962B0" w:rsidP="006962B0">
      <w:pPr>
        <w:pStyle w:val="ListParagraph"/>
        <w:rPr>
          <w:rFonts w:asciiTheme="majorHAnsi" w:hAnsiTheme="majorHAnsi"/>
          <w:sz w:val="22"/>
          <w:szCs w:val="22"/>
          <w:lang w:eastAsia="en-IE"/>
          <w14:ligatures w14:val="none"/>
        </w:rPr>
      </w:pPr>
    </w:p>
    <w:p w14:paraId="6AB161C6" w14:textId="6BA355C8" w:rsidR="00D177E0" w:rsidRDefault="00CC4836" w:rsidP="00D177E0">
      <w:pPr>
        <w:numPr>
          <w:ilvl w:val="0"/>
          <w:numId w:val="53"/>
        </w:numPr>
        <w:spacing w:after="240" w:line="240" w:lineRule="auto"/>
        <w:ind w:left="1134"/>
        <w:contextualSpacing/>
        <w:jc w:val="both"/>
        <w:rPr>
          <w:rFonts w:asciiTheme="majorHAnsi" w:hAnsiTheme="majorHAnsi"/>
          <w:sz w:val="22"/>
          <w:szCs w:val="22"/>
          <w:lang w:eastAsia="en-IE"/>
          <w14:ligatures w14:val="none"/>
        </w:rPr>
      </w:pPr>
      <w:r w:rsidRPr="000214C8">
        <w:rPr>
          <w:rFonts w:asciiTheme="majorHAnsi" w:hAnsiTheme="majorHAnsi"/>
          <w:i/>
          <w:sz w:val="22"/>
          <w:szCs w:val="22"/>
          <w:lang w:eastAsia="en-IE"/>
          <w14:ligatures w14:val="none"/>
        </w:rPr>
        <w:t>Advertising rules</w:t>
      </w:r>
      <w:r w:rsidRPr="000214C8">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 xml:space="preserve">By the same token, </w:t>
      </w:r>
      <w:r w:rsidR="00046199">
        <w:rPr>
          <w:rFonts w:asciiTheme="majorHAnsi" w:hAnsiTheme="majorHAnsi"/>
          <w:sz w:val="22"/>
          <w:szCs w:val="22"/>
          <w:lang w:eastAsia="en-IE"/>
          <w14:ligatures w14:val="none"/>
        </w:rPr>
        <w:t xml:space="preserve">there are touchpoints </w:t>
      </w:r>
      <w:r w:rsidR="005978BF" w:rsidRPr="000214C8">
        <w:rPr>
          <w:rFonts w:asciiTheme="majorHAnsi" w:hAnsiTheme="majorHAnsi"/>
          <w:sz w:val="22"/>
          <w:szCs w:val="22"/>
          <w:lang w:eastAsia="en-IE"/>
          <w14:ligatures w14:val="none"/>
        </w:rPr>
        <w:t xml:space="preserve">between the </w:t>
      </w:r>
      <w:r w:rsidRPr="000214C8">
        <w:rPr>
          <w:rFonts w:asciiTheme="majorHAnsi" w:hAnsiTheme="majorHAnsi"/>
          <w:sz w:val="22"/>
          <w:szCs w:val="22"/>
          <w:lang w:eastAsia="en-IE"/>
          <w14:ligatures w14:val="none"/>
        </w:rPr>
        <w:t>AVMSD’s restrictions on targeted ads for minors</w:t>
      </w:r>
      <w:r w:rsidR="00E86B45">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the</w:t>
      </w:r>
      <w:r w:rsidRPr="000214C8">
        <w:rPr>
          <w:rFonts w:asciiTheme="majorHAnsi" w:hAnsiTheme="majorHAnsi"/>
          <w:sz w:val="22"/>
          <w:szCs w:val="22"/>
          <w:lang w:eastAsia="en-IE"/>
          <w14:ligatures w14:val="none"/>
        </w:rPr>
        <w:t xml:space="preserve"> DMA’s obligations on ad transparency for gatekeepers</w:t>
      </w:r>
      <w:r w:rsidR="00E86B45">
        <w:rPr>
          <w:rFonts w:asciiTheme="majorHAnsi" w:hAnsiTheme="majorHAnsi"/>
          <w:sz w:val="22"/>
          <w:szCs w:val="22"/>
          <w:lang w:eastAsia="en-IE"/>
          <w14:ligatures w14:val="none"/>
        </w:rPr>
        <w:t xml:space="preserve"> and the DSA</w:t>
      </w:r>
      <w:r w:rsidR="00E86B45" w:rsidRPr="00E86B45">
        <w:rPr>
          <w:rFonts w:asciiTheme="majorHAnsi" w:hAnsiTheme="majorHAnsi"/>
          <w:sz w:val="22"/>
          <w:szCs w:val="22"/>
          <w:lang w:eastAsia="en-IE"/>
          <w14:ligatures w14:val="none"/>
        </w:rPr>
        <w:t xml:space="preserve"> </w:t>
      </w:r>
      <w:r w:rsidR="00E86B45">
        <w:rPr>
          <w:rFonts w:asciiTheme="majorHAnsi" w:hAnsiTheme="majorHAnsi"/>
          <w:sz w:val="22"/>
          <w:szCs w:val="22"/>
          <w:lang w:eastAsia="en-IE"/>
          <w14:ligatures w14:val="none"/>
        </w:rPr>
        <w:t xml:space="preserve">provisions relating to </w:t>
      </w:r>
      <w:r w:rsidR="00E86B45" w:rsidRPr="0072353A">
        <w:rPr>
          <w:rFonts w:asciiTheme="majorHAnsi" w:hAnsiTheme="majorHAnsi"/>
          <w:sz w:val="22"/>
          <w:szCs w:val="22"/>
          <w:lang w:eastAsia="en-IE"/>
          <w14:ligatures w14:val="none"/>
        </w:rPr>
        <w:t>recommender system transparency</w:t>
      </w:r>
      <w:r w:rsidR="00E86B45">
        <w:rPr>
          <w:rFonts w:asciiTheme="majorHAnsi" w:hAnsiTheme="majorHAnsi"/>
          <w:sz w:val="22"/>
          <w:szCs w:val="22"/>
          <w:lang w:eastAsia="en-IE"/>
          <w14:ligatures w14:val="none"/>
        </w:rPr>
        <w:t xml:space="preserve">, ban on </w:t>
      </w:r>
      <w:r w:rsidR="00E86B45" w:rsidRPr="0072353A">
        <w:rPr>
          <w:rFonts w:asciiTheme="majorHAnsi" w:hAnsiTheme="majorHAnsi"/>
          <w:sz w:val="22"/>
          <w:szCs w:val="22"/>
          <w:lang w:eastAsia="en-IE"/>
          <w14:ligatures w14:val="none"/>
        </w:rPr>
        <w:t>profiled advert</w:t>
      </w:r>
      <w:r w:rsidR="00E86B45">
        <w:rPr>
          <w:rFonts w:asciiTheme="majorHAnsi" w:hAnsiTheme="majorHAnsi"/>
          <w:sz w:val="22"/>
          <w:szCs w:val="22"/>
          <w:lang w:eastAsia="en-IE"/>
          <w14:ligatures w14:val="none"/>
        </w:rPr>
        <w:t>ising</w:t>
      </w:r>
      <w:r w:rsidR="00E86B45" w:rsidRPr="0072353A">
        <w:rPr>
          <w:rFonts w:asciiTheme="majorHAnsi" w:hAnsiTheme="majorHAnsi"/>
          <w:sz w:val="22"/>
          <w:szCs w:val="22"/>
          <w:lang w:eastAsia="en-IE"/>
          <w14:ligatures w14:val="none"/>
        </w:rPr>
        <w:t xml:space="preserve"> </w:t>
      </w:r>
      <w:r w:rsidR="00E86B45">
        <w:rPr>
          <w:rFonts w:asciiTheme="majorHAnsi" w:hAnsiTheme="majorHAnsi"/>
          <w:sz w:val="22"/>
          <w:szCs w:val="22"/>
          <w:lang w:eastAsia="en-IE"/>
          <w14:ligatures w14:val="none"/>
        </w:rPr>
        <w:t>relating to</w:t>
      </w:r>
      <w:r w:rsidR="00E86B45" w:rsidRPr="0072353A">
        <w:rPr>
          <w:rFonts w:asciiTheme="majorHAnsi" w:hAnsiTheme="majorHAnsi"/>
          <w:sz w:val="22"/>
          <w:szCs w:val="22"/>
          <w:lang w:eastAsia="en-IE"/>
          <w14:ligatures w14:val="none"/>
        </w:rPr>
        <w:t xml:space="preserve"> minors</w:t>
      </w:r>
      <w:r w:rsidR="00E86B45">
        <w:rPr>
          <w:rFonts w:asciiTheme="majorHAnsi" w:hAnsiTheme="majorHAnsi"/>
          <w:sz w:val="22"/>
          <w:szCs w:val="22"/>
          <w:lang w:eastAsia="en-IE"/>
          <w14:ligatures w14:val="none"/>
        </w:rPr>
        <w:t xml:space="preserve"> and </w:t>
      </w:r>
      <w:r w:rsidR="00E86B45" w:rsidRPr="0072353A">
        <w:rPr>
          <w:rFonts w:asciiTheme="majorHAnsi" w:hAnsiTheme="majorHAnsi"/>
          <w:sz w:val="22"/>
          <w:szCs w:val="22"/>
          <w:lang w:eastAsia="en-IE"/>
          <w14:ligatures w14:val="none"/>
        </w:rPr>
        <w:t>additional online advertising transparency</w:t>
      </w:r>
      <w:r w:rsidR="00D177E0">
        <w:rPr>
          <w:rFonts w:asciiTheme="majorHAnsi" w:hAnsiTheme="majorHAnsi"/>
          <w:sz w:val="22"/>
          <w:szCs w:val="22"/>
          <w:lang w:eastAsia="en-IE"/>
          <w14:ligatures w14:val="none"/>
        </w:rPr>
        <w:t>.</w:t>
      </w:r>
    </w:p>
    <w:p w14:paraId="69E312C8" w14:textId="77777777" w:rsidR="00D177E0" w:rsidRPr="00D177E0" w:rsidRDefault="00D177E0" w:rsidP="00D177E0">
      <w:pPr>
        <w:spacing w:after="240" w:line="240" w:lineRule="auto"/>
        <w:contextualSpacing/>
        <w:jc w:val="both"/>
        <w:rPr>
          <w:rFonts w:asciiTheme="majorHAnsi" w:hAnsiTheme="majorHAnsi"/>
          <w:sz w:val="22"/>
          <w:szCs w:val="22"/>
          <w:lang w:eastAsia="en-IE"/>
          <w14:ligatures w14:val="none"/>
        </w:rPr>
      </w:pPr>
    </w:p>
    <w:p w14:paraId="3275979B" w14:textId="4591A229" w:rsidR="00CC4836" w:rsidRPr="000214C8" w:rsidRDefault="00D5766A" w:rsidP="00D5766A">
      <w:pPr>
        <w:numPr>
          <w:ilvl w:val="0"/>
          <w:numId w:val="53"/>
        </w:numPr>
        <w:spacing w:after="240" w:line="240" w:lineRule="auto"/>
        <w:ind w:left="1134"/>
        <w:contextualSpacing/>
        <w:jc w:val="both"/>
        <w:rPr>
          <w:rFonts w:asciiTheme="majorHAnsi" w:hAnsiTheme="majorHAnsi"/>
          <w:lang w:eastAsia="en-IE"/>
          <w14:ligatures w14:val="none"/>
        </w:rPr>
      </w:pPr>
      <w:r w:rsidRPr="000214C8">
        <w:rPr>
          <w:rFonts w:asciiTheme="majorHAnsi" w:hAnsiTheme="majorHAnsi"/>
          <w:i/>
          <w:sz w:val="22"/>
          <w:szCs w:val="22"/>
          <w:lang w:eastAsia="en-IE"/>
          <w14:ligatures w14:val="none"/>
        </w:rPr>
        <w:t>Editorial independence</w:t>
      </w:r>
      <w:r w:rsidRPr="000214C8">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 xml:space="preserve">Finally, the </w:t>
      </w:r>
      <w:r w:rsidR="00777349">
        <w:rPr>
          <w:rFonts w:asciiTheme="majorHAnsi" w:hAnsiTheme="majorHAnsi"/>
          <w:sz w:val="22"/>
          <w:szCs w:val="22"/>
          <w:lang w:eastAsia="en-IE"/>
          <w14:ligatures w14:val="none"/>
        </w:rPr>
        <w:t>European Media Freedom Act (</w:t>
      </w:r>
      <w:r w:rsidR="00CC4836" w:rsidRPr="000214C8">
        <w:rPr>
          <w:rFonts w:asciiTheme="majorHAnsi" w:hAnsiTheme="majorHAnsi"/>
          <w:sz w:val="22"/>
          <w:szCs w:val="22"/>
          <w:lang w:eastAsia="en-IE"/>
          <w14:ligatures w14:val="none"/>
        </w:rPr>
        <w:t>EMFA</w:t>
      </w:r>
      <w:r w:rsidR="00777349">
        <w:rPr>
          <w:rFonts w:asciiTheme="majorHAnsi" w:hAnsiTheme="majorHAnsi"/>
          <w:sz w:val="22"/>
          <w:szCs w:val="22"/>
          <w:lang w:eastAsia="en-IE"/>
          <w14:ligatures w14:val="none"/>
        </w:rPr>
        <w:t>)</w:t>
      </w:r>
      <w:r w:rsidR="00CC4836" w:rsidRPr="000214C8">
        <w:rPr>
          <w:rFonts w:asciiTheme="majorHAnsi" w:hAnsiTheme="majorHAnsi"/>
          <w:sz w:val="22"/>
          <w:szCs w:val="22"/>
          <w:lang w:eastAsia="en-IE"/>
          <w14:ligatures w14:val="none"/>
        </w:rPr>
        <w:t xml:space="preserve">’s editorial independence provisions </w:t>
      </w:r>
      <w:r w:rsidR="008C3366">
        <w:rPr>
          <w:rFonts w:asciiTheme="majorHAnsi" w:hAnsiTheme="majorHAnsi"/>
          <w:sz w:val="22"/>
          <w:szCs w:val="22"/>
          <w:lang w:eastAsia="en-IE"/>
          <w14:ligatures w14:val="none"/>
        </w:rPr>
        <w:t>have</w:t>
      </w:r>
      <w:r w:rsidR="00046199">
        <w:rPr>
          <w:rFonts w:asciiTheme="majorHAnsi" w:hAnsiTheme="majorHAnsi"/>
          <w:sz w:val="22"/>
          <w:szCs w:val="22"/>
          <w:lang w:eastAsia="en-IE"/>
          <w14:ligatures w14:val="none"/>
        </w:rPr>
        <w:t xml:space="preserve"> an interplay</w:t>
      </w:r>
      <w:r w:rsidR="00B509B6">
        <w:rPr>
          <w:rFonts w:asciiTheme="majorHAnsi" w:hAnsiTheme="majorHAnsi"/>
          <w:sz w:val="22"/>
          <w:szCs w:val="22"/>
          <w:lang w:eastAsia="en-IE"/>
          <w14:ligatures w14:val="none"/>
        </w:rPr>
        <w:t xml:space="preserve"> </w:t>
      </w:r>
      <w:r w:rsidR="005978BF" w:rsidRPr="000214C8">
        <w:rPr>
          <w:rFonts w:asciiTheme="majorHAnsi" w:hAnsiTheme="majorHAnsi"/>
          <w:sz w:val="22"/>
          <w:szCs w:val="22"/>
          <w:lang w:eastAsia="en-IE"/>
          <w14:ligatures w14:val="none"/>
        </w:rPr>
        <w:t>with</w:t>
      </w:r>
      <w:r w:rsidR="00CC4836" w:rsidRPr="000214C8">
        <w:rPr>
          <w:rFonts w:asciiTheme="majorHAnsi" w:hAnsiTheme="majorHAnsi"/>
          <w:sz w:val="22"/>
          <w:szCs w:val="22"/>
          <w:lang w:eastAsia="en-IE"/>
          <w14:ligatures w14:val="none"/>
        </w:rPr>
        <w:t xml:space="preserve"> </w:t>
      </w:r>
      <w:r w:rsidR="00777349">
        <w:rPr>
          <w:rFonts w:asciiTheme="majorHAnsi" w:hAnsiTheme="majorHAnsi"/>
          <w:sz w:val="22"/>
          <w:szCs w:val="22"/>
          <w:lang w:eastAsia="en-IE"/>
          <w14:ligatures w14:val="none"/>
        </w:rPr>
        <w:t xml:space="preserve">the </w:t>
      </w:r>
      <w:r w:rsidR="00CC4836" w:rsidRPr="000214C8">
        <w:rPr>
          <w:rFonts w:asciiTheme="majorHAnsi" w:hAnsiTheme="majorHAnsi"/>
          <w:sz w:val="22"/>
          <w:szCs w:val="22"/>
          <w:lang w:eastAsia="en-IE"/>
          <w14:ligatures w14:val="none"/>
        </w:rPr>
        <w:t>AI Act’s transparency obligations for high-risk AI systems.</w:t>
      </w:r>
    </w:p>
    <w:p w14:paraId="68162625" w14:textId="77777777" w:rsidR="00B47EB0" w:rsidRPr="000214C8" w:rsidRDefault="00B47EB0" w:rsidP="009B30D5">
      <w:pPr>
        <w:spacing w:after="240" w:line="240" w:lineRule="auto"/>
        <w:ind w:left="1134"/>
        <w:contextualSpacing/>
        <w:jc w:val="both"/>
        <w:rPr>
          <w:rFonts w:asciiTheme="majorHAnsi" w:hAnsiTheme="majorHAnsi"/>
          <w:sz w:val="22"/>
          <w:szCs w:val="22"/>
          <w:lang w:eastAsia="en-IE"/>
          <w14:ligatures w14:val="none"/>
        </w:rPr>
      </w:pPr>
    </w:p>
    <w:p w14:paraId="7114BAF9" w14:textId="6DF158C3" w:rsidR="0052180A" w:rsidRPr="000214C8" w:rsidRDefault="0052180A" w:rsidP="00FE4365">
      <w:pPr>
        <w:numPr>
          <w:ilvl w:val="0"/>
          <w:numId w:val="36"/>
        </w:numPr>
        <w:spacing w:before="100" w:beforeAutospacing="1" w:after="240" w:line="240" w:lineRule="auto"/>
        <w:jc w:val="both"/>
        <w:rPr>
          <w:rFonts w:asciiTheme="majorHAnsi" w:hAnsiTheme="majorHAnsi"/>
          <w:sz w:val="22"/>
          <w:szCs w:val="22"/>
          <w:u w:val="single"/>
          <w:lang w:eastAsia="en-IE"/>
          <w14:ligatures w14:val="none"/>
        </w:rPr>
      </w:pPr>
      <w:r w:rsidRPr="000214C8">
        <w:rPr>
          <w:rFonts w:asciiTheme="majorHAnsi" w:hAnsiTheme="majorHAnsi"/>
          <w:sz w:val="22"/>
          <w:szCs w:val="22"/>
          <w:u w:val="single"/>
          <w:lang w:eastAsia="en-IE"/>
          <w14:ligatures w14:val="none"/>
        </w:rPr>
        <w:t xml:space="preserve">Regulatory </w:t>
      </w:r>
      <w:r w:rsidR="009B7437">
        <w:rPr>
          <w:rFonts w:asciiTheme="majorHAnsi" w:hAnsiTheme="majorHAnsi"/>
          <w:sz w:val="22"/>
          <w:szCs w:val="22"/>
          <w:u w:val="single"/>
          <w:lang w:eastAsia="en-IE"/>
          <w14:ligatures w14:val="none"/>
        </w:rPr>
        <w:t xml:space="preserve">interplay </w:t>
      </w:r>
      <w:r w:rsidRPr="000214C8">
        <w:rPr>
          <w:rFonts w:asciiTheme="majorHAnsi" w:hAnsiTheme="majorHAnsi"/>
          <w:sz w:val="22"/>
          <w:szCs w:val="22"/>
          <w:u w:val="single"/>
          <w:lang w:eastAsia="en-IE"/>
          <w14:ligatures w14:val="none"/>
        </w:rPr>
        <w:t>&amp; enforcement gaps</w:t>
      </w:r>
    </w:p>
    <w:p w14:paraId="2C638328" w14:textId="1A999252" w:rsidR="003E3D25" w:rsidRPr="000214C8" w:rsidRDefault="00C56151" w:rsidP="001457D9">
      <w:pPr>
        <w:spacing w:before="100" w:beforeAutospacing="1" w:after="240" w:line="240" w:lineRule="auto"/>
        <w:jc w:val="both"/>
        <w:rPr>
          <w:rFonts w:asciiTheme="majorHAnsi" w:hAnsiTheme="majorHAnsi"/>
          <w:sz w:val="22"/>
          <w:szCs w:val="22"/>
          <w:lang w:eastAsia="en-IE"/>
          <w14:ligatures w14:val="none"/>
        </w:rPr>
      </w:pPr>
      <w:r>
        <w:rPr>
          <w:rFonts w:asciiTheme="majorHAnsi" w:hAnsiTheme="majorHAnsi"/>
          <w:sz w:val="22"/>
          <w:szCs w:val="22"/>
          <w:lang w:eastAsia="en-IE"/>
          <w14:ligatures w14:val="none"/>
        </w:rPr>
        <w:t>As described in the previous section, t</w:t>
      </w:r>
      <w:r w:rsidR="003E3D25" w:rsidRPr="000214C8">
        <w:rPr>
          <w:rFonts w:asciiTheme="majorHAnsi" w:hAnsiTheme="majorHAnsi"/>
          <w:sz w:val="22"/>
          <w:szCs w:val="22"/>
          <w:lang w:eastAsia="en-IE"/>
          <w14:ligatures w14:val="none"/>
        </w:rPr>
        <w:t xml:space="preserve">he DMA </w:t>
      </w:r>
      <w:r w:rsidR="00BB662A">
        <w:rPr>
          <w:rFonts w:asciiTheme="majorHAnsi" w:hAnsiTheme="majorHAnsi"/>
          <w:sz w:val="22"/>
          <w:szCs w:val="22"/>
          <w:lang w:eastAsia="en-IE"/>
          <w14:ligatures w14:val="none"/>
        </w:rPr>
        <w:t xml:space="preserve">is </w:t>
      </w:r>
      <w:r w:rsidR="00645DE4">
        <w:rPr>
          <w:rFonts w:asciiTheme="majorHAnsi" w:hAnsiTheme="majorHAnsi"/>
          <w:sz w:val="22"/>
          <w:szCs w:val="22"/>
          <w:lang w:eastAsia="en-IE"/>
          <w14:ligatures w14:val="none"/>
        </w:rPr>
        <w:t xml:space="preserve">part of a larger </w:t>
      </w:r>
      <w:r w:rsidR="003E3D25" w:rsidRPr="000214C8">
        <w:rPr>
          <w:rFonts w:asciiTheme="majorHAnsi" w:hAnsiTheme="majorHAnsi"/>
          <w:sz w:val="22"/>
          <w:szCs w:val="22"/>
          <w:lang w:eastAsia="en-IE"/>
          <w14:ligatures w14:val="none"/>
        </w:rPr>
        <w:t>digital regulat</w:t>
      </w:r>
      <w:r w:rsidR="001D0560">
        <w:rPr>
          <w:rFonts w:asciiTheme="majorHAnsi" w:hAnsiTheme="majorHAnsi"/>
          <w:sz w:val="22"/>
          <w:szCs w:val="22"/>
          <w:lang w:eastAsia="en-IE"/>
          <w14:ligatures w14:val="none"/>
        </w:rPr>
        <w:t>ory</w:t>
      </w:r>
      <w:r w:rsidR="003E3D25" w:rsidRPr="000214C8">
        <w:rPr>
          <w:rFonts w:asciiTheme="majorHAnsi" w:hAnsiTheme="majorHAnsi"/>
          <w:sz w:val="22"/>
          <w:szCs w:val="22"/>
          <w:lang w:eastAsia="en-IE"/>
          <w14:ligatures w14:val="none"/>
        </w:rPr>
        <w:t xml:space="preserve"> </w:t>
      </w:r>
      <w:r w:rsidR="00645DE4">
        <w:rPr>
          <w:rFonts w:asciiTheme="majorHAnsi" w:hAnsiTheme="majorHAnsi"/>
          <w:sz w:val="22"/>
          <w:szCs w:val="22"/>
          <w:lang w:eastAsia="en-IE"/>
          <w14:ligatures w14:val="none"/>
        </w:rPr>
        <w:t>framework</w:t>
      </w:r>
      <w:r w:rsidR="00322DB3" w:rsidRPr="000214C8">
        <w:rPr>
          <w:rFonts w:asciiTheme="majorHAnsi" w:hAnsiTheme="majorHAnsi"/>
          <w:sz w:val="22"/>
          <w:szCs w:val="22"/>
          <w:lang w:eastAsia="en-IE"/>
          <w14:ligatures w14:val="none"/>
        </w:rPr>
        <w:t>. Given the di</w:t>
      </w:r>
      <w:r w:rsidR="0072494E">
        <w:rPr>
          <w:rFonts w:asciiTheme="majorHAnsi" w:hAnsiTheme="majorHAnsi"/>
          <w:sz w:val="22"/>
          <w:szCs w:val="22"/>
          <w:lang w:eastAsia="en-IE"/>
          <w14:ligatures w14:val="none"/>
        </w:rPr>
        <w:t>verse</w:t>
      </w:r>
      <w:r w:rsidR="00322DB3" w:rsidRPr="000214C8">
        <w:rPr>
          <w:rFonts w:asciiTheme="majorHAnsi" w:hAnsiTheme="majorHAnsi"/>
          <w:sz w:val="22"/>
          <w:szCs w:val="22"/>
          <w:lang w:eastAsia="en-IE"/>
          <w14:ligatures w14:val="none"/>
        </w:rPr>
        <w:t xml:space="preserve"> objectives of the various </w:t>
      </w:r>
      <w:r w:rsidR="00D71045">
        <w:rPr>
          <w:rFonts w:asciiTheme="majorHAnsi" w:hAnsiTheme="majorHAnsi"/>
          <w:sz w:val="22"/>
          <w:szCs w:val="22"/>
          <w:lang w:eastAsia="en-IE"/>
          <w14:ligatures w14:val="none"/>
        </w:rPr>
        <w:t xml:space="preserve">legal </w:t>
      </w:r>
      <w:r w:rsidR="00322DB3" w:rsidRPr="000214C8">
        <w:rPr>
          <w:rFonts w:asciiTheme="majorHAnsi" w:hAnsiTheme="majorHAnsi"/>
          <w:sz w:val="22"/>
          <w:szCs w:val="22"/>
          <w:lang w:eastAsia="en-IE"/>
          <w14:ligatures w14:val="none"/>
        </w:rPr>
        <w:t xml:space="preserve">instruments supervised by the authorities represented in the </w:t>
      </w:r>
      <w:r w:rsidR="00645DE4">
        <w:rPr>
          <w:rFonts w:asciiTheme="majorHAnsi" w:hAnsiTheme="majorHAnsi"/>
          <w:sz w:val="22"/>
          <w:szCs w:val="22"/>
          <w:lang w:eastAsia="en-IE"/>
          <w14:ligatures w14:val="none"/>
        </w:rPr>
        <w:t>HLG</w:t>
      </w:r>
      <w:r w:rsidR="00322DB3" w:rsidRPr="000214C8">
        <w:rPr>
          <w:rFonts w:asciiTheme="majorHAnsi" w:hAnsiTheme="majorHAnsi"/>
          <w:sz w:val="22"/>
          <w:szCs w:val="22"/>
          <w:lang w:eastAsia="en-IE"/>
          <w14:ligatures w14:val="none"/>
        </w:rPr>
        <w:t>, a certain degree</w:t>
      </w:r>
      <w:r w:rsidR="00D71045">
        <w:rPr>
          <w:rFonts w:asciiTheme="majorHAnsi" w:hAnsiTheme="majorHAnsi"/>
          <w:sz w:val="22"/>
          <w:szCs w:val="22"/>
          <w:lang w:eastAsia="en-IE"/>
          <w14:ligatures w14:val="none"/>
        </w:rPr>
        <w:t xml:space="preserve"> of </w:t>
      </w:r>
      <w:r w:rsidR="009B7437">
        <w:rPr>
          <w:rFonts w:asciiTheme="majorHAnsi" w:hAnsiTheme="majorHAnsi"/>
          <w:sz w:val="22"/>
          <w:szCs w:val="22"/>
          <w:lang w:eastAsia="en-IE"/>
          <w14:ligatures w14:val="none"/>
        </w:rPr>
        <w:t>interplay</w:t>
      </w:r>
      <w:r w:rsidR="00E96F96" w:rsidRPr="000214C8">
        <w:rPr>
          <w:rFonts w:asciiTheme="majorHAnsi" w:hAnsiTheme="majorHAnsi"/>
          <w:sz w:val="22"/>
          <w:szCs w:val="22"/>
          <w:lang w:eastAsia="en-IE"/>
          <w14:ligatures w14:val="none"/>
        </w:rPr>
        <w:t xml:space="preserve"> may arise. F</w:t>
      </w:r>
      <w:r w:rsidR="00322DB3" w:rsidRPr="000214C8">
        <w:rPr>
          <w:rFonts w:asciiTheme="majorHAnsi" w:hAnsiTheme="majorHAnsi"/>
          <w:sz w:val="22"/>
          <w:szCs w:val="22"/>
          <w:lang w:eastAsia="en-IE"/>
          <w14:ligatures w14:val="none"/>
        </w:rPr>
        <w:t>or example</w:t>
      </w:r>
      <w:r w:rsidR="00E96F96" w:rsidRPr="000214C8">
        <w:rPr>
          <w:rFonts w:asciiTheme="majorHAnsi" w:hAnsiTheme="majorHAnsi"/>
          <w:sz w:val="22"/>
          <w:szCs w:val="22"/>
          <w:lang w:eastAsia="en-IE"/>
          <w14:ligatures w14:val="none"/>
        </w:rPr>
        <w:t>,</w:t>
      </w:r>
      <w:r w:rsidR="00322DB3" w:rsidRPr="000214C8">
        <w:rPr>
          <w:rFonts w:asciiTheme="majorHAnsi" w:hAnsiTheme="majorHAnsi"/>
          <w:sz w:val="22"/>
          <w:szCs w:val="22"/>
          <w:lang w:eastAsia="en-IE"/>
          <w14:ligatures w14:val="none"/>
        </w:rPr>
        <w:t xml:space="preserve"> </w:t>
      </w:r>
      <w:r w:rsidR="00E96F96" w:rsidRPr="000214C8">
        <w:rPr>
          <w:rFonts w:asciiTheme="majorHAnsi" w:hAnsiTheme="majorHAnsi"/>
          <w:sz w:val="22"/>
          <w:szCs w:val="22"/>
          <w:lang w:eastAsia="en-IE"/>
          <w14:ligatures w14:val="none"/>
        </w:rPr>
        <w:t xml:space="preserve">in the case of </w:t>
      </w:r>
      <w:r w:rsidR="00322DB3" w:rsidRPr="000214C8">
        <w:rPr>
          <w:rFonts w:asciiTheme="majorHAnsi" w:hAnsiTheme="majorHAnsi"/>
          <w:sz w:val="22"/>
          <w:szCs w:val="22"/>
          <w:lang w:eastAsia="en-IE"/>
          <w14:ligatures w14:val="none"/>
        </w:rPr>
        <w:t xml:space="preserve">seemingly </w:t>
      </w:r>
      <w:r w:rsidR="00E96F96" w:rsidRPr="000214C8">
        <w:rPr>
          <w:rFonts w:asciiTheme="majorHAnsi" w:hAnsiTheme="majorHAnsi"/>
          <w:sz w:val="22"/>
          <w:szCs w:val="22"/>
          <w:lang w:eastAsia="en-IE"/>
          <w14:ligatures w14:val="none"/>
        </w:rPr>
        <w:t xml:space="preserve">complementary </w:t>
      </w:r>
      <w:r w:rsidR="00322DB3" w:rsidRPr="000214C8">
        <w:rPr>
          <w:rFonts w:asciiTheme="majorHAnsi" w:hAnsiTheme="majorHAnsi"/>
          <w:sz w:val="22"/>
          <w:szCs w:val="22"/>
          <w:lang w:eastAsia="en-IE"/>
          <w14:ligatures w14:val="none"/>
        </w:rPr>
        <w:t xml:space="preserve">provisions on matters </w:t>
      </w:r>
      <w:r w:rsidR="003E3D25" w:rsidRPr="000214C8">
        <w:rPr>
          <w:rFonts w:asciiTheme="majorHAnsi" w:hAnsiTheme="majorHAnsi"/>
          <w:sz w:val="22"/>
          <w:szCs w:val="22"/>
          <w:lang w:eastAsia="en-IE"/>
          <w14:ligatures w14:val="none"/>
        </w:rPr>
        <w:t>such as transparency</w:t>
      </w:r>
      <w:r w:rsidR="00322DB3" w:rsidRPr="000214C8">
        <w:rPr>
          <w:rFonts w:asciiTheme="majorHAnsi" w:hAnsiTheme="majorHAnsi"/>
          <w:sz w:val="22"/>
          <w:szCs w:val="22"/>
          <w:lang w:eastAsia="en-IE"/>
          <w14:ligatures w14:val="none"/>
        </w:rPr>
        <w:t xml:space="preserve"> and</w:t>
      </w:r>
      <w:r w:rsidR="003E3D25" w:rsidRPr="000214C8">
        <w:rPr>
          <w:rFonts w:asciiTheme="majorHAnsi" w:hAnsiTheme="majorHAnsi"/>
          <w:sz w:val="22"/>
          <w:szCs w:val="22"/>
          <w:lang w:eastAsia="en-IE"/>
          <w14:ligatures w14:val="none"/>
        </w:rPr>
        <w:t xml:space="preserve"> accountability</w:t>
      </w:r>
      <w:r w:rsidR="00E96F96" w:rsidRPr="000214C8">
        <w:rPr>
          <w:rFonts w:asciiTheme="majorHAnsi" w:hAnsiTheme="majorHAnsi"/>
          <w:sz w:val="22"/>
          <w:szCs w:val="22"/>
          <w:lang w:eastAsia="en-IE"/>
          <w14:ligatures w14:val="none"/>
        </w:rPr>
        <w:t xml:space="preserve">, questions arise on how </w:t>
      </w:r>
      <w:r w:rsidR="00573996">
        <w:rPr>
          <w:rFonts w:asciiTheme="majorHAnsi" w:hAnsiTheme="majorHAnsi"/>
          <w:sz w:val="22"/>
          <w:szCs w:val="22"/>
          <w:lang w:eastAsia="en-IE"/>
          <w14:ligatures w14:val="none"/>
        </w:rPr>
        <w:t>the regulated entities</w:t>
      </w:r>
      <w:r w:rsidR="00573996" w:rsidRPr="000214C8">
        <w:rPr>
          <w:rFonts w:asciiTheme="majorHAnsi" w:hAnsiTheme="majorHAnsi"/>
          <w:sz w:val="22"/>
          <w:szCs w:val="22"/>
          <w:lang w:eastAsia="en-IE"/>
          <w14:ligatures w14:val="none"/>
        </w:rPr>
        <w:t xml:space="preserve"> </w:t>
      </w:r>
      <w:r w:rsidR="00E96F96" w:rsidRPr="000214C8">
        <w:rPr>
          <w:rFonts w:asciiTheme="majorHAnsi" w:hAnsiTheme="majorHAnsi"/>
          <w:sz w:val="22"/>
          <w:szCs w:val="22"/>
          <w:lang w:eastAsia="en-IE"/>
          <w14:ligatures w14:val="none"/>
        </w:rPr>
        <w:t xml:space="preserve">can </w:t>
      </w:r>
      <w:r w:rsidR="00573996">
        <w:rPr>
          <w:rFonts w:asciiTheme="majorHAnsi" w:hAnsiTheme="majorHAnsi"/>
          <w:sz w:val="22"/>
          <w:szCs w:val="22"/>
          <w:lang w:eastAsia="en-IE"/>
          <w14:ligatures w14:val="none"/>
        </w:rPr>
        <w:t>achieve</w:t>
      </w:r>
      <w:r w:rsidR="00573996" w:rsidRPr="000214C8">
        <w:rPr>
          <w:rFonts w:asciiTheme="majorHAnsi" w:hAnsiTheme="majorHAnsi"/>
          <w:sz w:val="22"/>
          <w:szCs w:val="22"/>
          <w:lang w:eastAsia="en-IE"/>
          <w14:ligatures w14:val="none"/>
        </w:rPr>
        <w:t xml:space="preserve"> </w:t>
      </w:r>
      <w:r w:rsidR="00E96F96" w:rsidRPr="000214C8">
        <w:rPr>
          <w:rFonts w:asciiTheme="majorHAnsi" w:hAnsiTheme="majorHAnsi"/>
          <w:sz w:val="22"/>
          <w:szCs w:val="22"/>
          <w:lang w:eastAsia="en-IE"/>
          <w14:ligatures w14:val="none"/>
        </w:rPr>
        <w:t xml:space="preserve">compliance </w:t>
      </w:r>
      <w:r w:rsidR="00573996">
        <w:rPr>
          <w:rFonts w:asciiTheme="majorHAnsi" w:hAnsiTheme="majorHAnsi"/>
          <w:sz w:val="22"/>
          <w:szCs w:val="22"/>
          <w:lang w:eastAsia="en-IE"/>
          <w14:ligatures w14:val="none"/>
        </w:rPr>
        <w:t>to the various regulatory frameworks in a coherent way</w:t>
      </w:r>
      <w:r w:rsidR="00322DB3" w:rsidRPr="000214C8">
        <w:rPr>
          <w:rFonts w:asciiTheme="majorHAnsi" w:hAnsiTheme="majorHAnsi"/>
          <w:sz w:val="22"/>
          <w:szCs w:val="22"/>
          <w:lang w:eastAsia="en-IE"/>
          <w14:ligatures w14:val="none"/>
        </w:rPr>
        <w:t xml:space="preserve">. </w:t>
      </w:r>
      <w:r w:rsidR="00E96F96" w:rsidRPr="000214C8">
        <w:rPr>
          <w:rFonts w:asciiTheme="majorHAnsi" w:hAnsiTheme="majorHAnsi"/>
          <w:sz w:val="22"/>
          <w:szCs w:val="22"/>
          <w:lang w:eastAsia="en-IE"/>
          <w14:ligatures w14:val="none"/>
        </w:rPr>
        <w:t>One key issue in this regard is</w:t>
      </w:r>
      <w:r w:rsidR="00AF2AA9" w:rsidRPr="000214C8">
        <w:rPr>
          <w:rFonts w:asciiTheme="majorHAnsi" w:hAnsiTheme="majorHAnsi"/>
          <w:sz w:val="22"/>
          <w:szCs w:val="22"/>
          <w:lang w:eastAsia="en-IE"/>
          <w14:ligatures w14:val="none"/>
        </w:rPr>
        <w:t xml:space="preserve"> </w:t>
      </w:r>
      <w:r w:rsidR="00BC15A3" w:rsidRPr="000214C8">
        <w:rPr>
          <w:rFonts w:asciiTheme="majorHAnsi" w:hAnsiTheme="majorHAnsi"/>
          <w:sz w:val="22"/>
          <w:szCs w:val="22"/>
          <w:lang w:eastAsia="en-IE"/>
          <w14:ligatures w14:val="none"/>
        </w:rPr>
        <w:t>how to</w:t>
      </w:r>
      <w:r w:rsidR="005B3580" w:rsidRPr="000214C8">
        <w:rPr>
          <w:rFonts w:asciiTheme="majorHAnsi" w:hAnsiTheme="majorHAnsi"/>
          <w:sz w:val="22"/>
          <w:szCs w:val="22"/>
          <w:lang w:eastAsia="en-IE"/>
          <w14:ligatures w14:val="none"/>
        </w:rPr>
        <w:t xml:space="preserve"> </w:t>
      </w:r>
      <w:r w:rsidR="00AF2AA9" w:rsidRPr="000214C8">
        <w:rPr>
          <w:rFonts w:asciiTheme="majorHAnsi" w:hAnsiTheme="majorHAnsi"/>
          <w:sz w:val="22"/>
          <w:szCs w:val="22"/>
          <w:lang w:eastAsia="en-IE"/>
          <w14:ligatures w14:val="none"/>
        </w:rPr>
        <w:t>provid</w:t>
      </w:r>
      <w:r w:rsidR="00BC15A3" w:rsidRPr="000214C8">
        <w:rPr>
          <w:rFonts w:asciiTheme="majorHAnsi" w:hAnsiTheme="majorHAnsi"/>
          <w:sz w:val="22"/>
          <w:szCs w:val="22"/>
          <w:lang w:eastAsia="en-IE"/>
          <w14:ligatures w14:val="none"/>
        </w:rPr>
        <w:t>e</w:t>
      </w:r>
      <w:r w:rsidR="00AF2AA9" w:rsidRPr="000214C8">
        <w:rPr>
          <w:rFonts w:asciiTheme="majorHAnsi" w:hAnsiTheme="majorHAnsi"/>
          <w:sz w:val="22"/>
          <w:szCs w:val="22"/>
          <w:lang w:eastAsia="en-IE"/>
          <w14:ligatures w14:val="none"/>
        </w:rPr>
        <w:t xml:space="preserve"> </w:t>
      </w:r>
      <w:r w:rsidR="005427FE" w:rsidRPr="000214C8">
        <w:rPr>
          <w:rFonts w:asciiTheme="majorHAnsi" w:hAnsiTheme="majorHAnsi"/>
          <w:sz w:val="22"/>
          <w:szCs w:val="22"/>
          <w:lang w:eastAsia="en-IE"/>
          <w14:ligatures w14:val="none"/>
        </w:rPr>
        <w:t>all</w:t>
      </w:r>
      <w:r w:rsidR="00AF2AA9" w:rsidRPr="000214C8">
        <w:rPr>
          <w:rFonts w:asciiTheme="majorHAnsi" w:hAnsiTheme="majorHAnsi"/>
          <w:sz w:val="22"/>
          <w:szCs w:val="22"/>
          <w:lang w:eastAsia="en-IE"/>
          <w14:ligatures w14:val="none"/>
        </w:rPr>
        <w:t xml:space="preserve"> the information required under the </w:t>
      </w:r>
      <w:r w:rsidR="00573996">
        <w:rPr>
          <w:rFonts w:asciiTheme="majorHAnsi" w:hAnsiTheme="majorHAnsi"/>
          <w:sz w:val="22"/>
          <w:szCs w:val="22"/>
          <w:lang w:eastAsia="en-IE"/>
          <w14:ligatures w14:val="none"/>
        </w:rPr>
        <w:t>different</w:t>
      </w:r>
      <w:r w:rsidR="00573996" w:rsidRPr="000214C8">
        <w:rPr>
          <w:rFonts w:asciiTheme="majorHAnsi" w:hAnsiTheme="majorHAnsi"/>
          <w:sz w:val="22"/>
          <w:szCs w:val="22"/>
          <w:lang w:eastAsia="en-IE"/>
          <w14:ligatures w14:val="none"/>
        </w:rPr>
        <w:t xml:space="preserve"> </w:t>
      </w:r>
      <w:r w:rsidR="00AF2AA9" w:rsidRPr="000214C8">
        <w:rPr>
          <w:rFonts w:asciiTheme="majorHAnsi" w:hAnsiTheme="majorHAnsi"/>
          <w:sz w:val="22"/>
          <w:szCs w:val="22"/>
          <w:lang w:eastAsia="en-IE"/>
          <w14:ligatures w14:val="none"/>
        </w:rPr>
        <w:t xml:space="preserve">transparency obligations </w:t>
      </w:r>
      <w:r w:rsidR="00573996">
        <w:rPr>
          <w:rFonts w:asciiTheme="majorHAnsi" w:hAnsiTheme="majorHAnsi"/>
          <w:sz w:val="22"/>
          <w:szCs w:val="22"/>
          <w:lang w:eastAsia="en-IE"/>
          <w14:ligatures w14:val="none"/>
        </w:rPr>
        <w:t xml:space="preserve">while keeping the volume of </w:t>
      </w:r>
      <w:r w:rsidR="00AF2AA9" w:rsidRPr="000214C8">
        <w:rPr>
          <w:rFonts w:asciiTheme="majorHAnsi" w:hAnsiTheme="majorHAnsi"/>
          <w:sz w:val="22"/>
          <w:szCs w:val="22"/>
          <w:lang w:eastAsia="en-IE"/>
          <w14:ligatures w14:val="none"/>
        </w:rPr>
        <w:t>information</w:t>
      </w:r>
      <w:r w:rsidR="001D0560">
        <w:rPr>
          <w:rFonts w:asciiTheme="majorHAnsi" w:hAnsiTheme="majorHAnsi"/>
          <w:sz w:val="22"/>
          <w:szCs w:val="22"/>
          <w:lang w:eastAsia="en-IE"/>
          <w14:ligatures w14:val="none"/>
        </w:rPr>
        <w:t xml:space="preserve"> </w:t>
      </w:r>
      <w:r w:rsidR="00573996">
        <w:rPr>
          <w:rFonts w:asciiTheme="majorHAnsi" w:hAnsiTheme="majorHAnsi"/>
          <w:sz w:val="22"/>
          <w:szCs w:val="22"/>
          <w:lang w:eastAsia="en-IE"/>
          <w14:ligatures w14:val="none"/>
        </w:rPr>
        <w:t xml:space="preserve">manageable for both users and </w:t>
      </w:r>
      <w:r w:rsidR="001D0560">
        <w:rPr>
          <w:rFonts w:asciiTheme="majorHAnsi" w:hAnsiTheme="majorHAnsi"/>
          <w:sz w:val="22"/>
          <w:szCs w:val="22"/>
          <w:lang w:eastAsia="en-IE"/>
          <w14:ligatures w14:val="none"/>
        </w:rPr>
        <w:t>reporting</w:t>
      </w:r>
      <w:r w:rsidR="00573996">
        <w:rPr>
          <w:rFonts w:asciiTheme="majorHAnsi" w:hAnsiTheme="majorHAnsi"/>
          <w:sz w:val="22"/>
          <w:szCs w:val="22"/>
          <w:lang w:eastAsia="en-IE"/>
          <w14:ligatures w14:val="none"/>
        </w:rPr>
        <w:t xml:space="preserve"> entities</w:t>
      </w:r>
      <w:r w:rsidR="00AF2AA9" w:rsidRPr="000214C8">
        <w:rPr>
          <w:rFonts w:asciiTheme="majorHAnsi" w:hAnsiTheme="majorHAnsi"/>
          <w:sz w:val="22"/>
          <w:szCs w:val="22"/>
          <w:lang w:eastAsia="en-IE"/>
          <w14:ligatures w14:val="none"/>
        </w:rPr>
        <w:t>.</w:t>
      </w:r>
    </w:p>
    <w:p w14:paraId="53E81E75" w14:textId="41A14792" w:rsidR="00807377" w:rsidRPr="00A441BF" w:rsidRDefault="00322DB3" w:rsidP="00807377">
      <w:pPr>
        <w:spacing w:before="100" w:beforeAutospacing="1" w:after="240" w:line="240" w:lineRule="auto"/>
        <w:jc w:val="both"/>
        <w:rPr>
          <w:rFonts w:asciiTheme="majorHAnsi" w:hAnsiTheme="majorHAnsi"/>
          <w:sz w:val="22"/>
          <w:szCs w:val="22"/>
          <w:lang w:eastAsia="en-IE"/>
          <w14:ligatures w14:val="none"/>
        </w:rPr>
      </w:pPr>
      <w:r w:rsidRPr="000214C8">
        <w:rPr>
          <w:rFonts w:asciiTheme="majorHAnsi" w:hAnsiTheme="majorHAnsi"/>
          <w:sz w:val="22"/>
          <w:szCs w:val="22"/>
          <w:lang w:eastAsia="en-IE"/>
          <w14:ligatures w14:val="none"/>
        </w:rPr>
        <w:t xml:space="preserve">In addition, </w:t>
      </w:r>
      <w:r w:rsidR="001D0560">
        <w:rPr>
          <w:rFonts w:asciiTheme="majorHAnsi" w:hAnsiTheme="majorHAnsi"/>
          <w:sz w:val="22"/>
          <w:szCs w:val="22"/>
          <w:lang w:eastAsia="en-IE"/>
          <w14:ligatures w14:val="none"/>
        </w:rPr>
        <w:t xml:space="preserve">we should strive </w:t>
      </w:r>
      <w:r w:rsidR="00F22BD1" w:rsidRPr="0037114C">
        <w:rPr>
          <w:rFonts w:asciiTheme="majorHAnsi" w:hAnsiTheme="majorHAnsi"/>
          <w:iCs/>
          <w:sz w:val="22"/>
          <w:szCs w:val="22"/>
          <w:lang w:eastAsia="en-IE"/>
          <w14:ligatures w14:val="none"/>
        </w:rPr>
        <w:t xml:space="preserve">for coordination between authorities in order to achieve a more coherent, </w:t>
      </w:r>
      <w:proofErr w:type="gramStart"/>
      <w:r w:rsidR="00F22BD1" w:rsidRPr="0037114C">
        <w:rPr>
          <w:rFonts w:asciiTheme="majorHAnsi" w:hAnsiTheme="majorHAnsi"/>
          <w:iCs/>
          <w:sz w:val="22"/>
          <w:szCs w:val="22"/>
          <w:lang w:eastAsia="en-IE"/>
          <w14:ligatures w14:val="none"/>
        </w:rPr>
        <w:t>effective  and</w:t>
      </w:r>
      <w:proofErr w:type="gramEnd"/>
      <w:r w:rsidR="00F22BD1" w:rsidRPr="0037114C">
        <w:rPr>
          <w:rFonts w:asciiTheme="majorHAnsi" w:hAnsiTheme="majorHAnsi"/>
          <w:iCs/>
          <w:sz w:val="22"/>
          <w:szCs w:val="22"/>
          <w:lang w:eastAsia="en-IE"/>
          <w14:ligatures w14:val="none"/>
        </w:rPr>
        <w:t xml:space="preserve"> complementary enforcement</w:t>
      </w:r>
      <w:r w:rsidR="003E3D25" w:rsidRPr="000214C8">
        <w:rPr>
          <w:rFonts w:asciiTheme="majorHAnsi" w:hAnsiTheme="majorHAnsi"/>
          <w:sz w:val="22"/>
          <w:szCs w:val="22"/>
          <w:lang w:eastAsia="en-IE"/>
          <w14:ligatures w14:val="none"/>
        </w:rPr>
        <w:t xml:space="preserve">. </w:t>
      </w:r>
      <w:r w:rsidR="00AF2AA9" w:rsidRPr="000214C8">
        <w:rPr>
          <w:rFonts w:asciiTheme="majorHAnsi" w:hAnsiTheme="majorHAnsi"/>
          <w:sz w:val="22"/>
          <w:szCs w:val="22"/>
          <w:lang w:eastAsia="en-IE"/>
          <w14:ligatures w14:val="none"/>
        </w:rPr>
        <w:t xml:space="preserve">One such example </w:t>
      </w:r>
      <w:r w:rsidR="00C5514C" w:rsidRPr="000214C8">
        <w:rPr>
          <w:rFonts w:asciiTheme="majorHAnsi" w:hAnsiTheme="majorHAnsi"/>
          <w:sz w:val="22"/>
          <w:szCs w:val="22"/>
          <w:lang w:eastAsia="en-IE"/>
          <w14:ligatures w14:val="none"/>
        </w:rPr>
        <w:t>is the case of</w:t>
      </w:r>
      <w:r w:rsidR="00AF2AA9" w:rsidRPr="000214C8">
        <w:rPr>
          <w:rFonts w:asciiTheme="majorHAnsi" w:hAnsiTheme="majorHAnsi"/>
          <w:sz w:val="22"/>
          <w:szCs w:val="22"/>
          <w:lang w:eastAsia="en-IE"/>
          <w14:ligatures w14:val="none"/>
        </w:rPr>
        <w:t xml:space="preserve"> information sharing obligations, where the DMA aim</w:t>
      </w:r>
      <w:r w:rsidR="006C0315">
        <w:rPr>
          <w:rFonts w:asciiTheme="majorHAnsi" w:hAnsiTheme="majorHAnsi"/>
          <w:sz w:val="22"/>
          <w:szCs w:val="22"/>
          <w:lang w:eastAsia="en-IE"/>
          <w14:ligatures w14:val="none"/>
        </w:rPr>
        <w:t>s</w:t>
      </w:r>
      <w:r w:rsidR="00AF2AA9" w:rsidRPr="000214C8">
        <w:rPr>
          <w:rFonts w:asciiTheme="majorHAnsi" w:hAnsiTheme="majorHAnsi"/>
          <w:sz w:val="22"/>
          <w:szCs w:val="22"/>
          <w:lang w:eastAsia="en-IE"/>
          <w14:ligatures w14:val="none"/>
        </w:rPr>
        <w:t xml:space="preserve"> to </w:t>
      </w:r>
      <w:r w:rsidR="001D0560">
        <w:rPr>
          <w:rFonts w:asciiTheme="majorHAnsi" w:hAnsiTheme="majorHAnsi"/>
          <w:sz w:val="22"/>
          <w:szCs w:val="22"/>
          <w:lang w:eastAsia="en-IE"/>
          <w14:ligatures w14:val="none"/>
        </w:rPr>
        <w:t xml:space="preserve">increase </w:t>
      </w:r>
      <w:r w:rsidR="00AF2AA9" w:rsidRPr="000214C8">
        <w:rPr>
          <w:rFonts w:asciiTheme="majorHAnsi" w:hAnsiTheme="majorHAnsi"/>
          <w:sz w:val="22"/>
          <w:szCs w:val="22"/>
          <w:lang w:eastAsia="en-IE"/>
          <w14:ligatures w14:val="none"/>
        </w:rPr>
        <w:t>fair</w:t>
      </w:r>
      <w:r w:rsidR="006C0315">
        <w:rPr>
          <w:rFonts w:asciiTheme="majorHAnsi" w:hAnsiTheme="majorHAnsi"/>
          <w:sz w:val="22"/>
          <w:szCs w:val="22"/>
          <w:lang w:eastAsia="en-IE"/>
          <w14:ligatures w14:val="none"/>
        </w:rPr>
        <w:t>ness and contestability</w:t>
      </w:r>
      <w:r w:rsidR="00AF2AA9" w:rsidRPr="000214C8">
        <w:rPr>
          <w:rFonts w:asciiTheme="majorHAnsi" w:hAnsiTheme="majorHAnsi"/>
          <w:sz w:val="22"/>
          <w:szCs w:val="22"/>
          <w:lang w:eastAsia="en-IE"/>
          <w14:ligatures w14:val="none"/>
        </w:rPr>
        <w:t xml:space="preserve"> </w:t>
      </w:r>
      <w:r w:rsidR="006C0315">
        <w:rPr>
          <w:rFonts w:asciiTheme="majorHAnsi" w:hAnsiTheme="majorHAnsi"/>
          <w:sz w:val="22"/>
          <w:szCs w:val="22"/>
          <w:lang w:eastAsia="en-IE"/>
          <w14:ligatures w14:val="none"/>
        </w:rPr>
        <w:t>by</w:t>
      </w:r>
      <w:r w:rsidR="00AF2AA9" w:rsidRPr="000214C8">
        <w:rPr>
          <w:rFonts w:asciiTheme="majorHAnsi" w:hAnsiTheme="majorHAnsi"/>
          <w:sz w:val="22"/>
          <w:szCs w:val="22"/>
          <w:lang w:eastAsia="en-IE"/>
          <w14:ligatures w14:val="none"/>
        </w:rPr>
        <w:t xml:space="preserve"> reduc</w:t>
      </w:r>
      <w:r w:rsidR="006C0315">
        <w:rPr>
          <w:rFonts w:asciiTheme="majorHAnsi" w:hAnsiTheme="majorHAnsi"/>
          <w:sz w:val="22"/>
          <w:szCs w:val="22"/>
          <w:lang w:eastAsia="en-IE"/>
          <w14:ligatures w14:val="none"/>
        </w:rPr>
        <w:t>ing</w:t>
      </w:r>
      <w:r w:rsidR="00AF2AA9" w:rsidRPr="000214C8">
        <w:rPr>
          <w:rFonts w:asciiTheme="majorHAnsi" w:hAnsiTheme="majorHAnsi"/>
          <w:sz w:val="22"/>
          <w:szCs w:val="22"/>
          <w:lang w:eastAsia="en-IE"/>
          <w14:ligatures w14:val="none"/>
        </w:rPr>
        <w:t xml:space="preserve"> information asymmetry while the </w:t>
      </w:r>
      <w:r w:rsidR="00AF2AA9" w:rsidRPr="00A441BF">
        <w:rPr>
          <w:rFonts w:asciiTheme="majorHAnsi" w:hAnsiTheme="majorHAnsi"/>
          <w:sz w:val="22"/>
          <w:szCs w:val="22"/>
          <w:lang w:eastAsia="en-IE"/>
          <w14:ligatures w14:val="none"/>
        </w:rPr>
        <w:t>GDPR</w:t>
      </w:r>
      <w:r w:rsidR="006C0315" w:rsidRPr="00A441BF">
        <w:rPr>
          <w:rFonts w:asciiTheme="majorHAnsi" w:hAnsiTheme="majorHAnsi"/>
          <w:sz w:val="22"/>
          <w:szCs w:val="22"/>
          <w:lang w:eastAsia="en-IE"/>
          <w14:ligatures w14:val="none"/>
        </w:rPr>
        <w:t xml:space="preserve"> </w:t>
      </w:r>
      <w:r w:rsidR="00AF2AA9" w:rsidRPr="00A441BF">
        <w:rPr>
          <w:rFonts w:asciiTheme="majorHAnsi" w:hAnsiTheme="majorHAnsi"/>
          <w:sz w:val="22"/>
          <w:szCs w:val="22"/>
          <w:lang w:eastAsia="en-IE"/>
          <w14:ligatures w14:val="none"/>
        </w:rPr>
        <w:t>aim</w:t>
      </w:r>
      <w:r w:rsidR="006C0315" w:rsidRPr="00A441BF">
        <w:rPr>
          <w:rFonts w:asciiTheme="majorHAnsi" w:hAnsiTheme="majorHAnsi"/>
          <w:sz w:val="22"/>
          <w:szCs w:val="22"/>
          <w:lang w:eastAsia="en-IE"/>
          <w14:ligatures w14:val="none"/>
        </w:rPr>
        <w:t>s</w:t>
      </w:r>
      <w:r w:rsidR="00AF2AA9" w:rsidRPr="00A441BF">
        <w:rPr>
          <w:rFonts w:asciiTheme="majorHAnsi" w:hAnsiTheme="majorHAnsi"/>
          <w:sz w:val="22"/>
          <w:szCs w:val="22"/>
          <w:lang w:eastAsia="en-IE"/>
          <w14:ligatures w14:val="none"/>
        </w:rPr>
        <w:t xml:space="preserve"> to </w:t>
      </w:r>
      <w:r w:rsidR="00590479" w:rsidRPr="00A441BF">
        <w:rPr>
          <w:rFonts w:asciiTheme="majorHAnsi" w:hAnsiTheme="majorHAnsi"/>
          <w:sz w:val="22"/>
          <w:szCs w:val="22"/>
          <w:lang w:eastAsia="en-IE"/>
          <w14:ligatures w14:val="none"/>
        </w:rPr>
        <w:t>limit</w:t>
      </w:r>
      <w:r w:rsidR="006C0315" w:rsidRPr="00A441BF">
        <w:rPr>
          <w:rFonts w:asciiTheme="majorHAnsi" w:hAnsiTheme="majorHAnsi"/>
          <w:sz w:val="22"/>
          <w:szCs w:val="22"/>
          <w:lang w:eastAsia="en-IE"/>
          <w14:ligatures w14:val="none"/>
        </w:rPr>
        <w:t xml:space="preserve"> the amount of personal data</w:t>
      </w:r>
      <w:r w:rsidR="00590479" w:rsidRPr="00A441BF">
        <w:rPr>
          <w:rFonts w:asciiTheme="majorHAnsi" w:hAnsiTheme="majorHAnsi"/>
          <w:sz w:val="22"/>
          <w:szCs w:val="22"/>
          <w:lang w:eastAsia="en-IE"/>
          <w14:ligatures w14:val="none"/>
        </w:rPr>
        <w:t xml:space="preserve"> processed to that strictly necessary </w:t>
      </w:r>
      <w:proofErr w:type="gramStart"/>
      <w:r w:rsidR="00590479" w:rsidRPr="00A441BF">
        <w:rPr>
          <w:rFonts w:asciiTheme="majorHAnsi" w:hAnsiTheme="majorHAnsi"/>
          <w:sz w:val="22"/>
          <w:szCs w:val="22"/>
          <w:lang w:eastAsia="en-IE"/>
          <w14:ligatures w14:val="none"/>
        </w:rPr>
        <w:t>in order</w:t>
      </w:r>
      <w:r w:rsidR="006C0315" w:rsidRPr="00A441BF">
        <w:rPr>
          <w:rFonts w:asciiTheme="majorHAnsi" w:hAnsiTheme="majorHAnsi"/>
          <w:sz w:val="22"/>
          <w:szCs w:val="22"/>
          <w:lang w:eastAsia="en-IE"/>
          <w14:ligatures w14:val="none"/>
        </w:rPr>
        <w:t xml:space="preserve"> to</w:t>
      </w:r>
      <w:proofErr w:type="gramEnd"/>
      <w:r w:rsidR="006C0315" w:rsidRPr="00A441BF">
        <w:rPr>
          <w:rFonts w:asciiTheme="majorHAnsi" w:hAnsiTheme="majorHAnsi"/>
          <w:sz w:val="22"/>
          <w:szCs w:val="22"/>
          <w:lang w:eastAsia="en-IE"/>
          <w14:ligatures w14:val="none"/>
        </w:rPr>
        <w:t xml:space="preserve"> </w:t>
      </w:r>
      <w:r w:rsidR="00AF2AA9" w:rsidRPr="00A441BF">
        <w:rPr>
          <w:rFonts w:asciiTheme="majorHAnsi" w:hAnsiTheme="majorHAnsi"/>
          <w:sz w:val="22"/>
          <w:szCs w:val="22"/>
          <w:lang w:eastAsia="en-IE"/>
          <w14:ligatures w14:val="none"/>
        </w:rPr>
        <w:t xml:space="preserve">protect users, especially vulnerable </w:t>
      </w:r>
      <w:r w:rsidR="003F0535" w:rsidRPr="00A441BF">
        <w:rPr>
          <w:rFonts w:asciiTheme="majorHAnsi" w:hAnsiTheme="majorHAnsi"/>
          <w:sz w:val="22"/>
          <w:szCs w:val="22"/>
          <w:lang w:eastAsia="en-IE"/>
          <w14:ligatures w14:val="none"/>
        </w:rPr>
        <w:t>ones</w:t>
      </w:r>
      <w:r w:rsidR="00AF2AA9" w:rsidRPr="00A441BF">
        <w:rPr>
          <w:rFonts w:asciiTheme="majorHAnsi" w:hAnsiTheme="majorHAnsi"/>
          <w:sz w:val="22"/>
          <w:szCs w:val="22"/>
          <w:lang w:eastAsia="en-IE"/>
          <w14:ligatures w14:val="none"/>
        </w:rPr>
        <w:t>.</w:t>
      </w:r>
      <w:r w:rsidR="006C0315" w:rsidRPr="00A441BF">
        <w:rPr>
          <w:rFonts w:asciiTheme="majorHAnsi" w:hAnsiTheme="majorHAnsi"/>
          <w:sz w:val="22"/>
          <w:szCs w:val="22"/>
          <w:lang w:eastAsia="en-IE"/>
          <w14:ligatures w14:val="none"/>
        </w:rPr>
        <w:t xml:space="preserve"> In such cases, coordination</w:t>
      </w:r>
      <w:r w:rsidR="00807377" w:rsidRPr="00A441BF">
        <w:rPr>
          <w:rFonts w:asciiTheme="majorHAnsi" w:hAnsiTheme="majorHAnsi"/>
          <w:sz w:val="22"/>
          <w:szCs w:val="22"/>
          <w:lang w:eastAsia="en-IE"/>
          <w14:ligatures w14:val="none"/>
        </w:rPr>
        <w:t xml:space="preserve">. </w:t>
      </w:r>
      <w:r w:rsidR="006C0315" w:rsidRPr="00A441BF">
        <w:rPr>
          <w:rFonts w:asciiTheme="majorHAnsi" w:hAnsiTheme="majorHAnsi"/>
          <w:sz w:val="22"/>
          <w:szCs w:val="22"/>
          <w:lang w:eastAsia="en-IE"/>
          <w14:ligatures w14:val="none"/>
        </w:rPr>
        <w:t>will be the cornerstone of an effective enforcement.</w:t>
      </w:r>
    </w:p>
    <w:p w14:paraId="715590F6" w14:textId="5494FCD9" w:rsidR="003E3D25" w:rsidRPr="00A441BF" w:rsidRDefault="00322DB3" w:rsidP="003E3D25">
      <w:pPr>
        <w:spacing w:before="100" w:beforeAutospacing="1" w:after="240" w:line="240" w:lineRule="auto"/>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Another</w:t>
      </w:r>
      <w:r w:rsidR="003E3D25" w:rsidRPr="00A441BF">
        <w:rPr>
          <w:rFonts w:asciiTheme="majorHAnsi" w:hAnsiTheme="majorHAnsi"/>
          <w:sz w:val="22"/>
          <w:szCs w:val="22"/>
          <w:lang w:eastAsia="en-IE"/>
          <w14:ligatures w14:val="none"/>
        </w:rPr>
        <w:t xml:space="preserve"> </w:t>
      </w:r>
      <w:r w:rsidR="009B7437" w:rsidRPr="00A441BF">
        <w:rPr>
          <w:rFonts w:asciiTheme="majorHAnsi" w:hAnsiTheme="majorHAnsi"/>
          <w:sz w:val="22"/>
          <w:szCs w:val="22"/>
          <w:lang w:eastAsia="en-IE"/>
          <w14:ligatures w14:val="none"/>
        </w:rPr>
        <w:t xml:space="preserve">question </w:t>
      </w:r>
      <w:r w:rsidR="004F433C" w:rsidRPr="00A441BF">
        <w:rPr>
          <w:rFonts w:asciiTheme="majorHAnsi" w:hAnsiTheme="majorHAnsi"/>
          <w:sz w:val="22"/>
          <w:szCs w:val="22"/>
          <w:lang w:eastAsia="en-IE"/>
          <w14:ligatures w14:val="none"/>
        </w:rPr>
        <w:t xml:space="preserve">regarding </w:t>
      </w:r>
      <w:r w:rsidR="0072494E" w:rsidRPr="00A441BF">
        <w:rPr>
          <w:rFonts w:asciiTheme="majorHAnsi" w:hAnsiTheme="majorHAnsi"/>
          <w:sz w:val="22"/>
          <w:szCs w:val="22"/>
          <w:lang w:eastAsia="en-IE"/>
          <w14:ligatures w14:val="none"/>
        </w:rPr>
        <w:t xml:space="preserve">the </w:t>
      </w:r>
      <w:r w:rsidR="004F433C" w:rsidRPr="00A441BF">
        <w:rPr>
          <w:rFonts w:asciiTheme="majorHAnsi" w:hAnsiTheme="majorHAnsi"/>
          <w:sz w:val="22"/>
          <w:szCs w:val="22"/>
          <w:lang w:eastAsia="en-IE"/>
          <w14:ligatures w14:val="none"/>
        </w:rPr>
        <w:t xml:space="preserve">overall </w:t>
      </w:r>
      <w:r w:rsidR="0072494E" w:rsidRPr="00A441BF">
        <w:rPr>
          <w:rFonts w:asciiTheme="majorHAnsi" w:hAnsiTheme="majorHAnsi"/>
          <w:sz w:val="22"/>
          <w:szCs w:val="22"/>
          <w:lang w:eastAsia="en-IE"/>
          <w14:ligatures w14:val="none"/>
        </w:rPr>
        <w:t>digital regulat</w:t>
      </w:r>
      <w:r w:rsidR="001D0560" w:rsidRPr="00A441BF">
        <w:rPr>
          <w:rFonts w:asciiTheme="majorHAnsi" w:hAnsiTheme="majorHAnsi"/>
          <w:sz w:val="22"/>
          <w:szCs w:val="22"/>
          <w:lang w:eastAsia="en-IE"/>
          <w14:ligatures w14:val="none"/>
        </w:rPr>
        <w:t>ory</w:t>
      </w:r>
      <w:r w:rsidR="0072494E" w:rsidRPr="00A441BF">
        <w:rPr>
          <w:rFonts w:asciiTheme="majorHAnsi" w:hAnsiTheme="majorHAnsi"/>
          <w:sz w:val="22"/>
          <w:szCs w:val="22"/>
          <w:lang w:eastAsia="en-IE"/>
          <w14:ligatures w14:val="none"/>
        </w:rPr>
        <w:t xml:space="preserve"> framework in the EU</w:t>
      </w:r>
      <w:r w:rsidRPr="00A441BF">
        <w:rPr>
          <w:rFonts w:asciiTheme="majorHAnsi" w:hAnsiTheme="majorHAnsi"/>
          <w:sz w:val="22"/>
          <w:szCs w:val="22"/>
          <w:lang w:eastAsia="en-IE"/>
          <w14:ligatures w14:val="none"/>
        </w:rPr>
        <w:t>,</w:t>
      </w:r>
      <w:r w:rsidR="003E3D25" w:rsidRPr="00A441BF">
        <w:rPr>
          <w:rFonts w:asciiTheme="majorHAnsi" w:hAnsiTheme="majorHAnsi"/>
          <w:sz w:val="22"/>
          <w:szCs w:val="22"/>
          <w:lang w:eastAsia="en-IE"/>
          <w14:ligatures w14:val="none"/>
        </w:rPr>
        <w:t xml:space="preserve"> </w:t>
      </w:r>
      <w:r w:rsidR="004F433C" w:rsidRPr="00A441BF">
        <w:rPr>
          <w:rFonts w:asciiTheme="majorHAnsi" w:hAnsiTheme="majorHAnsi"/>
          <w:sz w:val="22"/>
          <w:szCs w:val="22"/>
          <w:lang w:eastAsia="en-IE"/>
          <w14:ligatures w14:val="none"/>
        </w:rPr>
        <w:t>may</w:t>
      </w:r>
      <w:r w:rsidR="003E3D25" w:rsidRPr="00A441BF">
        <w:rPr>
          <w:rFonts w:asciiTheme="majorHAnsi" w:hAnsiTheme="majorHAnsi"/>
          <w:sz w:val="22"/>
          <w:szCs w:val="22"/>
          <w:lang w:eastAsia="en-IE"/>
          <w14:ligatures w14:val="none"/>
        </w:rPr>
        <w:t xml:space="preserve"> arise from the absence of coherent</w:t>
      </w:r>
      <w:r w:rsidR="005B3580" w:rsidRPr="00A441BF">
        <w:rPr>
          <w:rFonts w:asciiTheme="majorHAnsi" w:hAnsiTheme="majorHAnsi"/>
          <w:sz w:val="22"/>
          <w:szCs w:val="22"/>
          <w:lang w:eastAsia="en-IE"/>
          <w14:ligatures w14:val="none"/>
        </w:rPr>
        <w:t xml:space="preserve"> terminology</w:t>
      </w:r>
      <w:r w:rsidR="003E3D25" w:rsidRPr="00A441BF">
        <w:rPr>
          <w:rFonts w:asciiTheme="majorHAnsi" w:hAnsiTheme="majorHAnsi"/>
          <w:sz w:val="22"/>
          <w:szCs w:val="22"/>
          <w:lang w:eastAsia="en-IE"/>
          <w14:ligatures w14:val="none"/>
        </w:rPr>
        <w:t xml:space="preserve"> and operational definition</w:t>
      </w:r>
      <w:r w:rsidR="005B3580" w:rsidRPr="00A441BF">
        <w:rPr>
          <w:rFonts w:asciiTheme="majorHAnsi" w:hAnsiTheme="majorHAnsi"/>
          <w:sz w:val="22"/>
          <w:szCs w:val="22"/>
          <w:lang w:eastAsia="en-IE"/>
          <w14:ligatures w14:val="none"/>
        </w:rPr>
        <w:t>s across relevant legal instruments, including</w:t>
      </w:r>
      <w:r w:rsidR="004F433C" w:rsidRPr="00A441BF">
        <w:rPr>
          <w:rFonts w:asciiTheme="majorHAnsi" w:hAnsiTheme="majorHAnsi"/>
          <w:sz w:val="22"/>
          <w:szCs w:val="22"/>
          <w:lang w:eastAsia="en-IE"/>
          <w14:ligatures w14:val="none"/>
        </w:rPr>
        <w:t>, if appropriate</w:t>
      </w:r>
      <w:r w:rsidR="00601C07" w:rsidRPr="00A441BF">
        <w:rPr>
          <w:rFonts w:asciiTheme="majorHAnsi" w:hAnsiTheme="majorHAnsi"/>
          <w:sz w:val="22"/>
          <w:szCs w:val="22"/>
          <w:lang w:eastAsia="en-IE"/>
          <w14:ligatures w14:val="none"/>
        </w:rPr>
        <w:t>,</w:t>
      </w:r>
      <w:r w:rsidR="0072494E" w:rsidRPr="00A441BF">
        <w:rPr>
          <w:rFonts w:asciiTheme="majorHAnsi" w:hAnsiTheme="majorHAnsi"/>
          <w:sz w:val="22"/>
          <w:szCs w:val="22"/>
          <w:lang w:eastAsia="en-IE"/>
          <w14:ligatures w14:val="none"/>
        </w:rPr>
        <w:t xml:space="preserve"> a cross-cutting definition of </w:t>
      </w:r>
      <w:r w:rsidR="004F433C" w:rsidRPr="00A441BF">
        <w:rPr>
          <w:rFonts w:asciiTheme="majorHAnsi" w:hAnsiTheme="majorHAnsi"/>
          <w:sz w:val="22"/>
          <w:szCs w:val="22"/>
          <w:lang w:eastAsia="en-IE"/>
          <w14:ligatures w14:val="none"/>
        </w:rPr>
        <w:t xml:space="preserve">relevant </w:t>
      </w:r>
      <w:r w:rsidR="003F0535" w:rsidRPr="00A441BF">
        <w:rPr>
          <w:rFonts w:asciiTheme="majorHAnsi" w:hAnsiTheme="majorHAnsi"/>
          <w:sz w:val="22"/>
          <w:szCs w:val="22"/>
          <w:lang w:eastAsia="en-IE"/>
          <w14:ligatures w14:val="none"/>
        </w:rPr>
        <w:t>AI</w:t>
      </w:r>
      <w:r w:rsidR="004F433C" w:rsidRPr="00A441BF">
        <w:rPr>
          <w:rFonts w:asciiTheme="majorHAnsi" w:hAnsiTheme="majorHAnsi"/>
          <w:sz w:val="22"/>
          <w:szCs w:val="22"/>
          <w:lang w:eastAsia="en-IE"/>
          <w14:ligatures w14:val="none"/>
        </w:rPr>
        <w:t xml:space="preserve"> services and components</w:t>
      </w:r>
      <w:r w:rsidR="008F3699" w:rsidRPr="00A441BF">
        <w:rPr>
          <w:rFonts w:asciiTheme="majorHAnsi" w:hAnsiTheme="majorHAnsi"/>
          <w:sz w:val="22"/>
          <w:szCs w:val="22"/>
          <w:lang w:eastAsia="en-IE"/>
          <w14:ligatures w14:val="none"/>
        </w:rPr>
        <w:t xml:space="preserve">. </w:t>
      </w:r>
    </w:p>
    <w:p w14:paraId="292B73B1" w14:textId="2BB87B2A" w:rsidR="00391A81" w:rsidRPr="00A441BF" w:rsidRDefault="00B46016" w:rsidP="001457D9">
      <w:pPr>
        <w:spacing w:before="100" w:beforeAutospacing="1" w:after="240" w:line="240" w:lineRule="auto"/>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In summary, the l</w:t>
      </w:r>
      <w:r w:rsidR="00391A81" w:rsidRPr="00A441BF">
        <w:rPr>
          <w:rFonts w:asciiTheme="majorHAnsi" w:hAnsiTheme="majorHAnsi"/>
          <w:sz w:val="22"/>
          <w:szCs w:val="22"/>
          <w:lang w:eastAsia="en-IE"/>
          <w14:ligatures w14:val="none"/>
        </w:rPr>
        <w:t xml:space="preserve">ack of </w:t>
      </w:r>
      <w:r w:rsidRPr="00A441BF">
        <w:rPr>
          <w:rFonts w:asciiTheme="majorHAnsi" w:hAnsiTheme="majorHAnsi"/>
          <w:sz w:val="22"/>
          <w:szCs w:val="22"/>
          <w:lang w:eastAsia="en-IE"/>
          <w14:ligatures w14:val="none"/>
        </w:rPr>
        <w:t xml:space="preserve">consistent terminology relating to AI, </w:t>
      </w:r>
      <w:r w:rsidR="00391A81" w:rsidRPr="00A441BF">
        <w:rPr>
          <w:rFonts w:asciiTheme="majorHAnsi" w:hAnsiTheme="majorHAnsi"/>
          <w:sz w:val="22"/>
          <w:szCs w:val="22"/>
          <w:lang w:eastAsia="en-IE"/>
          <w14:ligatures w14:val="none"/>
        </w:rPr>
        <w:t xml:space="preserve">the </w:t>
      </w:r>
      <w:r w:rsidR="00D47B44" w:rsidRPr="00A441BF">
        <w:rPr>
          <w:rFonts w:asciiTheme="majorHAnsi" w:hAnsiTheme="majorHAnsi"/>
          <w:sz w:val="22"/>
          <w:szCs w:val="22"/>
          <w:lang w:eastAsia="en-IE"/>
          <w14:ligatures w14:val="none"/>
        </w:rPr>
        <w:t>need to align requirements of different jurisdictions</w:t>
      </w:r>
      <w:r w:rsidR="0052180A" w:rsidRPr="00A441BF">
        <w:rPr>
          <w:rFonts w:asciiTheme="majorHAnsi" w:hAnsiTheme="majorHAnsi"/>
          <w:sz w:val="22"/>
          <w:szCs w:val="22"/>
          <w:lang w:eastAsia="en-IE"/>
          <w14:ligatures w14:val="none"/>
        </w:rPr>
        <w:t xml:space="preserve">, and </w:t>
      </w:r>
      <w:r w:rsidR="00391A81" w:rsidRPr="00A441BF">
        <w:rPr>
          <w:rFonts w:asciiTheme="majorHAnsi" w:hAnsiTheme="majorHAnsi"/>
          <w:sz w:val="22"/>
          <w:szCs w:val="22"/>
          <w:lang w:eastAsia="en-IE"/>
          <w14:ligatures w14:val="none"/>
        </w:rPr>
        <w:t xml:space="preserve">the importance of </w:t>
      </w:r>
      <w:r w:rsidR="0052180A" w:rsidRPr="00A441BF">
        <w:rPr>
          <w:rFonts w:asciiTheme="majorHAnsi" w:hAnsiTheme="majorHAnsi"/>
          <w:sz w:val="22"/>
          <w:szCs w:val="22"/>
          <w:lang w:eastAsia="en-IE"/>
          <w14:ligatures w14:val="none"/>
        </w:rPr>
        <w:t>enforcement consistency</w:t>
      </w:r>
      <w:r w:rsidR="00391A81" w:rsidRPr="00A441BF">
        <w:rPr>
          <w:rFonts w:asciiTheme="majorHAnsi" w:hAnsiTheme="majorHAnsi"/>
          <w:sz w:val="22"/>
          <w:szCs w:val="22"/>
          <w:lang w:eastAsia="en-IE"/>
          <w14:ligatures w14:val="none"/>
        </w:rPr>
        <w:t xml:space="preserve"> a</w:t>
      </w:r>
      <w:r w:rsidRPr="00A441BF">
        <w:rPr>
          <w:rFonts w:asciiTheme="majorHAnsi" w:hAnsiTheme="majorHAnsi"/>
          <w:sz w:val="22"/>
          <w:szCs w:val="22"/>
          <w:lang w:eastAsia="en-IE"/>
          <w14:ligatures w14:val="none"/>
        </w:rPr>
        <w:t xml:space="preserve">re </w:t>
      </w:r>
      <w:r w:rsidR="005B3580" w:rsidRPr="00A441BF">
        <w:rPr>
          <w:rFonts w:asciiTheme="majorHAnsi" w:hAnsiTheme="majorHAnsi"/>
          <w:sz w:val="22"/>
          <w:szCs w:val="22"/>
          <w:lang w:eastAsia="en-IE"/>
          <w14:ligatures w14:val="none"/>
        </w:rPr>
        <w:t>among</w:t>
      </w:r>
      <w:r w:rsidR="00391A81" w:rsidRPr="00A441BF">
        <w:rPr>
          <w:rFonts w:asciiTheme="majorHAnsi" w:hAnsiTheme="majorHAnsi"/>
          <w:sz w:val="22"/>
          <w:szCs w:val="22"/>
          <w:lang w:eastAsia="en-IE"/>
          <w14:ligatures w14:val="none"/>
        </w:rPr>
        <w:t xml:space="preserve"> the most pressing issues </w:t>
      </w:r>
      <w:r w:rsidR="005B3580" w:rsidRPr="00A441BF">
        <w:rPr>
          <w:rFonts w:asciiTheme="majorHAnsi" w:hAnsiTheme="majorHAnsi"/>
          <w:sz w:val="22"/>
          <w:szCs w:val="22"/>
          <w:lang w:eastAsia="en-IE"/>
          <w14:ligatures w14:val="none"/>
        </w:rPr>
        <w:t>to</w:t>
      </w:r>
      <w:r w:rsidR="00391A81" w:rsidRPr="00A441BF">
        <w:rPr>
          <w:rFonts w:asciiTheme="majorHAnsi" w:hAnsiTheme="majorHAnsi"/>
          <w:sz w:val="22"/>
          <w:szCs w:val="22"/>
          <w:lang w:eastAsia="en-IE"/>
          <w14:ligatures w14:val="none"/>
        </w:rPr>
        <w:t xml:space="preserve"> address regulatory</w:t>
      </w:r>
      <w:r w:rsidR="00641540" w:rsidRPr="00A441BF">
        <w:rPr>
          <w:rFonts w:asciiTheme="majorHAnsi" w:hAnsiTheme="majorHAnsi"/>
          <w:sz w:val="22"/>
          <w:szCs w:val="22"/>
          <w:lang w:eastAsia="en-IE"/>
          <w14:ligatures w14:val="none"/>
        </w:rPr>
        <w:t xml:space="preserve"> </w:t>
      </w:r>
      <w:r w:rsidR="00D47B44" w:rsidRPr="00A441BF">
        <w:rPr>
          <w:rFonts w:asciiTheme="majorHAnsi" w:hAnsiTheme="majorHAnsi"/>
          <w:sz w:val="22"/>
          <w:szCs w:val="22"/>
          <w:lang w:eastAsia="en-IE"/>
          <w14:ligatures w14:val="none"/>
        </w:rPr>
        <w:t xml:space="preserve">consistency </w:t>
      </w:r>
      <w:r w:rsidR="00391A81" w:rsidRPr="00A441BF">
        <w:rPr>
          <w:rFonts w:asciiTheme="majorHAnsi" w:hAnsiTheme="majorHAnsi"/>
          <w:sz w:val="22"/>
          <w:szCs w:val="22"/>
          <w:lang w:eastAsia="en-IE"/>
          <w14:ligatures w14:val="none"/>
        </w:rPr>
        <w:t>and enforcement gaps</w:t>
      </w:r>
      <w:r w:rsidRPr="00A441BF">
        <w:rPr>
          <w:rFonts w:asciiTheme="majorHAnsi" w:hAnsiTheme="majorHAnsi"/>
          <w:sz w:val="22"/>
          <w:szCs w:val="22"/>
          <w:lang w:eastAsia="en-IE"/>
          <w14:ligatures w14:val="none"/>
        </w:rPr>
        <w:t>.</w:t>
      </w:r>
    </w:p>
    <w:p w14:paraId="103B911E" w14:textId="6D13561A" w:rsidR="00D52B58" w:rsidRPr="00A441BF" w:rsidRDefault="000C70B4" w:rsidP="00B52E7F">
      <w:pPr>
        <w:pStyle w:val="ListParagraph"/>
        <w:keepNext/>
        <w:numPr>
          <w:ilvl w:val="0"/>
          <w:numId w:val="47"/>
        </w:numPr>
        <w:spacing w:before="100" w:beforeAutospacing="1" w:after="240" w:line="240" w:lineRule="auto"/>
        <w:jc w:val="both"/>
        <w:outlineLvl w:val="2"/>
        <w:rPr>
          <w:rFonts w:asciiTheme="majorHAnsi" w:hAnsiTheme="majorHAnsi"/>
          <w:b/>
          <w:sz w:val="22"/>
          <w:szCs w:val="22"/>
          <w:u w:val="single"/>
          <w:lang w:eastAsia="en-IE"/>
          <w14:ligatures w14:val="none"/>
        </w:rPr>
      </w:pPr>
      <w:r w:rsidRPr="00A441BF">
        <w:rPr>
          <w:rFonts w:asciiTheme="majorHAnsi" w:hAnsiTheme="majorHAnsi"/>
          <w:b/>
          <w:sz w:val="22"/>
          <w:szCs w:val="22"/>
          <w:u w:val="single"/>
          <w:lang w:eastAsia="en-IE"/>
          <w14:ligatures w14:val="none"/>
        </w:rPr>
        <w:t>Cross</w:t>
      </w:r>
      <w:r w:rsidR="00430C5E" w:rsidRPr="00A441BF">
        <w:rPr>
          <w:rFonts w:asciiTheme="majorHAnsi" w:hAnsiTheme="majorHAnsi"/>
          <w:b/>
          <w:sz w:val="22"/>
          <w:szCs w:val="22"/>
          <w:u w:val="single"/>
          <w:lang w:eastAsia="en-IE"/>
          <w14:ligatures w14:val="none"/>
        </w:rPr>
        <w:t>-</w:t>
      </w:r>
      <w:r w:rsidRPr="00A441BF">
        <w:rPr>
          <w:rFonts w:asciiTheme="majorHAnsi" w:hAnsiTheme="majorHAnsi"/>
          <w:b/>
          <w:sz w:val="22"/>
          <w:szCs w:val="22"/>
          <w:u w:val="single"/>
          <w:lang w:eastAsia="en-IE"/>
          <w14:ligatures w14:val="none"/>
        </w:rPr>
        <w:t>cutting issues</w:t>
      </w:r>
    </w:p>
    <w:p w14:paraId="1C179EE6" w14:textId="19DB102B" w:rsidR="00C61533" w:rsidRPr="00A441BF" w:rsidRDefault="00AE609C" w:rsidP="00B52E7F">
      <w:pPr>
        <w:numPr>
          <w:ilvl w:val="0"/>
          <w:numId w:val="57"/>
        </w:numPr>
        <w:spacing w:before="100" w:beforeAutospacing="1" w:after="240" w:line="240" w:lineRule="auto"/>
        <w:jc w:val="both"/>
        <w:rPr>
          <w:rFonts w:asciiTheme="majorHAnsi" w:hAnsiTheme="majorHAnsi"/>
          <w:sz w:val="22"/>
          <w:szCs w:val="22"/>
          <w:u w:val="single"/>
          <w:lang w:eastAsia="en-IE"/>
          <w14:ligatures w14:val="none"/>
        </w:rPr>
      </w:pPr>
      <w:r w:rsidRPr="00A441BF">
        <w:rPr>
          <w:rFonts w:asciiTheme="majorHAnsi" w:hAnsiTheme="majorHAnsi"/>
          <w:sz w:val="22"/>
          <w:szCs w:val="22"/>
          <w:u w:val="single"/>
          <w:lang w:eastAsia="en-IE"/>
          <w14:ligatures w14:val="none"/>
        </w:rPr>
        <w:t>Coordination and cooperation</w:t>
      </w:r>
      <w:r w:rsidR="00C61533" w:rsidRPr="00A441BF">
        <w:rPr>
          <w:rFonts w:asciiTheme="majorHAnsi" w:hAnsiTheme="majorHAnsi"/>
          <w:sz w:val="22"/>
          <w:szCs w:val="22"/>
          <w:u w:val="single"/>
          <w:lang w:eastAsia="en-IE"/>
          <w14:ligatures w14:val="none"/>
        </w:rPr>
        <w:t xml:space="preserve"> between regulatory bodies</w:t>
      </w:r>
    </w:p>
    <w:p w14:paraId="6F4C5BEA" w14:textId="0B53A137" w:rsidR="00E50A68" w:rsidRPr="00A441BF" w:rsidRDefault="00641540" w:rsidP="003D3580">
      <w:pPr>
        <w:spacing w:after="240" w:line="240" w:lineRule="auto"/>
        <w:jc w:val="both"/>
        <w:rPr>
          <w:rFonts w:asciiTheme="majorHAnsi" w:hAnsiTheme="majorHAnsi"/>
          <w:sz w:val="22"/>
          <w:szCs w:val="22"/>
          <w:lang w:eastAsia="en-IE"/>
          <w14:ligatures w14:val="none"/>
        </w:rPr>
      </w:pPr>
      <w:proofErr w:type="gramStart"/>
      <w:r w:rsidRPr="00A441BF">
        <w:rPr>
          <w:rFonts w:asciiTheme="majorHAnsi" w:hAnsiTheme="majorHAnsi"/>
          <w:sz w:val="22"/>
          <w:szCs w:val="22"/>
          <w:lang w:eastAsia="en-IE"/>
          <w14:ligatures w14:val="none"/>
        </w:rPr>
        <w:t>It</w:t>
      </w:r>
      <w:r w:rsidR="00601ECD" w:rsidRPr="00A441BF">
        <w:rPr>
          <w:rFonts w:asciiTheme="majorHAnsi" w:hAnsiTheme="majorHAnsi"/>
          <w:sz w:val="22"/>
          <w:szCs w:val="22"/>
          <w:lang w:eastAsia="en-IE"/>
          <w14:ligatures w14:val="none"/>
        </w:rPr>
        <w:t xml:space="preserve"> is clear that coordination</w:t>
      </w:r>
      <w:proofErr w:type="gramEnd"/>
      <w:r w:rsidR="00601ECD" w:rsidRPr="00A441BF">
        <w:rPr>
          <w:rFonts w:asciiTheme="majorHAnsi" w:hAnsiTheme="majorHAnsi"/>
          <w:sz w:val="22"/>
          <w:szCs w:val="22"/>
          <w:lang w:eastAsia="en-IE"/>
          <w14:ligatures w14:val="none"/>
        </w:rPr>
        <w:t xml:space="preserve"> between the various </w:t>
      </w:r>
      <w:r w:rsidR="002460C6" w:rsidRPr="00A441BF">
        <w:rPr>
          <w:rFonts w:asciiTheme="majorHAnsi" w:hAnsiTheme="majorHAnsi"/>
          <w:sz w:val="22"/>
          <w:szCs w:val="22"/>
          <w:lang w:eastAsia="en-IE"/>
          <w14:ligatures w14:val="none"/>
        </w:rPr>
        <w:t xml:space="preserve">regulatory </w:t>
      </w:r>
      <w:r w:rsidR="00601ECD" w:rsidRPr="00A441BF">
        <w:rPr>
          <w:rFonts w:asciiTheme="majorHAnsi" w:hAnsiTheme="majorHAnsi"/>
          <w:sz w:val="22"/>
          <w:szCs w:val="22"/>
          <w:lang w:eastAsia="en-IE"/>
          <w14:ligatures w14:val="none"/>
        </w:rPr>
        <w:t xml:space="preserve">bodies dealing with </w:t>
      </w:r>
      <w:r w:rsidR="008B23AF" w:rsidRPr="00A441BF">
        <w:rPr>
          <w:rFonts w:asciiTheme="majorHAnsi" w:hAnsiTheme="majorHAnsi"/>
          <w:sz w:val="22"/>
          <w:szCs w:val="22"/>
          <w:lang w:eastAsia="en-IE"/>
          <w14:ligatures w14:val="none"/>
        </w:rPr>
        <w:t xml:space="preserve">legislation applicable to </w:t>
      </w:r>
      <w:r w:rsidR="00601ECD" w:rsidRPr="00A441BF">
        <w:rPr>
          <w:rFonts w:asciiTheme="majorHAnsi" w:hAnsiTheme="majorHAnsi"/>
          <w:sz w:val="22"/>
          <w:szCs w:val="22"/>
          <w:lang w:eastAsia="en-IE"/>
          <w14:ligatures w14:val="none"/>
        </w:rPr>
        <w:t>AI</w:t>
      </w:r>
      <w:r w:rsidR="008B23AF" w:rsidRPr="00A441BF">
        <w:rPr>
          <w:rFonts w:asciiTheme="majorHAnsi" w:hAnsiTheme="majorHAnsi"/>
          <w:sz w:val="22"/>
          <w:szCs w:val="22"/>
          <w:lang w:eastAsia="en-IE"/>
          <w14:ligatures w14:val="none"/>
        </w:rPr>
        <w:t xml:space="preserve"> technologies</w:t>
      </w:r>
      <w:r w:rsidR="00601ECD" w:rsidRPr="00A441BF">
        <w:rPr>
          <w:rFonts w:asciiTheme="majorHAnsi" w:hAnsiTheme="majorHAnsi"/>
          <w:sz w:val="22"/>
          <w:szCs w:val="22"/>
          <w:lang w:eastAsia="en-IE"/>
          <w14:ligatures w14:val="none"/>
        </w:rPr>
        <w:t xml:space="preserve"> is a crucial aspect of ensuring </w:t>
      </w:r>
      <w:r w:rsidR="00027749" w:rsidRPr="00A441BF">
        <w:rPr>
          <w:rFonts w:asciiTheme="majorHAnsi" w:hAnsiTheme="majorHAnsi"/>
          <w:sz w:val="22"/>
          <w:szCs w:val="22"/>
          <w:lang w:eastAsia="en-IE"/>
          <w14:ligatures w14:val="none"/>
        </w:rPr>
        <w:t>consistent</w:t>
      </w:r>
      <w:r w:rsidR="001F26A6" w:rsidRPr="00A441BF">
        <w:rPr>
          <w:rFonts w:asciiTheme="majorHAnsi" w:hAnsiTheme="majorHAnsi"/>
          <w:sz w:val="22"/>
          <w:szCs w:val="22"/>
          <w:lang w:eastAsia="en-IE"/>
          <w14:ligatures w14:val="none"/>
        </w:rPr>
        <w:t xml:space="preserve"> </w:t>
      </w:r>
      <w:r w:rsidR="00601ECD" w:rsidRPr="00A441BF">
        <w:rPr>
          <w:rFonts w:asciiTheme="majorHAnsi" w:hAnsiTheme="majorHAnsi"/>
          <w:sz w:val="22"/>
          <w:szCs w:val="22"/>
          <w:lang w:eastAsia="en-IE"/>
          <w14:ligatures w14:val="none"/>
        </w:rPr>
        <w:t xml:space="preserve">enforcement. </w:t>
      </w:r>
      <w:r w:rsidR="004F433C" w:rsidRPr="00A441BF">
        <w:rPr>
          <w:rFonts w:asciiTheme="majorHAnsi" w:hAnsiTheme="majorHAnsi"/>
          <w:sz w:val="22"/>
          <w:szCs w:val="22"/>
          <w:lang w:eastAsia="en-IE"/>
          <w14:ligatures w14:val="none"/>
        </w:rPr>
        <w:t>All relevant regulatory frameworks</w:t>
      </w:r>
      <w:r w:rsidR="00E63E74" w:rsidRPr="00A441BF">
        <w:rPr>
          <w:rFonts w:asciiTheme="majorHAnsi" w:hAnsiTheme="majorHAnsi"/>
          <w:sz w:val="22"/>
          <w:szCs w:val="22"/>
          <w:lang w:eastAsia="en-IE"/>
          <w14:ligatures w14:val="none"/>
        </w:rPr>
        <w:t xml:space="preserve"> </w:t>
      </w:r>
      <w:r w:rsidRPr="00A441BF">
        <w:rPr>
          <w:rFonts w:asciiTheme="majorHAnsi" w:hAnsiTheme="majorHAnsi"/>
          <w:sz w:val="22"/>
          <w:szCs w:val="22"/>
          <w:lang w:eastAsia="en-IE"/>
          <w14:ligatures w14:val="none"/>
        </w:rPr>
        <w:t>need to be interpreted coherently to avoid over</w:t>
      </w:r>
      <w:r w:rsidR="003C2DFE" w:rsidRPr="00A441BF">
        <w:rPr>
          <w:rFonts w:asciiTheme="majorHAnsi" w:hAnsiTheme="majorHAnsi"/>
          <w:sz w:val="22"/>
          <w:szCs w:val="22"/>
          <w:lang w:eastAsia="en-IE"/>
          <w14:ligatures w14:val="none"/>
        </w:rPr>
        <w:t>-</w:t>
      </w:r>
      <w:r w:rsidRPr="00A441BF">
        <w:rPr>
          <w:rFonts w:asciiTheme="majorHAnsi" w:hAnsiTheme="majorHAnsi"/>
          <w:sz w:val="22"/>
          <w:szCs w:val="22"/>
          <w:lang w:eastAsia="en-IE"/>
          <w14:ligatures w14:val="none"/>
        </w:rPr>
        <w:t xml:space="preserve"> and underenforcement.</w:t>
      </w:r>
      <w:r w:rsidR="00365FC6" w:rsidRPr="00A441BF">
        <w:rPr>
          <w:rFonts w:asciiTheme="majorHAnsi" w:hAnsiTheme="majorHAnsi"/>
          <w:sz w:val="22"/>
          <w:szCs w:val="22"/>
          <w:lang w:eastAsia="en-IE"/>
          <w14:ligatures w14:val="none"/>
        </w:rPr>
        <w:t xml:space="preserve"> </w:t>
      </w:r>
      <w:r w:rsidR="00E63E74" w:rsidRPr="00A441BF">
        <w:rPr>
          <w:rFonts w:asciiTheme="majorHAnsi" w:hAnsiTheme="majorHAnsi"/>
          <w:sz w:val="22"/>
          <w:szCs w:val="22"/>
          <w:lang w:eastAsia="en-IE"/>
          <w14:ligatures w14:val="none"/>
        </w:rPr>
        <w:t>Against this back</w:t>
      </w:r>
      <w:r w:rsidR="00DC34EA" w:rsidRPr="00A441BF">
        <w:rPr>
          <w:rFonts w:asciiTheme="majorHAnsi" w:hAnsiTheme="majorHAnsi"/>
          <w:sz w:val="22"/>
          <w:szCs w:val="22"/>
          <w:lang w:eastAsia="en-IE"/>
          <w14:ligatures w14:val="none"/>
        </w:rPr>
        <w:t>ground</w:t>
      </w:r>
      <w:r w:rsidR="00E63E74" w:rsidRPr="00A441BF">
        <w:rPr>
          <w:rFonts w:asciiTheme="majorHAnsi" w:hAnsiTheme="majorHAnsi"/>
          <w:sz w:val="22"/>
          <w:szCs w:val="22"/>
          <w:lang w:eastAsia="en-IE"/>
          <w14:ligatures w14:val="none"/>
        </w:rPr>
        <w:t xml:space="preserve">, </w:t>
      </w:r>
      <w:r w:rsidR="000B2BC9" w:rsidRPr="00A441BF">
        <w:rPr>
          <w:rFonts w:asciiTheme="majorHAnsi" w:hAnsiTheme="majorHAnsi"/>
          <w:sz w:val="22"/>
          <w:szCs w:val="22"/>
          <w:lang w:eastAsia="en-IE"/>
          <w14:ligatures w14:val="none"/>
        </w:rPr>
        <w:t xml:space="preserve">further </w:t>
      </w:r>
      <w:r w:rsidR="00E50A68" w:rsidRPr="00A441BF">
        <w:rPr>
          <w:rFonts w:asciiTheme="majorHAnsi" w:hAnsiTheme="majorHAnsi"/>
          <w:sz w:val="22"/>
          <w:szCs w:val="22"/>
          <w:lang w:eastAsia="en-IE"/>
          <w14:ligatures w14:val="none"/>
        </w:rPr>
        <w:t>work</w:t>
      </w:r>
      <w:r w:rsidR="003A2369" w:rsidRPr="00A441BF">
        <w:rPr>
          <w:rFonts w:asciiTheme="majorHAnsi" w:hAnsiTheme="majorHAnsi"/>
          <w:sz w:val="22"/>
          <w:szCs w:val="22"/>
          <w:lang w:eastAsia="en-IE"/>
          <w14:ligatures w14:val="none"/>
        </w:rPr>
        <w:t xml:space="preserve"> is needed</w:t>
      </w:r>
      <w:r w:rsidR="00E50A68" w:rsidRPr="00A441BF">
        <w:rPr>
          <w:rFonts w:asciiTheme="majorHAnsi" w:hAnsiTheme="majorHAnsi"/>
          <w:sz w:val="22"/>
          <w:szCs w:val="22"/>
          <w:lang w:eastAsia="en-IE"/>
          <w14:ligatures w14:val="none"/>
        </w:rPr>
        <w:t xml:space="preserve"> to develop </w:t>
      </w:r>
      <w:r w:rsidR="00780ACC" w:rsidRPr="00A441BF">
        <w:rPr>
          <w:rFonts w:asciiTheme="majorHAnsi" w:hAnsiTheme="majorHAnsi"/>
          <w:sz w:val="22"/>
          <w:szCs w:val="22"/>
          <w:lang w:eastAsia="en-IE"/>
          <w14:ligatures w14:val="none"/>
        </w:rPr>
        <w:t xml:space="preserve">a </w:t>
      </w:r>
      <w:r w:rsidR="00E50A68" w:rsidRPr="00A441BF">
        <w:rPr>
          <w:rFonts w:asciiTheme="majorHAnsi" w:hAnsiTheme="majorHAnsi"/>
          <w:sz w:val="22"/>
          <w:szCs w:val="22"/>
          <w:lang w:eastAsia="en-IE"/>
          <w14:ligatures w14:val="none"/>
        </w:rPr>
        <w:t xml:space="preserve">common </w:t>
      </w:r>
      <w:r w:rsidR="00780ACC" w:rsidRPr="00A441BF">
        <w:rPr>
          <w:rFonts w:asciiTheme="majorHAnsi" w:hAnsiTheme="majorHAnsi"/>
          <w:sz w:val="22"/>
          <w:szCs w:val="22"/>
          <w:lang w:eastAsia="en-IE"/>
          <w14:ligatures w14:val="none"/>
        </w:rPr>
        <w:t xml:space="preserve">understanding </w:t>
      </w:r>
      <w:r w:rsidR="00E63E74" w:rsidRPr="00A441BF">
        <w:rPr>
          <w:rFonts w:asciiTheme="majorHAnsi" w:hAnsiTheme="majorHAnsi"/>
          <w:sz w:val="22"/>
          <w:szCs w:val="22"/>
          <w:lang w:eastAsia="en-IE"/>
          <w14:ligatures w14:val="none"/>
        </w:rPr>
        <w:t xml:space="preserve">of </w:t>
      </w:r>
      <w:r w:rsidR="00E50A68" w:rsidRPr="00A441BF">
        <w:rPr>
          <w:rFonts w:asciiTheme="majorHAnsi" w:hAnsiTheme="majorHAnsi"/>
          <w:sz w:val="22"/>
          <w:szCs w:val="22"/>
          <w:lang w:eastAsia="en-IE"/>
          <w14:ligatures w14:val="none"/>
        </w:rPr>
        <w:t>AI</w:t>
      </w:r>
      <w:r w:rsidR="00780ACC" w:rsidRPr="00A441BF">
        <w:rPr>
          <w:rFonts w:asciiTheme="majorHAnsi" w:hAnsiTheme="majorHAnsi"/>
          <w:sz w:val="22"/>
          <w:szCs w:val="22"/>
          <w:lang w:eastAsia="en-IE"/>
          <w14:ligatures w14:val="none"/>
        </w:rPr>
        <w:t xml:space="preserve"> related </w:t>
      </w:r>
      <w:r w:rsidR="00E63E74" w:rsidRPr="00A441BF">
        <w:rPr>
          <w:rFonts w:asciiTheme="majorHAnsi" w:hAnsiTheme="majorHAnsi"/>
          <w:sz w:val="22"/>
          <w:szCs w:val="22"/>
          <w:lang w:eastAsia="en-IE"/>
          <w14:ligatures w14:val="none"/>
        </w:rPr>
        <w:t>issues</w:t>
      </w:r>
      <w:r w:rsidR="00365FC6" w:rsidRPr="00A441BF">
        <w:rPr>
          <w:rFonts w:asciiTheme="majorHAnsi" w:hAnsiTheme="majorHAnsi"/>
          <w:sz w:val="22"/>
          <w:szCs w:val="22"/>
          <w:lang w:eastAsia="en-IE"/>
          <w14:ligatures w14:val="none"/>
        </w:rPr>
        <w:t xml:space="preserve"> and, s</w:t>
      </w:r>
      <w:r w:rsidR="00DC34EA" w:rsidRPr="00A441BF">
        <w:rPr>
          <w:rFonts w:asciiTheme="majorHAnsi" w:hAnsiTheme="majorHAnsi"/>
          <w:sz w:val="22"/>
          <w:szCs w:val="22"/>
          <w:lang w:eastAsia="en-IE"/>
          <w14:ligatures w14:val="none"/>
        </w:rPr>
        <w:t xml:space="preserve">ubsequently, </w:t>
      </w:r>
      <w:r w:rsidR="00E63E74" w:rsidRPr="00A441BF">
        <w:rPr>
          <w:rFonts w:asciiTheme="majorHAnsi" w:hAnsiTheme="majorHAnsi"/>
          <w:sz w:val="22"/>
          <w:szCs w:val="22"/>
          <w:lang w:eastAsia="en-IE"/>
          <w14:ligatures w14:val="none"/>
        </w:rPr>
        <w:t>enforcement practice</w:t>
      </w:r>
      <w:r w:rsidR="003A2369" w:rsidRPr="00A441BF">
        <w:rPr>
          <w:rFonts w:asciiTheme="majorHAnsi" w:hAnsiTheme="majorHAnsi"/>
          <w:sz w:val="22"/>
          <w:szCs w:val="22"/>
          <w:lang w:eastAsia="en-IE"/>
          <w14:ligatures w14:val="none"/>
        </w:rPr>
        <w:t>s</w:t>
      </w:r>
      <w:r w:rsidR="00E63E74" w:rsidRPr="00A441BF">
        <w:rPr>
          <w:rFonts w:asciiTheme="majorHAnsi" w:hAnsiTheme="majorHAnsi"/>
          <w:sz w:val="22"/>
          <w:szCs w:val="22"/>
          <w:lang w:eastAsia="en-IE"/>
          <w14:ligatures w14:val="none"/>
        </w:rPr>
        <w:t xml:space="preserve"> </w:t>
      </w:r>
      <w:r w:rsidR="00DC34EA" w:rsidRPr="00A441BF">
        <w:rPr>
          <w:rFonts w:asciiTheme="majorHAnsi" w:hAnsiTheme="majorHAnsi"/>
          <w:sz w:val="22"/>
          <w:szCs w:val="22"/>
          <w:lang w:eastAsia="en-IE"/>
          <w14:ligatures w14:val="none"/>
        </w:rPr>
        <w:t xml:space="preserve">should </w:t>
      </w:r>
      <w:r w:rsidR="00E63E74" w:rsidRPr="00A441BF">
        <w:rPr>
          <w:rFonts w:asciiTheme="majorHAnsi" w:hAnsiTheme="majorHAnsi"/>
          <w:sz w:val="22"/>
          <w:szCs w:val="22"/>
          <w:lang w:eastAsia="en-IE"/>
          <w14:ligatures w14:val="none"/>
        </w:rPr>
        <w:t xml:space="preserve">reflect </w:t>
      </w:r>
      <w:r w:rsidR="00DC34EA" w:rsidRPr="00A441BF">
        <w:rPr>
          <w:rFonts w:asciiTheme="majorHAnsi" w:hAnsiTheme="majorHAnsi"/>
          <w:sz w:val="22"/>
          <w:szCs w:val="22"/>
          <w:lang w:eastAsia="en-IE"/>
          <w14:ligatures w14:val="none"/>
        </w:rPr>
        <w:t xml:space="preserve">such </w:t>
      </w:r>
      <w:r w:rsidR="00E63E74" w:rsidRPr="00A441BF">
        <w:rPr>
          <w:rFonts w:asciiTheme="majorHAnsi" w:hAnsiTheme="majorHAnsi"/>
          <w:sz w:val="22"/>
          <w:szCs w:val="22"/>
          <w:lang w:eastAsia="en-IE"/>
          <w14:ligatures w14:val="none"/>
        </w:rPr>
        <w:t>common understanding</w:t>
      </w:r>
      <w:r w:rsidR="00E50A68" w:rsidRPr="00A441BF">
        <w:rPr>
          <w:rFonts w:asciiTheme="majorHAnsi" w:hAnsiTheme="majorHAnsi"/>
          <w:sz w:val="22"/>
          <w:szCs w:val="22"/>
          <w:lang w:eastAsia="en-IE"/>
          <w14:ligatures w14:val="none"/>
        </w:rPr>
        <w:t>.</w:t>
      </w:r>
    </w:p>
    <w:p w14:paraId="1D3A38D2" w14:textId="2C608230" w:rsidR="00A445C8" w:rsidRPr="00A441BF" w:rsidRDefault="00E50A68" w:rsidP="00A445C8">
      <w:pPr>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 xml:space="preserve">Overall, coordination between different </w:t>
      </w:r>
      <w:r w:rsidR="00243658" w:rsidRPr="00A441BF">
        <w:rPr>
          <w:rFonts w:asciiTheme="majorHAnsi" w:hAnsiTheme="majorHAnsi"/>
          <w:sz w:val="22"/>
          <w:szCs w:val="22"/>
          <w:lang w:eastAsia="en-IE"/>
          <w14:ligatures w14:val="none"/>
        </w:rPr>
        <w:t xml:space="preserve">regulatory </w:t>
      </w:r>
      <w:r w:rsidRPr="00A441BF">
        <w:rPr>
          <w:rFonts w:asciiTheme="majorHAnsi" w:hAnsiTheme="majorHAnsi"/>
          <w:sz w:val="22"/>
          <w:szCs w:val="22"/>
          <w:lang w:eastAsia="en-IE"/>
          <w14:ligatures w14:val="none"/>
        </w:rPr>
        <w:t xml:space="preserve">bodies dealing with AI is essential to ensuring that AI is developed and deployed in a way that is consistent with EU values and principles. </w:t>
      </w:r>
      <w:r w:rsidR="00DC34EA" w:rsidRPr="00A441BF">
        <w:rPr>
          <w:rFonts w:asciiTheme="majorHAnsi" w:hAnsiTheme="majorHAnsi"/>
          <w:sz w:val="22"/>
          <w:szCs w:val="22"/>
          <w:lang w:eastAsia="en-IE"/>
          <w14:ligatures w14:val="none"/>
        </w:rPr>
        <w:t xml:space="preserve">The mandate of the HLG under the DMA covers this and allows </w:t>
      </w:r>
      <w:r w:rsidR="009B7814" w:rsidRPr="00A441BF">
        <w:rPr>
          <w:rFonts w:asciiTheme="majorHAnsi" w:hAnsiTheme="majorHAnsi"/>
          <w:sz w:val="22"/>
          <w:szCs w:val="22"/>
          <w:lang w:eastAsia="en-IE"/>
          <w14:ligatures w14:val="none"/>
        </w:rPr>
        <w:t xml:space="preserve">enhanced </w:t>
      </w:r>
      <w:r w:rsidR="00D97429" w:rsidRPr="00A441BF">
        <w:rPr>
          <w:rFonts w:asciiTheme="majorHAnsi" w:hAnsiTheme="majorHAnsi"/>
          <w:sz w:val="22"/>
          <w:szCs w:val="22"/>
          <w:lang w:eastAsia="en-IE"/>
          <w14:ligatures w14:val="none"/>
        </w:rPr>
        <w:t>coordination</w:t>
      </w:r>
      <w:r w:rsidR="00D875DC" w:rsidRPr="00A441BF">
        <w:rPr>
          <w:rFonts w:asciiTheme="majorHAnsi" w:hAnsiTheme="majorHAnsi"/>
          <w:sz w:val="22"/>
          <w:szCs w:val="22"/>
          <w:lang w:eastAsia="en-IE"/>
          <w14:ligatures w14:val="none"/>
        </w:rPr>
        <w:t xml:space="preserve"> and </w:t>
      </w:r>
      <w:r w:rsidR="00C33FFB" w:rsidRPr="00A441BF">
        <w:rPr>
          <w:rFonts w:asciiTheme="majorHAnsi" w:hAnsiTheme="majorHAnsi"/>
          <w:sz w:val="22"/>
          <w:szCs w:val="22"/>
          <w:lang w:eastAsia="en-IE"/>
          <w14:ligatures w14:val="none"/>
        </w:rPr>
        <w:t>cooperation between the relevant regulatory bodies</w:t>
      </w:r>
      <w:r w:rsidR="009B7814" w:rsidRPr="00A441BF">
        <w:rPr>
          <w:rFonts w:asciiTheme="majorHAnsi" w:hAnsiTheme="majorHAnsi"/>
          <w:sz w:val="22"/>
          <w:szCs w:val="22"/>
          <w:lang w:eastAsia="en-IE"/>
          <w14:ligatures w14:val="none"/>
        </w:rPr>
        <w:t xml:space="preserve"> within</w:t>
      </w:r>
      <w:r w:rsidR="006C0315" w:rsidRPr="00A441BF">
        <w:rPr>
          <w:rFonts w:asciiTheme="majorHAnsi" w:hAnsiTheme="majorHAnsi"/>
          <w:sz w:val="22"/>
          <w:szCs w:val="22"/>
          <w:lang w:eastAsia="en-IE"/>
          <w14:ligatures w14:val="none"/>
        </w:rPr>
        <w:t xml:space="preserve"> the f</w:t>
      </w:r>
      <w:r w:rsidR="008F1931" w:rsidRPr="00A441BF">
        <w:rPr>
          <w:rFonts w:asciiTheme="majorHAnsi" w:hAnsiTheme="majorHAnsi"/>
          <w:sz w:val="22"/>
          <w:szCs w:val="22"/>
          <w:lang w:eastAsia="en-IE"/>
          <w14:ligatures w14:val="none"/>
        </w:rPr>
        <w:t xml:space="preserve">orum </w:t>
      </w:r>
      <w:r w:rsidR="006C0315" w:rsidRPr="00A441BF">
        <w:rPr>
          <w:rFonts w:asciiTheme="majorHAnsi" w:hAnsiTheme="majorHAnsi"/>
          <w:sz w:val="22"/>
          <w:szCs w:val="22"/>
          <w:lang w:eastAsia="en-IE"/>
          <w14:ligatures w14:val="none"/>
        </w:rPr>
        <w:t>of the</w:t>
      </w:r>
      <w:r w:rsidR="009B7814" w:rsidRPr="00A441BF">
        <w:rPr>
          <w:rFonts w:asciiTheme="majorHAnsi" w:hAnsiTheme="majorHAnsi"/>
          <w:sz w:val="22"/>
          <w:szCs w:val="22"/>
          <w:lang w:eastAsia="en-IE"/>
          <w14:ligatures w14:val="none"/>
        </w:rPr>
        <w:t xml:space="preserve"> HLG</w:t>
      </w:r>
      <w:r w:rsidR="008F1931" w:rsidRPr="00A441BF">
        <w:rPr>
          <w:rFonts w:asciiTheme="majorHAnsi" w:hAnsiTheme="majorHAnsi"/>
          <w:sz w:val="22"/>
          <w:szCs w:val="22"/>
          <w:lang w:eastAsia="en-IE"/>
          <w14:ligatures w14:val="none"/>
        </w:rPr>
        <w:t xml:space="preserve"> as provided for in the DMA</w:t>
      </w:r>
      <w:r w:rsidR="00C33FFB" w:rsidRPr="00A441BF">
        <w:rPr>
          <w:rFonts w:asciiTheme="majorHAnsi" w:hAnsiTheme="majorHAnsi"/>
          <w:sz w:val="22"/>
          <w:szCs w:val="22"/>
          <w:lang w:eastAsia="en-IE"/>
          <w14:ligatures w14:val="none"/>
        </w:rPr>
        <w:t>.</w:t>
      </w:r>
      <w:r w:rsidR="00027749" w:rsidRPr="00A441BF">
        <w:rPr>
          <w:rFonts w:asciiTheme="majorHAnsi" w:hAnsiTheme="majorHAnsi"/>
          <w:sz w:val="22"/>
          <w:szCs w:val="22"/>
          <w:lang w:eastAsia="en-IE"/>
          <w14:ligatures w14:val="none"/>
        </w:rPr>
        <w:t xml:space="preserve"> </w:t>
      </w:r>
    </w:p>
    <w:p w14:paraId="6B47C17D" w14:textId="5DA2A435" w:rsidR="006D7FAA" w:rsidRPr="00A441BF" w:rsidRDefault="006D7FAA" w:rsidP="00365FC6">
      <w:pPr>
        <w:jc w:val="both"/>
        <w:rPr>
          <w:rFonts w:asciiTheme="majorHAnsi" w:hAnsiTheme="majorHAnsi"/>
          <w:sz w:val="22"/>
          <w:szCs w:val="22"/>
          <w:lang w:eastAsia="en-IE"/>
          <w14:ligatures w14:val="none"/>
        </w:rPr>
      </w:pPr>
    </w:p>
    <w:p w14:paraId="4A4F688F" w14:textId="3862C43F" w:rsidR="00C33FFB" w:rsidRPr="00A441BF" w:rsidRDefault="00DC34EA" w:rsidP="00365FC6">
      <w:pPr>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lastRenderedPageBreak/>
        <w:t>As regards concrete enforcement cases, t</w:t>
      </w:r>
      <w:r w:rsidR="006D7FAA" w:rsidRPr="00A441BF">
        <w:rPr>
          <w:rFonts w:asciiTheme="majorHAnsi" w:hAnsiTheme="majorHAnsi"/>
          <w:sz w:val="22"/>
          <w:szCs w:val="22"/>
          <w:lang w:eastAsia="en-IE"/>
          <w14:ligatures w14:val="none"/>
        </w:rPr>
        <w:t xml:space="preserve">he need for collaboration and cooperation between digital regulators, at both the EU and national levels, was emphasised in the recent </w:t>
      </w:r>
      <w:r w:rsidR="006D7FAA" w:rsidRPr="00A441BF">
        <w:rPr>
          <w:rFonts w:asciiTheme="majorHAnsi" w:hAnsiTheme="majorHAnsi"/>
          <w:i/>
          <w:iCs/>
          <w:sz w:val="22"/>
          <w:szCs w:val="22"/>
          <w:lang w:eastAsia="en-IE"/>
          <w14:ligatures w14:val="none"/>
        </w:rPr>
        <w:t xml:space="preserve">Meta Platforms Inc and Others v </w:t>
      </w:r>
      <w:proofErr w:type="spellStart"/>
      <w:r w:rsidR="006D7FAA" w:rsidRPr="00A441BF">
        <w:rPr>
          <w:rFonts w:asciiTheme="majorHAnsi" w:hAnsiTheme="majorHAnsi"/>
          <w:i/>
          <w:iCs/>
          <w:sz w:val="22"/>
          <w:szCs w:val="22"/>
          <w:lang w:eastAsia="en-IE"/>
          <w14:ligatures w14:val="none"/>
        </w:rPr>
        <w:t>Bundeskartellamt</w:t>
      </w:r>
      <w:proofErr w:type="spellEnd"/>
      <w:r w:rsidR="006D7FAA" w:rsidRPr="00A441BF">
        <w:rPr>
          <w:rFonts w:asciiTheme="majorHAnsi" w:hAnsiTheme="majorHAnsi"/>
          <w:sz w:val="22"/>
          <w:szCs w:val="22"/>
          <w:lang w:eastAsia="en-IE"/>
          <w14:ligatures w14:val="none"/>
        </w:rPr>
        <w:t xml:space="preserve"> judgment of the CJEU (Case C-252/21). The ruling highlights that authorities at both national and EU-level are bound by the principle of sincere cooperation when enforcing EU law. </w:t>
      </w:r>
      <w:r w:rsidRPr="00A441BF">
        <w:rPr>
          <w:rFonts w:asciiTheme="majorHAnsi" w:hAnsiTheme="majorHAnsi"/>
          <w:sz w:val="22"/>
          <w:szCs w:val="22"/>
          <w:lang w:eastAsia="en-IE"/>
          <w14:ligatures w14:val="none"/>
        </w:rPr>
        <w:t xml:space="preserve">Cooperation and coordination in this regard should be </w:t>
      </w:r>
      <w:r w:rsidR="004F433C" w:rsidRPr="00A441BF">
        <w:rPr>
          <w:rFonts w:asciiTheme="majorHAnsi" w:hAnsiTheme="majorHAnsi"/>
          <w:sz w:val="22"/>
          <w:szCs w:val="22"/>
          <w:lang w:eastAsia="en-IE"/>
          <w14:ligatures w14:val="none"/>
        </w:rPr>
        <w:t xml:space="preserve">made more effective </w:t>
      </w:r>
      <w:r w:rsidRPr="00A441BF">
        <w:rPr>
          <w:rFonts w:asciiTheme="majorHAnsi" w:hAnsiTheme="majorHAnsi"/>
          <w:sz w:val="22"/>
          <w:szCs w:val="22"/>
          <w:lang w:eastAsia="en-IE"/>
          <w14:ligatures w14:val="none"/>
        </w:rPr>
        <w:t>between the competent authorities.</w:t>
      </w:r>
    </w:p>
    <w:p w14:paraId="68DADA6A" w14:textId="2211931C" w:rsidR="00391A81" w:rsidRPr="00A441BF" w:rsidRDefault="00391A81" w:rsidP="00E3491F">
      <w:pPr>
        <w:keepNext/>
        <w:numPr>
          <w:ilvl w:val="0"/>
          <w:numId w:val="57"/>
        </w:numPr>
        <w:spacing w:before="100" w:beforeAutospacing="1" w:after="240" w:line="240" w:lineRule="auto"/>
        <w:ind w:left="714" w:hanging="357"/>
        <w:jc w:val="both"/>
        <w:rPr>
          <w:rFonts w:asciiTheme="majorHAnsi" w:hAnsiTheme="majorHAnsi"/>
          <w:sz w:val="22"/>
          <w:szCs w:val="22"/>
          <w:u w:val="single"/>
          <w:lang w:eastAsia="en-IE"/>
          <w14:ligatures w14:val="none"/>
        </w:rPr>
      </w:pPr>
      <w:r w:rsidRPr="00A441BF">
        <w:rPr>
          <w:rFonts w:asciiTheme="majorHAnsi" w:hAnsiTheme="majorHAnsi"/>
          <w:sz w:val="22"/>
          <w:szCs w:val="22"/>
          <w:u w:val="single"/>
          <w:lang w:eastAsia="en-IE"/>
          <w14:ligatures w14:val="none"/>
        </w:rPr>
        <w:t>SME support</w:t>
      </w:r>
    </w:p>
    <w:p w14:paraId="3C9D2DD5" w14:textId="53B43309" w:rsidR="00F469F9" w:rsidRPr="00A441BF" w:rsidRDefault="00243658" w:rsidP="00DA320A">
      <w:pPr>
        <w:spacing w:before="100" w:beforeAutospacing="1" w:after="240" w:line="240" w:lineRule="auto"/>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Members of the HLG subgroup on AI highlight t</w:t>
      </w:r>
      <w:r w:rsidR="00F469F9" w:rsidRPr="00A441BF">
        <w:rPr>
          <w:rFonts w:asciiTheme="majorHAnsi" w:hAnsiTheme="majorHAnsi"/>
          <w:sz w:val="22"/>
          <w:szCs w:val="22"/>
          <w:lang w:eastAsia="en-IE"/>
          <w14:ligatures w14:val="none"/>
        </w:rPr>
        <w:t xml:space="preserve">he importance of </w:t>
      </w:r>
      <w:r w:rsidR="008E0838" w:rsidRPr="00A441BF">
        <w:rPr>
          <w:rFonts w:asciiTheme="majorHAnsi" w:hAnsiTheme="majorHAnsi"/>
          <w:sz w:val="22"/>
          <w:szCs w:val="22"/>
          <w:lang w:eastAsia="en-IE"/>
          <w14:ligatures w14:val="none"/>
        </w:rPr>
        <w:t>support</w:t>
      </w:r>
      <w:r w:rsidR="00CB6C30" w:rsidRPr="00A441BF">
        <w:rPr>
          <w:rFonts w:asciiTheme="majorHAnsi" w:hAnsiTheme="majorHAnsi"/>
          <w:sz w:val="22"/>
          <w:szCs w:val="22"/>
          <w:lang w:eastAsia="en-IE"/>
          <w14:ligatures w14:val="none"/>
        </w:rPr>
        <w:t xml:space="preserve"> for</w:t>
      </w:r>
      <w:r w:rsidR="007A5683" w:rsidRPr="00A441BF">
        <w:rPr>
          <w:rFonts w:asciiTheme="majorHAnsi" w:hAnsiTheme="majorHAnsi"/>
          <w:sz w:val="22"/>
          <w:szCs w:val="22"/>
          <w:lang w:eastAsia="en-IE"/>
          <w14:ligatures w14:val="none"/>
        </w:rPr>
        <w:t xml:space="preserve"> Small and Medium-sized Enterprises</w:t>
      </w:r>
      <w:r w:rsidR="00CB6C30" w:rsidRPr="00A441BF">
        <w:rPr>
          <w:rFonts w:asciiTheme="majorHAnsi" w:hAnsiTheme="majorHAnsi"/>
          <w:sz w:val="22"/>
          <w:szCs w:val="22"/>
          <w:lang w:eastAsia="en-IE"/>
          <w14:ligatures w14:val="none"/>
        </w:rPr>
        <w:t xml:space="preserve"> </w:t>
      </w:r>
      <w:r w:rsidR="007A5683" w:rsidRPr="00A441BF">
        <w:rPr>
          <w:rFonts w:asciiTheme="majorHAnsi" w:hAnsiTheme="majorHAnsi"/>
          <w:sz w:val="22"/>
          <w:szCs w:val="22"/>
          <w:lang w:eastAsia="en-IE"/>
          <w14:ligatures w14:val="none"/>
        </w:rPr>
        <w:t>(‘</w:t>
      </w:r>
      <w:r w:rsidR="00CB6C30" w:rsidRPr="00A441BF">
        <w:rPr>
          <w:rFonts w:asciiTheme="majorHAnsi" w:hAnsiTheme="majorHAnsi"/>
          <w:sz w:val="22"/>
          <w:szCs w:val="22"/>
          <w:lang w:eastAsia="en-IE"/>
          <w14:ligatures w14:val="none"/>
        </w:rPr>
        <w:t>SMEs</w:t>
      </w:r>
      <w:r w:rsidR="007A5683" w:rsidRPr="00A441BF">
        <w:rPr>
          <w:rFonts w:asciiTheme="majorHAnsi" w:hAnsiTheme="majorHAnsi"/>
          <w:sz w:val="22"/>
          <w:szCs w:val="22"/>
          <w:lang w:eastAsia="en-IE"/>
          <w14:ligatures w14:val="none"/>
        </w:rPr>
        <w:t>’)</w:t>
      </w:r>
      <w:r w:rsidR="00CB6C30" w:rsidRPr="00A441BF">
        <w:rPr>
          <w:rFonts w:asciiTheme="majorHAnsi" w:hAnsiTheme="majorHAnsi"/>
          <w:sz w:val="22"/>
          <w:szCs w:val="22"/>
          <w:lang w:eastAsia="en-IE"/>
          <w14:ligatures w14:val="none"/>
        </w:rPr>
        <w:t>,</w:t>
      </w:r>
      <w:r w:rsidR="00F469F9" w:rsidRPr="00A441BF">
        <w:rPr>
          <w:rFonts w:asciiTheme="majorHAnsi" w:hAnsiTheme="majorHAnsi"/>
          <w:sz w:val="22"/>
          <w:szCs w:val="22"/>
          <w:lang w:eastAsia="en-IE"/>
          <w14:ligatures w14:val="none"/>
        </w:rPr>
        <w:t xml:space="preserve"> </w:t>
      </w:r>
      <w:r w:rsidR="00A80E9C" w:rsidRPr="00A441BF">
        <w:rPr>
          <w:rFonts w:asciiTheme="majorHAnsi" w:hAnsiTheme="majorHAnsi"/>
          <w:sz w:val="22"/>
          <w:szCs w:val="22"/>
          <w:lang w:eastAsia="en-IE"/>
          <w14:ligatures w14:val="none"/>
        </w:rPr>
        <w:t xml:space="preserve">both </w:t>
      </w:r>
      <w:proofErr w:type="gramStart"/>
      <w:r w:rsidR="0031607C" w:rsidRPr="00A441BF">
        <w:rPr>
          <w:rFonts w:asciiTheme="majorHAnsi" w:hAnsiTheme="majorHAnsi"/>
          <w:sz w:val="22"/>
          <w:szCs w:val="22"/>
          <w:lang w:eastAsia="en-IE"/>
          <w14:ligatures w14:val="none"/>
        </w:rPr>
        <w:t xml:space="preserve">in order </w:t>
      </w:r>
      <w:r w:rsidR="00F469F9" w:rsidRPr="00A441BF">
        <w:rPr>
          <w:rFonts w:asciiTheme="majorHAnsi" w:hAnsiTheme="majorHAnsi"/>
          <w:sz w:val="22"/>
          <w:szCs w:val="22"/>
          <w:lang w:eastAsia="en-IE"/>
          <w14:ligatures w14:val="none"/>
        </w:rPr>
        <w:t>to</w:t>
      </w:r>
      <w:proofErr w:type="gramEnd"/>
      <w:r w:rsidR="00CB6C30" w:rsidRPr="00A441BF">
        <w:rPr>
          <w:rFonts w:asciiTheme="majorHAnsi" w:hAnsiTheme="majorHAnsi"/>
          <w:sz w:val="22"/>
          <w:szCs w:val="22"/>
          <w:lang w:eastAsia="en-IE"/>
          <w14:ligatures w14:val="none"/>
        </w:rPr>
        <w:t xml:space="preserve"> enable them to</w:t>
      </w:r>
      <w:r w:rsidR="00F469F9" w:rsidRPr="00A441BF">
        <w:rPr>
          <w:rFonts w:asciiTheme="majorHAnsi" w:hAnsiTheme="majorHAnsi"/>
          <w:sz w:val="22"/>
          <w:szCs w:val="22"/>
          <w:lang w:eastAsia="en-IE"/>
          <w14:ligatures w14:val="none"/>
        </w:rPr>
        <w:t xml:space="preserve"> enjoy the benefits of the DMA,</w:t>
      </w:r>
      <w:r w:rsidR="008E0838" w:rsidRPr="00A441BF">
        <w:rPr>
          <w:rFonts w:asciiTheme="majorHAnsi" w:hAnsiTheme="majorHAnsi"/>
          <w:sz w:val="22"/>
          <w:szCs w:val="22"/>
          <w:lang w:eastAsia="en-IE"/>
          <w14:ligatures w14:val="none"/>
        </w:rPr>
        <w:t xml:space="preserve"> </w:t>
      </w:r>
      <w:r w:rsidR="00F469F9" w:rsidRPr="00A441BF">
        <w:rPr>
          <w:rFonts w:asciiTheme="majorHAnsi" w:hAnsiTheme="majorHAnsi"/>
          <w:sz w:val="22"/>
          <w:szCs w:val="22"/>
          <w:lang w:eastAsia="en-IE"/>
          <w14:ligatures w14:val="none"/>
        </w:rPr>
        <w:t xml:space="preserve">as they are often the main </w:t>
      </w:r>
      <w:r w:rsidR="00DA320A" w:rsidRPr="00A441BF">
        <w:rPr>
          <w:rFonts w:asciiTheme="majorHAnsi" w:hAnsiTheme="majorHAnsi"/>
          <w:sz w:val="22"/>
          <w:szCs w:val="22"/>
          <w:lang w:eastAsia="en-IE"/>
          <w14:ligatures w14:val="none"/>
        </w:rPr>
        <w:t xml:space="preserve">beneficiaries of </w:t>
      </w:r>
      <w:r w:rsidR="00A80E9C" w:rsidRPr="00A441BF">
        <w:rPr>
          <w:rFonts w:asciiTheme="majorHAnsi" w:hAnsiTheme="majorHAnsi"/>
          <w:sz w:val="22"/>
          <w:szCs w:val="22"/>
          <w:lang w:eastAsia="en-IE"/>
          <w14:ligatures w14:val="none"/>
        </w:rPr>
        <w:t>DMA</w:t>
      </w:r>
      <w:r w:rsidR="00DA320A" w:rsidRPr="00A441BF">
        <w:rPr>
          <w:rFonts w:asciiTheme="majorHAnsi" w:hAnsiTheme="majorHAnsi"/>
          <w:sz w:val="22"/>
          <w:szCs w:val="22"/>
          <w:lang w:eastAsia="en-IE"/>
          <w14:ligatures w14:val="none"/>
        </w:rPr>
        <w:t xml:space="preserve"> </w:t>
      </w:r>
      <w:r w:rsidR="008E0838" w:rsidRPr="00A441BF">
        <w:rPr>
          <w:rFonts w:asciiTheme="majorHAnsi" w:hAnsiTheme="majorHAnsi"/>
          <w:sz w:val="22"/>
          <w:szCs w:val="22"/>
          <w:lang w:eastAsia="en-IE"/>
          <w14:ligatures w14:val="none"/>
        </w:rPr>
        <w:t>obligations</w:t>
      </w:r>
      <w:r w:rsidR="00A4086F" w:rsidRPr="00A441BF">
        <w:rPr>
          <w:rFonts w:asciiTheme="majorHAnsi" w:hAnsiTheme="majorHAnsi"/>
          <w:sz w:val="22"/>
          <w:szCs w:val="22"/>
          <w:lang w:eastAsia="en-IE"/>
          <w14:ligatures w14:val="none"/>
        </w:rPr>
        <w:t>,</w:t>
      </w:r>
      <w:r w:rsidR="00F469F9" w:rsidRPr="00A441BF">
        <w:rPr>
          <w:rFonts w:asciiTheme="majorHAnsi" w:hAnsiTheme="majorHAnsi"/>
          <w:sz w:val="22"/>
          <w:szCs w:val="22"/>
          <w:lang w:eastAsia="en-IE"/>
          <w14:ligatures w14:val="none"/>
        </w:rPr>
        <w:t xml:space="preserve"> and </w:t>
      </w:r>
      <w:r w:rsidR="00A80E9C" w:rsidRPr="00A441BF">
        <w:rPr>
          <w:rFonts w:asciiTheme="majorHAnsi" w:hAnsiTheme="majorHAnsi"/>
          <w:sz w:val="22"/>
          <w:szCs w:val="22"/>
          <w:lang w:eastAsia="en-IE"/>
          <w14:ligatures w14:val="none"/>
        </w:rPr>
        <w:t xml:space="preserve">as the </w:t>
      </w:r>
      <w:r w:rsidR="00F469F9" w:rsidRPr="00A441BF">
        <w:rPr>
          <w:rFonts w:asciiTheme="majorHAnsi" w:hAnsiTheme="majorHAnsi"/>
          <w:sz w:val="22"/>
          <w:szCs w:val="22"/>
          <w:lang w:eastAsia="en-IE"/>
          <w14:ligatures w14:val="none"/>
        </w:rPr>
        <w:t xml:space="preserve">real </w:t>
      </w:r>
      <w:r w:rsidR="00FC441C" w:rsidRPr="00A441BF">
        <w:rPr>
          <w:rFonts w:asciiTheme="majorHAnsi" w:hAnsiTheme="majorHAnsi"/>
          <w:sz w:val="22"/>
          <w:szCs w:val="22"/>
          <w:lang w:eastAsia="en-IE"/>
          <w14:ligatures w14:val="none"/>
        </w:rPr>
        <w:t>economic</w:t>
      </w:r>
      <w:r w:rsidR="00F469F9" w:rsidRPr="00A441BF">
        <w:rPr>
          <w:rFonts w:asciiTheme="majorHAnsi" w:hAnsiTheme="majorHAnsi"/>
          <w:sz w:val="22"/>
          <w:szCs w:val="22"/>
          <w:lang w:eastAsia="en-IE"/>
          <w14:ligatures w14:val="none"/>
        </w:rPr>
        <w:t xml:space="preserve"> actors </w:t>
      </w:r>
      <w:r w:rsidR="00FC441C" w:rsidRPr="00A441BF">
        <w:rPr>
          <w:rFonts w:asciiTheme="majorHAnsi" w:hAnsiTheme="majorHAnsi"/>
          <w:sz w:val="22"/>
          <w:szCs w:val="22"/>
          <w:lang w:eastAsia="en-IE"/>
          <w14:ligatures w14:val="none"/>
        </w:rPr>
        <w:t>that stand to benefit from the impact of the DMA.</w:t>
      </w:r>
      <w:r w:rsidR="0099357F" w:rsidRPr="00A441BF">
        <w:rPr>
          <w:rFonts w:asciiTheme="majorHAnsi" w:hAnsiTheme="majorHAnsi"/>
          <w:sz w:val="22"/>
          <w:szCs w:val="22"/>
          <w:lang w:eastAsia="en-IE"/>
          <w14:ligatures w14:val="none"/>
        </w:rPr>
        <w:t xml:space="preserve"> T</w:t>
      </w:r>
      <w:r w:rsidR="00FC441C" w:rsidRPr="00A441BF">
        <w:rPr>
          <w:rFonts w:asciiTheme="majorHAnsi" w:hAnsiTheme="majorHAnsi"/>
          <w:sz w:val="22"/>
          <w:szCs w:val="22"/>
          <w:lang w:eastAsia="en-IE"/>
          <w14:ligatures w14:val="none"/>
        </w:rPr>
        <w:t xml:space="preserve">he need to ensure that SMEs benefit from legal certainty and </w:t>
      </w:r>
      <w:r w:rsidR="00A80E9C" w:rsidRPr="00A441BF">
        <w:rPr>
          <w:rFonts w:asciiTheme="majorHAnsi" w:hAnsiTheme="majorHAnsi"/>
          <w:sz w:val="22"/>
          <w:szCs w:val="22"/>
          <w:lang w:eastAsia="en-IE"/>
          <w14:ligatures w14:val="none"/>
        </w:rPr>
        <w:t xml:space="preserve">that they </w:t>
      </w:r>
      <w:r w:rsidR="00FC441C" w:rsidRPr="00A441BF">
        <w:rPr>
          <w:rFonts w:asciiTheme="majorHAnsi" w:hAnsiTheme="majorHAnsi"/>
          <w:sz w:val="22"/>
          <w:szCs w:val="22"/>
          <w:lang w:eastAsia="en-IE"/>
          <w14:ligatures w14:val="none"/>
        </w:rPr>
        <w:t xml:space="preserve">do not face </w:t>
      </w:r>
      <w:r w:rsidR="0099357F" w:rsidRPr="00A441BF">
        <w:rPr>
          <w:rFonts w:asciiTheme="majorHAnsi" w:hAnsiTheme="majorHAnsi"/>
          <w:sz w:val="22"/>
          <w:szCs w:val="22"/>
          <w:lang w:eastAsia="en-IE"/>
          <w14:ligatures w14:val="none"/>
        </w:rPr>
        <w:t>overly burdensome</w:t>
      </w:r>
      <w:r w:rsidR="00FC441C" w:rsidRPr="00A441BF">
        <w:rPr>
          <w:rFonts w:asciiTheme="majorHAnsi" w:hAnsiTheme="majorHAnsi"/>
          <w:sz w:val="22"/>
          <w:szCs w:val="22"/>
          <w:lang w:eastAsia="en-IE"/>
          <w14:ligatures w14:val="none"/>
        </w:rPr>
        <w:t xml:space="preserve"> barriers to compliance with AI-related regulation</w:t>
      </w:r>
      <w:r w:rsidR="0099357F" w:rsidRPr="00A441BF">
        <w:rPr>
          <w:rFonts w:asciiTheme="majorHAnsi" w:hAnsiTheme="majorHAnsi"/>
          <w:sz w:val="22"/>
          <w:szCs w:val="22"/>
          <w:lang w:eastAsia="en-IE"/>
          <w14:ligatures w14:val="none"/>
        </w:rPr>
        <w:t xml:space="preserve"> was also </w:t>
      </w:r>
      <w:r w:rsidR="00A80E9C" w:rsidRPr="00A441BF">
        <w:rPr>
          <w:rFonts w:asciiTheme="majorHAnsi" w:hAnsiTheme="majorHAnsi"/>
          <w:sz w:val="22"/>
          <w:szCs w:val="22"/>
          <w:lang w:eastAsia="en-IE"/>
          <w14:ligatures w14:val="none"/>
        </w:rPr>
        <w:t>noted</w:t>
      </w:r>
      <w:r w:rsidR="00FC441C" w:rsidRPr="00A441BF">
        <w:rPr>
          <w:rFonts w:asciiTheme="majorHAnsi" w:hAnsiTheme="majorHAnsi"/>
          <w:sz w:val="22"/>
          <w:szCs w:val="22"/>
          <w:lang w:eastAsia="en-IE"/>
          <w14:ligatures w14:val="none"/>
        </w:rPr>
        <w:t>.</w:t>
      </w:r>
      <w:r w:rsidR="00F469F9" w:rsidRPr="00A441BF">
        <w:rPr>
          <w:rFonts w:asciiTheme="majorHAnsi" w:hAnsiTheme="majorHAnsi"/>
          <w:sz w:val="22"/>
          <w:szCs w:val="22"/>
          <w:lang w:eastAsia="en-IE"/>
          <w14:ligatures w14:val="none"/>
        </w:rPr>
        <w:t xml:space="preserve"> </w:t>
      </w:r>
    </w:p>
    <w:p w14:paraId="42310A80" w14:textId="3FB6E864" w:rsidR="001958D8" w:rsidRPr="00A441BF" w:rsidRDefault="00F469F9" w:rsidP="00DA320A">
      <w:pPr>
        <w:spacing w:before="100" w:beforeAutospacing="1" w:after="240" w:line="240" w:lineRule="auto"/>
        <w:jc w:val="both"/>
        <w:rPr>
          <w:rFonts w:asciiTheme="majorHAnsi" w:hAnsiTheme="majorHAnsi"/>
          <w:sz w:val="22"/>
          <w:szCs w:val="22"/>
          <w:lang w:eastAsia="en-IE"/>
          <w14:ligatures w14:val="none"/>
        </w:rPr>
      </w:pPr>
      <w:proofErr w:type="gramStart"/>
      <w:r w:rsidRPr="00A441BF">
        <w:rPr>
          <w:rFonts w:asciiTheme="majorHAnsi" w:hAnsiTheme="majorHAnsi"/>
          <w:sz w:val="22"/>
          <w:szCs w:val="22"/>
          <w:lang w:eastAsia="en-IE"/>
          <w14:ligatures w14:val="none"/>
        </w:rPr>
        <w:t>In particular, it</w:t>
      </w:r>
      <w:proofErr w:type="gramEnd"/>
      <w:r w:rsidRPr="00A441BF">
        <w:rPr>
          <w:rFonts w:asciiTheme="majorHAnsi" w:hAnsiTheme="majorHAnsi"/>
          <w:sz w:val="22"/>
          <w:szCs w:val="22"/>
          <w:lang w:eastAsia="en-IE"/>
          <w14:ligatures w14:val="none"/>
        </w:rPr>
        <w:t xml:space="preserve"> will be critical to inform</w:t>
      </w:r>
      <w:r w:rsidR="00A4086F" w:rsidRPr="00A441BF">
        <w:rPr>
          <w:rFonts w:asciiTheme="majorHAnsi" w:hAnsiTheme="majorHAnsi"/>
          <w:sz w:val="22"/>
          <w:szCs w:val="22"/>
          <w:lang w:eastAsia="en-IE"/>
          <w14:ligatures w14:val="none"/>
        </w:rPr>
        <w:t xml:space="preserve"> SMEs of opportunities created by the DMA</w:t>
      </w:r>
      <w:r w:rsidR="00DA320A" w:rsidRPr="00A441BF">
        <w:rPr>
          <w:rFonts w:asciiTheme="majorHAnsi" w:hAnsiTheme="majorHAnsi"/>
          <w:sz w:val="22"/>
          <w:szCs w:val="22"/>
          <w:lang w:eastAsia="en-IE"/>
          <w14:ligatures w14:val="none"/>
        </w:rPr>
        <w:t xml:space="preserve">. For instance, interoperability obligations can open opportunities in markets that used to be controlled by gatekeepers. </w:t>
      </w:r>
      <w:r w:rsidR="00CE7352" w:rsidRPr="00A441BF">
        <w:rPr>
          <w:rFonts w:asciiTheme="majorHAnsi" w:hAnsiTheme="majorHAnsi"/>
          <w:sz w:val="22"/>
          <w:szCs w:val="22"/>
          <w:lang w:eastAsia="en-IE"/>
          <w14:ligatures w14:val="none"/>
        </w:rPr>
        <w:t>Similarly, data related obligations can grant SMEs access to this critical input in the development of AI services.</w:t>
      </w:r>
    </w:p>
    <w:p w14:paraId="78C858EA" w14:textId="637E3CE1" w:rsidR="00F469F9" w:rsidRPr="00A441BF" w:rsidRDefault="00F469F9" w:rsidP="00DA320A">
      <w:pPr>
        <w:spacing w:before="100" w:beforeAutospacing="1" w:after="240" w:line="240" w:lineRule="auto"/>
        <w:jc w:val="both"/>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 xml:space="preserve">The </w:t>
      </w:r>
      <w:r w:rsidR="00243658" w:rsidRPr="00A441BF">
        <w:rPr>
          <w:rFonts w:asciiTheme="majorHAnsi" w:hAnsiTheme="majorHAnsi"/>
          <w:sz w:val="22"/>
          <w:szCs w:val="22"/>
          <w:lang w:eastAsia="en-IE"/>
          <w14:ligatures w14:val="none"/>
        </w:rPr>
        <w:t xml:space="preserve">Commission’s </w:t>
      </w:r>
      <w:r w:rsidRPr="00A441BF">
        <w:rPr>
          <w:rFonts w:asciiTheme="majorHAnsi" w:hAnsiTheme="majorHAnsi"/>
          <w:sz w:val="22"/>
          <w:szCs w:val="22"/>
          <w:lang w:eastAsia="en-IE"/>
          <w14:ligatures w14:val="none"/>
        </w:rPr>
        <w:t xml:space="preserve">DMA team has already started outreach to several SMEs that provide AI services and has received positive feedback from these interactions. During these interactions, the DMA team has provided a high-level description of the DMA and its obligations to gatekeepers. </w:t>
      </w:r>
      <w:r w:rsidR="00FC441C" w:rsidRPr="00A441BF">
        <w:rPr>
          <w:rFonts w:asciiTheme="majorHAnsi" w:hAnsiTheme="majorHAnsi"/>
          <w:sz w:val="22"/>
          <w:szCs w:val="22"/>
          <w:lang w:eastAsia="en-IE"/>
          <w14:ligatures w14:val="none"/>
        </w:rPr>
        <w:t>SMEs will benefit from coherent enforcement of different regulations, that can result from the inter-agency cooperation discussed above, as this will lead to legal certainty and easier compliance, where relevant.</w:t>
      </w:r>
      <w:r w:rsidR="00775F34" w:rsidRPr="00A441BF">
        <w:rPr>
          <w:rFonts w:asciiTheme="majorHAnsi" w:hAnsiTheme="majorHAnsi"/>
          <w:sz w:val="22"/>
          <w:szCs w:val="22"/>
          <w:lang w:eastAsia="en-IE"/>
          <w14:ligatures w14:val="none"/>
        </w:rPr>
        <w:t xml:space="preserve"> The joint guidelines of the Commission and the EDPB on the interplay between the DMA and the GDPR, currently under public consultation, are an example of this.</w:t>
      </w:r>
    </w:p>
    <w:p w14:paraId="3A79B7AB" w14:textId="0A7036AD" w:rsidR="00F83210" w:rsidRPr="00A441BF" w:rsidRDefault="000C70B4" w:rsidP="00842B1B">
      <w:pPr>
        <w:pStyle w:val="ListParagraph"/>
        <w:numPr>
          <w:ilvl w:val="0"/>
          <w:numId w:val="47"/>
        </w:numPr>
        <w:spacing w:before="100" w:beforeAutospacing="1" w:after="240" w:line="240" w:lineRule="auto"/>
        <w:jc w:val="both"/>
        <w:outlineLvl w:val="2"/>
        <w:rPr>
          <w:rFonts w:asciiTheme="majorHAnsi" w:hAnsiTheme="majorHAnsi"/>
          <w:b/>
          <w:sz w:val="22"/>
          <w:szCs w:val="22"/>
          <w:u w:val="single"/>
          <w:lang w:eastAsia="en-IE"/>
          <w14:ligatures w14:val="none"/>
        </w:rPr>
      </w:pPr>
      <w:r w:rsidRPr="00A441BF">
        <w:rPr>
          <w:rFonts w:asciiTheme="majorHAnsi" w:hAnsiTheme="majorHAnsi"/>
          <w:b/>
          <w:sz w:val="22"/>
          <w:szCs w:val="22"/>
          <w:u w:val="single"/>
          <w:lang w:eastAsia="en-IE"/>
          <w14:ligatures w14:val="none"/>
        </w:rPr>
        <w:t xml:space="preserve">Conclusion </w:t>
      </w:r>
      <w:r w:rsidR="00015D19" w:rsidRPr="00A441BF">
        <w:t xml:space="preserve"> </w:t>
      </w:r>
    </w:p>
    <w:p w14:paraId="35BF360D" w14:textId="400F676C" w:rsidR="00A33632" w:rsidRPr="00A441BF" w:rsidRDefault="00FD2908" w:rsidP="008B23AF">
      <w:pPr>
        <w:spacing w:before="100" w:beforeAutospacing="1" w:after="240" w:line="240" w:lineRule="auto"/>
        <w:jc w:val="both"/>
        <w:outlineLvl w:val="2"/>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 xml:space="preserve">Based on the </w:t>
      </w:r>
      <w:r w:rsidR="000214C8" w:rsidRPr="00A441BF">
        <w:rPr>
          <w:rFonts w:asciiTheme="majorHAnsi" w:hAnsiTheme="majorHAnsi"/>
          <w:sz w:val="22"/>
          <w:szCs w:val="22"/>
          <w:lang w:eastAsia="en-IE"/>
          <w14:ligatures w14:val="none"/>
        </w:rPr>
        <w:t xml:space="preserve">points of </w:t>
      </w:r>
      <w:r w:rsidRPr="00A441BF">
        <w:rPr>
          <w:rFonts w:asciiTheme="majorHAnsi" w:hAnsiTheme="majorHAnsi"/>
          <w:sz w:val="22"/>
          <w:szCs w:val="22"/>
          <w:lang w:eastAsia="en-IE"/>
          <w14:ligatures w14:val="none"/>
        </w:rPr>
        <w:t xml:space="preserve">convergence </w:t>
      </w:r>
      <w:r w:rsidR="00A33632" w:rsidRPr="00A441BF">
        <w:rPr>
          <w:rFonts w:asciiTheme="majorHAnsi" w:hAnsiTheme="majorHAnsi"/>
          <w:sz w:val="22"/>
          <w:szCs w:val="22"/>
          <w:lang w:eastAsia="en-IE"/>
          <w14:ligatures w14:val="none"/>
        </w:rPr>
        <w:t>outlined in the previous sections</w:t>
      </w:r>
      <w:r w:rsidRPr="00A441BF">
        <w:rPr>
          <w:rFonts w:asciiTheme="majorHAnsi" w:hAnsiTheme="majorHAnsi"/>
          <w:sz w:val="22"/>
          <w:szCs w:val="22"/>
          <w:lang w:eastAsia="en-IE"/>
          <w14:ligatures w14:val="none"/>
        </w:rPr>
        <w:t xml:space="preserve">, </w:t>
      </w:r>
      <w:r w:rsidR="00B87BFD" w:rsidRPr="00A441BF">
        <w:rPr>
          <w:rFonts w:asciiTheme="majorHAnsi" w:hAnsiTheme="majorHAnsi"/>
          <w:sz w:val="22"/>
          <w:szCs w:val="22"/>
          <w:lang w:eastAsia="en-IE"/>
          <w14:ligatures w14:val="none"/>
        </w:rPr>
        <w:t>c</w:t>
      </w:r>
      <w:r w:rsidR="00A33632" w:rsidRPr="00A441BF">
        <w:rPr>
          <w:rFonts w:asciiTheme="majorHAnsi" w:hAnsiTheme="majorHAnsi"/>
          <w:sz w:val="22"/>
          <w:szCs w:val="22"/>
          <w:lang w:eastAsia="en-IE"/>
          <w14:ligatures w14:val="none"/>
        </w:rPr>
        <w:t>ross-regulatory</w:t>
      </w:r>
      <w:r w:rsidR="00B87BFD" w:rsidRPr="00A441BF">
        <w:rPr>
          <w:rFonts w:asciiTheme="majorHAnsi" w:hAnsiTheme="majorHAnsi"/>
          <w:sz w:val="22"/>
          <w:szCs w:val="22"/>
          <w:lang w:eastAsia="en-IE"/>
          <w14:ligatures w14:val="none"/>
        </w:rPr>
        <w:t xml:space="preserve"> cooperation between</w:t>
      </w:r>
      <w:r w:rsidRPr="00A441BF">
        <w:rPr>
          <w:rFonts w:asciiTheme="majorHAnsi" w:hAnsiTheme="majorHAnsi"/>
          <w:sz w:val="22"/>
          <w:szCs w:val="22"/>
          <w:lang w:eastAsia="en-IE"/>
          <w14:ligatures w14:val="none"/>
        </w:rPr>
        <w:t xml:space="preserve"> </w:t>
      </w:r>
      <w:r w:rsidR="00A33632" w:rsidRPr="00A441BF">
        <w:rPr>
          <w:rFonts w:asciiTheme="majorHAnsi" w:hAnsiTheme="majorHAnsi"/>
          <w:sz w:val="22"/>
          <w:szCs w:val="22"/>
          <w:lang w:eastAsia="en-IE"/>
          <w14:ligatures w14:val="none"/>
        </w:rPr>
        <w:t xml:space="preserve">competent authorities would </w:t>
      </w:r>
      <w:r w:rsidR="00D875DC" w:rsidRPr="00A441BF">
        <w:rPr>
          <w:rFonts w:asciiTheme="majorHAnsi" w:hAnsiTheme="majorHAnsi"/>
          <w:sz w:val="22"/>
          <w:szCs w:val="22"/>
          <w:lang w:eastAsia="en-IE"/>
          <w14:ligatures w14:val="none"/>
        </w:rPr>
        <w:t xml:space="preserve">help </w:t>
      </w:r>
      <w:r w:rsidR="009B7814" w:rsidRPr="00A441BF">
        <w:rPr>
          <w:rFonts w:asciiTheme="majorHAnsi" w:hAnsiTheme="majorHAnsi"/>
          <w:sz w:val="22"/>
          <w:szCs w:val="22"/>
          <w:lang w:eastAsia="en-IE"/>
          <w14:ligatures w14:val="none"/>
        </w:rPr>
        <w:t>facilit</w:t>
      </w:r>
      <w:r w:rsidR="00772E4D" w:rsidRPr="00A441BF">
        <w:rPr>
          <w:rFonts w:asciiTheme="majorHAnsi" w:hAnsiTheme="majorHAnsi"/>
          <w:sz w:val="22"/>
          <w:szCs w:val="22"/>
          <w:lang w:eastAsia="en-IE"/>
          <w14:ligatures w14:val="none"/>
        </w:rPr>
        <w:t>ate</w:t>
      </w:r>
      <w:r w:rsidR="009B7814" w:rsidRPr="00A441BF">
        <w:rPr>
          <w:rFonts w:asciiTheme="majorHAnsi" w:hAnsiTheme="majorHAnsi"/>
          <w:sz w:val="22"/>
          <w:szCs w:val="22"/>
          <w:lang w:eastAsia="en-IE"/>
          <w14:ligatures w14:val="none"/>
        </w:rPr>
        <w:t xml:space="preserve"> clarity and coherence when it comes to </w:t>
      </w:r>
      <w:r w:rsidR="00A33632" w:rsidRPr="00A441BF">
        <w:rPr>
          <w:rFonts w:asciiTheme="majorHAnsi" w:hAnsiTheme="majorHAnsi"/>
          <w:sz w:val="22"/>
          <w:szCs w:val="22"/>
          <w:lang w:eastAsia="en-IE"/>
          <w14:ligatures w14:val="none"/>
        </w:rPr>
        <w:t xml:space="preserve">the interplay </w:t>
      </w:r>
      <w:r w:rsidR="00D10D08" w:rsidRPr="00A441BF">
        <w:rPr>
          <w:rFonts w:asciiTheme="majorHAnsi" w:hAnsiTheme="majorHAnsi"/>
          <w:sz w:val="22"/>
          <w:szCs w:val="22"/>
          <w:lang w:eastAsia="en-IE"/>
          <w14:ligatures w14:val="none"/>
        </w:rPr>
        <w:t>between</w:t>
      </w:r>
      <w:r w:rsidR="00A33632" w:rsidRPr="00A441BF">
        <w:rPr>
          <w:rFonts w:asciiTheme="majorHAnsi" w:hAnsiTheme="majorHAnsi"/>
          <w:sz w:val="22"/>
          <w:szCs w:val="22"/>
          <w:lang w:eastAsia="en-IE"/>
          <w14:ligatures w14:val="none"/>
        </w:rPr>
        <w:t xml:space="preserve"> the</w:t>
      </w:r>
      <w:r w:rsidR="00D10D08" w:rsidRPr="00A441BF">
        <w:rPr>
          <w:rFonts w:asciiTheme="majorHAnsi" w:hAnsiTheme="majorHAnsi"/>
          <w:sz w:val="22"/>
          <w:szCs w:val="22"/>
          <w:lang w:eastAsia="en-IE"/>
          <w14:ligatures w14:val="none"/>
        </w:rPr>
        <w:t xml:space="preserve"> multiple</w:t>
      </w:r>
      <w:r w:rsidR="00A33632" w:rsidRPr="00A441BF">
        <w:rPr>
          <w:rFonts w:asciiTheme="majorHAnsi" w:hAnsiTheme="majorHAnsi"/>
          <w:sz w:val="22"/>
          <w:szCs w:val="22"/>
          <w:lang w:eastAsia="en-IE"/>
          <w14:ligatures w14:val="none"/>
        </w:rPr>
        <w:t xml:space="preserve"> framework</w:t>
      </w:r>
      <w:r w:rsidR="00D10D08" w:rsidRPr="00A441BF">
        <w:rPr>
          <w:rFonts w:asciiTheme="majorHAnsi" w:hAnsiTheme="majorHAnsi"/>
          <w:sz w:val="22"/>
          <w:szCs w:val="22"/>
          <w:lang w:eastAsia="en-IE"/>
          <w14:ligatures w14:val="none"/>
        </w:rPr>
        <w:t>s</w:t>
      </w:r>
      <w:r w:rsidR="00A33632" w:rsidRPr="00A441BF">
        <w:rPr>
          <w:rFonts w:asciiTheme="majorHAnsi" w:hAnsiTheme="majorHAnsi"/>
          <w:sz w:val="22"/>
          <w:szCs w:val="22"/>
          <w:lang w:eastAsia="en-IE"/>
          <w14:ligatures w14:val="none"/>
        </w:rPr>
        <w:t xml:space="preserve"> of legislation applicable to the AI value chain. </w:t>
      </w:r>
    </w:p>
    <w:p w14:paraId="443A1082" w14:textId="0CBA1860" w:rsidR="00622AEE" w:rsidRPr="00A441BF" w:rsidRDefault="00622AEE" w:rsidP="006962B0">
      <w:pPr>
        <w:spacing w:before="100" w:beforeAutospacing="1" w:after="240" w:line="240" w:lineRule="auto"/>
        <w:jc w:val="both"/>
        <w:outlineLvl w:val="2"/>
        <w:rPr>
          <w:rFonts w:asciiTheme="majorHAnsi" w:hAnsiTheme="majorHAnsi"/>
          <w:sz w:val="22"/>
          <w:szCs w:val="22"/>
          <w:lang w:eastAsia="en-IE"/>
          <w14:ligatures w14:val="none"/>
        </w:rPr>
      </w:pPr>
      <w:r w:rsidRPr="00A441BF">
        <w:rPr>
          <w:rFonts w:asciiTheme="majorHAnsi" w:hAnsiTheme="majorHAnsi"/>
          <w:sz w:val="22"/>
          <w:szCs w:val="22"/>
          <w:lang w:eastAsia="en-IE"/>
          <w14:ligatures w14:val="none"/>
        </w:rPr>
        <w:t xml:space="preserve">This is particularly relevant where multiple frameworks apply to the same practices </w:t>
      </w:r>
      <w:r w:rsidR="00772E4D" w:rsidRPr="00A441BF">
        <w:rPr>
          <w:rFonts w:asciiTheme="majorHAnsi" w:hAnsiTheme="majorHAnsi"/>
          <w:sz w:val="22"/>
          <w:szCs w:val="22"/>
          <w:lang w:eastAsia="en-IE"/>
          <w14:ligatures w14:val="none"/>
        </w:rPr>
        <w:t>or operations</w:t>
      </w:r>
      <w:r w:rsidRPr="00A441BF">
        <w:rPr>
          <w:rFonts w:asciiTheme="majorHAnsi" w:hAnsiTheme="majorHAnsi"/>
          <w:sz w:val="22"/>
          <w:szCs w:val="22"/>
          <w:lang w:eastAsia="en-IE"/>
          <w14:ligatures w14:val="none"/>
        </w:rPr>
        <w:t xml:space="preserve">, such as the development and deployment of AI systems by </w:t>
      </w:r>
      <w:r w:rsidR="00DD6CC6" w:rsidRPr="00A441BF">
        <w:rPr>
          <w:rFonts w:asciiTheme="majorHAnsi" w:hAnsiTheme="majorHAnsi"/>
          <w:sz w:val="22"/>
          <w:szCs w:val="22"/>
          <w:lang w:eastAsia="en-IE"/>
          <w14:ligatures w14:val="none"/>
        </w:rPr>
        <w:t>gatekeepers</w:t>
      </w:r>
      <w:r w:rsidRPr="00A441BF">
        <w:rPr>
          <w:rFonts w:asciiTheme="majorHAnsi" w:hAnsiTheme="majorHAnsi"/>
          <w:sz w:val="22"/>
          <w:szCs w:val="22"/>
          <w:lang w:eastAsia="en-IE"/>
          <w14:ligatures w14:val="none"/>
        </w:rPr>
        <w:t>.</w:t>
      </w:r>
    </w:p>
    <w:p w14:paraId="62DFA4CD" w14:textId="3D13E2D9" w:rsidR="0030348F" w:rsidRPr="00B52E7F" w:rsidRDefault="0030348F" w:rsidP="009B7814">
      <w:pPr>
        <w:jc w:val="both"/>
        <w:rPr>
          <w:rFonts w:asciiTheme="majorHAnsi" w:hAnsiTheme="majorHAnsi"/>
          <w:sz w:val="22"/>
          <w:szCs w:val="22"/>
          <w:lang w:eastAsia="en-IE"/>
        </w:rPr>
      </w:pPr>
      <w:r w:rsidRPr="00A441BF">
        <w:rPr>
          <w:rFonts w:asciiTheme="majorHAnsi" w:hAnsiTheme="majorHAnsi"/>
          <w:sz w:val="22"/>
          <w:szCs w:val="22"/>
          <w:lang w:eastAsia="en-IE"/>
        </w:rPr>
        <w:t xml:space="preserve">The sub-group therefore suggests to the HLG to pursue this workstream </w:t>
      </w:r>
      <w:proofErr w:type="gramStart"/>
      <w:r w:rsidRPr="00A441BF">
        <w:rPr>
          <w:rFonts w:asciiTheme="majorHAnsi" w:hAnsiTheme="majorHAnsi"/>
          <w:sz w:val="22"/>
          <w:szCs w:val="22"/>
          <w:lang w:eastAsia="en-IE"/>
        </w:rPr>
        <w:t>in order to</w:t>
      </w:r>
      <w:proofErr w:type="gramEnd"/>
      <w:r w:rsidRPr="00A441BF">
        <w:rPr>
          <w:rFonts w:asciiTheme="majorHAnsi" w:hAnsiTheme="majorHAnsi"/>
          <w:sz w:val="22"/>
          <w:szCs w:val="22"/>
          <w:lang w:eastAsia="en-IE"/>
        </w:rPr>
        <w:t xml:space="preserve"> </w:t>
      </w:r>
      <w:r w:rsidR="00601C07" w:rsidRPr="00A441BF">
        <w:rPr>
          <w:rFonts w:asciiTheme="majorHAnsi" w:hAnsiTheme="majorHAnsi"/>
          <w:sz w:val="22"/>
          <w:szCs w:val="22"/>
          <w:lang w:eastAsia="en-IE"/>
        </w:rPr>
        <w:t xml:space="preserve">explore possible </w:t>
      </w:r>
      <w:r w:rsidRPr="00A441BF">
        <w:rPr>
          <w:rFonts w:asciiTheme="majorHAnsi" w:hAnsiTheme="majorHAnsi"/>
          <w:sz w:val="22"/>
          <w:szCs w:val="22"/>
          <w:lang w:eastAsia="en-IE"/>
        </w:rPr>
        <w:t>mechanisms of effective cooperation</w:t>
      </w:r>
      <w:r w:rsidR="00BC4CAD" w:rsidRPr="00A441BF">
        <w:rPr>
          <w:rFonts w:asciiTheme="majorHAnsi" w:hAnsiTheme="majorHAnsi"/>
          <w:sz w:val="22"/>
          <w:szCs w:val="22"/>
          <w:lang w:eastAsia="en-IE"/>
        </w:rPr>
        <w:t>, including in relation to enforcement activities,</w:t>
      </w:r>
      <w:r w:rsidRPr="00A441BF">
        <w:rPr>
          <w:rFonts w:asciiTheme="majorHAnsi" w:hAnsiTheme="majorHAnsi"/>
          <w:sz w:val="22"/>
          <w:szCs w:val="22"/>
          <w:lang w:eastAsia="en-IE"/>
        </w:rPr>
        <w:t xml:space="preserve"> with regard to interplay of the DMA and other regulatory instruments </w:t>
      </w:r>
      <w:r w:rsidR="00BC4CAD" w:rsidRPr="00A441BF">
        <w:rPr>
          <w:rFonts w:asciiTheme="majorHAnsi" w:hAnsiTheme="majorHAnsi"/>
          <w:sz w:val="22"/>
          <w:szCs w:val="22"/>
          <w:lang w:eastAsia="en-IE"/>
        </w:rPr>
        <w:t>relating</w:t>
      </w:r>
      <w:r w:rsidRPr="00A441BF">
        <w:rPr>
          <w:rFonts w:asciiTheme="majorHAnsi" w:hAnsiTheme="majorHAnsi"/>
          <w:sz w:val="22"/>
          <w:szCs w:val="22"/>
          <w:lang w:eastAsia="en-IE"/>
        </w:rPr>
        <w:t xml:space="preserve"> to AI.</w:t>
      </w:r>
      <w:r w:rsidRPr="00B52E7F">
        <w:rPr>
          <w:rFonts w:asciiTheme="majorHAnsi" w:hAnsiTheme="majorHAnsi"/>
          <w:sz w:val="22"/>
          <w:szCs w:val="22"/>
          <w:lang w:eastAsia="en-IE"/>
        </w:rPr>
        <w:t xml:space="preserve">  </w:t>
      </w:r>
    </w:p>
    <w:sectPr w:rsidR="0030348F" w:rsidRPr="00B52E7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7C4A" w14:textId="77777777" w:rsidR="00F40936" w:rsidRPr="000214C8" w:rsidRDefault="00F40936" w:rsidP="008D5255">
      <w:pPr>
        <w:spacing w:line="240" w:lineRule="auto"/>
      </w:pPr>
      <w:r w:rsidRPr="000214C8">
        <w:separator/>
      </w:r>
    </w:p>
  </w:endnote>
  <w:endnote w:type="continuationSeparator" w:id="0">
    <w:p w14:paraId="2DB60960" w14:textId="77777777" w:rsidR="00F40936" w:rsidRPr="000214C8" w:rsidRDefault="00F40936" w:rsidP="008D5255">
      <w:pPr>
        <w:spacing w:line="240" w:lineRule="auto"/>
      </w:pPr>
      <w:r w:rsidRPr="000214C8">
        <w:continuationSeparator/>
      </w:r>
    </w:p>
  </w:endnote>
  <w:endnote w:type="continuationNotice" w:id="1">
    <w:p w14:paraId="7AC9E637" w14:textId="77777777" w:rsidR="00F40936" w:rsidRPr="000214C8" w:rsidRDefault="00F409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372" w14:textId="77777777" w:rsidR="00F717E6" w:rsidRDefault="00F7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116210"/>
      <w:docPartObj>
        <w:docPartGallery w:val="Page Numbers (Bottom of Page)"/>
        <w:docPartUnique/>
      </w:docPartObj>
    </w:sdtPr>
    <w:sdtEndPr/>
    <w:sdtContent>
      <w:p w14:paraId="34C82224" w14:textId="7703406B" w:rsidR="00391A81" w:rsidRPr="000214C8" w:rsidRDefault="00391A81">
        <w:pPr>
          <w:pStyle w:val="Footer"/>
          <w:jc w:val="right"/>
        </w:pPr>
        <w:r w:rsidRPr="000214C8">
          <w:fldChar w:fldCharType="begin"/>
        </w:r>
        <w:r w:rsidRPr="000214C8">
          <w:instrText xml:space="preserve"> PAGE   \* MERGEFORMAT </w:instrText>
        </w:r>
        <w:r w:rsidRPr="000214C8">
          <w:fldChar w:fldCharType="separate"/>
        </w:r>
        <w:r w:rsidRPr="000214C8">
          <w:t>2</w:t>
        </w:r>
        <w:r w:rsidRPr="000214C8">
          <w:fldChar w:fldCharType="end"/>
        </w:r>
      </w:p>
    </w:sdtContent>
  </w:sdt>
  <w:p w14:paraId="658E5C65" w14:textId="77777777" w:rsidR="00391A81" w:rsidRPr="000214C8" w:rsidRDefault="00391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9B96" w14:textId="77777777" w:rsidR="00F717E6" w:rsidRDefault="00F7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4B8E" w14:textId="77777777" w:rsidR="00F40936" w:rsidRPr="000214C8" w:rsidRDefault="00F40936" w:rsidP="008D5255">
      <w:pPr>
        <w:spacing w:line="240" w:lineRule="auto"/>
      </w:pPr>
      <w:r w:rsidRPr="000214C8">
        <w:separator/>
      </w:r>
    </w:p>
  </w:footnote>
  <w:footnote w:type="continuationSeparator" w:id="0">
    <w:p w14:paraId="489EA5AD" w14:textId="77777777" w:rsidR="00F40936" w:rsidRPr="000214C8" w:rsidRDefault="00F40936" w:rsidP="008D5255">
      <w:pPr>
        <w:spacing w:line="240" w:lineRule="auto"/>
      </w:pPr>
      <w:r w:rsidRPr="000214C8">
        <w:continuationSeparator/>
      </w:r>
    </w:p>
  </w:footnote>
  <w:footnote w:type="continuationNotice" w:id="1">
    <w:p w14:paraId="7B5791B5" w14:textId="77777777" w:rsidR="00F40936" w:rsidRPr="000214C8" w:rsidRDefault="00F40936">
      <w:pPr>
        <w:spacing w:line="240" w:lineRule="auto"/>
      </w:pPr>
    </w:p>
  </w:footnote>
  <w:footnote w:id="2">
    <w:p w14:paraId="144232C6" w14:textId="730893B9" w:rsidR="00B74CFF" w:rsidRPr="000214C8" w:rsidRDefault="00B74CFF">
      <w:pPr>
        <w:pStyle w:val="FootnoteText"/>
      </w:pPr>
      <w:r w:rsidRPr="000214C8">
        <w:rPr>
          <w:rStyle w:val="FootnoteReference"/>
        </w:rPr>
        <w:footnoteRef/>
      </w:r>
      <w:r w:rsidRPr="000214C8">
        <w:t xml:space="preserve"> The high-level group of digital regulators e</w:t>
      </w:r>
      <w:r w:rsidRPr="000214C8">
        <w:rPr>
          <w:rFonts w:asciiTheme="majorHAnsi" w:hAnsiTheme="majorHAnsi"/>
        </w:rPr>
        <w:t>stablished under Article 40 of the Digital Markets Act.</w:t>
      </w:r>
    </w:p>
  </w:footnote>
  <w:footnote w:id="3">
    <w:p w14:paraId="4B6B7A4B" w14:textId="77777777" w:rsidR="00242369" w:rsidRDefault="00242369" w:rsidP="00242369">
      <w:pPr>
        <w:pStyle w:val="FootnoteText"/>
        <w:jc w:val="both"/>
      </w:pPr>
      <w:r>
        <w:rPr>
          <w:rStyle w:val="FootnoteReference"/>
        </w:rPr>
        <w:footnoteRef/>
      </w:r>
      <w:r>
        <w:t xml:space="preserve"> For instance, providers of Model as a Service (“</w:t>
      </w:r>
      <w:r w:rsidRPr="00795CB0">
        <w:t>MaaS</w:t>
      </w:r>
      <w:r>
        <w:t xml:space="preserve">) make several Foundation Models (FM) available through common APIs without the users having to develop or train these themselves. </w:t>
      </w:r>
    </w:p>
  </w:footnote>
  <w:footnote w:id="4">
    <w:p w14:paraId="0C115B4D" w14:textId="1196B407" w:rsidR="009F733E" w:rsidRDefault="009F733E" w:rsidP="008870E6">
      <w:pPr>
        <w:pStyle w:val="FootnoteText"/>
        <w:jc w:val="both"/>
      </w:pPr>
      <w:r>
        <w:rPr>
          <w:rStyle w:val="FootnoteReference"/>
        </w:rPr>
        <w:footnoteRef/>
      </w:r>
      <w:r>
        <w:t xml:space="preserve"> </w:t>
      </w:r>
      <w:r w:rsidR="00C47C3B">
        <w:t>Relevant</w:t>
      </w:r>
      <w:r w:rsidRPr="009F733E">
        <w:t xml:space="preserve"> </w:t>
      </w:r>
      <w:r w:rsidR="002C1552">
        <w:t>regulatory frameworks</w:t>
      </w:r>
      <w:r w:rsidRPr="009F733E">
        <w:t xml:space="preserve"> include the Digital Markets Act (DMA), the AI Act</w:t>
      </w:r>
      <w:r w:rsidR="00BB662A">
        <w:t xml:space="preserve"> (AIA)</w:t>
      </w:r>
      <w:r w:rsidRPr="009F733E">
        <w:t>, the General Data Protection Regulation (GDPR), the Data Act, the Digital Services Act (DSA), and the Unfair Commercial Practices Directive (UCPD).</w:t>
      </w:r>
    </w:p>
  </w:footnote>
  <w:footnote w:id="5">
    <w:p w14:paraId="6FB4F131" w14:textId="1AC13672" w:rsidR="00607AA9" w:rsidRDefault="00607AA9">
      <w:pPr>
        <w:pStyle w:val="FootnoteText"/>
      </w:pPr>
      <w:r>
        <w:rPr>
          <w:rStyle w:val="FootnoteReference"/>
        </w:rPr>
        <w:footnoteRef/>
      </w:r>
      <w:r>
        <w:t xml:space="preserve"> T</w:t>
      </w:r>
      <w:r w:rsidRPr="00607AA9">
        <w:t>he European Data Protection Board (EDPB) issued Guidelines on Deceptive Design in Social Media Interfaces in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9831" w14:textId="7156842E" w:rsidR="00391A81" w:rsidRPr="000214C8" w:rsidRDefault="008A113B">
    <w:pPr>
      <w:pStyle w:val="Header"/>
    </w:pPr>
    <w:r>
      <w:rPr>
        <w:noProof/>
      </w:rPr>
      <mc:AlternateContent>
        <mc:Choice Requires="wps">
          <w:drawing>
            <wp:anchor distT="0" distB="0" distL="0" distR="0" simplePos="0" relativeHeight="251659264" behindDoc="0" locked="0" layoutInCell="1" allowOverlap="1" wp14:anchorId="1F19C1B0" wp14:editId="63C16562">
              <wp:simplePos x="635" y="635"/>
              <wp:positionH relativeFrom="page">
                <wp:align>left</wp:align>
              </wp:positionH>
              <wp:positionV relativeFrom="page">
                <wp:align>top</wp:align>
              </wp:positionV>
              <wp:extent cx="1851025" cy="368300"/>
              <wp:effectExtent l="0" t="0" r="15875" b="12700"/>
              <wp:wrapNone/>
              <wp:docPr id="500196542" name="Text Box 2" descr="[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51025" cy="368300"/>
                      </a:xfrm>
                      <a:prstGeom prst="rect">
                        <a:avLst/>
                      </a:prstGeom>
                      <a:noFill/>
                      <a:ln>
                        <a:noFill/>
                      </a:ln>
                    </wps:spPr>
                    <wps:txbx>
                      <w:txbxContent>
                        <w:p w14:paraId="53E09334" w14:textId="697C0F8C" w:rsidR="008A113B" w:rsidRPr="008A113B" w:rsidRDefault="008A113B" w:rsidP="008A113B">
                          <w:pPr>
                            <w:rPr>
                              <w:rFonts w:ascii="Aptos" w:eastAsia="Aptos" w:hAnsi="Aptos" w:cs="Aptos"/>
                              <w:noProof/>
                              <w:color w:val="000000"/>
                              <w:sz w:val="20"/>
                            </w:rPr>
                          </w:pPr>
                          <w:r w:rsidRPr="008A113B">
                            <w:rPr>
                              <w:rFonts w:ascii="Aptos" w:eastAsia="Aptos" w:hAnsi="Aptos" w:cs="Aptos"/>
                              <w:noProof/>
                              <w:color w:val="000000"/>
                              <w:sz w:val="20"/>
                            </w:rPr>
                            <w:t>[CONFIDENTIAL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19C1B0" id="_x0000_t202" coordsize="21600,21600" o:spt="202" path="m,l,21600r21600,l21600,xe">
              <v:stroke joinstyle="miter"/>
              <v:path gradientshapeok="t" o:connecttype="rect"/>
            </v:shapetype>
            <v:shape id="Text Box 2" o:spid="_x0000_s1026" type="#_x0000_t202" alt="[CONFIDENTIAL - EXTERNAL]" style="position:absolute;margin-left:0;margin-top:0;width:145.75pt;height:2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" filled="f" stroked="f">
              <v:textbox style="mso-fit-shape-to-text:t" inset="20pt,15pt,0,0">
                <w:txbxContent>
                  <w:p w14:paraId="53E09334" w14:textId="697C0F8C" w:rsidR="008A113B" w:rsidRPr="008A113B" w:rsidRDefault="008A113B" w:rsidP="008A113B">
                    <w:pPr>
                      <w:rPr>
                        <w:rFonts w:ascii="Aptos" w:eastAsia="Aptos" w:hAnsi="Aptos" w:cs="Aptos"/>
                        <w:noProof/>
                        <w:color w:val="000000"/>
                        <w:sz w:val="20"/>
                      </w:rPr>
                    </w:pPr>
                    <w:r w:rsidRPr="008A113B">
                      <w:rPr>
                        <w:rFonts w:ascii="Aptos" w:eastAsia="Aptos" w:hAnsi="Aptos" w:cs="Aptos"/>
                        <w:noProof/>
                        <w:color w:val="000000"/>
                        <w:sz w:val="20"/>
                      </w:rPr>
                      <w:t>[CONFIDENTIAL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57A1" w14:textId="6FF21E02" w:rsidR="00391A81" w:rsidRPr="000214C8" w:rsidRDefault="00391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E13" w14:textId="741AC789" w:rsidR="00391A81" w:rsidRPr="000214C8" w:rsidRDefault="008A113B">
    <w:pPr>
      <w:pStyle w:val="Header"/>
    </w:pPr>
    <w:r>
      <w:rPr>
        <w:noProof/>
      </w:rPr>
      <mc:AlternateContent>
        <mc:Choice Requires="wps">
          <w:drawing>
            <wp:anchor distT="0" distB="0" distL="0" distR="0" simplePos="0" relativeHeight="251658240" behindDoc="0" locked="0" layoutInCell="1" allowOverlap="1" wp14:anchorId="4265CC01" wp14:editId="132A11C1">
              <wp:simplePos x="635" y="635"/>
              <wp:positionH relativeFrom="page">
                <wp:align>left</wp:align>
              </wp:positionH>
              <wp:positionV relativeFrom="page">
                <wp:align>top</wp:align>
              </wp:positionV>
              <wp:extent cx="1851025" cy="368300"/>
              <wp:effectExtent l="0" t="0" r="15875" b="12700"/>
              <wp:wrapNone/>
              <wp:docPr id="1217759826" name="Text Box 1" descr="[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51025" cy="368300"/>
                      </a:xfrm>
                      <a:prstGeom prst="rect">
                        <a:avLst/>
                      </a:prstGeom>
                      <a:noFill/>
                      <a:ln>
                        <a:noFill/>
                      </a:ln>
                    </wps:spPr>
                    <wps:txbx>
                      <w:txbxContent>
                        <w:p w14:paraId="680B9363" w14:textId="1F221E13" w:rsidR="008A113B" w:rsidRPr="008A113B" w:rsidRDefault="008A113B" w:rsidP="008A113B">
                          <w:pPr>
                            <w:rPr>
                              <w:rFonts w:ascii="Aptos" w:eastAsia="Aptos" w:hAnsi="Aptos" w:cs="Aptos"/>
                              <w:noProof/>
                              <w:color w:val="000000"/>
                              <w:sz w:val="20"/>
                            </w:rPr>
                          </w:pPr>
                          <w:r w:rsidRPr="008A113B">
                            <w:rPr>
                              <w:rFonts w:ascii="Aptos" w:eastAsia="Aptos" w:hAnsi="Aptos" w:cs="Aptos"/>
                              <w:noProof/>
                              <w:color w:val="000000"/>
                              <w:sz w:val="20"/>
                            </w:rPr>
                            <w:t>[CONFIDENTIAL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65CC01" id="_x0000_t202" coordsize="21600,21600" o:spt="202" path="m,l,21600r21600,l21600,xe">
              <v:stroke joinstyle="miter"/>
              <v:path gradientshapeok="t" o:connecttype="rect"/>
            </v:shapetype>
            <v:shape id="Text Box 1" o:spid="_x0000_s1027" type="#_x0000_t202" alt="[CONFIDENTIAL - EXTERNAL]" style="position:absolute;margin-left:0;margin-top:0;width:145.75pt;height:2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" filled="f" stroked="f">
              <v:textbox style="mso-fit-shape-to-text:t" inset="20pt,15pt,0,0">
                <w:txbxContent>
                  <w:p w14:paraId="680B9363" w14:textId="1F221E13" w:rsidR="008A113B" w:rsidRPr="008A113B" w:rsidRDefault="008A113B" w:rsidP="008A113B">
                    <w:pPr>
                      <w:rPr>
                        <w:rFonts w:ascii="Aptos" w:eastAsia="Aptos" w:hAnsi="Aptos" w:cs="Aptos"/>
                        <w:noProof/>
                        <w:color w:val="000000"/>
                        <w:sz w:val="20"/>
                      </w:rPr>
                    </w:pPr>
                    <w:r w:rsidRPr="008A113B">
                      <w:rPr>
                        <w:rFonts w:ascii="Aptos" w:eastAsia="Aptos" w:hAnsi="Aptos" w:cs="Aptos"/>
                        <w:noProof/>
                        <w:color w:val="000000"/>
                        <w:sz w:val="20"/>
                      </w:rPr>
                      <w:t>[CONFIDENTIAL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F24"/>
    <w:multiLevelType w:val="multilevel"/>
    <w:tmpl w:val="144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B02"/>
    <w:multiLevelType w:val="hybridMultilevel"/>
    <w:tmpl w:val="ECAE6E82"/>
    <w:lvl w:ilvl="0" w:tplc="0406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08303D92"/>
    <w:multiLevelType w:val="hybridMultilevel"/>
    <w:tmpl w:val="567403AE"/>
    <w:lvl w:ilvl="0" w:tplc="941CA3DC">
      <w:start w:val="1"/>
      <w:numFmt w:val="lowerRoman"/>
      <w:lvlText w:val="(%1)"/>
      <w:lvlJc w:val="left"/>
      <w:pPr>
        <w:ind w:left="1080" w:hanging="72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4194A"/>
    <w:multiLevelType w:val="multilevel"/>
    <w:tmpl w:val="9EA25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DD6"/>
    <w:multiLevelType w:val="hybridMultilevel"/>
    <w:tmpl w:val="31247890"/>
    <w:lvl w:ilvl="0" w:tplc="FFFFFFFF">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49512E"/>
    <w:multiLevelType w:val="multilevel"/>
    <w:tmpl w:val="2520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250"/>
    <w:multiLevelType w:val="multilevel"/>
    <w:tmpl w:val="B900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55492"/>
    <w:multiLevelType w:val="multilevel"/>
    <w:tmpl w:val="59E4E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81572"/>
    <w:multiLevelType w:val="hybridMultilevel"/>
    <w:tmpl w:val="D076E6A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141D27"/>
    <w:multiLevelType w:val="multilevel"/>
    <w:tmpl w:val="24484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746AC"/>
    <w:multiLevelType w:val="multilevel"/>
    <w:tmpl w:val="DC184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496E6C"/>
    <w:multiLevelType w:val="hybridMultilevel"/>
    <w:tmpl w:val="DA244E96"/>
    <w:lvl w:ilvl="0" w:tplc="434872FE">
      <w:start w:val="1"/>
      <w:numFmt w:val="bullet"/>
      <w:lvlText w:val=""/>
      <w:lvlJc w:val="left"/>
      <w:pPr>
        <w:ind w:left="720" w:hanging="360"/>
      </w:pPr>
      <w:rPr>
        <w:rFonts w:ascii="Symbol" w:hAnsi="Symbol"/>
      </w:rPr>
    </w:lvl>
    <w:lvl w:ilvl="1" w:tplc="D37498A4">
      <w:start w:val="1"/>
      <w:numFmt w:val="bullet"/>
      <w:lvlText w:val=""/>
      <w:lvlJc w:val="left"/>
      <w:pPr>
        <w:ind w:left="720" w:hanging="360"/>
      </w:pPr>
      <w:rPr>
        <w:rFonts w:ascii="Symbol" w:hAnsi="Symbol"/>
      </w:rPr>
    </w:lvl>
    <w:lvl w:ilvl="2" w:tplc="323A2A98">
      <w:start w:val="1"/>
      <w:numFmt w:val="bullet"/>
      <w:lvlText w:val=""/>
      <w:lvlJc w:val="left"/>
      <w:pPr>
        <w:ind w:left="720" w:hanging="360"/>
      </w:pPr>
      <w:rPr>
        <w:rFonts w:ascii="Symbol" w:hAnsi="Symbol"/>
      </w:rPr>
    </w:lvl>
    <w:lvl w:ilvl="3" w:tplc="4F2000F2">
      <w:start w:val="1"/>
      <w:numFmt w:val="bullet"/>
      <w:lvlText w:val=""/>
      <w:lvlJc w:val="left"/>
      <w:pPr>
        <w:ind w:left="720" w:hanging="360"/>
      </w:pPr>
      <w:rPr>
        <w:rFonts w:ascii="Symbol" w:hAnsi="Symbol"/>
      </w:rPr>
    </w:lvl>
    <w:lvl w:ilvl="4" w:tplc="9D484D16">
      <w:start w:val="1"/>
      <w:numFmt w:val="bullet"/>
      <w:lvlText w:val=""/>
      <w:lvlJc w:val="left"/>
      <w:pPr>
        <w:ind w:left="720" w:hanging="360"/>
      </w:pPr>
      <w:rPr>
        <w:rFonts w:ascii="Symbol" w:hAnsi="Symbol"/>
      </w:rPr>
    </w:lvl>
    <w:lvl w:ilvl="5" w:tplc="C3844CE4">
      <w:start w:val="1"/>
      <w:numFmt w:val="bullet"/>
      <w:lvlText w:val=""/>
      <w:lvlJc w:val="left"/>
      <w:pPr>
        <w:ind w:left="720" w:hanging="360"/>
      </w:pPr>
      <w:rPr>
        <w:rFonts w:ascii="Symbol" w:hAnsi="Symbol"/>
      </w:rPr>
    </w:lvl>
    <w:lvl w:ilvl="6" w:tplc="2850D59C">
      <w:start w:val="1"/>
      <w:numFmt w:val="bullet"/>
      <w:lvlText w:val=""/>
      <w:lvlJc w:val="left"/>
      <w:pPr>
        <w:ind w:left="720" w:hanging="360"/>
      </w:pPr>
      <w:rPr>
        <w:rFonts w:ascii="Symbol" w:hAnsi="Symbol"/>
      </w:rPr>
    </w:lvl>
    <w:lvl w:ilvl="7" w:tplc="3FF4F610">
      <w:start w:val="1"/>
      <w:numFmt w:val="bullet"/>
      <w:lvlText w:val=""/>
      <w:lvlJc w:val="left"/>
      <w:pPr>
        <w:ind w:left="720" w:hanging="360"/>
      </w:pPr>
      <w:rPr>
        <w:rFonts w:ascii="Symbol" w:hAnsi="Symbol"/>
      </w:rPr>
    </w:lvl>
    <w:lvl w:ilvl="8" w:tplc="70E2F900">
      <w:start w:val="1"/>
      <w:numFmt w:val="bullet"/>
      <w:lvlText w:val=""/>
      <w:lvlJc w:val="left"/>
      <w:pPr>
        <w:ind w:left="720" w:hanging="360"/>
      </w:pPr>
      <w:rPr>
        <w:rFonts w:ascii="Symbol" w:hAnsi="Symbol"/>
      </w:rPr>
    </w:lvl>
  </w:abstractNum>
  <w:abstractNum w:abstractNumId="12" w15:restartNumberingAfterBreak="0">
    <w:nsid w:val="14B81B8D"/>
    <w:multiLevelType w:val="multilevel"/>
    <w:tmpl w:val="42C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24FCE"/>
    <w:multiLevelType w:val="multilevel"/>
    <w:tmpl w:val="D1D6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D5EC6"/>
    <w:multiLevelType w:val="multilevel"/>
    <w:tmpl w:val="5B18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001A9"/>
    <w:multiLevelType w:val="multilevel"/>
    <w:tmpl w:val="C6D0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C3F22"/>
    <w:multiLevelType w:val="multilevel"/>
    <w:tmpl w:val="6618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273DD"/>
    <w:multiLevelType w:val="multilevel"/>
    <w:tmpl w:val="733A1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43C81"/>
    <w:multiLevelType w:val="multilevel"/>
    <w:tmpl w:val="A24E0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6388D"/>
    <w:multiLevelType w:val="multilevel"/>
    <w:tmpl w:val="64DCD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56846"/>
    <w:multiLevelType w:val="multilevel"/>
    <w:tmpl w:val="04B0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E60CB"/>
    <w:multiLevelType w:val="multilevel"/>
    <w:tmpl w:val="2E10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DC4E88"/>
    <w:multiLevelType w:val="hybridMultilevel"/>
    <w:tmpl w:val="63AA08A0"/>
    <w:lvl w:ilvl="0" w:tplc="2F149492">
      <w:start w:val="1"/>
      <w:numFmt w:val="upperRoman"/>
      <w:lvlText w:val="%1."/>
      <w:lvlJc w:val="left"/>
      <w:pPr>
        <w:ind w:left="1080" w:hanging="72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1409AF"/>
    <w:multiLevelType w:val="multilevel"/>
    <w:tmpl w:val="5AC81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366DB"/>
    <w:multiLevelType w:val="multilevel"/>
    <w:tmpl w:val="4A4E1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276D4"/>
    <w:multiLevelType w:val="multilevel"/>
    <w:tmpl w:val="FBA8E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175A8"/>
    <w:multiLevelType w:val="multilevel"/>
    <w:tmpl w:val="DBC49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C3107"/>
    <w:multiLevelType w:val="multilevel"/>
    <w:tmpl w:val="36885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E31508"/>
    <w:multiLevelType w:val="multilevel"/>
    <w:tmpl w:val="1B5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86968"/>
    <w:multiLevelType w:val="hybridMultilevel"/>
    <w:tmpl w:val="231C6C7E"/>
    <w:lvl w:ilvl="0" w:tplc="528AE370">
      <w:start w:val="1"/>
      <w:numFmt w:val="bullet"/>
      <w:lvlText w:val="-"/>
      <w:lvlJc w:val="left"/>
      <w:pPr>
        <w:ind w:left="1800" w:hanging="360"/>
      </w:pPr>
      <w:rPr>
        <w:rFonts w:ascii="Courier New" w:hAnsi="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0" w15:restartNumberingAfterBreak="0">
    <w:nsid w:val="48E8261B"/>
    <w:multiLevelType w:val="multilevel"/>
    <w:tmpl w:val="334E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96D5D"/>
    <w:multiLevelType w:val="hybridMultilevel"/>
    <w:tmpl w:val="CBAC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F17DCE"/>
    <w:multiLevelType w:val="multilevel"/>
    <w:tmpl w:val="35FC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2F291A"/>
    <w:multiLevelType w:val="multilevel"/>
    <w:tmpl w:val="0AA2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70AF0"/>
    <w:multiLevelType w:val="multilevel"/>
    <w:tmpl w:val="ACB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520B4"/>
    <w:multiLevelType w:val="multilevel"/>
    <w:tmpl w:val="733A1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D65F6"/>
    <w:multiLevelType w:val="multilevel"/>
    <w:tmpl w:val="DC462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D95035"/>
    <w:multiLevelType w:val="multilevel"/>
    <w:tmpl w:val="6A24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73E63"/>
    <w:multiLevelType w:val="multilevel"/>
    <w:tmpl w:val="19B46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50EB7"/>
    <w:multiLevelType w:val="hybridMultilevel"/>
    <w:tmpl w:val="55FCFD2C"/>
    <w:lvl w:ilvl="0" w:tplc="2E7A77D6">
      <w:start w:val="1"/>
      <w:numFmt w:val="bullet"/>
      <w:lvlText w:val=""/>
      <w:lvlJc w:val="left"/>
      <w:pPr>
        <w:ind w:left="720" w:hanging="360"/>
      </w:pPr>
      <w:rPr>
        <w:rFonts w:ascii="Symbol" w:hAnsi="Symbol"/>
      </w:rPr>
    </w:lvl>
    <w:lvl w:ilvl="1" w:tplc="B77A717E">
      <w:start w:val="1"/>
      <w:numFmt w:val="bullet"/>
      <w:lvlText w:val=""/>
      <w:lvlJc w:val="left"/>
      <w:pPr>
        <w:ind w:left="720" w:hanging="360"/>
      </w:pPr>
      <w:rPr>
        <w:rFonts w:ascii="Symbol" w:hAnsi="Symbol"/>
      </w:rPr>
    </w:lvl>
    <w:lvl w:ilvl="2" w:tplc="8540747C">
      <w:start w:val="1"/>
      <w:numFmt w:val="bullet"/>
      <w:lvlText w:val=""/>
      <w:lvlJc w:val="left"/>
      <w:pPr>
        <w:ind w:left="720" w:hanging="360"/>
      </w:pPr>
      <w:rPr>
        <w:rFonts w:ascii="Symbol" w:hAnsi="Symbol"/>
      </w:rPr>
    </w:lvl>
    <w:lvl w:ilvl="3" w:tplc="35E0627E">
      <w:start w:val="1"/>
      <w:numFmt w:val="bullet"/>
      <w:lvlText w:val=""/>
      <w:lvlJc w:val="left"/>
      <w:pPr>
        <w:ind w:left="720" w:hanging="360"/>
      </w:pPr>
      <w:rPr>
        <w:rFonts w:ascii="Symbol" w:hAnsi="Symbol"/>
      </w:rPr>
    </w:lvl>
    <w:lvl w:ilvl="4" w:tplc="00AE900A">
      <w:start w:val="1"/>
      <w:numFmt w:val="bullet"/>
      <w:lvlText w:val=""/>
      <w:lvlJc w:val="left"/>
      <w:pPr>
        <w:ind w:left="720" w:hanging="360"/>
      </w:pPr>
      <w:rPr>
        <w:rFonts w:ascii="Symbol" w:hAnsi="Symbol"/>
      </w:rPr>
    </w:lvl>
    <w:lvl w:ilvl="5" w:tplc="7B422B8A">
      <w:start w:val="1"/>
      <w:numFmt w:val="bullet"/>
      <w:lvlText w:val=""/>
      <w:lvlJc w:val="left"/>
      <w:pPr>
        <w:ind w:left="720" w:hanging="360"/>
      </w:pPr>
      <w:rPr>
        <w:rFonts w:ascii="Symbol" w:hAnsi="Symbol"/>
      </w:rPr>
    </w:lvl>
    <w:lvl w:ilvl="6" w:tplc="B784D678">
      <w:start w:val="1"/>
      <w:numFmt w:val="bullet"/>
      <w:lvlText w:val=""/>
      <w:lvlJc w:val="left"/>
      <w:pPr>
        <w:ind w:left="720" w:hanging="360"/>
      </w:pPr>
      <w:rPr>
        <w:rFonts w:ascii="Symbol" w:hAnsi="Symbol"/>
      </w:rPr>
    </w:lvl>
    <w:lvl w:ilvl="7" w:tplc="51907F28">
      <w:start w:val="1"/>
      <w:numFmt w:val="bullet"/>
      <w:lvlText w:val=""/>
      <w:lvlJc w:val="left"/>
      <w:pPr>
        <w:ind w:left="720" w:hanging="360"/>
      </w:pPr>
      <w:rPr>
        <w:rFonts w:ascii="Symbol" w:hAnsi="Symbol"/>
      </w:rPr>
    </w:lvl>
    <w:lvl w:ilvl="8" w:tplc="BDB44BB2">
      <w:start w:val="1"/>
      <w:numFmt w:val="bullet"/>
      <w:lvlText w:val=""/>
      <w:lvlJc w:val="left"/>
      <w:pPr>
        <w:ind w:left="720" w:hanging="360"/>
      </w:pPr>
      <w:rPr>
        <w:rFonts w:ascii="Symbol" w:hAnsi="Symbol"/>
      </w:rPr>
    </w:lvl>
  </w:abstractNum>
  <w:abstractNum w:abstractNumId="40" w15:restartNumberingAfterBreak="0">
    <w:nsid w:val="62F807DD"/>
    <w:multiLevelType w:val="hybridMultilevel"/>
    <w:tmpl w:val="C01EC9F4"/>
    <w:lvl w:ilvl="0" w:tplc="60CC02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5359FA"/>
    <w:multiLevelType w:val="multilevel"/>
    <w:tmpl w:val="2E4C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D4139"/>
    <w:multiLevelType w:val="multilevel"/>
    <w:tmpl w:val="CF348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69445A"/>
    <w:multiLevelType w:val="multilevel"/>
    <w:tmpl w:val="DE340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522BB5"/>
    <w:multiLevelType w:val="hybridMultilevel"/>
    <w:tmpl w:val="CBF073F2"/>
    <w:lvl w:ilvl="0" w:tplc="127A241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9D55271"/>
    <w:multiLevelType w:val="multilevel"/>
    <w:tmpl w:val="21040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252D1A"/>
    <w:multiLevelType w:val="multilevel"/>
    <w:tmpl w:val="09A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2D454E"/>
    <w:multiLevelType w:val="multilevel"/>
    <w:tmpl w:val="03EA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443E01"/>
    <w:multiLevelType w:val="hybridMultilevel"/>
    <w:tmpl w:val="C17079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37A5988"/>
    <w:multiLevelType w:val="multilevel"/>
    <w:tmpl w:val="1D742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46435C"/>
    <w:multiLevelType w:val="multilevel"/>
    <w:tmpl w:val="DC184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9445F9"/>
    <w:multiLevelType w:val="multilevel"/>
    <w:tmpl w:val="35F69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D36B8A"/>
    <w:multiLevelType w:val="multilevel"/>
    <w:tmpl w:val="BFA6F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92452D"/>
    <w:multiLevelType w:val="multilevel"/>
    <w:tmpl w:val="1422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A7138"/>
    <w:multiLevelType w:val="multilevel"/>
    <w:tmpl w:val="9B8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A46DCE"/>
    <w:multiLevelType w:val="multilevel"/>
    <w:tmpl w:val="A6CA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685528">
    <w:abstractNumId w:val="23"/>
  </w:num>
  <w:num w:numId="2" w16cid:durableId="1531648347">
    <w:abstractNumId w:val="7"/>
  </w:num>
  <w:num w:numId="3" w16cid:durableId="734353720">
    <w:abstractNumId w:val="9"/>
  </w:num>
  <w:num w:numId="4" w16cid:durableId="365448651">
    <w:abstractNumId w:val="27"/>
  </w:num>
  <w:num w:numId="5" w16cid:durableId="1080372547">
    <w:abstractNumId w:val="18"/>
  </w:num>
  <w:num w:numId="6" w16cid:durableId="738944864">
    <w:abstractNumId w:val="26"/>
  </w:num>
  <w:num w:numId="7" w16cid:durableId="958531261">
    <w:abstractNumId w:val="38"/>
  </w:num>
  <w:num w:numId="8" w16cid:durableId="1696615491">
    <w:abstractNumId w:val="37"/>
  </w:num>
  <w:num w:numId="9" w16cid:durableId="906234097">
    <w:abstractNumId w:val="51"/>
  </w:num>
  <w:num w:numId="10" w16cid:durableId="1485320078">
    <w:abstractNumId w:val="13"/>
  </w:num>
  <w:num w:numId="11" w16cid:durableId="280577009">
    <w:abstractNumId w:val="45"/>
  </w:num>
  <w:num w:numId="12" w16cid:durableId="1255820451">
    <w:abstractNumId w:val="30"/>
  </w:num>
  <w:num w:numId="13" w16cid:durableId="60758873">
    <w:abstractNumId w:val="47"/>
  </w:num>
  <w:num w:numId="14" w16cid:durableId="89814119">
    <w:abstractNumId w:val="49"/>
  </w:num>
  <w:num w:numId="15" w16cid:durableId="1128399398">
    <w:abstractNumId w:val="15"/>
  </w:num>
  <w:num w:numId="16" w16cid:durableId="2032799405">
    <w:abstractNumId w:val="6"/>
  </w:num>
  <w:num w:numId="17" w16cid:durableId="758527337">
    <w:abstractNumId w:val="55"/>
  </w:num>
  <w:num w:numId="18" w16cid:durableId="1965960959">
    <w:abstractNumId w:val="41"/>
  </w:num>
  <w:num w:numId="19" w16cid:durableId="450365708">
    <w:abstractNumId w:val="16"/>
  </w:num>
  <w:num w:numId="20" w16cid:durableId="1322614721">
    <w:abstractNumId w:val="34"/>
  </w:num>
  <w:num w:numId="21" w16cid:durableId="5715993">
    <w:abstractNumId w:val="24"/>
  </w:num>
  <w:num w:numId="22" w16cid:durableId="50081642">
    <w:abstractNumId w:val="28"/>
  </w:num>
  <w:num w:numId="23" w16cid:durableId="1691955068">
    <w:abstractNumId w:val="3"/>
  </w:num>
  <w:num w:numId="24" w16cid:durableId="933830210">
    <w:abstractNumId w:val="14"/>
  </w:num>
  <w:num w:numId="25" w16cid:durableId="152989637">
    <w:abstractNumId w:val="53"/>
  </w:num>
  <w:num w:numId="26" w16cid:durableId="1020814641">
    <w:abstractNumId w:val="43"/>
  </w:num>
  <w:num w:numId="27" w16cid:durableId="1396927081">
    <w:abstractNumId w:val="48"/>
  </w:num>
  <w:num w:numId="28" w16cid:durableId="1947997991">
    <w:abstractNumId w:val="20"/>
  </w:num>
  <w:num w:numId="29" w16cid:durableId="997000501">
    <w:abstractNumId w:val="36"/>
  </w:num>
  <w:num w:numId="30" w16cid:durableId="1631978379">
    <w:abstractNumId w:val="19"/>
  </w:num>
  <w:num w:numId="31" w16cid:durableId="128671301">
    <w:abstractNumId w:val="46"/>
  </w:num>
  <w:num w:numId="32" w16cid:durableId="1702321699">
    <w:abstractNumId w:val="32"/>
  </w:num>
  <w:num w:numId="33" w16cid:durableId="624190446">
    <w:abstractNumId w:val="25"/>
  </w:num>
  <w:num w:numId="34" w16cid:durableId="749691209">
    <w:abstractNumId w:val="0"/>
  </w:num>
  <w:num w:numId="35" w16cid:durableId="1111365046">
    <w:abstractNumId w:val="21"/>
  </w:num>
  <w:num w:numId="36" w16cid:durableId="666712502">
    <w:abstractNumId w:val="17"/>
  </w:num>
  <w:num w:numId="37" w16cid:durableId="262956022">
    <w:abstractNumId w:val="33"/>
  </w:num>
  <w:num w:numId="38" w16cid:durableId="60912432">
    <w:abstractNumId w:val="12"/>
  </w:num>
  <w:num w:numId="39" w16cid:durableId="937101666">
    <w:abstractNumId w:val="52"/>
  </w:num>
  <w:num w:numId="40" w16cid:durableId="121925438">
    <w:abstractNumId w:val="42"/>
  </w:num>
  <w:num w:numId="41" w16cid:durableId="68966319">
    <w:abstractNumId w:val="5"/>
  </w:num>
  <w:num w:numId="42" w16cid:durableId="1751534665">
    <w:abstractNumId w:val="10"/>
  </w:num>
  <w:num w:numId="43" w16cid:durableId="672101369">
    <w:abstractNumId w:val="54"/>
  </w:num>
  <w:num w:numId="44" w16cid:durableId="2073234137">
    <w:abstractNumId w:val="1"/>
  </w:num>
  <w:num w:numId="45" w16cid:durableId="2139298252">
    <w:abstractNumId w:val="39"/>
  </w:num>
  <w:num w:numId="46" w16cid:durableId="917253758">
    <w:abstractNumId w:val="11"/>
  </w:num>
  <w:num w:numId="47" w16cid:durableId="1511409104">
    <w:abstractNumId w:val="22"/>
  </w:num>
  <w:num w:numId="48" w16cid:durableId="1277327832">
    <w:abstractNumId w:val="50"/>
  </w:num>
  <w:num w:numId="49" w16cid:durableId="552426580">
    <w:abstractNumId w:val="8"/>
  </w:num>
  <w:num w:numId="50" w16cid:durableId="268246114">
    <w:abstractNumId w:val="40"/>
  </w:num>
  <w:num w:numId="51" w16cid:durableId="1864592950">
    <w:abstractNumId w:val="44"/>
  </w:num>
  <w:num w:numId="52" w16cid:durableId="497188403">
    <w:abstractNumId w:val="2"/>
  </w:num>
  <w:num w:numId="53" w16cid:durableId="2066486972">
    <w:abstractNumId w:val="29"/>
  </w:num>
  <w:num w:numId="54" w16cid:durableId="1501968911">
    <w:abstractNumId w:val="31"/>
  </w:num>
  <w:num w:numId="55" w16cid:durableId="1740470586">
    <w:abstractNumId w:val="4"/>
  </w:num>
  <w:num w:numId="56" w16cid:durableId="1069379435">
    <w:abstractNumId w:val="17"/>
    <w:lvlOverride w:ilvl="0">
      <w:lvl w:ilvl="0">
        <w:start w:val="1"/>
        <w:numFmt w:val="decimal"/>
        <w:lvlText w:val="%1."/>
        <w:lvlJc w:val="left"/>
        <w:pPr>
          <w:tabs>
            <w:tab w:val="num" w:pos="720"/>
          </w:tabs>
          <w:ind w:left="720" w:hanging="360"/>
        </w:pPr>
        <w:rPr>
          <w:rFonts w:hint="default"/>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57" w16cid:durableId="119276348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920A4"/>
    <w:rsid w:val="00015D19"/>
    <w:rsid w:val="000214C8"/>
    <w:rsid w:val="00022A59"/>
    <w:rsid w:val="00026BB0"/>
    <w:rsid w:val="00027749"/>
    <w:rsid w:val="00030086"/>
    <w:rsid w:val="00030645"/>
    <w:rsid w:val="00043432"/>
    <w:rsid w:val="00043941"/>
    <w:rsid w:val="00043BAB"/>
    <w:rsid w:val="000448D9"/>
    <w:rsid w:val="00046199"/>
    <w:rsid w:val="00054E8B"/>
    <w:rsid w:val="000557DE"/>
    <w:rsid w:val="000619C8"/>
    <w:rsid w:val="000643D4"/>
    <w:rsid w:val="00070DED"/>
    <w:rsid w:val="00070ED7"/>
    <w:rsid w:val="0007336E"/>
    <w:rsid w:val="0007526C"/>
    <w:rsid w:val="0007598E"/>
    <w:rsid w:val="0007643F"/>
    <w:rsid w:val="00076666"/>
    <w:rsid w:val="000778C7"/>
    <w:rsid w:val="000833CE"/>
    <w:rsid w:val="000844E0"/>
    <w:rsid w:val="00094BAC"/>
    <w:rsid w:val="000968EF"/>
    <w:rsid w:val="00097A67"/>
    <w:rsid w:val="000A3392"/>
    <w:rsid w:val="000B1547"/>
    <w:rsid w:val="000B2BC9"/>
    <w:rsid w:val="000B7D7E"/>
    <w:rsid w:val="000C137E"/>
    <w:rsid w:val="000C479C"/>
    <w:rsid w:val="000C70B4"/>
    <w:rsid w:val="000D0ACF"/>
    <w:rsid w:val="000D0C9F"/>
    <w:rsid w:val="000D146F"/>
    <w:rsid w:val="000D4BF1"/>
    <w:rsid w:val="000E2234"/>
    <w:rsid w:val="000F056C"/>
    <w:rsid w:val="000F7C48"/>
    <w:rsid w:val="001005BA"/>
    <w:rsid w:val="00102CDF"/>
    <w:rsid w:val="00107BCF"/>
    <w:rsid w:val="00110026"/>
    <w:rsid w:val="00115923"/>
    <w:rsid w:val="00122B89"/>
    <w:rsid w:val="00127C74"/>
    <w:rsid w:val="00134136"/>
    <w:rsid w:val="00134308"/>
    <w:rsid w:val="00137528"/>
    <w:rsid w:val="0014096E"/>
    <w:rsid w:val="00141022"/>
    <w:rsid w:val="001457D9"/>
    <w:rsid w:val="00146AF9"/>
    <w:rsid w:val="00152AA1"/>
    <w:rsid w:val="00160D17"/>
    <w:rsid w:val="00160F6F"/>
    <w:rsid w:val="00161FF4"/>
    <w:rsid w:val="00164E4E"/>
    <w:rsid w:val="00164F99"/>
    <w:rsid w:val="00170E8A"/>
    <w:rsid w:val="00175500"/>
    <w:rsid w:val="00175514"/>
    <w:rsid w:val="00182DE8"/>
    <w:rsid w:val="00186FEC"/>
    <w:rsid w:val="0019008E"/>
    <w:rsid w:val="00195587"/>
    <w:rsid w:val="001958D8"/>
    <w:rsid w:val="001A0E71"/>
    <w:rsid w:val="001A689F"/>
    <w:rsid w:val="001B1438"/>
    <w:rsid w:val="001B727B"/>
    <w:rsid w:val="001B7B4B"/>
    <w:rsid w:val="001C0454"/>
    <w:rsid w:val="001C5B6A"/>
    <w:rsid w:val="001D00B8"/>
    <w:rsid w:val="001D0560"/>
    <w:rsid w:val="001D2969"/>
    <w:rsid w:val="001D62E9"/>
    <w:rsid w:val="001E2EE0"/>
    <w:rsid w:val="001E4878"/>
    <w:rsid w:val="001E6805"/>
    <w:rsid w:val="001F1712"/>
    <w:rsid w:val="001F26A6"/>
    <w:rsid w:val="001F26EE"/>
    <w:rsid w:val="001F5222"/>
    <w:rsid w:val="001F6086"/>
    <w:rsid w:val="00202CA8"/>
    <w:rsid w:val="00212E9B"/>
    <w:rsid w:val="00213ACE"/>
    <w:rsid w:val="00215250"/>
    <w:rsid w:val="002216F7"/>
    <w:rsid w:val="002223E0"/>
    <w:rsid w:val="00223525"/>
    <w:rsid w:val="00227253"/>
    <w:rsid w:val="00232BB6"/>
    <w:rsid w:val="00236744"/>
    <w:rsid w:val="0023703C"/>
    <w:rsid w:val="00242369"/>
    <w:rsid w:val="002424EB"/>
    <w:rsid w:val="00243658"/>
    <w:rsid w:val="002460C6"/>
    <w:rsid w:val="00252F25"/>
    <w:rsid w:val="002554E2"/>
    <w:rsid w:val="0026285F"/>
    <w:rsid w:val="0026334D"/>
    <w:rsid w:val="00266274"/>
    <w:rsid w:val="002672B4"/>
    <w:rsid w:val="00271E90"/>
    <w:rsid w:val="002724C1"/>
    <w:rsid w:val="002724C8"/>
    <w:rsid w:val="00281C7A"/>
    <w:rsid w:val="00283BCC"/>
    <w:rsid w:val="002847DB"/>
    <w:rsid w:val="002868B8"/>
    <w:rsid w:val="00290022"/>
    <w:rsid w:val="00290662"/>
    <w:rsid w:val="00291F64"/>
    <w:rsid w:val="00297387"/>
    <w:rsid w:val="002A1C26"/>
    <w:rsid w:val="002A2D7E"/>
    <w:rsid w:val="002A6B0B"/>
    <w:rsid w:val="002B03AE"/>
    <w:rsid w:val="002C1552"/>
    <w:rsid w:val="002C5025"/>
    <w:rsid w:val="002C7AFF"/>
    <w:rsid w:val="002D04CF"/>
    <w:rsid w:val="002D19BF"/>
    <w:rsid w:val="002D4856"/>
    <w:rsid w:val="002D51E9"/>
    <w:rsid w:val="002E0186"/>
    <w:rsid w:val="002E1B54"/>
    <w:rsid w:val="002F0BB2"/>
    <w:rsid w:val="0030348F"/>
    <w:rsid w:val="003060F0"/>
    <w:rsid w:val="00306E23"/>
    <w:rsid w:val="00312236"/>
    <w:rsid w:val="00313902"/>
    <w:rsid w:val="00314EBE"/>
    <w:rsid w:val="003157B7"/>
    <w:rsid w:val="0031607C"/>
    <w:rsid w:val="00317DC9"/>
    <w:rsid w:val="0032237A"/>
    <w:rsid w:val="00322B80"/>
    <w:rsid w:val="00322DB3"/>
    <w:rsid w:val="00323818"/>
    <w:rsid w:val="00324978"/>
    <w:rsid w:val="003262BD"/>
    <w:rsid w:val="00326A62"/>
    <w:rsid w:val="00332ADA"/>
    <w:rsid w:val="00336C5B"/>
    <w:rsid w:val="00343939"/>
    <w:rsid w:val="00343AF0"/>
    <w:rsid w:val="00350852"/>
    <w:rsid w:val="00351709"/>
    <w:rsid w:val="0035637A"/>
    <w:rsid w:val="00356CE8"/>
    <w:rsid w:val="003600CA"/>
    <w:rsid w:val="00363F5F"/>
    <w:rsid w:val="00365FC6"/>
    <w:rsid w:val="003741F2"/>
    <w:rsid w:val="00374EB2"/>
    <w:rsid w:val="003751D8"/>
    <w:rsid w:val="00376362"/>
    <w:rsid w:val="00381725"/>
    <w:rsid w:val="003826F9"/>
    <w:rsid w:val="00383C03"/>
    <w:rsid w:val="00387303"/>
    <w:rsid w:val="0039063D"/>
    <w:rsid w:val="003909E1"/>
    <w:rsid w:val="00391A81"/>
    <w:rsid w:val="003922A4"/>
    <w:rsid w:val="003977F1"/>
    <w:rsid w:val="003A17AA"/>
    <w:rsid w:val="003A2369"/>
    <w:rsid w:val="003A3088"/>
    <w:rsid w:val="003A5890"/>
    <w:rsid w:val="003B0760"/>
    <w:rsid w:val="003B2517"/>
    <w:rsid w:val="003B2B00"/>
    <w:rsid w:val="003B42A7"/>
    <w:rsid w:val="003B46F6"/>
    <w:rsid w:val="003B57BF"/>
    <w:rsid w:val="003C0EAC"/>
    <w:rsid w:val="003C134E"/>
    <w:rsid w:val="003C2DFE"/>
    <w:rsid w:val="003C6095"/>
    <w:rsid w:val="003D095B"/>
    <w:rsid w:val="003D3580"/>
    <w:rsid w:val="003D6BE1"/>
    <w:rsid w:val="003E0F00"/>
    <w:rsid w:val="003E3690"/>
    <w:rsid w:val="003E3D25"/>
    <w:rsid w:val="003F0535"/>
    <w:rsid w:val="003F1918"/>
    <w:rsid w:val="003F43B2"/>
    <w:rsid w:val="003F60D8"/>
    <w:rsid w:val="00400169"/>
    <w:rsid w:val="004029A2"/>
    <w:rsid w:val="00405957"/>
    <w:rsid w:val="0041355B"/>
    <w:rsid w:val="00413CEA"/>
    <w:rsid w:val="00415054"/>
    <w:rsid w:val="0041737D"/>
    <w:rsid w:val="00430C5E"/>
    <w:rsid w:val="00431077"/>
    <w:rsid w:val="004350D0"/>
    <w:rsid w:val="00443891"/>
    <w:rsid w:val="00446EB6"/>
    <w:rsid w:val="0045453C"/>
    <w:rsid w:val="00454606"/>
    <w:rsid w:val="0045600A"/>
    <w:rsid w:val="00475231"/>
    <w:rsid w:val="00475DC7"/>
    <w:rsid w:val="00476271"/>
    <w:rsid w:val="00482759"/>
    <w:rsid w:val="004868E2"/>
    <w:rsid w:val="00493AE8"/>
    <w:rsid w:val="004966FD"/>
    <w:rsid w:val="004A0982"/>
    <w:rsid w:val="004A0A46"/>
    <w:rsid w:val="004A1636"/>
    <w:rsid w:val="004A27AB"/>
    <w:rsid w:val="004A3D7C"/>
    <w:rsid w:val="004A41DE"/>
    <w:rsid w:val="004A6A2D"/>
    <w:rsid w:val="004B1CBE"/>
    <w:rsid w:val="004B2A9D"/>
    <w:rsid w:val="004B53D0"/>
    <w:rsid w:val="004B6ED0"/>
    <w:rsid w:val="004C0AC8"/>
    <w:rsid w:val="004C1538"/>
    <w:rsid w:val="004D2697"/>
    <w:rsid w:val="004D38C2"/>
    <w:rsid w:val="004D3FE7"/>
    <w:rsid w:val="004E2C09"/>
    <w:rsid w:val="004E627F"/>
    <w:rsid w:val="004E6615"/>
    <w:rsid w:val="004E79FD"/>
    <w:rsid w:val="004F04BC"/>
    <w:rsid w:val="004F433C"/>
    <w:rsid w:val="004F5EA2"/>
    <w:rsid w:val="004F6A0D"/>
    <w:rsid w:val="004F7C22"/>
    <w:rsid w:val="00507C7E"/>
    <w:rsid w:val="00510129"/>
    <w:rsid w:val="00510151"/>
    <w:rsid w:val="00514716"/>
    <w:rsid w:val="0051672E"/>
    <w:rsid w:val="00516E30"/>
    <w:rsid w:val="0052082B"/>
    <w:rsid w:val="005215DE"/>
    <w:rsid w:val="0052180A"/>
    <w:rsid w:val="005264CA"/>
    <w:rsid w:val="0052681E"/>
    <w:rsid w:val="00526F86"/>
    <w:rsid w:val="005312E5"/>
    <w:rsid w:val="00532410"/>
    <w:rsid w:val="00532637"/>
    <w:rsid w:val="0053264B"/>
    <w:rsid w:val="00540C03"/>
    <w:rsid w:val="005419EC"/>
    <w:rsid w:val="005427FE"/>
    <w:rsid w:val="00556440"/>
    <w:rsid w:val="005649A0"/>
    <w:rsid w:val="0057060A"/>
    <w:rsid w:val="00573996"/>
    <w:rsid w:val="00574E7D"/>
    <w:rsid w:val="00576791"/>
    <w:rsid w:val="00577E0D"/>
    <w:rsid w:val="005801D2"/>
    <w:rsid w:val="00583811"/>
    <w:rsid w:val="00585DE8"/>
    <w:rsid w:val="00590359"/>
    <w:rsid w:val="00590479"/>
    <w:rsid w:val="005916C6"/>
    <w:rsid w:val="0059736C"/>
    <w:rsid w:val="005978BF"/>
    <w:rsid w:val="005B2DF8"/>
    <w:rsid w:val="005B3580"/>
    <w:rsid w:val="005B5A52"/>
    <w:rsid w:val="005B6955"/>
    <w:rsid w:val="005B6EFC"/>
    <w:rsid w:val="005C1DBE"/>
    <w:rsid w:val="005C51A5"/>
    <w:rsid w:val="005D6BC2"/>
    <w:rsid w:val="005E2D08"/>
    <w:rsid w:val="005E440A"/>
    <w:rsid w:val="005F2910"/>
    <w:rsid w:val="00601803"/>
    <w:rsid w:val="00601C07"/>
    <w:rsid w:val="00601ECD"/>
    <w:rsid w:val="00607A7F"/>
    <w:rsid w:val="00607AA9"/>
    <w:rsid w:val="00620806"/>
    <w:rsid w:val="00622AEE"/>
    <w:rsid w:val="00630F6F"/>
    <w:rsid w:val="006315BA"/>
    <w:rsid w:val="00641540"/>
    <w:rsid w:val="0064314A"/>
    <w:rsid w:val="00643632"/>
    <w:rsid w:val="00645DE4"/>
    <w:rsid w:val="00647415"/>
    <w:rsid w:val="00655B47"/>
    <w:rsid w:val="00656815"/>
    <w:rsid w:val="006676D4"/>
    <w:rsid w:val="006710C7"/>
    <w:rsid w:val="0067693C"/>
    <w:rsid w:val="006800DC"/>
    <w:rsid w:val="00680A30"/>
    <w:rsid w:val="00693238"/>
    <w:rsid w:val="00695985"/>
    <w:rsid w:val="006962B0"/>
    <w:rsid w:val="006A3493"/>
    <w:rsid w:val="006A6A24"/>
    <w:rsid w:val="006B7EAC"/>
    <w:rsid w:val="006C0315"/>
    <w:rsid w:val="006C13CB"/>
    <w:rsid w:val="006C3083"/>
    <w:rsid w:val="006C5DE2"/>
    <w:rsid w:val="006C69AD"/>
    <w:rsid w:val="006D1108"/>
    <w:rsid w:val="006D7FAA"/>
    <w:rsid w:val="006E0227"/>
    <w:rsid w:val="006E1C4B"/>
    <w:rsid w:val="006E245F"/>
    <w:rsid w:val="006E4FEE"/>
    <w:rsid w:val="006E51B4"/>
    <w:rsid w:val="006E6E75"/>
    <w:rsid w:val="006F2255"/>
    <w:rsid w:val="006F2FC8"/>
    <w:rsid w:val="006F355B"/>
    <w:rsid w:val="00703774"/>
    <w:rsid w:val="007064A8"/>
    <w:rsid w:val="0071028B"/>
    <w:rsid w:val="00711B43"/>
    <w:rsid w:val="0071358E"/>
    <w:rsid w:val="00717274"/>
    <w:rsid w:val="007207CF"/>
    <w:rsid w:val="00722960"/>
    <w:rsid w:val="0072494E"/>
    <w:rsid w:val="00724DEA"/>
    <w:rsid w:val="00726ED6"/>
    <w:rsid w:val="00726F1A"/>
    <w:rsid w:val="00734234"/>
    <w:rsid w:val="00743224"/>
    <w:rsid w:val="00743879"/>
    <w:rsid w:val="00743F1D"/>
    <w:rsid w:val="00750870"/>
    <w:rsid w:val="00750AF6"/>
    <w:rsid w:val="00750D37"/>
    <w:rsid w:val="00752B92"/>
    <w:rsid w:val="00755B3F"/>
    <w:rsid w:val="0076022E"/>
    <w:rsid w:val="007603B0"/>
    <w:rsid w:val="007612FD"/>
    <w:rsid w:val="00761957"/>
    <w:rsid w:val="0076251F"/>
    <w:rsid w:val="00764361"/>
    <w:rsid w:val="00772E4D"/>
    <w:rsid w:val="007731C1"/>
    <w:rsid w:val="00773811"/>
    <w:rsid w:val="00774C63"/>
    <w:rsid w:val="00775F34"/>
    <w:rsid w:val="00777349"/>
    <w:rsid w:val="00780ACC"/>
    <w:rsid w:val="00785700"/>
    <w:rsid w:val="00787AFD"/>
    <w:rsid w:val="007908B4"/>
    <w:rsid w:val="00792CCA"/>
    <w:rsid w:val="00795CB0"/>
    <w:rsid w:val="007975E4"/>
    <w:rsid w:val="007A088B"/>
    <w:rsid w:val="007A4C61"/>
    <w:rsid w:val="007A5683"/>
    <w:rsid w:val="007A6768"/>
    <w:rsid w:val="007B03BE"/>
    <w:rsid w:val="007B79D1"/>
    <w:rsid w:val="007C0FD5"/>
    <w:rsid w:val="007C6330"/>
    <w:rsid w:val="007D1D01"/>
    <w:rsid w:val="007D264B"/>
    <w:rsid w:val="007D27D9"/>
    <w:rsid w:val="007D489A"/>
    <w:rsid w:val="007D5189"/>
    <w:rsid w:val="007D5B57"/>
    <w:rsid w:val="007D64D9"/>
    <w:rsid w:val="007D6FD7"/>
    <w:rsid w:val="007E080E"/>
    <w:rsid w:val="007F2A26"/>
    <w:rsid w:val="00807377"/>
    <w:rsid w:val="008139C7"/>
    <w:rsid w:val="00813EA6"/>
    <w:rsid w:val="00817640"/>
    <w:rsid w:val="008212D6"/>
    <w:rsid w:val="00830848"/>
    <w:rsid w:val="00830D93"/>
    <w:rsid w:val="00833002"/>
    <w:rsid w:val="00837376"/>
    <w:rsid w:val="00837E16"/>
    <w:rsid w:val="00840076"/>
    <w:rsid w:val="008410C7"/>
    <w:rsid w:val="00842B1B"/>
    <w:rsid w:val="0084506A"/>
    <w:rsid w:val="0085141A"/>
    <w:rsid w:val="00851AC9"/>
    <w:rsid w:val="008566D8"/>
    <w:rsid w:val="0086046F"/>
    <w:rsid w:val="008622E1"/>
    <w:rsid w:val="00863F03"/>
    <w:rsid w:val="0087081E"/>
    <w:rsid w:val="0087158D"/>
    <w:rsid w:val="00871E06"/>
    <w:rsid w:val="00876180"/>
    <w:rsid w:val="00884C69"/>
    <w:rsid w:val="008870E6"/>
    <w:rsid w:val="00890F14"/>
    <w:rsid w:val="00891B15"/>
    <w:rsid w:val="008932B6"/>
    <w:rsid w:val="008946C9"/>
    <w:rsid w:val="00897EC5"/>
    <w:rsid w:val="00897FC3"/>
    <w:rsid w:val="008A113B"/>
    <w:rsid w:val="008A3BDC"/>
    <w:rsid w:val="008A428B"/>
    <w:rsid w:val="008A53B0"/>
    <w:rsid w:val="008B01A2"/>
    <w:rsid w:val="008B1FB4"/>
    <w:rsid w:val="008B23AF"/>
    <w:rsid w:val="008C17FE"/>
    <w:rsid w:val="008C3366"/>
    <w:rsid w:val="008D18DF"/>
    <w:rsid w:val="008D4600"/>
    <w:rsid w:val="008D5255"/>
    <w:rsid w:val="008D6460"/>
    <w:rsid w:val="008E0838"/>
    <w:rsid w:val="008E0917"/>
    <w:rsid w:val="008E0EE1"/>
    <w:rsid w:val="008E29E7"/>
    <w:rsid w:val="008F0107"/>
    <w:rsid w:val="008F1931"/>
    <w:rsid w:val="008F3699"/>
    <w:rsid w:val="008F4BB3"/>
    <w:rsid w:val="00901695"/>
    <w:rsid w:val="0090356B"/>
    <w:rsid w:val="009056E6"/>
    <w:rsid w:val="00906883"/>
    <w:rsid w:val="0091637D"/>
    <w:rsid w:val="00916C10"/>
    <w:rsid w:val="009174EF"/>
    <w:rsid w:val="00922F5A"/>
    <w:rsid w:val="0092302D"/>
    <w:rsid w:val="00927037"/>
    <w:rsid w:val="0092780D"/>
    <w:rsid w:val="00930546"/>
    <w:rsid w:val="00933380"/>
    <w:rsid w:val="009470CB"/>
    <w:rsid w:val="00947AFF"/>
    <w:rsid w:val="0095050A"/>
    <w:rsid w:val="00954DB3"/>
    <w:rsid w:val="00961BAE"/>
    <w:rsid w:val="00962E3C"/>
    <w:rsid w:val="00965167"/>
    <w:rsid w:val="00967ECF"/>
    <w:rsid w:val="00971AAE"/>
    <w:rsid w:val="00972115"/>
    <w:rsid w:val="0097427C"/>
    <w:rsid w:val="00974C2D"/>
    <w:rsid w:val="00977952"/>
    <w:rsid w:val="00980205"/>
    <w:rsid w:val="00983393"/>
    <w:rsid w:val="00983E28"/>
    <w:rsid w:val="009920A4"/>
    <w:rsid w:val="00992BC0"/>
    <w:rsid w:val="0099357F"/>
    <w:rsid w:val="00995D4A"/>
    <w:rsid w:val="009A6075"/>
    <w:rsid w:val="009A6492"/>
    <w:rsid w:val="009B30D5"/>
    <w:rsid w:val="009B37C9"/>
    <w:rsid w:val="009B6066"/>
    <w:rsid w:val="009B655F"/>
    <w:rsid w:val="009B7437"/>
    <w:rsid w:val="009B7814"/>
    <w:rsid w:val="009C5812"/>
    <w:rsid w:val="009C763B"/>
    <w:rsid w:val="009C7C0C"/>
    <w:rsid w:val="009D0B7A"/>
    <w:rsid w:val="009D7615"/>
    <w:rsid w:val="009E3377"/>
    <w:rsid w:val="009E39A5"/>
    <w:rsid w:val="009F2A1C"/>
    <w:rsid w:val="009F3263"/>
    <w:rsid w:val="009F3631"/>
    <w:rsid w:val="009F4B3C"/>
    <w:rsid w:val="009F680A"/>
    <w:rsid w:val="009F6F10"/>
    <w:rsid w:val="009F733E"/>
    <w:rsid w:val="00A0148A"/>
    <w:rsid w:val="00A02B06"/>
    <w:rsid w:val="00A0303D"/>
    <w:rsid w:val="00A04A51"/>
    <w:rsid w:val="00A0787B"/>
    <w:rsid w:val="00A133D8"/>
    <w:rsid w:val="00A23419"/>
    <w:rsid w:val="00A31AE1"/>
    <w:rsid w:val="00A33632"/>
    <w:rsid w:val="00A34775"/>
    <w:rsid w:val="00A348D5"/>
    <w:rsid w:val="00A34C60"/>
    <w:rsid w:val="00A370B8"/>
    <w:rsid w:val="00A4086F"/>
    <w:rsid w:val="00A441BF"/>
    <w:rsid w:val="00A445C8"/>
    <w:rsid w:val="00A47C08"/>
    <w:rsid w:val="00A513C2"/>
    <w:rsid w:val="00A51E68"/>
    <w:rsid w:val="00A52A53"/>
    <w:rsid w:val="00A53983"/>
    <w:rsid w:val="00A5667E"/>
    <w:rsid w:val="00A57363"/>
    <w:rsid w:val="00A60415"/>
    <w:rsid w:val="00A62DCA"/>
    <w:rsid w:val="00A633CA"/>
    <w:rsid w:val="00A6613B"/>
    <w:rsid w:val="00A7057A"/>
    <w:rsid w:val="00A70FE3"/>
    <w:rsid w:val="00A71591"/>
    <w:rsid w:val="00A7294F"/>
    <w:rsid w:val="00A76510"/>
    <w:rsid w:val="00A77C74"/>
    <w:rsid w:val="00A80E9C"/>
    <w:rsid w:val="00A8101C"/>
    <w:rsid w:val="00A81154"/>
    <w:rsid w:val="00A82B97"/>
    <w:rsid w:val="00A83624"/>
    <w:rsid w:val="00A8560C"/>
    <w:rsid w:val="00A86DCF"/>
    <w:rsid w:val="00A878E8"/>
    <w:rsid w:val="00A950FA"/>
    <w:rsid w:val="00AA1315"/>
    <w:rsid w:val="00AB0E23"/>
    <w:rsid w:val="00AB2881"/>
    <w:rsid w:val="00AB364E"/>
    <w:rsid w:val="00AB3A70"/>
    <w:rsid w:val="00AB4DB1"/>
    <w:rsid w:val="00AC0C81"/>
    <w:rsid w:val="00AC4D73"/>
    <w:rsid w:val="00AC66AF"/>
    <w:rsid w:val="00AC6A9C"/>
    <w:rsid w:val="00AD08D8"/>
    <w:rsid w:val="00AD7B09"/>
    <w:rsid w:val="00AE4B8E"/>
    <w:rsid w:val="00AE609C"/>
    <w:rsid w:val="00AE6975"/>
    <w:rsid w:val="00AE7B51"/>
    <w:rsid w:val="00AF0C5E"/>
    <w:rsid w:val="00AF2AA9"/>
    <w:rsid w:val="00AF5981"/>
    <w:rsid w:val="00AF66DA"/>
    <w:rsid w:val="00B020F0"/>
    <w:rsid w:val="00B02BD6"/>
    <w:rsid w:val="00B04995"/>
    <w:rsid w:val="00B053FA"/>
    <w:rsid w:val="00B058F5"/>
    <w:rsid w:val="00B11FC9"/>
    <w:rsid w:val="00B27A0F"/>
    <w:rsid w:val="00B30CAE"/>
    <w:rsid w:val="00B33D8D"/>
    <w:rsid w:val="00B4360D"/>
    <w:rsid w:val="00B43796"/>
    <w:rsid w:val="00B43F05"/>
    <w:rsid w:val="00B46016"/>
    <w:rsid w:val="00B47175"/>
    <w:rsid w:val="00B476A1"/>
    <w:rsid w:val="00B47EB0"/>
    <w:rsid w:val="00B509B6"/>
    <w:rsid w:val="00B514EA"/>
    <w:rsid w:val="00B52E7F"/>
    <w:rsid w:val="00B54909"/>
    <w:rsid w:val="00B54F2B"/>
    <w:rsid w:val="00B66A1A"/>
    <w:rsid w:val="00B66F5C"/>
    <w:rsid w:val="00B67631"/>
    <w:rsid w:val="00B74CFF"/>
    <w:rsid w:val="00B76B12"/>
    <w:rsid w:val="00B800DF"/>
    <w:rsid w:val="00B863E5"/>
    <w:rsid w:val="00B87BFD"/>
    <w:rsid w:val="00B93D38"/>
    <w:rsid w:val="00BA1FF5"/>
    <w:rsid w:val="00BA2BEE"/>
    <w:rsid w:val="00BA51C2"/>
    <w:rsid w:val="00BA6558"/>
    <w:rsid w:val="00BA685D"/>
    <w:rsid w:val="00BA7FF5"/>
    <w:rsid w:val="00BB1362"/>
    <w:rsid w:val="00BB366A"/>
    <w:rsid w:val="00BB662A"/>
    <w:rsid w:val="00BC15A3"/>
    <w:rsid w:val="00BC4CAD"/>
    <w:rsid w:val="00BC6F2A"/>
    <w:rsid w:val="00BD05C9"/>
    <w:rsid w:val="00BD79E0"/>
    <w:rsid w:val="00BE0511"/>
    <w:rsid w:val="00BE1855"/>
    <w:rsid w:val="00BE199E"/>
    <w:rsid w:val="00BE302E"/>
    <w:rsid w:val="00BE5271"/>
    <w:rsid w:val="00C00D65"/>
    <w:rsid w:val="00C01607"/>
    <w:rsid w:val="00C02853"/>
    <w:rsid w:val="00C07BCE"/>
    <w:rsid w:val="00C104DA"/>
    <w:rsid w:val="00C139AA"/>
    <w:rsid w:val="00C2088C"/>
    <w:rsid w:val="00C31657"/>
    <w:rsid w:val="00C32D10"/>
    <w:rsid w:val="00C33FFB"/>
    <w:rsid w:val="00C35F15"/>
    <w:rsid w:val="00C36A16"/>
    <w:rsid w:val="00C3735C"/>
    <w:rsid w:val="00C37D37"/>
    <w:rsid w:val="00C4205F"/>
    <w:rsid w:val="00C4217F"/>
    <w:rsid w:val="00C457DE"/>
    <w:rsid w:val="00C47C3B"/>
    <w:rsid w:val="00C51E33"/>
    <w:rsid w:val="00C53B30"/>
    <w:rsid w:val="00C5514C"/>
    <w:rsid w:val="00C56151"/>
    <w:rsid w:val="00C5650A"/>
    <w:rsid w:val="00C56A2C"/>
    <w:rsid w:val="00C6047B"/>
    <w:rsid w:val="00C60796"/>
    <w:rsid w:val="00C60FD2"/>
    <w:rsid w:val="00C61533"/>
    <w:rsid w:val="00C6161A"/>
    <w:rsid w:val="00C61EA7"/>
    <w:rsid w:val="00C628D6"/>
    <w:rsid w:val="00C639BA"/>
    <w:rsid w:val="00C66464"/>
    <w:rsid w:val="00C66F89"/>
    <w:rsid w:val="00C75BAA"/>
    <w:rsid w:val="00C80E8A"/>
    <w:rsid w:val="00C816ED"/>
    <w:rsid w:val="00C83408"/>
    <w:rsid w:val="00C9368C"/>
    <w:rsid w:val="00C93BB9"/>
    <w:rsid w:val="00C95D59"/>
    <w:rsid w:val="00C96692"/>
    <w:rsid w:val="00CA1EDF"/>
    <w:rsid w:val="00CA34CF"/>
    <w:rsid w:val="00CB04D7"/>
    <w:rsid w:val="00CB06DD"/>
    <w:rsid w:val="00CB2C6A"/>
    <w:rsid w:val="00CB48A3"/>
    <w:rsid w:val="00CB5773"/>
    <w:rsid w:val="00CB5BFE"/>
    <w:rsid w:val="00CB5D89"/>
    <w:rsid w:val="00CB6C30"/>
    <w:rsid w:val="00CC244A"/>
    <w:rsid w:val="00CC4836"/>
    <w:rsid w:val="00CD5D88"/>
    <w:rsid w:val="00CE371C"/>
    <w:rsid w:val="00CE4431"/>
    <w:rsid w:val="00CE654A"/>
    <w:rsid w:val="00CE7352"/>
    <w:rsid w:val="00CF0894"/>
    <w:rsid w:val="00CF0A55"/>
    <w:rsid w:val="00CF0F53"/>
    <w:rsid w:val="00CF454F"/>
    <w:rsid w:val="00D03E67"/>
    <w:rsid w:val="00D05011"/>
    <w:rsid w:val="00D06D76"/>
    <w:rsid w:val="00D10D08"/>
    <w:rsid w:val="00D1158A"/>
    <w:rsid w:val="00D12A39"/>
    <w:rsid w:val="00D138B4"/>
    <w:rsid w:val="00D177E0"/>
    <w:rsid w:val="00D20E79"/>
    <w:rsid w:val="00D227E0"/>
    <w:rsid w:val="00D22FFA"/>
    <w:rsid w:val="00D256AE"/>
    <w:rsid w:val="00D25B8E"/>
    <w:rsid w:val="00D26445"/>
    <w:rsid w:val="00D2738C"/>
    <w:rsid w:val="00D320E3"/>
    <w:rsid w:val="00D331F2"/>
    <w:rsid w:val="00D34108"/>
    <w:rsid w:val="00D36B2B"/>
    <w:rsid w:val="00D43304"/>
    <w:rsid w:val="00D46DE8"/>
    <w:rsid w:val="00D47B44"/>
    <w:rsid w:val="00D51386"/>
    <w:rsid w:val="00D514B7"/>
    <w:rsid w:val="00D52B58"/>
    <w:rsid w:val="00D53518"/>
    <w:rsid w:val="00D5420A"/>
    <w:rsid w:val="00D5440B"/>
    <w:rsid w:val="00D5766A"/>
    <w:rsid w:val="00D61395"/>
    <w:rsid w:val="00D63DB7"/>
    <w:rsid w:val="00D661F4"/>
    <w:rsid w:val="00D71045"/>
    <w:rsid w:val="00D72F66"/>
    <w:rsid w:val="00D746AE"/>
    <w:rsid w:val="00D76E74"/>
    <w:rsid w:val="00D7700A"/>
    <w:rsid w:val="00D84555"/>
    <w:rsid w:val="00D875DC"/>
    <w:rsid w:val="00D92D2C"/>
    <w:rsid w:val="00D95719"/>
    <w:rsid w:val="00D968E1"/>
    <w:rsid w:val="00D97429"/>
    <w:rsid w:val="00DA1B48"/>
    <w:rsid w:val="00DA31A2"/>
    <w:rsid w:val="00DA320A"/>
    <w:rsid w:val="00DA6BBB"/>
    <w:rsid w:val="00DA7773"/>
    <w:rsid w:val="00DB3115"/>
    <w:rsid w:val="00DB34E4"/>
    <w:rsid w:val="00DB3BCD"/>
    <w:rsid w:val="00DC34EA"/>
    <w:rsid w:val="00DC57D3"/>
    <w:rsid w:val="00DC6173"/>
    <w:rsid w:val="00DC70C6"/>
    <w:rsid w:val="00DD1C38"/>
    <w:rsid w:val="00DD4F89"/>
    <w:rsid w:val="00DD6CC6"/>
    <w:rsid w:val="00DE0E2F"/>
    <w:rsid w:val="00DE2FA8"/>
    <w:rsid w:val="00DE4AA3"/>
    <w:rsid w:val="00DF486D"/>
    <w:rsid w:val="00DF4DA8"/>
    <w:rsid w:val="00DF62AC"/>
    <w:rsid w:val="00E07DE3"/>
    <w:rsid w:val="00E217BC"/>
    <w:rsid w:val="00E22554"/>
    <w:rsid w:val="00E247B0"/>
    <w:rsid w:val="00E24B58"/>
    <w:rsid w:val="00E26DE1"/>
    <w:rsid w:val="00E31420"/>
    <w:rsid w:val="00E3491F"/>
    <w:rsid w:val="00E34E97"/>
    <w:rsid w:val="00E4392E"/>
    <w:rsid w:val="00E45D0C"/>
    <w:rsid w:val="00E50A68"/>
    <w:rsid w:val="00E53384"/>
    <w:rsid w:val="00E53C40"/>
    <w:rsid w:val="00E60DF6"/>
    <w:rsid w:val="00E61B5A"/>
    <w:rsid w:val="00E63E74"/>
    <w:rsid w:val="00E657D7"/>
    <w:rsid w:val="00E665BF"/>
    <w:rsid w:val="00E718C0"/>
    <w:rsid w:val="00E7250C"/>
    <w:rsid w:val="00E8117D"/>
    <w:rsid w:val="00E817F4"/>
    <w:rsid w:val="00E8311E"/>
    <w:rsid w:val="00E86B45"/>
    <w:rsid w:val="00E86F25"/>
    <w:rsid w:val="00E8714C"/>
    <w:rsid w:val="00E906E4"/>
    <w:rsid w:val="00E9603E"/>
    <w:rsid w:val="00E960D6"/>
    <w:rsid w:val="00E96F96"/>
    <w:rsid w:val="00EA113D"/>
    <w:rsid w:val="00EA4CC8"/>
    <w:rsid w:val="00EA661E"/>
    <w:rsid w:val="00EB63EA"/>
    <w:rsid w:val="00EB6B0B"/>
    <w:rsid w:val="00ED10D7"/>
    <w:rsid w:val="00ED14A1"/>
    <w:rsid w:val="00ED1A76"/>
    <w:rsid w:val="00ED4B74"/>
    <w:rsid w:val="00ED5B61"/>
    <w:rsid w:val="00ED710B"/>
    <w:rsid w:val="00ED7E45"/>
    <w:rsid w:val="00EE75BD"/>
    <w:rsid w:val="00EF0206"/>
    <w:rsid w:val="00EF3C4F"/>
    <w:rsid w:val="00EF7C91"/>
    <w:rsid w:val="00F0485F"/>
    <w:rsid w:val="00F04FF4"/>
    <w:rsid w:val="00F112F2"/>
    <w:rsid w:val="00F16DF5"/>
    <w:rsid w:val="00F2038A"/>
    <w:rsid w:val="00F21F69"/>
    <w:rsid w:val="00F22BD1"/>
    <w:rsid w:val="00F26B68"/>
    <w:rsid w:val="00F3432B"/>
    <w:rsid w:val="00F35A37"/>
    <w:rsid w:val="00F40936"/>
    <w:rsid w:val="00F42D4B"/>
    <w:rsid w:val="00F469F9"/>
    <w:rsid w:val="00F56E7E"/>
    <w:rsid w:val="00F6047D"/>
    <w:rsid w:val="00F647FA"/>
    <w:rsid w:val="00F656EA"/>
    <w:rsid w:val="00F6690A"/>
    <w:rsid w:val="00F717E6"/>
    <w:rsid w:val="00F71B9F"/>
    <w:rsid w:val="00F771B3"/>
    <w:rsid w:val="00F812E5"/>
    <w:rsid w:val="00F83210"/>
    <w:rsid w:val="00F84D2B"/>
    <w:rsid w:val="00F86685"/>
    <w:rsid w:val="00F91FCD"/>
    <w:rsid w:val="00F92560"/>
    <w:rsid w:val="00F93BA5"/>
    <w:rsid w:val="00F945F0"/>
    <w:rsid w:val="00F94F05"/>
    <w:rsid w:val="00FA0D93"/>
    <w:rsid w:val="00FB12A7"/>
    <w:rsid w:val="00FB4303"/>
    <w:rsid w:val="00FB4409"/>
    <w:rsid w:val="00FB6312"/>
    <w:rsid w:val="00FB731A"/>
    <w:rsid w:val="00FC18B8"/>
    <w:rsid w:val="00FC3A21"/>
    <w:rsid w:val="00FC441C"/>
    <w:rsid w:val="00FC5128"/>
    <w:rsid w:val="00FC6841"/>
    <w:rsid w:val="00FC7139"/>
    <w:rsid w:val="00FD2908"/>
    <w:rsid w:val="00FD4697"/>
    <w:rsid w:val="00FE3900"/>
    <w:rsid w:val="00FE4365"/>
    <w:rsid w:val="00FE498E"/>
    <w:rsid w:val="00FE56FE"/>
    <w:rsid w:val="00FF5D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1B4E6"/>
  <w15:chartTrackingRefBased/>
  <w15:docId w15:val="{9CC25140-991E-4C72-87DC-795D5772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55"/>
    <w:pPr>
      <w:spacing w:after="0" w:line="280" w:lineRule="exact"/>
    </w:pPr>
    <w:rPr>
      <w:rFonts w:ascii="Times New Roman" w:eastAsia="Times New Roman" w:hAnsi="Times New Roman" w:cs="Times New Roman"/>
      <w:kern w:val="0"/>
      <w:sz w:val="24"/>
      <w:szCs w:val="20"/>
      <w:lang w:eastAsia="da-DK"/>
    </w:rPr>
  </w:style>
  <w:style w:type="paragraph" w:styleId="Heading1">
    <w:name w:val="heading 1"/>
    <w:basedOn w:val="Normal"/>
    <w:next w:val="Normal"/>
    <w:link w:val="Heading1Char"/>
    <w:qFormat/>
    <w:rsid w:val="00992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92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92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A4"/>
    <w:rPr>
      <w:rFonts w:eastAsiaTheme="majorEastAsia" w:cstheme="majorBidi"/>
      <w:color w:val="272727" w:themeColor="text1" w:themeTint="D8"/>
    </w:rPr>
  </w:style>
  <w:style w:type="paragraph" w:styleId="Title">
    <w:name w:val="Title"/>
    <w:basedOn w:val="Normal"/>
    <w:next w:val="Normal"/>
    <w:link w:val="TitleChar"/>
    <w:uiPriority w:val="10"/>
    <w:qFormat/>
    <w:rsid w:val="0099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A4"/>
    <w:pPr>
      <w:spacing w:before="160"/>
      <w:jc w:val="center"/>
    </w:pPr>
    <w:rPr>
      <w:i/>
      <w:iCs/>
      <w:color w:val="404040" w:themeColor="text1" w:themeTint="BF"/>
    </w:rPr>
  </w:style>
  <w:style w:type="character" w:customStyle="1" w:styleId="QuoteChar">
    <w:name w:val="Quote Char"/>
    <w:basedOn w:val="DefaultParagraphFont"/>
    <w:link w:val="Quote"/>
    <w:uiPriority w:val="29"/>
    <w:rsid w:val="009920A4"/>
    <w:rPr>
      <w:i/>
      <w:iCs/>
      <w:color w:val="404040" w:themeColor="text1" w:themeTint="BF"/>
    </w:rPr>
  </w:style>
  <w:style w:type="paragraph" w:styleId="ListParagraph">
    <w:name w:val="List Paragraph"/>
    <w:basedOn w:val="Normal"/>
    <w:uiPriority w:val="34"/>
    <w:qFormat/>
    <w:rsid w:val="009920A4"/>
    <w:pPr>
      <w:ind w:left="720"/>
      <w:contextualSpacing/>
    </w:pPr>
  </w:style>
  <w:style w:type="character" w:styleId="IntenseEmphasis">
    <w:name w:val="Intense Emphasis"/>
    <w:basedOn w:val="DefaultParagraphFont"/>
    <w:uiPriority w:val="21"/>
    <w:qFormat/>
    <w:rsid w:val="009920A4"/>
    <w:rPr>
      <w:i/>
      <w:iCs/>
      <w:color w:val="0F4761" w:themeColor="accent1" w:themeShade="BF"/>
    </w:rPr>
  </w:style>
  <w:style w:type="paragraph" w:styleId="IntenseQuote">
    <w:name w:val="Intense Quote"/>
    <w:basedOn w:val="Normal"/>
    <w:next w:val="Normal"/>
    <w:link w:val="IntenseQuoteChar"/>
    <w:uiPriority w:val="30"/>
    <w:qFormat/>
    <w:rsid w:val="00992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0A4"/>
    <w:rPr>
      <w:i/>
      <w:iCs/>
      <w:color w:val="0F4761" w:themeColor="accent1" w:themeShade="BF"/>
    </w:rPr>
  </w:style>
  <w:style w:type="character" w:styleId="IntenseReference">
    <w:name w:val="Intense Reference"/>
    <w:basedOn w:val="DefaultParagraphFont"/>
    <w:uiPriority w:val="32"/>
    <w:qFormat/>
    <w:rsid w:val="009920A4"/>
    <w:rPr>
      <w:b/>
      <w:bCs/>
      <w:smallCaps/>
      <w:color w:val="0F4761" w:themeColor="accent1" w:themeShade="BF"/>
      <w:spacing w:val="5"/>
    </w:rPr>
  </w:style>
  <w:style w:type="paragraph" w:customStyle="1" w:styleId="skakt">
    <w:name w:val="skakt"/>
    <w:basedOn w:val="Normal"/>
    <w:rsid w:val="008D5255"/>
    <w:pPr>
      <w:framePr w:w="2268" w:h="8505" w:hSpace="142" w:wrap="around" w:vAnchor="text" w:hAnchor="page" w:x="8931" w:y="1" w:anchorLock="1"/>
    </w:pPr>
    <w:rPr>
      <w:rFonts w:ascii="Arial" w:hAnsi="Arial"/>
      <w:sz w:val="16"/>
    </w:rPr>
  </w:style>
  <w:style w:type="paragraph" w:styleId="FootnoteText">
    <w:name w:val="footnote text"/>
    <w:basedOn w:val="Normal"/>
    <w:link w:val="FootnoteTextChar"/>
    <w:uiPriority w:val="99"/>
    <w:semiHidden/>
    <w:unhideWhenUsed/>
    <w:rsid w:val="00D97429"/>
    <w:pPr>
      <w:spacing w:line="240" w:lineRule="auto"/>
    </w:pPr>
    <w:rPr>
      <w:rFonts w:ascii="Aptos" w:hAnsi="Aptos"/>
      <w:sz w:val="20"/>
    </w:rPr>
  </w:style>
  <w:style w:type="character" w:customStyle="1" w:styleId="FootnoteTextChar">
    <w:name w:val="Footnote Text Char"/>
    <w:basedOn w:val="DefaultParagraphFont"/>
    <w:link w:val="FootnoteText"/>
    <w:uiPriority w:val="99"/>
    <w:semiHidden/>
    <w:rsid w:val="00D97429"/>
    <w:rPr>
      <w:rFonts w:ascii="Aptos" w:eastAsia="Times New Roman" w:hAnsi="Aptos" w:cs="Times New Roman"/>
      <w:kern w:val="0"/>
      <w:sz w:val="20"/>
      <w:szCs w:val="20"/>
      <w:lang w:val="da-DK" w:eastAsia="da-DK"/>
    </w:rPr>
  </w:style>
  <w:style w:type="character" w:styleId="FootnoteReference">
    <w:name w:val="footnote reference"/>
    <w:basedOn w:val="DefaultParagraphFont"/>
    <w:uiPriority w:val="99"/>
    <w:semiHidden/>
    <w:unhideWhenUsed/>
    <w:rsid w:val="008D5255"/>
    <w:rPr>
      <w:vertAlign w:val="superscript"/>
    </w:rPr>
  </w:style>
  <w:style w:type="character" w:styleId="Hyperlink">
    <w:name w:val="Hyperlink"/>
    <w:basedOn w:val="DefaultParagraphFont"/>
    <w:uiPriority w:val="99"/>
    <w:unhideWhenUsed/>
    <w:rsid w:val="008D5255"/>
    <w:rPr>
      <w:color w:val="467886" w:themeColor="hyperlink"/>
      <w:u w:val="single"/>
    </w:rPr>
  </w:style>
  <w:style w:type="paragraph" w:styleId="Revision">
    <w:name w:val="Revision"/>
    <w:hidden/>
    <w:uiPriority w:val="99"/>
    <w:semiHidden/>
    <w:rsid w:val="0052180A"/>
    <w:pPr>
      <w:spacing w:after="0" w:line="240" w:lineRule="auto"/>
    </w:pPr>
    <w:rPr>
      <w:rFonts w:ascii="Times New Roman" w:eastAsia="Times New Roman" w:hAnsi="Times New Roman" w:cs="Times New Roman"/>
      <w:kern w:val="0"/>
      <w:sz w:val="24"/>
      <w:szCs w:val="20"/>
      <w:lang w:val="da-DK" w:eastAsia="da-DK"/>
    </w:rPr>
  </w:style>
  <w:style w:type="character" w:styleId="CommentReference">
    <w:name w:val="annotation reference"/>
    <w:basedOn w:val="DefaultParagraphFont"/>
    <w:uiPriority w:val="99"/>
    <w:semiHidden/>
    <w:unhideWhenUsed/>
    <w:rsid w:val="0052180A"/>
    <w:rPr>
      <w:sz w:val="16"/>
      <w:szCs w:val="16"/>
    </w:rPr>
  </w:style>
  <w:style w:type="paragraph" w:styleId="CommentText">
    <w:name w:val="annotation text"/>
    <w:basedOn w:val="Normal"/>
    <w:link w:val="CommentTextChar"/>
    <w:uiPriority w:val="99"/>
    <w:unhideWhenUsed/>
    <w:rsid w:val="0052180A"/>
    <w:pPr>
      <w:spacing w:line="240" w:lineRule="auto"/>
    </w:pPr>
    <w:rPr>
      <w:sz w:val="20"/>
    </w:rPr>
  </w:style>
  <w:style w:type="character" w:customStyle="1" w:styleId="CommentTextChar">
    <w:name w:val="Comment Text Char"/>
    <w:basedOn w:val="DefaultParagraphFont"/>
    <w:link w:val="CommentText"/>
    <w:uiPriority w:val="99"/>
    <w:rsid w:val="0052180A"/>
    <w:rPr>
      <w:rFonts w:ascii="Times New Roman" w:eastAsia="Times New Roman" w:hAnsi="Times New Roman" w:cs="Times New Roman"/>
      <w:kern w:val="0"/>
      <w:sz w:val="20"/>
      <w:szCs w:val="20"/>
      <w:lang w:val="da-DK" w:eastAsia="da-DK"/>
    </w:rPr>
  </w:style>
  <w:style w:type="paragraph" w:styleId="CommentSubject">
    <w:name w:val="annotation subject"/>
    <w:basedOn w:val="CommentText"/>
    <w:next w:val="CommentText"/>
    <w:link w:val="CommentSubjectChar"/>
    <w:uiPriority w:val="99"/>
    <w:semiHidden/>
    <w:unhideWhenUsed/>
    <w:rsid w:val="0052180A"/>
    <w:rPr>
      <w:b/>
      <w:bCs/>
    </w:rPr>
  </w:style>
  <w:style w:type="character" w:customStyle="1" w:styleId="CommentSubjectChar">
    <w:name w:val="Comment Subject Char"/>
    <w:basedOn w:val="CommentTextChar"/>
    <w:link w:val="CommentSubject"/>
    <w:uiPriority w:val="99"/>
    <w:semiHidden/>
    <w:rsid w:val="0052180A"/>
    <w:rPr>
      <w:rFonts w:ascii="Times New Roman" w:eastAsia="Times New Roman" w:hAnsi="Times New Roman" w:cs="Times New Roman"/>
      <w:b/>
      <w:bCs/>
      <w:kern w:val="0"/>
      <w:sz w:val="20"/>
      <w:szCs w:val="20"/>
      <w:lang w:val="da-DK" w:eastAsia="da-DK"/>
    </w:rPr>
  </w:style>
  <w:style w:type="paragraph" w:styleId="Header">
    <w:name w:val="header"/>
    <w:basedOn w:val="Normal"/>
    <w:link w:val="HeaderChar"/>
    <w:uiPriority w:val="99"/>
    <w:unhideWhenUsed/>
    <w:rsid w:val="00391A81"/>
    <w:pPr>
      <w:tabs>
        <w:tab w:val="center" w:pos="4513"/>
        <w:tab w:val="right" w:pos="9026"/>
      </w:tabs>
      <w:spacing w:line="240" w:lineRule="auto"/>
    </w:pPr>
  </w:style>
  <w:style w:type="character" w:customStyle="1" w:styleId="HeaderChar">
    <w:name w:val="Header Char"/>
    <w:basedOn w:val="DefaultParagraphFont"/>
    <w:link w:val="Header"/>
    <w:uiPriority w:val="99"/>
    <w:rsid w:val="00391A81"/>
    <w:rPr>
      <w:rFonts w:ascii="Times New Roman" w:eastAsia="Times New Roman" w:hAnsi="Times New Roman" w:cs="Times New Roman"/>
      <w:kern w:val="0"/>
      <w:sz w:val="24"/>
      <w:szCs w:val="20"/>
      <w:lang w:val="da-DK" w:eastAsia="da-DK"/>
    </w:rPr>
  </w:style>
  <w:style w:type="paragraph" w:styleId="Footer">
    <w:name w:val="footer"/>
    <w:basedOn w:val="Normal"/>
    <w:link w:val="FooterChar"/>
    <w:uiPriority w:val="99"/>
    <w:unhideWhenUsed/>
    <w:rsid w:val="00391A81"/>
    <w:pPr>
      <w:tabs>
        <w:tab w:val="center" w:pos="4513"/>
        <w:tab w:val="right" w:pos="9026"/>
      </w:tabs>
      <w:spacing w:line="240" w:lineRule="auto"/>
    </w:pPr>
  </w:style>
  <w:style w:type="character" w:customStyle="1" w:styleId="FooterChar">
    <w:name w:val="Footer Char"/>
    <w:basedOn w:val="DefaultParagraphFont"/>
    <w:link w:val="Footer"/>
    <w:uiPriority w:val="99"/>
    <w:rsid w:val="00391A81"/>
    <w:rPr>
      <w:rFonts w:ascii="Times New Roman" w:eastAsia="Times New Roman" w:hAnsi="Times New Roman" w:cs="Times New Roman"/>
      <w:kern w:val="0"/>
      <w:sz w:val="24"/>
      <w:szCs w:val="20"/>
      <w:lang w:val="da-DK" w:eastAsia="da-DK"/>
    </w:rPr>
  </w:style>
  <w:style w:type="character" w:styleId="UnresolvedMention">
    <w:name w:val="Unresolved Mention"/>
    <w:basedOn w:val="DefaultParagraphFont"/>
    <w:uiPriority w:val="99"/>
    <w:semiHidden/>
    <w:unhideWhenUsed/>
    <w:rsid w:val="00EA113D"/>
    <w:rPr>
      <w:color w:val="605E5C"/>
      <w:shd w:val="clear" w:color="auto" w:fill="E1DFDD"/>
    </w:rPr>
  </w:style>
  <w:style w:type="paragraph" w:styleId="BalloonText">
    <w:name w:val="Balloon Text"/>
    <w:basedOn w:val="Normal"/>
    <w:link w:val="BalloonTextChar"/>
    <w:uiPriority w:val="99"/>
    <w:semiHidden/>
    <w:unhideWhenUsed/>
    <w:rsid w:val="002B0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3AE"/>
    <w:rPr>
      <w:rFonts w:ascii="Segoe UI" w:eastAsia="Times New Roman" w:hAnsi="Segoe UI" w:cs="Segoe UI"/>
      <w:kern w:val="0"/>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0868">
      <w:bodyDiv w:val="1"/>
      <w:marLeft w:val="0"/>
      <w:marRight w:val="0"/>
      <w:marTop w:val="0"/>
      <w:marBottom w:val="0"/>
      <w:divBdr>
        <w:top w:val="none" w:sz="0" w:space="0" w:color="auto"/>
        <w:left w:val="none" w:sz="0" w:space="0" w:color="auto"/>
        <w:bottom w:val="none" w:sz="0" w:space="0" w:color="auto"/>
        <w:right w:val="none" w:sz="0" w:space="0" w:color="auto"/>
      </w:divBdr>
      <w:divsChild>
        <w:div w:id="1846440091">
          <w:marLeft w:val="0"/>
          <w:marRight w:val="0"/>
          <w:marTop w:val="0"/>
          <w:marBottom w:val="0"/>
          <w:divBdr>
            <w:top w:val="none" w:sz="0" w:space="0" w:color="auto"/>
            <w:left w:val="none" w:sz="0" w:space="0" w:color="auto"/>
            <w:bottom w:val="none" w:sz="0" w:space="0" w:color="auto"/>
            <w:right w:val="none" w:sz="0" w:space="0" w:color="auto"/>
          </w:divBdr>
        </w:div>
      </w:divsChild>
    </w:div>
    <w:div w:id="453790617">
      <w:bodyDiv w:val="1"/>
      <w:marLeft w:val="0"/>
      <w:marRight w:val="0"/>
      <w:marTop w:val="0"/>
      <w:marBottom w:val="0"/>
      <w:divBdr>
        <w:top w:val="none" w:sz="0" w:space="0" w:color="auto"/>
        <w:left w:val="none" w:sz="0" w:space="0" w:color="auto"/>
        <w:bottom w:val="none" w:sz="0" w:space="0" w:color="auto"/>
        <w:right w:val="none" w:sz="0" w:space="0" w:color="auto"/>
      </w:divBdr>
      <w:divsChild>
        <w:div w:id="1093817070">
          <w:marLeft w:val="0"/>
          <w:marRight w:val="0"/>
          <w:marTop w:val="0"/>
          <w:marBottom w:val="0"/>
          <w:divBdr>
            <w:top w:val="none" w:sz="0" w:space="0" w:color="auto"/>
            <w:left w:val="none" w:sz="0" w:space="0" w:color="auto"/>
            <w:bottom w:val="none" w:sz="0" w:space="0" w:color="auto"/>
            <w:right w:val="none" w:sz="0" w:space="0" w:color="auto"/>
          </w:divBdr>
        </w:div>
      </w:divsChild>
    </w:div>
    <w:div w:id="632179621">
      <w:bodyDiv w:val="1"/>
      <w:marLeft w:val="0"/>
      <w:marRight w:val="0"/>
      <w:marTop w:val="0"/>
      <w:marBottom w:val="0"/>
      <w:divBdr>
        <w:top w:val="none" w:sz="0" w:space="0" w:color="auto"/>
        <w:left w:val="none" w:sz="0" w:space="0" w:color="auto"/>
        <w:bottom w:val="none" w:sz="0" w:space="0" w:color="auto"/>
        <w:right w:val="none" w:sz="0" w:space="0" w:color="auto"/>
      </w:divBdr>
    </w:div>
    <w:div w:id="710152504">
      <w:bodyDiv w:val="1"/>
      <w:marLeft w:val="0"/>
      <w:marRight w:val="0"/>
      <w:marTop w:val="0"/>
      <w:marBottom w:val="0"/>
      <w:divBdr>
        <w:top w:val="none" w:sz="0" w:space="0" w:color="auto"/>
        <w:left w:val="none" w:sz="0" w:space="0" w:color="auto"/>
        <w:bottom w:val="none" w:sz="0" w:space="0" w:color="auto"/>
        <w:right w:val="none" w:sz="0" w:space="0" w:color="auto"/>
      </w:divBdr>
      <w:divsChild>
        <w:div w:id="1743016169">
          <w:marLeft w:val="0"/>
          <w:marRight w:val="0"/>
          <w:marTop w:val="0"/>
          <w:marBottom w:val="0"/>
          <w:divBdr>
            <w:top w:val="none" w:sz="0" w:space="0" w:color="auto"/>
            <w:left w:val="none" w:sz="0" w:space="0" w:color="auto"/>
            <w:bottom w:val="none" w:sz="0" w:space="0" w:color="auto"/>
            <w:right w:val="none" w:sz="0" w:space="0" w:color="auto"/>
          </w:divBdr>
        </w:div>
      </w:divsChild>
    </w:div>
    <w:div w:id="798183251">
      <w:bodyDiv w:val="1"/>
      <w:marLeft w:val="0"/>
      <w:marRight w:val="0"/>
      <w:marTop w:val="0"/>
      <w:marBottom w:val="0"/>
      <w:divBdr>
        <w:top w:val="none" w:sz="0" w:space="0" w:color="auto"/>
        <w:left w:val="none" w:sz="0" w:space="0" w:color="auto"/>
        <w:bottom w:val="none" w:sz="0" w:space="0" w:color="auto"/>
        <w:right w:val="none" w:sz="0" w:space="0" w:color="auto"/>
      </w:divBdr>
    </w:div>
    <w:div w:id="884370826">
      <w:bodyDiv w:val="1"/>
      <w:marLeft w:val="0"/>
      <w:marRight w:val="0"/>
      <w:marTop w:val="0"/>
      <w:marBottom w:val="0"/>
      <w:divBdr>
        <w:top w:val="none" w:sz="0" w:space="0" w:color="auto"/>
        <w:left w:val="none" w:sz="0" w:space="0" w:color="auto"/>
        <w:bottom w:val="none" w:sz="0" w:space="0" w:color="auto"/>
        <w:right w:val="none" w:sz="0" w:space="0" w:color="auto"/>
      </w:divBdr>
    </w:div>
    <w:div w:id="944506294">
      <w:bodyDiv w:val="1"/>
      <w:marLeft w:val="0"/>
      <w:marRight w:val="0"/>
      <w:marTop w:val="0"/>
      <w:marBottom w:val="0"/>
      <w:divBdr>
        <w:top w:val="none" w:sz="0" w:space="0" w:color="auto"/>
        <w:left w:val="none" w:sz="0" w:space="0" w:color="auto"/>
        <w:bottom w:val="none" w:sz="0" w:space="0" w:color="auto"/>
        <w:right w:val="none" w:sz="0" w:space="0" w:color="auto"/>
      </w:divBdr>
      <w:divsChild>
        <w:div w:id="329791423">
          <w:marLeft w:val="0"/>
          <w:marRight w:val="0"/>
          <w:marTop w:val="0"/>
          <w:marBottom w:val="0"/>
          <w:divBdr>
            <w:top w:val="none" w:sz="0" w:space="0" w:color="auto"/>
            <w:left w:val="none" w:sz="0" w:space="0" w:color="auto"/>
            <w:bottom w:val="none" w:sz="0" w:space="0" w:color="auto"/>
            <w:right w:val="none" w:sz="0" w:space="0" w:color="auto"/>
          </w:divBdr>
        </w:div>
      </w:divsChild>
    </w:div>
    <w:div w:id="1029261257">
      <w:bodyDiv w:val="1"/>
      <w:marLeft w:val="0"/>
      <w:marRight w:val="0"/>
      <w:marTop w:val="0"/>
      <w:marBottom w:val="0"/>
      <w:divBdr>
        <w:top w:val="none" w:sz="0" w:space="0" w:color="auto"/>
        <w:left w:val="none" w:sz="0" w:space="0" w:color="auto"/>
        <w:bottom w:val="none" w:sz="0" w:space="0" w:color="auto"/>
        <w:right w:val="none" w:sz="0" w:space="0" w:color="auto"/>
      </w:divBdr>
      <w:divsChild>
        <w:div w:id="442918000">
          <w:marLeft w:val="0"/>
          <w:marRight w:val="0"/>
          <w:marTop w:val="0"/>
          <w:marBottom w:val="0"/>
          <w:divBdr>
            <w:top w:val="none" w:sz="0" w:space="0" w:color="auto"/>
            <w:left w:val="none" w:sz="0" w:space="0" w:color="auto"/>
            <w:bottom w:val="none" w:sz="0" w:space="0" w:color="auto"/>
            <w:right w:val="none" w:sz="0" w:space="0" w:color="auto"/>
          </w:divBdr>
        </w:div>
      </w:divsChild>
    </w:div>
    <w:div w:id="1087844772">
      <w:bodyDiv w:val="1"/>
      <w:marLeft w:val="0"/>
      <w:marRight w:val="0"/>
      <w:marTop w:val="0"/>
      <w:marBottom w:val="0"/>
      <w:divBdr>
        <w:top w:val="none" w:sz="0" w:space="0" w:color="auto"/>
        <w:left w:val="none" w:sz="0" w:space="0" w:color="auto"/>
        <w:bottom w:val="none" w:sz="0" w:space="0" w:color="auto"/>
        <w:right w:val="none" w:sz="0" w:space="0" w:color="auto"/>
      </w:divBdr>
    </w:div>
    <w:div w:id="1088963031">
      <w:bodyDiv w:val="1"/>
      <w:marLeft w:val="0"/>
      <w:marRight w:val="0"/>
      <w:marTop w:val="0"/>
      <w:marBottom w:val="0"/>
      <w:divBdr>
        <w:top w:val="none" w:sz="0" w:space="0" w:color="auto"/>
        <w:left w:val="none" w:sz="0" w:space="0" w:color="auto"/>
        <w:bottom w:val="none" w:sz="0" w:space="0" w:color="auto"/>
        <w:right w:val="none" w:sz="0" w:space="0" w:color="auto"/>
      </w:divBdr>
    </w:div>
    <w:div w:id="1195580625">
      <w:bodyDiv w:val="1"/>
      <w:marLeft w:val="0"/>
      <w:marRight w:val="0"/>
      <w:marTop w:val="0"/>
      <w:marBottom w:val="0"/>
      <w:divBdr>
        <w:top w:val="none" w:sz="0" w:space="0" w:color="auto"/>
        <w:left w:val="none" w:sz="0" w:space="0" w:color="auto"/>
        <w:bottom w:val="none" w:sz="0" w:space="0" w:color="auto"/>
        <w:right w:val="none" w:sz="0" w:space="0" w:color="auto"/>
      </w:divBdr>
      <w:divsChild>
        <w:div w:id="1305233868">
          <w:marLeft w:val="0"/>
          <w:marRight w:val="0"/>
          <w:marTop w:val="0"/>
          <w:marBottom w:val="0"/>
          <w:divBdr>
            <w:top w:val="none" w:sz="0" w:space="0" w:color="auto"/>
            <w:left w:val="none" w:sz="0" w:space="0" w:color="auto"/>
            <w:bottom w:val="none" w:sz="0" w:space="0" w:color="auto"/>
            <w:right w:val="none" w:sz="0" w:space="0" w:color="auto"/>
          </w:divBdr>
        </w:div>
      </w:divsChild>
    </w:div>
    <w:div w:id="1370564463">
      <w:bodyDiv w:val="1"/>
      <w:marLeft w:val="0"/>
      <w:marRight w:val="0"/>
      <w:marTop w:val="0"/>
      <w:marBottom w:val="0"/>
      <w:divBdr>
        <w:top w:val="none" w:sz="0" w:space="0" w:color="auto"/>
        <w:left w:val="none" w:sz="0" w:space="0" w:color="auto"/>
        <w:bottom w:val="none" w:sz="0" w:space="0" w:color="auto"/>
        <w:right w:val="none" w:sz="0" w:space="0" w:color="auto"/>
      </w:divBdr>
      <w:divsChild>
        <w:div w:id="861211687">
          <w:marLeft w:val="0"/>
          <w:marRight w:val="0"/>
          <w:marTop w:val="0"/>
          <w:marBottom w:val="0"/>
          <w:divBdr>
            <w:top w:val="none" w:sz="0" w:space="0" w:color="auto"/>
            <w:left w:val="none" w:sz="0" w:space="0" w:color="auto"/>
            <w:bottom w:val="none" w:sz="0" w:space="0" w:color="auto"/>
            <w:right w:val="none" w:sz="0" w:space="0" w:color="auto"/>
          </w:divBdr>
        </w:div>
      </w:divsChild>
    </w:div>
    <w:div w:id="1473717792">
      <w:bodyDiv w:val="1"/>
      <w:marLeft w:val="0"/>
      <w:marRight w:val="0"/>
      <w:marTop w:val="0"/>
      <w:marBottom w:val="0"/>
      <w:divBdr>
        <w:top w:val="none" w:sz="0" w:space="0" w:color="auto"/>
        <w:left w:val="none" w:sz="0" w:space="0" w:color="auto"/>
        <w:bottom w:val="none" w:sz="0" w:space="0" w:color="auto"/>
        <w:right w:val="none" w:sz="0" w:space="0" w:color="auto"/>
      </w:divBdr>
    </w:div>
    <w:div w:id="1756168870">
      <w:bodyDiv w:val="1"/>
      <w:marLeft w:val="0"/>
      <w:marRight w:val="0"/>
      <w:marTop w:val="0"/>
      <w:marBottom w:val="0"/>
      <w:divBdr>
        <w:top w:val="none" w:sz="0" w:space="0" w:color="auto"/>
        <w:left w:val="none" w:sz="0" w:space="0" w:color="auto"/>
        <w:bottom w:val="none" w:sz="0" w:space="0" w:color="auto"/>
        <w:right w:val="none" w:sz="0" w:space="0" w:color="auto"/>
      </w:divBdr>
      <w:divsChild>
        <w:div w:id="1281838155">
          <w:marLeft w:val="0"/>
          <w:marRight w:val="0"/>
          <w:marTop w:val="0"/>
          <w:marBottom w:val="0"/>
          <w:divBdr>
            <w:top w:val="none" w:sz="0" w:space="0" w:color="auto"/>
            <w:left w:val="none" w:sz="0" w:space="0" w:color="auto"/>
            <w:bottom w:val="none" w:sz="0" w:space="0" w:color="auto"/>
            <w:right w:val="none" w:sz="0" w:space="0" w:color="auto"/>
          </w:divBdr>
        </w:div>
      </w:divsChild>
    </w:div>
    <w:div w:id="1761948094">
      <w:bodyDiv w:val="1"/>
      <w:marLeft w:val="0"/>
      <w:marRight w:val="0"/>
      <w:marTop w:val="0"/>
      <w:marBottom w:val="0"/>
      <w:divBdr>
        <w:top w:val="none" w:sz="0" w:space="0" w:color="auto"/>
        <w:left w:val="none" w:sz="0" w:space="0" w:color="auto"/>
        <w:bottom w:val="none" w:sz="0" w:space="0" w:color="auto"/>
        <w:right w:val="none" w:sz="0" w:space="0" w:color="auto"/>
      </w:divBdr>
      <w:divsChild>
        <w:div w:id="767508964">
          <w:marLeft w:val="0"/>
          <w:marRight w:val="0"/>
          <w:marTop w:val="0"/>
          <w:marBottom w:val="0"/>
          <w:divBdr>
            <w:top w:val="none" w:sz="0" w:space="0" w:color="auto"/>
            <w:left w:val="none" w:sz="0" w:space="0" w:color="auto"/>
            <w:bottom w:val="none" w:sz="0" w:space="0" w:color="auto"/>
            <w:right w:val="none" w:sz="0" w:space="0" w:color="auto"/>
          </w:divBdr>
        </w:div>
      </w:divsChild>
    </w:div>
    <w:div w:id="1776631600">
      <w:bodyDiv w:val="1"/>
      <w:marLeft w:val="0"/>
      <w:marRight w:val="0"/>
      <w:marTop w:val="0"/>
      <w:marBottom w:val="0"/>
      <w:divBdr>
        <w:top w:val="none" w:sz="0" w:space="0" w:color="auto"/>
        <w:left w:val="none" w:sz="0" w:space="0" w:color="auto"/>
        <w:bottom w:val="none" w:sz="0" w:space="0" w:color="auto"/>
        <w:right w:val="none" w:sz="0" w:space="0" w:color="auto"/>
      </w:divBdr>
    </w:div>
    <w:div w:id="18590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E0-FEC8-4BBC-818B-3522C50C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D7DE7-E31A-4195-8FFB-A115E8EDE726}">
  <ds:schemaRefs>
    <ds:schemaRef ds:uri="http://schemas.microsoft.com/sharepoint/v3/contenttype/forms"/>
  </ds:schemaRefs>
</ds:datastoreItem>
</file>

<file path=customXml/itemProps3.xml><?xml version="1.0" encoding="utf-8"?>
<ds:datastoreItem xmlns:ds="http://schemas.openxmlformats.org/officeDocument/2006/customXml" ds:itemID="{BAEF10C0-EF6B-4D69-A157-B78E9DBFB2A7}">
  <ds:schemaRefs>
    <ds:schemaRef ds:uri="http://schemas.microsoft.com/office/2006/metadata/properties"/>
    <ds:schemaRef ds:uri="http://schemas.microsoft.com/office/infopath/2007/PartnerControls"/>
    <ds:schemaRef ds:uri="aaad0b86-1dbf-48d2-99f8-fcc2ae493cdc"/>
  </ds:schemaRefs>
</ds:datastoreItem>
</file>

<file path=customXml/itemProps4.xml><?xml version="1.0" encoding="utf-8"?>
<ds:datastoreItem xmlns:ds="http://schemas.openxmlformats.org/officeDocument/2006/customXml" ds:itemID="{34455EE2-4659-4438-8322-AE1759C0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13291</Characters>
  <Application>Microsoft Office Word</Application>
  <DocSecurity>4</DocSecurity>
  <Lines>201</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18112025 Integration of comments in joint paper from the members of the HLG subgroup on Artificial Intelligence.docx</vt:lpstr>
      <vt:lpstr>18112025 Integration of comments in joint paper from the members of the HLG subgroup on Artificial Intelligence.docx</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18112025 Integration of comments in joint paper from the members of the HLG subgroup on Artificial Intelligence.docx</dc:title>
  <dc:subject/>
  <dc:creator>MOULLEC Pierre-Roch (CNECT)</dc:creator>
  <cp:keywords/>
  <dc:description/>
  <cp:lastModifiedBy>ALDESCU Mara-Elena (CNECT)</cp:lastModifiedBy>
  <cp:revision>2</cp:revision>
  <dcterms:created xsi:type="dcterms:W3CDTF">2025-12-12T15:49:00Z</dcterms:created>
  <dcterms:modified xsi:type="dcterms:W3CDTF">2025-12-12T15:49:00Z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2025-10-18T16:21:38Z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09d086ea-a5d2-4499-8409-530c14fa0623</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0x010100BF2FCCED0C3CA34289BDE3963578B741</vt:lpwstr>
  </property>
  <property fmtid="{D5CDD505-2E9C-101B-9397-08002B2CF9AE}" pid="11" name="ClassificationContentMarkingHeaderShapeIds">
    <vt:lpwstr>48958a52,1dd064be,66505209</vt:lpwstr>
  </property>
  <property fmtid="{D5CDD505-2E9C-101B-9397-08002B2CF9AE}" pid="12" name="ClassificationContentMarkingHeaderFontProps">
    <vt:lpwstr>#000000,10,Aptos</vt:lpwstr>
  </property>
  <property fmtid="{D5CDD505-2E9C-101B-9397-08002B2CF9AE}" pid="13" name="ClassificationContentMarkingHeaderText">
    <vt:lpwstr>[CONFIDENTIAL - EXTERNAL]</vt:lpwstr>
  </property>
</Properties>
</file>