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9054" w14:textId="77777777" w:rsidR="008765BE" w:rsidRDefault="008765BE">
      <w:pPr>
        <w:rPr>
          <w:lang w:val="de-DE"/>
        </w:rPr>
      </w:pPr>
      <w:bookmarkStart w:id="0" w:name="_Hlk221293504"/>
    </w:p>
    <w:p w14:paraId="6E3B7BCD" w14:textId="77777777" w:rsidR="00D53E9C" w:rsidRPr="00D53E9C" w:rsidRDefault="00D53E9C" w:rsidP="00D53E9C">
      <w:pPr>
        <w:keepNext/>
        <w:widowControl w:val="0"/>
        <w:spacing w:after="480"/>
        <w:jc w:val="center"/>
        <w:rPr>
          <w:rFonts w:ascii="Arial" w:eastAsia="Times New Roman" w:hAnsi="Arial" w:cs="Arial"/>
          <w:b/>
          <w:snapToGrid w:val="0"/>
          <w:kern w:val="0"/>
          <w:szCs w:val="20"/>
          <w14:ligatures w14:val="none"/>
        </w:rPr>
      </w:pPr>
      <w:bookmarkStart w:id="1" w:name="_Toc195630194"/>
      <w:r w:rsidRPr="00D53E9C">
        <w:rPr>
          <w:rFonts w:ascii="Arial" w:eastAsia="Times New Roman" w:hAnsi="Arial" w:cs="Arial"/>
          <w:b/>
          <w:snapToGrid w:val="0"/>
          <w:kern w:val="0"/>
          <w:szCs w:val="20"/>
          <w14:ligatures w14:val="none"/>
        </w:rPr>
        <w:t>MOTION FOR A EUROPEAN PARLIAMENT RESOLUTION</w:t>
      </w:r>
      <w:bookmarkEnd w:id="1"/>
    </w:p>
    <w:p w14:paraId="7B096B31" w14:textId="437F647E" w:rsidR="00D53E9C" w:rsidRPr="00D53E9C" w:rsidRDefault="00D53E9C" w:rsidP="00D53E9C">
      <w:pPr>
        <w:widowControl w:val="0"/>
        <w:jc w:val="left"/>
        <w:rPr>
          <w:rFonts w:eastAsia="Times New Roman"/>
          <w:b/>
          <w:snapToGrid w:val="0"/>
          <w:kern w:val="0"/>
          <w:szCs w:val="20"/>
          <w14:ligatures w14:val="none"/>
        </w:rPr>
      </w:pPr>
      <w:r w:rsidRPr="00D53E9C">
        <w:rPr>
          <w:rFonts w:eastAsia="Times New Roman"/>
          <w:b/>
          <w:snapToGrid w:val="0"/>
          <w:kern w:val="0"/>
          <w:szCs w:val="20"/>
          <w14:ligatures w14:val="none"/>
        </w:rPr>
        <w:t>on competition policy – annual report 202</w:t>
      </w:r>
      <w:r>
        <w:rPr>
          <w:rFonts w:eastAsia="Times New Roman"/>
          <w:b/>
          <w:snapToGrid w:val="0"/>
          <w:kern w:val="0"/>
          <w:szCs w:val="20"/>
          <w14:ligatures w14:val="none"/>
        </w:rPr>
        <w:t>5</w:t>
      </w:r>
    </w:p>
    <w:p w14:paraId="33624398" w14:textId="69B74A22" w:rsidR="00D53E9C" w:rsidRPr="00D53E9C" w:rsidRDefault="00D53E9C" w:rsidP="00D53E9C">
      <w:pPr>
        <w:widowControl w:val="0"/>
        <w:jc w:val="left"/>
        <w:rPr>
          <w:rFonts w:eastAsia="Times New Roman"/>
          <w:b/>
          <w:snapToGrid w:val="0"/>
          <w:kern w:val="0"/>
          <w:szCs w:val="20"/>
          <w14:ligatures w14:val="none"/>
        </w:rPr>
      </w:pPr>
      <w:r w:rsidRPr="00D53E9C">
        <w:rPr>
          <w:rFonts w:eastAsia="Times New Roman"/>
          <w:b/>
          <w:snapToGrid w:val="0"/>
          <w:kern w:val="0"/>
          <w:szCs w:val="20"/>
          <w14:ligatures w14:val="none"/>
        </w:rPr>
        <w:t>(202</w:t>
      </w:r>
      <w:r>
        <w:rPr>
          <w:rFonts w:eastAsia="Times New Roman"/>
          <w:b/>
          <w:snapToGrid w:val="0"/>
          <w:kern w:val="0"/>
          <w:szCs w:val="20"/>
          <w14:ligatures w14:val="none"/>
        </w:rPr>
        <w:t>5</w:t>
      </w:r>
      <w:r w:rsidRPr="00D53E9C">
        <w:rPr>
          <w:rFonts w:eastAsia="Times New Roman"/>
          <w:b/>
          <w:snapToGrid w:val="0"/>
          <w:kern w:val="0"/>
          <w:szCs w:val="20"/>
          <w14:ligatures w14:val="none"/>
        </w:rPr>
        <w:t>/2</w:t>
      </w:r>
      <w:r>
        <w:rPr>
          <w:rFonts w:eastAsia="Times New Roman"/>
          <w:b/>
          <w:snapToGrid w:val="0"/>
          <w:kern w:val="0"/>
          <w:szCs w:val="20"/>
          <w14:ligatures w14:val="none"/>
        </w:rPr>
        <w:t>134</w:t>
      </w:r>
      <w:r w:rsidRPr="00D53E9C">
        <w:rPr>
          <w:rFonts w:eastAsia="Times New Roman"/>
          <w:b/>
          <w:snapToGrid w:val="0"/>
          <w:kern w:val="0"/>
          <w:szCs w:val="20"/>
          <w14:ligatures w14:val="none"/>
        </w:rPr>
        <w:t>(INI))</w:t>
      </w:r>
    </w:p>
    <w:p w14:paraId="5BC7DD62" w14:textId="77777777" w:rsidR="00D53E9C" w:rsidRPr="00D53E9C" w:rsidRDefault="00D53E9C" w:rsidP="00200972">
      <w:pPr>
        <w:widowControl w:val="0"/>
        <w:spacing w:before="480" w:after="240"/>
        <w:rPr>
          <w:rFonts w:eastAsia="Times New Roman"/>
          <w:snapToGrid w:val="0"/>
          <w:kern w:val="0"/>
          <w:szCs w:val="20"/>
          <w14:ligatures w14:val="none"/>
        </w:rPr>
      </w:pPr>
      <w:r w:rsidRPr="00D53E9C">
        <w:rPr>
          <w:rFonts w:eastAsia="Times New Roman"/>
          <w:i/>
          <w:snapToGrid w:val="0"/>
          <w:kern w:val="0"/>
          <w:szCs w:val="20"/>
          <w14:ligatures w14:val="none"/>
        </w:rPr>
        <w:t>The European Parliament</w:t>
      </w:r>
      <w:r w:rsidRPr="00D53E9C">
        <w:rPr>
          <w:rFonts w:eastAsia="Times New Roman"/>
          <w:snapToGrid w:val="0"/>
          <w:kern w:val="0"/>
          <w:szCs w:val="20"/>
          <w14:ligatures w14:val="none"/>
        </w:rPr>
        <w:t>,</w:t>
      </w:r>
    </w:p>
    <w:p w14:paraId="1D84D72A" w14:textId="77777777" w:rsidR="00D53E9C" w:rsidRPr="00E4347A" w:rsidRDefault="00D53E9C" w:rsidP="00200972">
      <w:pPr>
        <w:spacing w:after="240"/>
        <w:ind w:left="567" w:hanging="567"/>
        <w:rPr>
          <w:rFonts w:eastAsia="Times New Roman"/>
          <w:snapToGrid w:val="0"/>
          <w:kern w:val="0"/>
          <w:szCs w:val="20"/>
          <w14:ligatures w14:val="none"/>
        </w:rPr>
      </w:pPr>
      <w:r w:rsidRPr="00D53E9C">
        <w:rPr>
          <w:rFonts w:eastAsia="Times New Roman"/>
          <w:snapToGrid w:val="0"/>
          <w:kern w:val="0"/>
          <w:szCs w:val="20"/>
          <w14:ligatures w14:val="none"/>
        </w:rPr>
        <w:t>–</w:t>
      </w:r>
      <w:r w:rsidRPr="00D53E9C">
        <w:rPr>
          <w:rFonts w:eastAsia="Times New Roman"/>
          <w:snapToGrid w:val="0"/>
          <w:kern w:val="0"/>
          <w:szCs w:val="20"/>
          <w14:ligatures w14:val="none"/>
        </w:rPr>
        <w:tab/>
      </w:r>
      <w:r w:rsidRPr="00E4347A">
        <w:rPr>
          <w:rFonts w:eastAsia="Times New Roman"/>
          <w:snapToGrid w:val="0"/>
          <w:kern w:val="0"/>
          <w:szCs w:val="20"/>
          <w14:ligatures w14:val="none"/>
        </w:rPr>
        <w:t xml:space="preserve">having regard to the Treaty on the Functioning of the European Union (TFEU), </w:t>
      </w:r>
      <w:proofErr w:type="gramStart"/>
      <w:r w:rsidRPr="00E4347A">
        <w:rPr>
          <w:rFonts w:eastAsia="Times New Roman"/>
          <w:snapToGrid w:val="0"/>
          <w:kern w:val="0"/>
          <w:szCs w:val="20"/>
          <w14:ligatures w14:val="none"/>
        </w:rPr>
        <w:t>in particular to</w:t>
      </w:r>
      <w:proofErr w:type="gramEnd"/>
      <w:r w:rsidRPr="00E4347A">
        <w:rPr>
          <w:rFonts w:eastAsia="Times New Roman"/>
          <w:snapToGrid w:val="0"/>
          <w:kern w:val="0"/>
          <w:szCs w:val="20"/>
          <w14:ligatures w14:val="none"/>
        </w:rPr>
        <w:t xml:space="preserve"> Articles 101 to 109 thereof,</w:t>
      </w:r>
    </w:p>
    <w:p w14:paraId="37BC7918" w14:textId="63E7CF1B" w:rsidR="00FA00AE" w:rsidRPr="0026644D" w:rsidRDefault="00D53E9C" w:rsidP="00200972">
      <w:pPr>
        <w:spacing w:after="240"/>
        <w:ind w:left="567" w:hanging="567"/>
        <w:rPr>
          <w:rFonts w:eastAsia="Times New Roman"/>
          <w:snapToGrid w:val="0"/>
          <w:kern w:val="0"/>
          <w:szCs w:val="20"/>
          <w14:ligatures w14:val="none"/>
        </w:rPr>
      </w:pPr>
      <w:r w:rsidRPr="00E4347A">
        <w:rPr>
          <w:rFonts w:eastAsia="Times New Roman"/>
          <w:i/>
          <w:iCs/>
          <w:snapToGrid w:val="0"/>
          <w:kern w:val="0"/>
          <w:szCs w:val="20"/>
          <w14:ligatures w14:val="none"/>
        </w:rPr>
        <w:t>–</w:t>
      </w:r>
      <w:r w:rsidRPr="00470986">
        <w:rPr>
          <w:rFonts w:eastAsia="Times New Roman"/>
          <w:b/>
          <w:bCs/>
          <w:snapToGrid w:val="0"/>
          <w:kern w:val="0"/>
          <w:szCs w:val="20"/>
          <w14:ligatures w14:val="none"/>
        </w:rPr>
        <w:tab/>
      </w:r>
      <w:r w:rsidR="00FA00AE" w:rsidRPr="0026644D">
        <w:rPr>
          <w:rFonts w:eastAsia="Times New Roman"/>
          <w:snapToGrid w:val="0"/>
          <w:kern w:val="0"/>
          <w:szCs w:val="20"/>
          <w14:ligatures w14:val="none"/>
        </w:rPr>
        <w:t>having regard to Regulation (EU) 2022/1925 on contestable and fair markets in the digital sector and amending Directives (EU) 2019/1937 and (EU) 2020/1828 (Digital Markets Act),</w:t>
      </w:r>
    </w:p>
    <w:p w14:paraId="08A72FC9" w14:textId="05CE8881" w:rsidR="00470986" w:rsidRPr="0026644D" w:rsidRDefault="008822A1" w:rsidP="005C64C6">
      <w:pPr>
        <w:pStyle w:val="ListParagraph"/>
        <w:numPr>
          <w:ilvl w:val="0"/>
          <w:numId w:val="4"/>
        </w:numPr>
        <w:spacing w:after="240"/>
        <w:ind w:left="567" w:hanging="567"/>
        <w:rPr>
          <w:rFonts w:eastAsia="Times New Roman"/>
          <w:snapToGrid w:val="0"/>
          <w:kern w:val="0"/>
          <w:szCs w:val="20"/>
          <w14:ligatures w14:val="none"/>
        </w:rPr>
      </w:pPr>
      <w:r w:rsidRPr="0026644D">
        <w:rPr>
          <w:rFonts w:eastAsia="Times New Roman"/>
          <w:snapToGrid w:val="0"/>
          <w:kern w:val="0"/>
          <w:szCs w:val="20"/>
          <w14:ligatures w14:val="none"/>
        </w:rPr>
        <w:t xml:space="preserve">having regard to Regulation (EU) 2022/2065 on a Single Market </w:t>
      </w:r>
      <w:proofErr w:type="gramStart"/>
      <w:r w:rsidRPr="0026644D">
        <w:rPr>
          <w:rFonts w:eastAsia="Times New Roman"/>
          <w:snapToGrid w:val="0"/>
          <w:kern w:val="0"/>
          <w:szCs w:val="20"/>
          <w14:ligatures w14:val="none"/>
        </w:rPr>
        <w:t>For</w:t>
      </w:r>
      <w:proofErr w:type="gramEnd"/>
      <w:r w:rsidRPr="0026644D">
        <w:rPr>
          <w:rFonts w:eastAsia="Times New Roman"/>
          <w:snapToGrid w:val="0"/>
          <w:kern w:val="0"/>
          <w:szCs w:val="20"/>
          <w14:ligatures w14:val="none"/>
        </w:rPr>
        <w:t xml:space="preserve"> Digital Services and amending Directive 2000/31/EC (Digital Services Act) </w:t>
      </w:r>
    </w:p>
    <w:p w14:paraId="60A81494" w14:textId="77777777" w:rsidR="008822A1" w:rsidRPr="0026644D" w:rsidRDefault="008822A1" w:rsidP="005C64C6">
      <w:pPr>
        <w:pStyle w:val="ListParagraph"/>
        <w:spacing w:after="240"/>
        <w:ind w:left="567" w:hanging="567"/>
        <w:rPr>
          <w:rFonts w:eastAsia="Times New Roman"/>
          <w:snapToGrid w:val="0"/>
          <w:kern w:val="0"/>
          <w:szCs w:val="20"/>
          <w14:ligatures w14:val="none"/>
        </w:rPr>
      </w:pPr>
    </w:p>
    <w:p w14:paraId="1BF808D5" w14:textId="71DF6773" w:rsidR="00E4347A" w:rsidRPr="0026644D" w:rsidRDefault="00D53E9C" w:rsidP="005C64C6">
      <w:pPr>
        <w:pStyle w:val="ListParagraph"/>
        <w:numPr>
          <w:ilvl w:val="0"/>
          <w:numId w:val="4"/>
        </w:numPr>
        <w:spacing w:after="240"/>
        <w:ind w:left="567" w:hanging="567"/>
        <w:rPr>
          <w:rFonts w:eastAsia="Times New Roman"/>
          <w:snapToGrid w:val="0"/>
          <w:kern w:val="0"/>
          <w:szCs w:val="20"/>
          <w14:ligatures w14:val="none"/>
        </w:rPr>
      </w:pPr>
      <w:r w:rsidRPr="0026644D">
        <w:rPr>
          <w:rFonts w:eastAsia="Times New Roman"/>
          <w:snapToGrid w:val="0"/>
          <w:kern w:val="0"/>
          <w:szCs w:val="20"/>
          <w14:ligatures w14:val="none"/>
        </w:rPr>
        <w:t>having regard to Council Regulation (EC) No 139/2004 of 20 January 2004 on the control of concentrations between undertakings (the EC Merger Regulation)</w:t>
      </w:r>
      <w:r w:rsidRPr="0026644D">
        <w:rPr>
          <w:snapToGrid w:val="0"/>
          <w:vertAlign w:val="superscript"/>
        </w:rPr>
        <w:footnoteReference w:id="1"/>
      </w:r>
      <w:r w:rsidRPr="0026644D">
        <w:rPr>
          <w:rFonts w:eastAsia="Times New Roman"/>
          <w:snapToGrid w:val="0"/>
          <w:kern w:val="0"/>
          <w:szCs w:val="20"/>
          <w14:ligatures w14:val="none"/>
        </w:rPr>
        <w:t>,</w:t>
      </w:r>
    </w:p>
    <w:p w14:paraId="681AC0CA" w14:textId="3C332824" w:rsidR="00E4347A" w:rsidRPr="0026644D" w:rsidRDefault="00E4347A" w:rsidP="00200972">
      <w:pPr>
        <w:spacing w:after="240"/>
        <w:ind w:left="567" w:hanging="567"/>
        <w:rPr>
          <w:rFonts w:eastAsia="Times New Roman"/>
          <w:snapToGrid w:val="0"/>
          <w:kern w:val="0"/>
          <w:szCs w:val="20"/>
          <w14:ligatures w14:val="none"/>
        </w:rPr>
      </w:pPr>
      <w:r w:rsidRPr="0026644D">
        <w:rPr>
          <w:rFonts w:eastAsia="Times New Roman"/>
          <w:snapToGrid w:val="0"/>
          <w:kern w:val="0"/>
          <w:szCs w:val="20"/>
          <w14:ligatures w14:val="none"/>
        </w:rPr>
        <w:t>–</w:t>
      </w:r>
      <w:r w:rsidRPr="0026644D">
        <w:rPr>
          <w:rFonts w:eastAsia="Times New Roman"/>
          <w:snapToGrid w:val="0"/>
          <w:kern w:val="0"/>
          <w:szCs w:val="20"/>
          <w14:ligatures w14:val="none"/>
        </w:rPr>
        <w:tab/>
        <w:t>having regard to the Guidelines on the assessment of horizontal mergers under the Council Regulation on the control of concentrations between undertakings (</w:t>
      </w:r>
      <w:hyperlink r:id="rId8" w:history="1">
        <w:r w:rsidRPr="0026644D">
          <w:rPr>
            <w:rStyle w:val="Hyperlink"/>
            <w:rFonts w:eastAsia="Times New Roman"/>
            <w:snapToGrid w:val="0"/>
            <w:kern w:val="0"/>
            <w:szCs w:val="20"/>
            <w14:ligatures w14:val="none"/>
          </w:rPr>
          <w:t>2004/C 31/03</w:t>
        </w:r>
      </w:hyperlink>
      <w:r w:rsidRPr="0026644D">
        <w:rPr>
          <w:rFonts w:eastAsia="Times New Roman"/>
          <w:snapToGrid w:val="0"/>
          <w:kern w:val="0"/>
          <w:szCs w:val="20"/>
          <w14:ligatures w14:val="none"/>
        </w:rPr>
        <w:t>)</w:t>
      </w:r>
    </w:p>
    <w:p w14:paraId="46D91A98" w14:textId="3D502696" w:rsidR="00D53E9C" w:rsidRPr="0026644D" w:rsidRDefault="00E4347A" w:rsidP="00200972">
      <w:pPr>
        <w:spacing w:after="240"/>
        <w:ind w:left="567" w:hanging="567"/>
        <w:rPr>
          <w:rFonts w:eastAsia="Times New Roman"/>
          <w:snapToGrid w:val="0"/>
          <w:kern w:val="0"/>
          <w:szCs w:val="20"/>
          <w14:ligatures w14:val="none"/>
        </w:rPr>
      </w:pPr>
      <w:r w:rsidRPr="0026644D">
        <w:rPr>
          <w:rFonts w:eastAsia="Times New Roman"/>
          <w:snapToGrid w:val="0"/>
          <w:kern w:val="0"/>
          <w:szCs w:val="20"/>
          <w14:ligatures w14:val="none"/>
        </w:rPr>
        <w:t>–</w:t>
      </w:r>
      <w:r w:rsidRPr="0026644D">
        <w:rPr>
          <w:rFonts w:eastAsia="Times New Roman"/>
          <w:snapToGrid w:val="0"/>
          <w:kern w:val="0"/>
          <w:szCs w:val="20"/>
          <w14:ligatures w14:val="none"/>
        </w:rPr>
        <w:tab/>
        <w:t>having regard to the Guidelines on the assessment of non-horizontal mergers under the Council Regulation on the control of concentrations between undertakings (</w:t>
      </w:r>
      <w:hyperlink r:id="rId9" w:history="1">
        <w:r w:rsidRPr="0026644D">
          <w:rPr>
            <w:rStyle w:val="Hyperlink"/>
            <w:rFonts w:eastAsia="Times New Roman"/>
            <w:snapToGrid w:val="0"/>
            <w:kern w:val="0"/>
            <w:szCs w:val="20"/>
            <w14:ligatures w14:val="none"/>
          </w:rPr>
          <w:t>2008/C 265/07</w:t>
        </w:r>
      </w:hyperlink>
      <w:r w:rsidRPr="0026644D">
        <w:rPr>
          <w:rFonts w:eastAsia="Times New Roman"/>
          <w:snapToGrid w:val="0"/>
          <w:kern w:val="0"/>
          <w:szCs w:val="20"/>
          <w14:ligatures w14:val="none"/>
        </w:rPr>
        <w:t>)</w:t>
      </w:r>
    </w:p>
    <w:p w14:paraId="25AB5B73" w14:textId="7C94E1A3" w:rsidR="00583D91" w:rsidRPr="0026644D" w:rsidRDefault="00D53E9C" w:rsidP="00200972">
      <w:pPr>
        <w:spacing w:after="240"/>
        <w:ind w:left="567" w:hanging="567"/>
      </w:pPr>
      <w:r w:rsidRPr="0026644D">
        <w:rPr>
          <w:rFonts w:eastAsia="Times New Roman"/>
          <w:snapToGrid w:val="0"/>
          <w:kern w:val="0"/>
          <w:szCs w:val="20"/>
          <w14:ligatures w14:val="none"/>
        </w:rPr>
        <w:t>–</w:t>
      </w:r>
      <w:r w:rsidRPr="0026644D">
        <w:rPr>
          <w:rFonts w:eastAsia="Times New Roman"/>
          <w:snapToGrid w:val="0"/>
          <w:kern w:val="0"/>
          <w:szCs w:val="20"/>
          <w14:ligatures w14:val="none"/>
        </w:rPr>
        <w:tab/>
        <w:t xml:space="preserve">having regard to </w:t>
      </w:r>
      <w:r w:rsidR="00E361A4" w:rsidRPr="0026644D">
        <w:rPr>
          <w:rFonts w:eastAsia="Times New Roman"/>
          <w:snapToGrid w:val="0"/>
          <w:kern w:val="0"/>
          <w:szCs w:val="20"/>
          <w14:ligatures w14:val="none"/>
        </w:rPr>
        <w:t>the European Parliament’s report on</w:t>
      </w:r>
      <w:r w:rsidR="00E361A4" w:rsidRPr="0026644D">
        <w:t xml:space="preserve"> facilitating the financing of</w:t>
      </w:r>
      <w:r w:rsidR="00FE7786" w:rsidRPr="0026644D">
        <w:t xml:space="preserve"> </w:t>
      </w:r>
      <w:r w:rsidR="00E361A4" w:rsidRPr="0026644D">
        <w:t>investments and reforms to boost European competitiveness and creating a Capital Markets Union (Draghi Report)</w:t>
      </w:r>
      <w:r w:rsidR="00517B72" w:rsidRPr="0026644D">
        <w:t xml:space="preserve"> - (</w:t>
      </w:r>
      <w:hyperlink r:id="rId10" w:history="1">
        <w:r w:rsidR="00517B72" w:rsidRPr="0026644D">
          <w:rPr>
            <w:rStyle w:val="Hyperlink"/>
          </w:rPr>
          <w:t>2024/2116(INI)</w:t>
        </w:r>
      </w:hyperlink>
      <w:r w:rsidR="00517B72" w:rsidRPr="0026644D">
        <w:t>)</w:t>
      </w:r>
      <w:r w:rsidR="002E1B02" w:rsidRPr="0026644D">
        <w:t>,</w:t>
      </w:r>
      <w:r w:rsidR="00583D91" w:rsidRPr="0026644D">
        <w:t xml:space="preserve"> </w:t>
      </w:r>
    </w:p>
    <w:p w14:paraId="515112DE" w14:textId="2F47E632" w:rsidR="00FE7786" w:rsidRPr="0026644D" w:rsidRDefault="00583D91" w:rsidP="00267FC0">
      <w:pPr>
        <w:pStyle w:val="ListParagraph"/>
        <w:numPr>
          <w:ilvl w:val="0"/>
          <w:numId w:val="2"/>
        </w:numPr>
        <w:spacing w:after="240"/>
        <w:ind w:left="567" w:hanging="567"/>
      </w:pPr>
      <w:r w:rsidRPr="0026644D">
        <w:t>having regard to the report by Enrico Letta of 10 April 2024 entitled ‘Much more than a Market – Speed, Security, Solidarity: Empowering the Single Market to deliver a sustainable future and prosperity for all EU Citizens’,</w:t>
      </w:r>
    </w:p>
    <w:p w14:paraId="4CF693A0" w14:textId="77777777" w:rsidR="00FB2890" w:rsidRPr="0026644D" w:rsidRDefault="00FB2890" w:rsidP="00267FC0">
      <w:pPr>
        <w:pStyle w:val="ListParagraph"/>
        <w:spacing w:after="240"/>
        <w:ind w:left="567" w:hanging="567"/>
      </w:pPr>
    </w:p>
    <w:p w14:paraId="67CC035B" w14:textId="0ED88C57" w:rsidR="00FB2890" w:rsidRPr="0026644D" w:rsidRDefault="008C77B1" w:rsidP="00267FC0">
      <w:pPr>
        <w:pStyle w:val="ListParagraph"/>
        <w:numPr>
          <w:ilvl w:val="0"/>
          <w:numId w:val="2"/>
        </w:numPr>
        <w:spacing w:after="240"/>
        <w:ind w:left="567" w:hanging="567"/>
      </w:pPr>
      <w:r w:rsidRPr="0026644D">
        <w:t xml:space="preserve">having regard to the report by </w:t>
      </w:r>
      <w:proofErr w:type="spellStart"/>
      <w:r w:rsidRPr="0026644D">
        <w:t>Jörg</w:t>
      </w:r>
      <w:proofErr w:type="spellEnd"/>
      <w:r w:rsidRPr="0026644D">
        <w:t xml:space="preserve"> </w:t>
      </w:r>
      <w:proofErr w:type="spellStart"/>
      <w:r w:rsidRPr="0026644D">
        <w:t>Kukies</w:t>
      </w:r>
      <w:proofErr w:type="spellEnd"/>
      <w:r w:rsidRPr="0026644D">
        <w:t xml:space="preserve"> and Christian </w:t>
      </w:r>
      <w:proofErr w:type="spellStart"/>
      <w:r w:rsidRPr="0026644D">
        <w:t>Noyer</w:t>
      </w:r>
      <w:proofErr w:type="spellEnd"/>
      <w:r w:rsidRPr="0026644D">
        <w:t xml:space="preserve"> entitled “Financing Innovative Ventures </w:t>
      </w:r>
      <w:proofErr w:type="gramStart"/>
      <w:r w:rsidRPr="0026644D">
        <w:t>In</w:t>
      </w:r>
      <w:proofErr w:type="gramEnd"/>
      <w:r w:rsidRPr="0026644D">
        <w:t xml:space="preserve"> Europe”</w:t>
      </w:r>
      <w:r w:rsidR="00FB2890" w:rsidRPr="0026644D">
        <w:t xml:space="preserve"> </w:t>
      </w:r>
    </w:p>
    <w:p w14:paraId="2BC2AAD5" w14:textId="76AA8F13" w:rsidR="00470986" w:rsidRPr="0026644D" w:rsidRDefault="00D53E9C" w:rsidP="006B026E">
      <w:pPr>
        <w:spacing w:after="240"/>
        <w:ind w:left="567" w:hanging="567"/>
        <w:rPr>
          <w:rFonts w:eastAsia="Times New Roman"/>
          <w:snapToGrid w:val="0"/>
          <w:color w:val="0000FF"/>
          <w:kern w:val="0"/>
          <w:szCs w:val="20"/>
          <w:u w:val="single"/>
          <w14:ligatures w14:val="none"/>
        </w:rPr>
      </w:pPr>
      <w:r w:rsidRPr="0026644D">
        <w:rPr>
          <w:rFonts w:eastAsia="Times New Roman"/>
          <w:snapToGrid w:val="0"/>
          <w:kern w:val="0"/>
          <w:szCs w:val="20"/>
          <w14:ligatures w14:val="none"/>
        </w:rPr>
        <w:t>–</w:t>
      </w:r>
      <w:r w:rsidRPr="0026644D">
        <w:rPr>
          <w:rFonts w:eastAsia="Times New Roman"/>
          <w:snapToGrid w:val="0"/>
          <w:kern w:val="0"/>
          <w:szCs w:val="20"/>
          <w14:ligatures w14:val="none"/>
        </w:rPr>
        <w:tab/>
        <w:t xml:space="preserve">having regard to the </w:t>
      </w:r>
      <w:r w:rsidR="008A18E6" w:rsidRPr="0026644D">
        <w:rPr>
          <w:rFonts w:eastAsia="Times New Roman"/>
          <w:snapToGrid w:val="0"/>
          <w:kern w:val="0"/>
          <w:szCs w:val="20"/>
          <w14:ligatures w14:val="none"/>
        </w:rPr>
        <w:t xml:space="preserve">European Commission’s </w:t>
      </w:r>
      <w:hyperlink r:id="rId11" w:history="1">
        <w:r w:rsidR="008A18E6" w:rsidRPr="0026644D">
          <w:rPr>
            <w:rStyle w:val="Hyperlink"/>
            <w:rFonts w:eastAsia="Times New Roman"/>
            <w:snapToGrid w:val="0"/>
            <w:kern w:val="0"/>
            <w:szCs w:val="20"/>
            <w14:ligatures w14:val="none"/>
          </w:rPr>
          <w:t>Competitiveness Compass</w:t>
        </w:r>
      </w:hyperlink>
    </w:p>
    <w:p w14:paraId="16FFBCF5" w14:textId="1B75BB78" w:rsidR="007149D1" w:rsidRPr="0026644D" w:rsidRDefault="00F6214D" w:rsidP="00267FC0">
      <w:pPr>
        <w:pStyle w:val="ListParagraph"/>
        <w:numPr>
          <w:ilvl w:val="0"/>
          <w:numId w:val="2"/>
        </w:numPr>
        <w:spacing w:after="240"/>
        <w:ind w:left="567" w:hanging="567"/>
        <w:rPr>
          <w:rFonts w:eastAsia="Times New Roman"/>
          <w:snapToGrid w:val="0"/>
          <w:color w:val="0000FF"/>
          <w:kern w:val="0"/>
          <w:szCs w:val="20"/>
          <w:u w:val="single"/>
          <w14:ligatures w14:val="none"/>
        </w:rPr>
      </w:pPr>
      <w:r w:rsidRPr="0026644D">
        <w:rPr>
          <w:rFonts w:eastAsia="Times New Roman"/>
          <w:snapToGrid w:val="0"/>
          <w:kern w:val="0"/>
          <w:szCs w:val="20"/>
          <w14:ligatures w14:val="none"/>
        </w:rPr>
        <w:t>having regard to the European Commission’s p</w:t>
      </w:r>
      <w:r w:rsidR="007149D1" w:rsidRPr="0026644D">
        <w:rPr>
          <w:rFonts w:eastAsia="Times New Roman"/>
          <w:snapToGrid w:val="0"/>
          <w:kern w:val="0"/>
          <w:szCs w:val="20"/>
          <w14:ligatures w14:val="none"/>
        </w:rPr>
        <w:t xml:space="preserve">roposal </w:t>
      </w:r>
      <w:r w:rsidRPr="0026644D">
        <w:rPr>
          <w:rFonts w:eastAsia="Times New Roman"/>
          <w:snapToGrid w:val="0"/>
          <w:kern w:val="0"/>
          <w:szCs w:val="20"/>
          <w14:ligatures w14:val="none"/>
        </w:rPr>
        <w:t xml:space="preserve">of 21 January 2026 for </w:t>
      </w:r>
      <w:r w:rsidR="007149D1" w:rsidRPr="0026644D">
        <w:rPr>
          <w:rFonts w:eastAsia="Times New Roman"/>
          <w:snapToGrid w:val="0"/>
          <w:kern w:val="0"/>
          <w:szCs w:val="20"/>
          <w14:ligatures w14:val="none"/>
        </w:rPr>
        <w:t xml:space="preserve">Regulation </w:t>
      </w:r>
      <w:r w:rsidRPr="0026644D">
        <w:rPr>
          <w:rFonts w:eastAsia="Times New Roman"/>
          <w:snapToGrid w:val="0"/>
          <w:kern w:val="0"/>
          <w:szCs w:val="20"/>
          <w14:ligatures w14:val="none"/>
        </w:rPr>
        <w:t>on</w:t>
      </w:r>
      <w:r w:rsidR="007149D1" w:rsidRPr="0026644D">
        <w:rPr>
          <w:rFonts w:eastAsia="Times New Roman"/>
          <w:snapToGrid w:val="0"/>
          <w:kern w:val="0"/>
          <w:szCs w:val="20"/>
          <w14:ligatures w14:val="none"/>
        </w:rPr>
        <w:t xml:space="preserve"> the </w:t>
      </w:r>
      <w:r w:rsidRPr="0026644D">
        <w:rPr>
          <w:rFonts w:eastAsia="Times New Roman"/>
          <w:snapToGrid w:val="0"/>
          <w:kern w:val="0"/>
          <w:szCs w:val="20"/>
          <w14:ligatures w14:val="none"/>
        </w:rPr>
        <w:t>di</w:t>
      </w:r>
      <w:r w:rsidR="007149D1" w:rsidRPr="0026644D">
        <w:rPr>
          <w:rFonts w:eastAsia="Times New Roman"/>
          <w:snapToGrid w:val="0"/>
          <w:kern w:val="0"/>
          <w:szCs w:val="20"/>
          <w14:ligatures w14:val="none"/>
        </w:rPr>
        <w:t xml:space="preserve">gital </w:t>
      </w:r>
      <w:r w:rsidRPr="0026644D">
        <w:rPr>
          <w:rFonts w:eastAsia="Times New Roman"/>
          <w:snapToGrid w:val="0"/>
          <w:kern w:val="0"/>
          <w:szCs w:val="20"/>
          <w14:ligatures w14:val="none"/>
        </w:rPr>
        <w:t xml:space="preserve">networks (the Digital </w:t>
      </w:r>
      <w:r w:rsidR="007149D1" w:rsidRPr="0026644D">
        <w:rPr>
          <w:rFonts w:eastAsia="Times New Roman"/>
          <w:snapToGrid w:val="0"/>
          <w:kern w:val="0"/>
          <w:szCs w:val="20"/>
          <w14:ligatures w14:val="none"/>
        </w:rPr>
        <w:t>Networks Act</w:t>
      </w:r>
      <w:r w:rsidRPr="0026644D">
        <w:rPr>
          <w:rFonts w:eastAsia="Times New Roman"/>
          <w:snapToGrid w:val="0"/>
          <w:kern w:val="0"/>
          <w:szCs w:val="20"/>
          <w14:ligatures w14:val="none"/>
        </w:rPr>
        <w:t>)</w:t>
      </w:r>
    </w:p>
    <w:p w14:paraId="74CB9B38" w14:textId="3FB3CA13" w:rsidR="0005184F" w:rsidRPr="0026644D" w:rsidRDefault="0005184F" w:rsidP="00200972">
      <w:pPr>
        <w:spacing w:after="240"/>
        <w:ind w:left="567" w:hanging="567"/>
        <w:rPr>
          <w:rFonts w:eastAsia="Times New Roman"/>
          <w:snapToGrid w:val="0"/>
          <w:kern w:val="0"/>
          <w:szCs w:val="20"/>
          <w14:ligatures w14:val="none"/>
        </w:rPr>
      </w:pPr>
      <w:r w:rsidRPr="0026644D">
        <w:rPr>
          <w:rFonts w:eastAsia="Times New Roman"/>
          <w:snapToGrid w:val="0"/>
          <w:kern w:val="0"/>
          <w:szCs w:val="20"/>
          <w14:ligatures w14:val="none"/>
        </w:rPr>
        <w:lastRenderedPageBreak/>
        <w:t>–</w:t>
      </w:r>
      <w:r w:rsidRPr="0026644D">
        <w:rPr>
          <w:rFonts w:eastAsia="Times New Roman"/>
          <w:snapToGrid w:val="0"/>
          <w:kern w:val="0"/>
          <w:szCs w:val="20"/>
          <w14:ligatures w14:val="none"/>
        </w:rPr>
        <w:tab/>
      </w:r>
      <w:r w:rsidR="00687EEB" w:rsidRPr="0026644D">
        <w:rPr>
          <w:rFonts w:eastAsia="Times New Roman"/>
          <w:snapToGrid w:val="0"/>
          <w:kern w:val="0"/>
          <w:szCs w:val="20"/>
          <w14:ligatures w14:val="none"/>
        </w:rPr>
        <w:t xml:space="preserve">having regard to the </w:t>
      </w:r>
      <w:r w:rsidRPr="0026644D">
        <w:rPr>
          <w:rFonts w:eastAsia="Times New Roman"/>
          <w:snapToGrid w:val="0"/>
          <w:kern w:val="0"/>
          <w:szCs w:val="20"/>
          <w14:ligatures w14:val="none"/>
        </w:rPr>
        <w:t xml:space="preserve">Factual Summary of the contributions received in the context of the public consultation on the review of the horizontal and the non-horizontal Merger Guidelines, </w:t>
      </w:r>
      <w:r w:rsidR="00517B72" w:rsidRPr="0026644D">
        <w:rPr>
          <w:rFonts w:eastAsia="Times New Roman"/>
          <w:snapToGrid w:val="0"/>
          <w:kern w:val="0"/>
          <w:szCs w:val="20"/>
          <w14:ligatures w14:val="none"/>
        </w:rPr>
        <w:t>Ares (</w:t>
      </w:r>
      <w:r w:rsidRPr="0026644D">
        <w:rPr>
          <w:rFonts w:eastAsia="Times New Roman"/>
          <w:snapToGrid w:val="0"/>
          <w:kern w:val="0"/>
          <w:szCs w:val="20"/>
          <w14:ligatures w14:val="none"/>
        </w:rPr>
        <w:t>2025)9259927 of 29 October 2025</w:t>
      </w:r>
      <w:r w:rsidR="002E1B02" w:rsidRPr="0026644D">
        <w:rPr>
          <w:rFonts w:eastAsia="Times New Roman"/>
          <w:snapToGrid w:val="0"/>
          <w:kern w:val="0"/>
          <w:szCs w:val="20"/>
          <w14:ligatures w14:val="none"/>
        </w:rPr>
        <w:t>,</w:t>
      </w:r>
    </w:p>
    <w:p w14:paraId="0B6D4BFD" w14:textId="1C87F4B9" w:rsidR="007E2C4D" w:rsidRPr="0026644D" w:rsidRDefault="0005184F" w:rsidP="00200972">
      <w:pPr>
        <w:spacing w:after="240"/>
        <w:ind w:left="567" w:hanging="567"/>
        <w:rPr>
          <w:rFonts w:eastAsia="Times New Roman"/>
          <w:snapToGrid w:val="0"/>
          <w:kern w:val="0"/>
          <w:szCs w:val="20"/>
          <w14:ligatures w14:val="none"/>
        </w:rPr>
      </w:pPr>
      <w:r w:rsidRPr="0026644D">
        <w:rPr>
          <w:rFonts w:eastAsia="Times New Roman"/>
          <w:snapToGrid w:val="0"/>
          <w:kern w:val="0"/>
          <w:szCs w:val="20"/>
          <w14:ligatures w14:val="none"/>
        </w:rPr>
        <w:t>–</w:t>
      </w:r>
      <w:r w:rsidRPr="0026644D">
        <w:rPr>
          <w:rFonts w:eastAsia="Times New Roman"/>
          <w:snapToGrid w:val="0"/>
          <w:kern w:val="0"/>
          <w:szCs w:val="20"/>
          <w14:ligatures w14:val="none"/>
        </w:rPr>
        <w:tab/>
      </w:r>
      <w:r w:rsidR="00687EEB" w:rsidRPr="0026644D">
        <w:rPr>
          <w:rFonts w:eastAsia="Times New Roman"/>
          <w:snapToGrid w:val="0"/>
          <w:kern w:val="0"/>
          <w:szCs w:val="20"/>
          <w14:ligatures w14:val="none"/>
        </w:rPr>
        <w:t xml:space="preserve">having regard to the </w:t>
      </w:r>
      <w:r w:rsidR="007E2C4D" w:rsidRPr="0026644D">
        <w:rPr>
          <w:rFonts w:eastAsia="Times New Roman"/>
          <w:snapToGrid w:val="0"/>
          <w:kern w:val="0"/>
          <w:szCs w:val="20"/>
          <w14:ligatures w14:val="none"/>
        </w:rPr>
        <w:t xml:space="preserve">Commission Staff Working Document Evaluation of the Commission Notice on the application of Articles 87 and 88 of the EC Treaty to State aid in the form of guarantees, </w:t>
      </w:r>
      <w:proofErr w:type="gramStart"/>
      <w:r w:rsidR="007E2C4D" w:rsidRPr="0026644D">
        <w:rPr>
          <w:rFonts w:eastAsia="Times New Roman"/>
          <w:snapToGrid w:val="0"/>
          <w:kern w:val="0"/>
          <w:szCs w:val="20"/>
          <w14:ligatures w14:val="none"/>
        </w:rPr>
        <w:t>SWD(</w:t>
      </w:r>
      <w:proofErr w:type="gramEnd"/>
      <w:r w:rsidR="007E2C4D" w:rsidRPr="0026644D">
        <w:rPr>
          <w:rFonts w:eastAsia="Times New Roman"/>
          <w:snapToGrid w:val="0"/>
          <w:kern w:val="0"/>
          <w:szCs w:val="20"/>
          <w14:ligatures w14:val="none"/>
        </w:rPr>
        <w:t>2025) 331 final</w:t>
      </w:r>
      <w:r w:rsidR="002E1B02" w:rsidRPr="0026644D">
        <w:rPr>
          <w:rFonts w:eastAsia="Times New Roman"/>
          <w:snapToGrid w:val="0"/>
          <w:kern w:val="0"/>
          <w:szCs w:val="20"/>
          <w14:ligatures w14:val="none"/>
        </w:rPr>
        <w:t>,</w:t>
      </w:r>
    </w:p>
    <w:p w14:paraId="28B5EBB9" w14:textId="1234787B" w:rsidR="0005184F" w:rsidRPr="0026644D" w:rsidRDefault="002D592A" w:rsidP="00200972">
      <w:pPr>
        <w:spacing w:after="240"/>
        <w:ind w:left="567" w:hanging="567"/>
        <w:rPr>
          <w:rFonts w:eastAsia="Times New Roman"/>
          <w:snapToGrid w:val="0"/>
          <w:kern w:val="0"/>
          <w:szCs w:val="20"/>
          <w14:ligatures w14:val="none"/>
        </w:rPr>
      </w:pPr>
      <w:r w:rsidRPr="0026644D">
        <w:rPr>
          <w:rFonts w:eastAsia="Times New Roman"/>
          <w:snapToGrid w:val="0"/>
          <w:kern w:val="0"/>
          <w:szCs w:val="20"/>
          <w14:ligatures w14:val="none"/>
        </w:rPr>
        <w:t>–</w:t>
      </w:r>
      <w:r w:rsidRPr="0026644D">
        <w:rPr>
          <w:rFonts w:eastAsia="Times New Roman"/>
          <w:snapToGrid w:val="0"/>
          <w:kern w:val="0"/>
          <w:szCs w:val="20"/>
          <w14:ligatures w14:val="none"/>
        </w:rPr>
        <w:tab/>
        <w:t xml:space="preserve">having regard to the study of the European Commission on </w:t>
      </w:r>
      <w:hyperlink r:id="rId12" w:history="1">
        <w:r w:rsidRPr="0026644D">
          <w:rPr>
            <w:rStyle w:val="Hyperlink"/>
            <w:rFonts w:eastAsia="Times New Roman"/>
            <w:snapToGrid w:val="0"/>
            <w:kern w:val="0"/>
            <w:szCs w:val="20"/>
            <w14:ligatures w14:val="none"/>
          </w:rPr>
          <w:t>Ex post evaluation of the implementation and effectiveness of EU antitrust remedies</w:t>
        </w:r>
      </w:hyperlink>
      <w:r w:rsidR="002E1B02" w:rsidRPr="0026644D">
        <w:rPr>
          <w:rFonts w:eastAsia="Times New Roman"/>
          <w:snapToGrid w:val="0"/>
          <w:kern w:val="0"/>
          <w:szCs w:val="20"/>
          <w14:ligatures w14:val="none"/>
        </w:rPr>
        <w:t>,</w:t>
      </w:r>
    </w:p>
    <w:p w14:paraId="5634E20C" w14:textId="77777777" w:rsidR="00267FC0" w:rsidRPr="0026644D" w:rsidRDefault="00AE30B3" w:rsidP="00267FC0">
      <w:pPr>
        <w:spacing w:after="240"/>
        <w:ind w:left="567" w:hanging="567"/>
        <w:rPr>
          <w:rStyle w:val="Hyperlink"/>
        </w:rPr>
      </w:pPr>
      <w:r w:rsidRPr="0026644D">
        <w:rPr>
          <w:rFonts w:eastAsia="Times New Roman"/>
          <w:snapToGrid w:val="0"/>
          <w:kern w:val="0"/>
          <w:szCs w:val="20"/>
          <w14:ligatures w14:val="none"/>
        </w:rPr>
        <w:t>–</w:t>
      </w:r>
      <w:r w:rsidRPr="0026644D">
        <w:rPr>
          <w:rFonts w:eastAsia="Times New Roman"/>
          <w:snapToGrid w:val="0"/>
          <w:kern w:val="0"/>
          <w:szCs w:val="20"/>
          <w14:ligatures w14:val="none"/>
        </w:rPr>
        <w:tab/>
        <w:t xml:space="preserve">having regard to </w:t>
      </w:r>
      <w:r w:rsidRPr="0026644D">
        <w:t xml:space="preserve">Guidelines on the application of certain provisions of Regulation (EU) 2022/2560 of the European Parliament and of the Council on foreign subsidies distorting the internal market, </w:t>
      </w:r>
      <w:hyperlink r:id="rId13" w:history="1">
        <w:r w:rsidRPr="0026644D">
          <w:rPr>
            <w:rStyle w:val="Hyperlink"/>
          </w:rPr>
          <w:t>C(2026)42</w:t>
        </w:r>
      </w:hyperlink>
    </w:p>
    <w:p w14:paraId="366CCBC8" w14:textId="76A12552" w:rsidR="008822A1" w:rsidRPr="0026644D" w:rsidRDefault="008822A1" w:rsidP="00267FC0">
      <w:pPr>
        <w:pStyle w:val="ListParagraph"/>
        <w:numPr>
          <w:ilvl w:val="0"/>
          <w:numId w:val="2"/>
        </w:numPr>
        <w:spacing w:after="240"/>
        <w:ind w:left="567" w:hanging="567"/>
        <w:rPr>
          <w:color w:val="0000FF"/>
          <w:u w:val="single"/>
        </w:rPr>
      </w:pPr>
      <w:r w:rsidRPr="0026644D">
        <w:rPr>
          <w:rFonts w:eastAsia="Times New Roman"/>
          <w:snapToGrid w:val="0"/>
          <w:kern w:val="0"/>
          <w:szCs w:val="20"/>
          <w14:ligatures w14:val="none"/>
        </w:rPr>
        <w:t>having regard to the European Commission’s communication of 26 February 2025 entitled “The Clean Industrial Deal: A joint roadmap for competitiveness and decarbonisation”</w:t>
      </w:r>
    </w:p>
    <w:p w14:paraId="3BD1451B" w14:textId="06D28450" w:rsidR="006E614F" w:rsidRPr="00E4347A" w:rsidRDefault="0005184F" w:rsidP="00200972">
      <w:pPr>
        <w:spacing w:after="240"/>
        <w:ind w:left="567" w:hanging="567"/>
        <w:rPr>
          <w:rFonts w:eastAsia="Times New Roman"/>
          <w:snapToGrid w:val="0"/>
          <w:kern w:val="0"/>
          <w:szCs w:val="20"/>
          <w14:ligatures w14:val="none"/>
        </w:rPr>
      </w:pPr>
      <w:r w:rsidRPr="00E4347A">
        <w:rPr>
          <w:rFonts w:eastAsia="Times New Roman"/>
          <w:i/>
          <w:iCs/>
          <w:snapToGrid w:val="0"/>
          <w:kern w:val="0"/>
          <w:szCs w:val="20"/>
          <w14:ligatures w14:val="none"/>
        </w:rPr>
        <w:tab/>
      </w:r>
      <w:r w:rsidR="00687EEB">
        <w:rPr>
          <w:rFonts w:eastAsia="Times New Roman"/>
          <w:snapToGrid w:val="0"/>
          <w:kern w:val="0"/>
          <w:szCs w:val="20"/>
          <w14:ligatures w14:val="none"/>
        </w:rPr>
        <w:t xml:space="preserve">having regard to the </w:t>
      </w:r>
      <w:r w:rsidR="006E614F" w:rsidRPr="00E4347A">
        <w:rPr>
          <w:rFonts w:eastAsia="Times New Roman"/>
          <w:snapToGrid w:val="0"/>
          <w:kern w:val="0"/>
          <w:szCs w:val="20"/>
          <w14:ligatures w14:val="none"/>
        </w:rPr>
        <w:t xml:space="preserve">Communication from the Commission – Framework for State Aid measures to support the Clean Industrial Deal (Clean Industrial Deal State Aid Framework) </w:t>
      </w:r>
      <w:hyperlink r:id="rId14" w:history="1">
        <w:r w:rsidR="006E614F" w:rsidRPr="00E4347A">
          <w:rPr>
            <w:rStyle w:val="Hyperlink"/>
            <w:rFonts w:eastAsia="Times New Roman"/>
            <w:snapToGrid w:val="0"/>
            <w:kern w:val="0"/>
            <w:szCs w:val="20"/>
            <w14:ligatures w14:val="none"/>
          </w:rPr>
          <w:t>C(2025)7600</w:t>
        </w:r>
      </w:hyperlink>
      <w:r w:rsidR="002E1B02" w:rsidRPr="00E4347A">
        <w:rPr>
          <w:rFonts w:eastAsia="Times New Roman"/>
          <w:snapToGrid w:val="0"/>
          <w:kern w:val="0"/>
          <w:szCs w:val="20"/>
          <w14:ligatures w14:val="none"/>
        </w:rPr>
        <w:t>,</w:t>
      </w:r>
    </w:p>
    <w:p w14:paraId="2A693168" w14:textId="5A0E6C55" w:rsidR="008822A1" w:rsidRDefault="002E1B02" w:rsidP="00200972">
      <w:pPr>
        <w:spacing w:after="240"/>
        <w:ind w:left="567" w:hanging="567"/>
        <w:rPr>
          <w:rFonts w:eastAsia="Times New Roman"/>
          <w:snapToGrid w:val="0"/>
          <w:kern w:val="0"/>
          <w:szCs w:val="20"/>
          <w14:ligatures w14:val="none"/>
        </w:rPr>
      </w:pPr>
      <w:r w:rsidRPr="0005184F">
        <w:rPr>
          <w:rFonts w:eastAsia="Times New Roman"/>
          <w:i/>
          <w:iCs/>
          <w:snapToGrid w:val="0"/>
          <w:kern w:val="0"/>
          <w:szCs w:val="20"/>
          <w14:ligatures w14:val="none"/>
        </w:rPr>
        <w:t>–</w:t>
      </w:r>
      <w:r w:rsidRPr="0005184F">
        <w:rPr>
          <w:rFonts w:eastAsia="Times New Roman"/>
          <w:i/>
          <w:iCs/>
          <w:snapToGrid w:val="0"/>
          <w:kern w:val="0"/>
          <w:szCs w:val="20"/>
          <w14:ligatures w14:val="none"/>
        </w:rPr>
        <w:tab/>
      </w:r>
      <w:r w:rsidR="00687EEB">
        <w:rPr>
          <w:rFonts w:eastAsia="Times New Roman"/>
          <w:snapToGrid w:val="0"/>
          <w:kern w:val="0"/>
          <w:szCs w:val="20"/>
          <w14:ligatures w14:val="none"/>
        </w:rPr>
        <w:t xml:space="preserve">having regard to </w:t>
      </w:r>
      <w:r w:rsidRPr="002E1B02">
        <w:rPr>
          <w:rFonts w:eastAsia="Times New Roman"/>
          <w:snapToGrid w:val="0"/>
          <w:kern w:val="0"/>
          <w:szCs w:val="20"/>
          <w14:ligatures w14:val="none"/>
        </w:rPr>
        <w:t xml:space="preserve">Commission Staff Working Document Accompanying the document  Communication from the Commission Framework for State Aid measures to support the Clean Industrial Deal (Clean Industrial Deal State Aid Framework), </w:t>
      </w:r>
      <w:hyperlink r:id="rId15" w:history="1">
        <w:r w:rsidRPr="002E1B02">
          <w:rPr>
            <w:rStyle w:val="Hyperlink"/>
            <w:rFonts w:eastAsia="Times New Roman"/>
            <w:snapToGrid w:val="0"/>
            <w:kern w:val="0"/>
            <w:szCs w:val="20"/>
            <w14:ligatures w14:val="none"/>
          </w:rPr>
          <w:t>SWD(2025)850 final</w:t>
        </w:r>
      </w:hyperlink>
      <w:r w:rsidRPr="002E1B02">
        <w:rPr>
          <w:rFonts w:eastAsia="Times New Roman"/>
          <w:snapToGrid w:val="0"/>
          <w:kern w:val="0"/>
          <w:szCs w:val="20"/>
          <w14:ligatures w14:val="none"/>
        </w:rPr>
        <w:t xml:space="preserve"> of 4.11.2025</w:t>
      </w:r>
      <w:r>
        <w:rPr>
          <w:rFonts w:eastAsia="Times New Roman"/>
          <w:snapToGrid w:val="0"/>
          <w:kern w:val="0"/>
          <w:szCs w:val="20"/>
          <w14:ligatures w14:val="none"/>
        </w:rPr>
        <w:t>,</w:t>
      </w:r>
      <w:r w:rsidR="00687EEB" w:rsidRPr="00687EEB">
        <w:rPr>
          <w:rFonts w:eastAsia="Times New Roman"/>
          <w:snapToGrid w:val="0"/>
          <w:kern w:val="0"/>
          <w:szCs w:val="20"/>
          <w14:ligatures w14:val="none"/>
        </w:rPr>
        <w:t xml:space="preserve"> </w:t>
      </w:r>
    </w:p>
    <w:p w14:paraId="658742E2" w14:textId="3505C33F" w:rsidR="002E1B02" w:rsidRPr="002E1B02" w:rsidRDefault="00687EEB" w:rsidP="00200972">
      <w:pPr>
        <w:spacing w:after="240"/>
        <w:ind w:left="567" w:hanging="567"/>
        <w:rPr>
          <w:rFonts w:eastAsia="Times New Roman"/>
          <w:snapToGrid w:val="0"/>
          <w:kern w:val="0"/>
          <w:szCs w:val="20"/>
          <w14:ligatures w14:val="none"/>
        </w:rPr>
      </w:pPr>
      <w:r w:rsidRPr="00687EEB">
        <w:rPr>
          <w:rFonts w:eastAsia="Times New Roman"/>
          <w:snapToGrid w:val="0"/>
          <w:kern w:val="0"/>
          <w:szCs w:val="20"/>
          <w14:ligatures w14:val="none"/>
        </w:rPr>
        <w:t>–</w:t>
      </w:r>
      <w:r w:rsidRPr="00687EEB">
        <w:rPr>
          <w:rFonts w:eastAsia="Times New Roman"/>
          <w:snapToGrid w:val="0"/>
          <w:kern w:val="0"/>
          <w:szCs w:val="20"/>
          <w14:ligatures w14:val="none"/>
        </w:rPr>
        <w:tab/>
        <w:t xml:space="preserve">having regard to </w:t>
      </w:r>
      <w:r w:rsidRPr="00687EEB">
        <w:t xml:space="preserve">Commission </w:t>
      </w:r>
      <w:r>
        <w:t>S</w:t>
      </w:r>
      <w:r w:rsidRPr="00687EEB">
        <w:t xml:space="preserve">taff </w:t>
      </w:r>
      <w:r>
        <w:t>W</w:t>
      </w:r>
      <w:r w:rsidRPr="00687EEB">
        <w:t xml:space="preserve">orking </w:t>
      </w:r>
      <w:r>
        <w:t>D</w:t>
      </w:r>
      <w:r w:rsidRPr="00687EEB">
        <w:t>ocument Evaluation of the Commission</w:t>
      </w:r>
      <w:r w:rsidRPr="006E614F">
        <w:t xml:space="preserve"> Notice on the application of Articles 87 and 88 on the EC Treaty to State aid in the form of guarantees, </w:t>
      </w:r>
      <w:hyperlink r:id="rId16" w:history="1">
        <w:r w:rsidRPr="006E614F">
          <w:rPr>
            <w:rStyle w:val="Hyperlink"/>
          </w:rPr>
          <w:t>SWD(2025) 330 final</w:t>
        </w:r>
      </w:hyperlink>
      <w:r w:rsidRPr="006E614F">
        <w:t xml:space="preserve"> of 13 October 2025</w:t>
      </w:r>
      <w:r>
        <w:t>,</w:t>
      </w:r>
    </w:p>
    <w:p w14:paraId="4120B66E" w14:textId="653A81A4" w:rsidR="0005184F" w:rsidRDefault="006E614F" w:rsidP="00200972">
      <w:pPr>
        <w:spacing w:after="240"/>
        <w:ind w:left="567" w:hanging="567"/>
        <w:rPr>
          <w:rFonts w:eastAsia="Times New Roman"/>
          <w:snapToGrid w:val="0"/>
          <w:kern w:val="0"/>
          <w:szCs w:val="20"/>
          <w14:ligatures w14:val="none"/>
        </w:rPr>
      </w:pPr>
      <w:r w:rsidRPr="0005184F">
        <w:rPr>
          <w:rFonts w:eastAsia="Times New Roman"/>
          <w:i/>
          <w:iCs/>
          <w:snapToGrid w:val="0"/>
          <w:kern w:val="0"/>
          <w:szCs w:val="20"/>
          <w14:ligatures w14:val="none"/>
        </w:rPr>
        <w:t>–</w:t>
      </w:r>
      <w:r w:rsidRPr="0005184F">
        <w:rPr>
          <w:rFonts w:eastAsia="Times New Roman"/>
          <w:i/>
          <w:iCs/>
          <w:snapToGrid w:val="0"/>
          <w:kern w:val="0"/>
          <w:szCs w:val="20"/>
          <w14:ligatures w14:val="none"/>
        </w:rPr>
        <w:tab/>
      </w:r>
      <w:r w:rsidR="0005184F" w:rsidRPr="0005184F">
        <w:rPr>
          <w:rFonts w:eastAsia="Times New Roman"/>
          <w:snapToGrid w:val="0"/>
          <w:kern w:val="0"/>
          <w:szCs w:val="20"/>
          <w14:ligatures w14:val="none"/>
        </w:rPr>
        <w:t xml:space="preserve">having regard to the Commission Decision on the application of Article 106(2) of the Treaty on the Functioning of the European Union to State aid in the form of public service compensation granted to certain undertakings entrusted with the operation of services of general economic interest and repealing Decision 2012/21/EU, </w:t>
      </w:r>
      <w:hyperlink r:id="rId17" w:history="1">
        <w:r w:rsidR="0005184F" w:rsidRPr="0005184F">
          <w:rPr>
            <w:rStyle w:val="Hyperlink"/>
            <w:rFonts w:eastAsia="Times New Roman"/>
            <w:snapToGrid w:val="0"/>
            <w:kern w:val="0"/>
            <w:szCs w:val="20"/>
            <w14:ligatures w14:val="none"/>
          </w:rPr>
          <w:t>C(2025)8820</w:t>
        </w:r>
      </w:hyperlink>
      <w:r w:rsidR="0005184F" w:rsidRPr="0005184F">
        <w:rPr>
          <w:rFonts w:eastAsia="Times New Roman"/>
          <w:snapToGrid w:val="0"/>
          <w:kern w:val="0"/>
          <w:szCs w:val="20"/>
          <w14:ligatures w14:val="none"/>
        </w:rPr>
        <w:t xml:space="preserve"> final and its Annex</w:t>
      </w:r>
      <w:r w:rsidR="002E1B02">
        <w:rPr>
          <w:rFonts w:eastAsia="Times New Roman"/>
          <w:snapToGrid w:val="0"/>
          <w:kern w:val="0"/>
          <w:szCs w:val="20"/>
          <w14:ligatures w14:val="none"/>
        </w:rPr>
        <w:t>,</w:t>
      </w:r>
    </w:p>
    <w:p w14:paraId="11A9748B" w14:textId="77777777" w:rsidR="00D53E9C" w:rsidRPr="00D53E9C" w:rsidRDefault="00D53E9C" w:rsidP="00200972">
      <w:pPr>
        <w:spacing w:after="240"/>
        <w:ind w:left="567" w:hanging="567"/>
        <w:rPr>
          <w:rFonts w:eastAsia="Times New Roman"/>
          <w:snapToGrid w:val="0"/>
          <w:kern w:val="0"/>
          <w:szCs w:val="20"/>
          <w14:ligatures w14:val="none"/>
        </w:rPr>
      </w:pPr>
      <w:r w:rsidRPr="00D53E9C">
        <w:rPr>
          <w:rFonts w:eastAsia="Times New Roman"/>
          <w:snapToGrid w:val="0"/>
          <w:kern w:val="0"/>
          <w:szCs w:val="20"/>
          <w14:ligatures w14:val="none"/>
        </w:rPr>
        <w:t>–</w:t>
      </w:r>
      <w:r w:rsidRPr="00D53E9C">
        <w:rPr>
          <w:rFonts w:eastAsia="Times New Roman"/>
          <w:snapToGrid w:val="0"/>
          <w:kern w:val="0"/>
          <w:szCs w:val="20"/>
          <w14:ligatures w14:val="none"/>
        </w:rPr>
        <w:tab/>
        <w:t>having regard to Rule 55 of its Rules of Procedure,</w:t>
      </w:r>
    </w:p>
    <w:p w14:paraId="506B5B8E" w14:textId="0F8DA1C6" w:rsidR="00BC5C01" w:rsidRDefault="00D53E9C" w:rsidP="00FE7D05">
      <w:pPr>
        <w:spacing w:after="240"/>
        <w:ind w:left="567" w:hanging="567"/>
        <w:rPr>
          <w:rFonts w:eastAsia="Times New Roman"/>
          <w:snapToGrid w:val="0"/>
          <w:kern w:val="0"/>
          <w:szCs w:val="20"/>
          <w14:ligatures w14:val="none"/>
        </w:rPr>
      </w:pPr>
      <w:r w:rsidRPr="00D53E9C">
        <w:rPr>
          <w:rFonts w:eastAsia="Times New Roman"/>
          <w:snapToGrid w:val="0"/>
          <w:kern w:val="0"/>
          <w:szCs w:val="20"/>
          <w14:ligatures w14:val="none"/>
        </w:rPr>
        <w:t>–</w:t>
      </w:r>
      <w:r w:rsidRPr="00D53E9C">
        <w:rPr>
          <w:rFonts w:eastAsia="Times New Roman"/>
          <w:snapToGrid w:val="0"/>
          <w:kern w:val="0"/>
          <w:szCs w:val="20"/>
          <w14:ligatures w14:val="none"/>
        </w:rPr>
        <w:tab/>
        <w:t>having regard to the report of the Committee on Economic and Monetary Affairs (A10</w:t>
      </w:r>
      <w:r w:rsidRPr="00D53E9C">
        <w:rPr>
          <w:rFonts w:eastAsia="Times New Roman"/>
          <w:snapToGrid w:val="0"/>
          <w:kern w:val="0"/>
          <w:szCs w:val="20"/>
          <w14:ligatures w14:val="none"/>
        </w:rPr>
        <w:noBreakHyphen/>
        <w:t>0000/202</w:t>
      </w:r>
      <w:r>
        <w:rPr>
          <w:rFonts w:eastAsia="Times New Roman"/>
          <w:snapToGrid w:val="0"/>
          <w:kern w:val="0"/>
          <w:szCs w:val="20"/>
          <w14:ligatures w14:val="none"/>
        </w:rPr>
        <w:t>6</w:t>
      </w:r>
      <w:r w:rsidRPr="00D53E9C">
        <w:rPr>
          <w:rFonts w:eastAsia="Times New Roman"/>
          <w:snapToGrid w:val="0"/>
          <w:kern w:val="0"/>
          <w:szCs w:val="20"/>
          <w14:ligatures w14:val="none"/>
        </w:rPr>
        <w:t>),</w:t>
      </w:r>
    </w:p>
    <w:p w14:paraId="570060FD" w14:textId="77777777" w:rsidR="00D53E9C" w:rsidRDefault="00D53E9C" w:rsidP="00200972">
      <w:pPr>
        <w:rPr>
          <w:rFonts w:eastAsia="Times New Roman"/>
          <w:snapToGrid w:val="0"/>
          <w:kern w:val="0"/>
          <w:szCs w:val="20"/>
          <w14:ligatures w14:val="none"/>
        </w:rPr>
      </w:pPr>
    </w:p>
    <w:p w14:paraId="058BFA0D" w14:textId="77777777" w:rsidR="00717788" w:rsidRPr="00D53E9C" w:rsidRDefault="00717788" w:rsidP="00200972"/>
    <w:p w14:paraId="2DCB61DF" w14:textId="77B58299" w:rsidR="00EF631C" w:rsidRPr="00A41CF2" w:rsidRDefault="00D53E9C" w:rsidP="00A41CF2">
      <w:pPr>
        <w:spacing w:after="240"/>
        <w:ind w:left="567" w:hanging="567"/>
        <w:rPr>
          <w:rFonts w:eastAsia="Times New Roman"/>
          <w:snapToGrid w:val="0"/>
          <w:kern w:val="0"/>
          <w:szCs w:val="20"/>
          <w14:ligatures w14:val="none"/>
        </w:rPr>
      </w:pPr>
      <w:r w:rsidRPr="00A41CF2">
        <w:rPr>
          <w:rFonts w:eastAsia="Times New Roman"/>
          <w:snapToGrid w:val="0"/>
          <w:kern w:val="0"/>
          <w:szCs w:val="20"/>
          <w14:ligatures w14:val="none"/>
        </w:rPr>
        <w:t>A.</w:t>
      </w:r>
      <w:r w:rsidRPr="00A41CF2">
        <w:rPr>
          <w:rFonts w:eastAsia="Times New Roman"/>
          <w:snapToGrid w:val="0"/>
          <w:kern w:val="0"/>
          <w:szCs w:val="20"/>
          <w14:ligatures w14:val="none"/>
        </w:rPr>
        <w:tab/>
      </w:r>
      <w:r w:rsidR="00EF631C" w:rsidRPr="00A41CF2">
        <w:rPr>
          <w:rFonts w:eastAsia="Times New Roman"/>
          <w:snapToGrid w:val="0"/>
          <w:kern w:val="0"/>
          <w:szCs w:val="20"/>
          <w14:ligatures w14:val="none"/>
        </w:rPr>
        <w:t xml:space="preserve">Whereas </w:t>
      </w:r>
      <w:r w:rsidR="00D77DF3" w:rsidRPr="00D77DF3">
        <w:rPr>
          <w:rFonts w:eastAsia="Times New Roman"/>
          <w:snapToGrid w:val="0"/>
          <w:kern w:val="0"/>
          <w:szCs w:val="20"/>
          <w14:ligatures w14:val="none"/>
        </w:rPr>
        <w:t xml:space="preserve">EU competition policy must </w:t>
      </w:r>
      <w:r w:rsidR="005A51DC">
        <w:rPr>
          <w:rFonts w:eastAsia="Times New Roman"/>
          <w:snapToGrid w:val="0"/>
          <w:kern w:val="0"/>
          <w:szCs w:val="20"/>
          <w14:ligatures w14:val="none"/>
        </w:rPr>
        <w:t>be</w:t>
      </w:r>
      <w:r w:rsidR="00D77DF3" w:rsidRPr="00D77DF3">
        <w:rPr>
          <w:rFonts w:eastAsia="Times New Roman"/>
          <w:snapToGrid w:val="0"/>
          <w:kern w:val="0"/>
          <w:szCs w:val="20"/>
          <w14:ligatures w14:val="none"/>
        </w:rPr>
        <w:t xml:space="preserve"> forward-looking, foster </w:t>
      </w:r>
      <w:r w:rsidR="00B641B2">
        <w:rPr>
          <w:rFonts w:eastAsia="Times New Roman"/>
          <w:snapToGrid w:val="0"/>
          <w:kern w:val="0"/>
          <w:szCs w:val="20"/>
          <w14:ligatures w14:val="none"/>
        </w:rPr>
        <w:t>EU</w:t>
      </w:r>
      <w:r w:rsidR="00D77DF3" w:rsidRPr="00D77DF3">
        <w:rPr>
          <w:rFonts w:eastAsia="Times New Roman"/>
          <w:snapToGrid w:val="0"/>
          <w:kern w:val="0"/>
          <w:szCs w:val="20"/>
          <w14:ligatures w14:val="none"/>
        </w:rPr>
        <w:t xml:space="preserve"> solutions</w:t>
      </w:r>
      <w:r w:rsidR="00B641B2">
        <w:rPr>
          <w:rFonts w:eastAsia="Times New Roman"/>
          <w:snapToGrid w:val="0"/>
          <w:kern w:val="0"/>
          <w:szCs w:val="20"/>
          <w14:ligatures w14:val="none"/>
        </w:rPr>
        <w:t xml:space="preserve"> and innovation</w:t>
      </w:r>
      <w:r w:rsidR="00D77DF3" w:rsidRPr="00D77DF3">
        <w:rPr>
          <w:rFonts w:eastAsia="Times New Roman"/>
          <w:snapToGrid w:val="0"/>
          <w:kern w:val="0"/>
          <w:szCs w:val="20"/>
          <w14:ligatures w14:val="none"/>
        </w:rPr>
        <w:t xml:space="preserve">, and protect </w:t>
      </w:r>
      <w:proofErr w:type="gramStart"/>
      <w:r w:rsidR="00D77DF3" w:rsidRPr="00D77DF3">
        <w:rPr>
          <w:rFonts w:eastAsia="Times New Roman"/>
          <w:snapToGrid w:val="0"/>
          <w:kern w:val="0"/>
          <w:szCs w:val="20"/>
          <w14:ligatures w14:val="none"/>
        </w:rPr>
        <w:t>consumers</w:t>
      </w:r>
      <w:r w:rsidR="00D77DF3">
        <w:rPr>
          <w:rFonts w:eastAsia="Times New Roman"/>
          <w:snapToGrid w:val="0"/>
          <w:kern w:val="0"/>
          <w:szCs w:val="20"/>
          <w14:ligatures w14:val="none"/>
        </w:rPr>
        <w:t>;</w:t>
      </w:r>
      <w:proofErr w:type="gramEnd"/>
    </w:p>
    <w:p w14:paraId="364761DF" w14:textId="034B21ED" w:rsidR="003200BC" w:rsidRDefault="00D53E9C" w:rsidP="003200BC">
      <w:pPr>
        <w:spacing w:after="240"/>
        <w:ind w:left="567" w:hanging="567"/>
        <w:rPr>
          <w:rFonts w:eastAsia="Times New Roman"/>
          <w:snapToGrid w:val="0"/>
          <w:kern w:val="0"/>
          <w:szCs w:val="20"/>
          <w14:ligatures w14:val="none"/>
        </w:rPr>
      </w:pPr>
      <w:r w:rsidRPr="00A41CF2">
        <w:rPr>
          <w:rFonts w:eastAsia="Times New Roman"/>
          <w:snapToGrid w:val="0"/>
          <w:kern w:val="0"/>
          <w:szCs w:val="20"/>
          <w14:ligatures w14:val="none"/>
        </w:rPr>
        <w:t>B.</w:t>
      </w:r>
      <w:r w:rsidRPr="00A41CF2">
        <w:rPr>
          <w:rFonts w:eastAsia="Times New Roman"/>
          <w:snapToGrid w:val="0"/>
          <w:kern w:val="0"/>
          <w:szCs w:val="20"/>
          <w14:ligatures w14:val="none"/>
        </w:rPr>
        <w:tab/>
      </w:r>
      <w:r w:rsidR="00D77DF3">
        <w:rPr>
          <w:rFonts w:eastAsia="Times New Roman"/>
          <w:snapToGrid w:val="0"/>
          <w:kern w:val="0"/>
          <w:szCs w:val="20"/>
          <w14:ligatures w14:val="none"/>
        </w:rPr>
        <w:t>W</w:t>
      </w:r>
      <w:r w:rsidRPr="00A41CF2">
        <w:rPr>
          <w:rFonts w:eastAsia="Times New Roman"/>
          <w:snapToGrid w:val="0"/>
          <w:kern w:val="0"/>
          <w:szCs w:val="20"/>
          <w14:ligatures w14:val="none"/>
        </w:rPr>
        <w:t>hereas</w:t>
      </w:r>
      <w:r w:rsidR="00544688" w:rsidRPr="00A41CF2">
        <w:rPr>
          <w:rFonts w:eastAsia="Times New Roman"/>
          <w:snapToGrid w:val="0"/>
          <w:kern w:val="0"/>
          <w:szCs w:val="20"/>
          <w14:ligatures w14:val="none"/>
        </w:rPr>
        <w:t xml:space="preserve"> safeguarding the single market requires </w:t>
      </w:r>
      <w:r w:rsidR="003200BC" w:rsidRPr="003200BC">
        <w:rPr>
          <w:rFonts w:eastAsia="Times New Roman"/>
          <w:snapToGrid w:val="0"/>
          <w:kern w:val="0"/>
          <w:szCs w:val="20"/>
          <w14:ligatures w14:val="none"/>
        </w:rPr>
        <w:t>uncompromising competition rules</w:t>
      </w:r>
      <w:r w:rsidR="00EF631C" w:rsidRPr="00A41CF2">
        <w:rPr>
          <w:rFonts w:eastAsia="Times New Roman"/>
          <w:snapToGrid w:val="0"/>
          <w:kern w:val="0"/>
          <w:szCs w:val="20"/>
          <w14:ligatures w14:val="none"/>
        </w:rPr>
        <w:t>, resisting external influence</w:t>
      </w:r>
      <w:r w:rsidR="003200BC">
        <w:rPr>
          <w:rFonts w:eastAsia="Times New Roman"/>
          <w:snapToGrid w:val="0"/>
          <w:kern w:val="0"/>
          <w:szCs w:val="20"/>
          <w14:ligatures w14:val="none"/>
        </w:rPr>
        <w:t>,</w:t>
      </w:r>
      <w:r w:rsidR="00EF631C" w:rsidRPr="00A41CF2">
        <w:rPr>
          <w:rFonts w:eastAsia="Times New Roman"/>
          <w:snapToGrid w:val="0"/>
          <w:kern w:val="0"/>
          <w:szCs w:val="20"/>
          <w14:ligatures w14:val="none"/>
        </w:rPr>
        <w:t xml:space="preserve"> particularly from the United </w:t>
      </w:r>
      <w:proofErr w:type="gramStart"/>
      <w:r w:rsidR="00EF631C" w:rsidRPr="00A41CF2">
        <w:rPr>
          <w:rFonts w:eastAsia="Times New Roman"/>
          <w:snapToGrid w:val="0"/>
          <w:kern w:val="0"/>
          <w:szCs w:val="20"/>
          <w14:ligatures w14:val="none"/>
        </w:rPr>
        <w:t>States ;</w:t>
      </w:r>
      <w:proofErr w:type="gramEnd"/>
    </w:p>
    <w:p w14:paraId="6E7F9985" w14:textId="4315CC32" w:rsidR="00EE52D2" w:rsidRPr="00D77DF3" w:rsidRDefault="005E528F" w:rsidP="00CB3D13">
      <w:pPr>
        <w:spacing w:after="240"/>
        <w:rPr>
          <w:rFonts w:eastAsia="Times New Roman"/>
          <w:snapToGrid w:val="0"/>
          <w:kern w:val="0"/>
          <w:szCs w:val="20"/>
          <w14:ligatures w14:val="none"/>
        </w:rPr>
      </w:pPr>
      <w:r w:rsidRPr="00D77DF3">
        <w:rPr>
          <w:b/>
          <w:i/>
        </w:rPr>
        <w:lastRenderedPageBreak/>
        <w:t>Reclaiming Europe’s Strategic Autonomy through Competition Policy, Innovation and Digital Sovereignty</w:t>
      </w:r>
    </w:p>
    <w:p w14:paraId="7311A6A5" w14:textId="2030760D" w:rsidR="00DF0E15" w:rsidRPr="00D77DF3" w:rsidRDefault="00EF0DD0" w:rsidP="003200BC">
      <w:pPr>
        <w:pStyle w:val="ListParagraph"/>
        <w:numPr>
          <w:ilvl w:val="0"/>
          <w:numId w:val="7"/>
        </w:numPr>
        <w:rPr>
          <w:b/>
          <w:bCs/>
        </w:rPr>
      </w:pPr>
      <w:r w:rsidRPr="00BD3947">
        <w:t>Recalls the EU’s strong competition framework as a tool to enhance competitiveness across all industries</w:t>
      </w:r>
      <w:r w:rsidR="003200BC" w:rsidRPr="00BD3947">
        <w:t xml:space="preserve">; </w:t>
      </w:r>
      <w:r w:rsidR="00AB5519" w:rsidRPr="00BD3947">
        <w:t>Underlines</w:t>
      </w:r>
      <w:r w:rsidRPr="00BD3947">
        <w:t xml:space="preserve"> that EU policies should not be </w:t>
      </w:r>
      <w:r w:rsidR="00CD040C" w:rsidRPr="00BD3947">
        <w:t>pursued</w:t>
      </w:r>
      <w:r w:rsidRPr="00BD3947">
        <w:t xml:space="preserve"> in silos</w:t>
      </w:r>
      <w:r w:rsidR="00AB5519" w:rsidRPr="00BD3947">
        <w:t xml:space="preserve"> and that</w:t>
      </w:r>
      <w:r w:rsidR="00AB5519" w:rsidRPr="00D77DF3">
        <w:rPr>
          <w:b/>
          <w:bCs/>
        </w:rPr>
        <w:t xml:space="preserve"> </w:t>
      </w:r>
      <w:r w:rsidR="0026644D" w:rsidRPr="00D77DF3">
        <w:t xml:space="preserve">competitiveness </w:t>
      </w:r>
      <w:r w:rsidR="00AB5519" w:rsidRPr="00D77DF3">
        <w:t xml:space="preserve">concerns </w:t>
      </w:r>
      <w:r w:rsidR="00CB3D13" w:rsidRPr="00D77DF3">
        <w:t>cannot be</w:t>
      </w:r>
      <w:r w:rsidR="0026644D" w:rsidRPr="00D77DF3">
        <w:t xml:space="preserve"> interpreted as shortcomings in competition policy</w:t>
      </w:r>
      <w:r w:rsidR="00DF0E15" w:rsidRPr="00D77DF3">
        <w:t>; recalls</w:t>
      </w:r>
      <w:r w:rsidR="00DF0E15" w:rsidRPr="00D77DF3">
        <w:rPr>
          <w:b/>
          <w:bCs/>
        </w:rPr>
        <w:t xml:space="preserve"> </w:t>
      </w:r>
      <w:r w:rsidR="00DF0E15" w:rsidRPr="00D77DF3">
        <w:t xml:space="preserve">that </w:t>
      </w:r>
      <w:r w:rsidR="00BC5C01">
        <w:t xml:space="preserve">EU </w:t>
      </w:r>
      <w:r w:rsidR="00DF0E15" w:rsidRPr="008461E9">
        <w:t xml:space="preserve">competition </w:t>
      </w:r>
      <w:r w:rsidR="00CD040C" w:rsidRPr="008461E9">
        <w:t>rules</w:t>
      </w:r>
      <w:r w:rsidR="00DF0E15" w:rsidRPr="008461E9">
        <w:t xml:space="preserve"> </w:t>
      </w:r>
      <w:r w:rsidR="00D011E2" w:rsidRPr="008461E9">
        <w:t xml:space="preserve">must </w:t>
      </w:r>
      <w:r w:rsidR="00DF0E15" w:rsidRPr="008461E9">
        <w:t xml:space="preserve">support EU policies, such as industrial, trade, consumer, and financial services </w:t>
      </w:r>
      <w:proofErr w:type="gramStart"/>
      <w:r w:rsidR="00DF0E15" w:rsidRPr="008461E9">
        <w:t>polic</w:t>
      </w:r>
      <w:r w:rsidR="00CB3D13" w:rsidRPr="008461E9">
        <w:t>ies</w:t>
      </w:r>
      <w:r w:rsidR="00BD3947" w:rsidRPr="008461E9">
        <w:t>;</w:t>
      </w:r>
      <w:proofErr w:type="gramEnd"/>
    </w:p>
    <w:p w14:paraId="51893737" w14:textId="77777777" w:rsidR="00EF0DD0" w:rsidRPr="00D77DF3" w:rsidRDefault="00EF0DD0" w:rsidP="00EF0DD0">
      <w:pPr>
        <w:pStyle w:val="ListParagraph"/>
        <w:ind w:left="360"/>
        <w:rPr>
          <w:b/>
          <w:bCs/>
        </w:rPr>
      </w:pPr>
    </w:p>
    <w:p w14:paraId="42A636E5" w14:textId="6883140B" w:rsidR="00EF0DD0" w:rsidRPr="00BD3947" w:rsidRDefault="00EF0DD0" w:rsidP="00EF0DD0">
      <w:pPr>
        <w:pStyle w:val="ListParagraph"/>
        <w:numPr>
          <w:ilvl w:val="0"/>
          <w:numId w:val="7"/>
        </w:numPr>
      </w:pPr>
      <w:r w:rsidRPr="00BD3947">
        <w:t xml:space="preserve">Strongly supports the Draghi and Letta reports for </w:t>
      </w:r>
      <w:r w:rsidR="00CB3D13" w:rsidRPr="00BD3947">
        <w:t>s</w:t>
      </w:r>
      <w:r w:rsidRPr="00BD3947">
        <w:t xml:space="preserve">etting priorities in the competition </w:t>
      </w:r>
      <w:r w:rsidR="00CD040C" w:rsidRPr="00BD3947">
        <w:t>field</w:t>
      </w:r>
      <w:r w:rsidR="00BC5C01" w:rsidRPr="00BD3947">
        <w:t>,</w:t>
      </w:r>
      <w:r w:rsidR="00CD040C" w:rsidRPr="00BD3947">
        <w:t xml:space="preserve"> and</w:t>
      </w:r>
      <w:r w:rsidRPr="00BD3947">
        <w:t xml:space="preserve"> calls for their </w:t>
      </w:r>
      <w:proofErr w:type="gramStart"/>
      <w:r w:rsidRPr="00BD3947">
        <w:t>follow-up</w:t>
      </w:r>
      <w:r w:rsidR="00BC5C01" w:rsidRPr="00BD3947">
        <w:t>;</w:t>
      </w:r>
      <w:proofErr w:type="gramEnd"/>
    </w:p>
    <w:p w14:paraId="4C1D7F33" w14:textId="77777777" w:rsidR="00FA6C17" w:rsidRPr="00D77DF3" w:rsidRDefault="00FA6C17" w:rsidP="00FA6C17">
      <w:pPr>
        <w:pStyle w:val="ListParagraph"/>
        <w:ind w:left="360"/>
        <w:rPr>
          <w:b/>
          <w:bCs/>
        </w:rPr>
      </w:pPr>
    </w:p>
    <w:p w14:paraId="32645E84" w14:textId="474A3D0A" w:rsidR="000F6C9B" w:rsidRPr="005A51DC" w:rsidRDefault="0023060F" w:rsidP="006B3394">
      <w:pPr>
        <w:pStyle w:val="ListParagraph"/>
        <w:numPr>
          <w:ilvl w:val="0"/>
          <w:numId w:val="7"/>
        </w:numPr>
        <w:rPr>
          <w:b/>
          <w:bCs/>
        </w:rPr>
      </w:pPr>
      <w:r w:rsidRPr="005A51DC">
        <w:t xml:space="preserve">Emphasizes the key role of competition in creating digital market alternatives and reducing dependence on third-country providers; </w:t>
      </w:r>
      <w:r w:rsidR="00FE7D05" w:rsidRPr="005A51DC">
        <w:t>Urges to</w:t>
      </w:r>
      <w:r w:rsidR="006577C5" w:rsidRPr="005A51DC">
        <w:t xml:space="preserve"> </w:t>
      </w:r>
      <w:r w:rsidR="00C81CE2" w:rsidRPr="005A51DC">
        <w:t>build</w:t>
      </w:r>
      <w:r w:rsidR="006577C5" w:rsidRPr="005A51DC">
        <w:t xml:space="preserve"> </w:t>
      </w:r>
      <w:r w:rsidR="00EE52D2" w:rsidRPr="005A51DC">
        <w:t>key infrastructure</w:t>
      </w:r>
      <w:r w:rsidR="00FE7D05" w:rsidRPr="005A51DC">
        <w:t>s</w:t>
      </w:r>
      <w:r w:rsidR="00EE52D2" w:rsidRPr="005A51DC">
        <w:t xml:space="preserve"> to </w:t>
      </w:r>
      <w:r w:rsidR="00EF0DD0" w:rsidRPr="005A51DC">
        <w:t>boost</w:t>
      </w:r>
      <w:r w:rsidR="00EE52D2" w:rsidRPr="005A51DC">
        <w:t xml:space="preserve"> Europe</w:t>
      </w:r>
      <w:r w:rsidR="00777ACB">
        <w:t>’s</w:t>
      </w:r>
      <w:r w:rsidR="00EE52D2" w:rsidRPr="005A51DC">
        <w:t xml:space="preserve"> </w:t>
      </w:r>
      <w:r w:rsidR="00EF0DD0" w:rsidRPr="005A51DC">
        <w:t xml:space="preserve">autonomy and </w:t>
      </w:r>
      <w:r w:rsidR="00E754C6" w:rsidRPr="005A51DC">
        <w:t>innovation</w:t>
      </w:r>
      <w:r w:rsidR="00EF0DD0" w:rsidRPr="005A51DC">
        <w:t xml:space="preserve">, </w:t>
      </w:r>
      <w:r w:rsidR="008F6494">
        <w:t xml:space="preserve">including </w:t>
      </w:r>
      <w:r w:rsidR="00EE52D2" w:rsidRPr="005A51DC">
        <w:t>cloud services,</w:t>
      </w:r>
      <w:r w:rsidR="002F1720" w:rsidRPr="005A51DC">
        <w:t xml:space="preserve"> </w:t>
      </w:r>
      <w:r w:rsidR="00EE52D2" w:rsidRPr="005A51DC">
        <w:t>AI infrastructure</w:t>
      </w:r>
      <w:r w:rsidR="002F1720" w:rsidRPr="005A51DC">
        <w:t xml:space="preserve">s (data </w:t>
      </w:r>
      <w:r w:rsidR="00FE7D05" w:rsidRPr="005A51DC">
        <w:t>centres</w:t>
      </w:r>
      <w:r w:rsidR="002F1720" w:rsidRPr="005A51DC">
        <w:t xml:space="preserve"> and connectivity)</w:t>
      </w:r>
      <w:r w:rsidR="00EE52D2" w:rsidRPr="005A51DC">
        <w:t xml:space="preserve">, and </w:t>
      </w:r>
      <w:r w:rsidR="006577C5" w:rsidRPr="005A51DC">
        <w:t xml:space="preserve">financial market </w:t>
      </w:r>
      <w:r w:rsidR="00EE52D2" w:rsidRPr="005A51DC">
        <w:t>infrastructure</w:t>
      </w:r>
      <w:r w:rsidR="006577C5" w:rsidRPr="005A51DC">
        <w:t>s</w:t>
      </w:r>
      <w:r w:rsidR="008F6494">
        <w:t xml:space="preserve">, </w:t>
      </w:r>
      <w:r w:rsidR="00EE52D2" w:rsidRPr="005A51DC">
        <w:t xml:space="preserve">to support </w:t>
      </w:r>
      <w:r w:rsidR="00C72CD3" w:rsidRPr="005A51DC">
        <w:t>the</w:t>
      </w:r>
      <w:r w:rsidR="00EE52D2" w:rsidRPr="005A51DC">
        <w:t xml:space="preserve"> EU’s digital </w:t>
      </w:r>
      <w:proofErr w:type="gramStart"/>
      <w:r w:rsidR="00EE52D2" w:rsidRPr="005A51DC">
        <w:t>sovereignty</w:t>
      </w:r>
      <w:r w:rsidRPr="005A51DC">
        <w:t>;</w:t>
      </w:r>
      <w:proofErr w:type="gramEnd"/>
      <w:r w:rsidRPr="005A51DC">
        <w:t xml:space="preserve"> </w:t>
      </w:r>
    </w:p>
    <w:p w14:paraId="745AD8E7" w14:textId="77777777" w:rsidR="0023060F" w:rsidRPr="0023060F" w:rsidRDefault="0023060F" w:rsidP="0023060F">
      <w:pPr>
        <w:pStyle w:val="ListParagraph"/>
        <w:ind w:left="360"/>
        <w:rPr>
          <w:b/>
          <w:bCs/>
        </w:rPr>
      </w:pPr>
    </w:p>
    <w:p w14:paraId="4A7F260B" w14:textId="1992AEC2" w:rsidR="00CC0640" w:rsidRPr="002F1720" w:rsidRDefault="000F6C9B" w:rsidP="002F1720">
      <w:pPr>
        <w:pStyle w:val="ListParagraph"/>
        <w:numPr>
          <w:ilvl w:val="0"/>
          <w:numId w:val="7"/>
        </w:numPr>
        <w:rPr>
          <w:b/>
          <w:bCs/>
        </w:rPr>
      </w:pPr>
      <w:r>
        <w:t>C</w:t>
      </w:r>
      <w:r w:rsidR="00CC0640" w:rsidRPr="00D77DF3">
        <w:t xml:space="preserve">alls </w:t>
      </w:r>
      <w:r w:rsidR="00C72CD3" w:rsidRPr="00D77DF3">
        <w:t>for</w:t>
      </w:r>
      <w:r w:rsidR="00EF0DD0" w:rsidRPr="00D77DF3">
        <w:t xml:space="preserve"> a European preference in strategic </w:t>
      </w:r>
      <w:proofErr w:type="gramStart"/>
      <w:r w:rsidR="00EF0DD0" w:rsidRPr="00D77DF3">
        <w:t>sectors</w:t>
      </w:r>
      <w:r w:rsidR="00C72CD3" w:rsidRPr="00D77DF3">
        <w:t>;</w:t>
      </w:r>
      <w:proofErr w:type="gramEnd"/>
    </w:p>
    <w:p w14:paraId="1153D806" w14:textId="77777777" w:rsidR="00EE52D2" w:rsidRPr="00D77DF3" w:rsidRDefault="00EE52D2" w:rsidP="00EE52D2">
      <w:pPr>
        <w:rPr>
          <w:b/>
          <w:bCs/>
        </w:rPr>
      </w:pPr>
    </w:p>
    <w:p w14:paraId="21BA1F7A" w14:textId="550DC40B" w:rsidR="00DF0E15" w:rsidRPr="004F1289" w:rsidRDefault="00DF0E15" w:rsidP="00A41CF2">
      <w:pPr>
        <w:pStyle w:val="ListParagraph"/>
        <w:numPr>
          <w:ilvl w:val="0"/>
          <w:numId w:val="7"/>
        </w:numPr>
        <w:rPr>
          <w:b/>
          <w:bCs/>
        </w:rPr>
      </w:pPr>
      <w:r w:rsidRPr="00D77DF3">
        <w:t>Underlines</w:t>
      </w:r>
      <w:r w:rsidR="00EE52D2" w:rsidRPr="00D77DF3">
        <w:t xml:space="preserve"> </w:t>
      </w:r>
      <w:r w:rsidRPr="00D77DF3">
        <w:t>the importance of Important Projects of Common European Interest for financing large</w:t>
      </w:r>
      <w:r w:rsidR="006E286B" w:rsidRPr="00D77DF3">
        <w:t xml:space="preserve"> strategic</w:t>
      </w:r>
      <w:r w:rsidRPr="00D77DF3">
        <w:t xml:space="preserve"> </w:t>
      </w:r>
      <w:r w:rsidR="006E286B" w:rsidRPr="00D77DF3">
        <w:t>Union</w:t>
      </w:r>
      <w:r w:rsidRPr="00D77DF3">
        <w:t xml:space="preserve"> projects</w:t>
      </w:r>
      <w:r w:rsidR="006E286B" w:rsidRPr="00D77DF3">
        <w:t xml:space="preserve">; </w:t>
      </w:r>
      <w:r w:rsidRPr="00D77DF3">
        <w:t>calls on the Commission to</w:t>
      </w:r>
      <w:r w:rsidR="006E286B" w:rsidRPr="00D77DF3">
        <w:t xml:space="preserve"> shorten or fast-track notification</w:t>
      </w:r>
      <w:r w:rsidR="00CB3D13" w:rsidRPr="00D77DF3">
        <w:t>s</w:t>
      </w:r>
      <w:r w:rsidR="00072323">
        <w:t xml:space="preserve"> </w:t>
      </w:r>
      <w:r w:rsidR="006E286B" w:rsidRPr="00D77DF3">
        <w:t xml:space="preserve">as </w:t>
      </w:r>
      <w:r w:rsidR="00CB3D13" w:rsidRPr="00D77DF3">
        <w:t>they</w:t>
      </w:r>
      <w:r w:rsidR="006E286B" w:rsidRPr="00D77DF3">
        <w:t xml:space="preserve"> are burdensome for </w:t>
      </w:r>
      <w:proofErr w:type="gramStart"/>
      <w:r w:rsidR="006E286B" w:rsidRPr="00D77DF3">
        <w:t>SMEs;</w:t>
      </w:r>
      <w:proofErr w:type="gramEnd"/>
      <w:r w:rsidR="006E286B" w:rsidRPr="00D77DF3">
        <w:t xml:space="preserve"> </w:t>
      </w:r>
    </w:p>
    <w:p w14:paraId="5482BD32" w14:textId="77777777" w:rsidR="004F1289" w:rsidRPr="004F1289" w:rsidRDefault="004F1289" w:rsidP="004F1289">
      <w:pPr>
        <w:pStyle w:val="ListParagraph"/>
        <w:ind w:left="360"/>
        <w:rPr>
          <w:b/>
          <w:bCs/>
        </w:rPr>
      </w:pPr>
    </w:p>
    <w:p w14:paraId="69104405" w14:textId="298BA53F" w:rsidR="00DF0E15" w:rsidRPr="00D77DF3" w:rsidRDefault="004F1289" w:rsidP="00AE6340">
      <w:pPr>
        <w:pStyle w:val="ListParagraph"/>
        <w:numPr>
          <w:ilvl w:val="0"/>
          <w:numId w:val="7"/>
        </w:numPr>
      </w:pPr>
      <w:r w:rsidRPr="00D77DF3">
        <w:t>Welcomes the Foreign Subsidies Regulation (FSR) enforcement addressing distortions caused by foreign investments</w:t>
      </w:r>
      <w:r w:rsidR="000F6C9B">
        <w:t xml:space="preserve"> and the FSR </w:t>
      </w:r>
      <w:r w:rsidRPr="00D77DF3">
        <w:t>Guidelines;</w:t>
      </w:r>
      <w:r w:rsidR="00E754C6">
        <w:t xml:space="preserve"> </w:t>
      </w:r>
      <w:r w:rsidR="000F6C9B">
        <w:t>s</w:t>
      </w:r>
      <w:r w:rsidR="000F6C9B" w:rsidRPr="000F6C9B">
        <w:t xml:space="preserve">uggests addressing trade distortions via the FSR and FDI screening alongside traditional trade defence </w:t>
      </w:r>
      <w:proofErr w:type="gramStart"/>
      <w:r w:rsidR="000F6C9B" w:rsidRPr="000F6C9B">
        <w:t>instruments</w:t>
      </w:r>
      <w:r w:rsidR="00637B0B">
        <w:t>;</w:t>
      </w:r>
      <w:proofErr w:type="gramEnd"/>
    </w:p>
    <w:p w14:paraId="47D2BFC1" w14:textId="77777777" w:rsidR="00AE30B3" w:rsidRPr="00D77DF3" w:rsidRDefault="00AE30B3" w:rsidP="00A41CF2"/>
    <w:p w14:paraId="004A98ED" w14:textId="4EC6E6AD" w:rsidR="00EE52D2" w:rsidRPr="00D77DF3" w:rsidRDefault="00AB5519" w:rsidP="00A41CF2">
      <w:pPr>
        <w:ind w:left="720" w:hanging="720"/>
        <w:rPr>
          <w:b/>
          <w:bCs/>
          <w:i/>
          <w:iCs/>
        </w:rPr>
      </w:pPr>
      <w:r w:rsidRPr="00D77DF3">
        <w:rPr>
          <w:b/>
          <w:bCs/>
          <w:i/>
          <w:iCs/>
        </w:rPr>
        <w:t xml:space="preserve">An independent European Competition Authority </w:t>
      </w:r>
    </w:p>
    <w:p w14:paraId="05DFBA45" w14:textId="77777777" w:rsidR="00EE52D2" w:rsidRPr="00D77DF3" w:rsidRDefault="00EE52D2" w:rsidP="00A41CF2">
      <w:pPr>
        <w:ind w:left="720" w:hanging="720"/>
        <w:rPr>
          <w:b/>
          <w:bCs/>
          <w:i/>
          <w:iCs/>
        </w:rPr>
      </w:pPr>
    </w:p>
    <w:p w14:paraId="7C677553" w14:textId="73FCEC30" w:rsidR="00637B0B" w:rsidRPr="00EE435E" w:rsidRDefault="007025DE" w:rsidP="00EE435E">
      <w:pPr>
        <w:pStyle w:val="ListParagraph"/>
        <w:numPr>
          <w:ilvl w:val="0"/>
          <w:numId w:val="7"/>
        </w:numPr>
      </w:pPr>
      <w:r w:rsidRPr="00EE435E">
        <w:t xml:space="preserve">Calls for </w:t>
      </w:r>
      <w:r w:rsidR="00E754C6" w:rsidRPr="00EE435E">
        <w:t xml:space="preserve">a real </w:t>
      </w:r>
      <w:r w:rsidRPr="00EE435E">
        <w:t>independent European Competition Authority under democratic oversight</w:t>
      </w:r>
      <w:r w:rsidR="00637B0B" w:rsidRPr="00EE435E">
        <w:t xml:space="preserve">, </w:t>
      </w:r>
      <w:r w:rsidRPr="00EE435E">
        <w:t>separate from the executive branch</w:t>
      </w:r>
      <w:r w:rsidR="00637B0B" w:rsidRPr="00EE435E">
        <w:t xml:space="preserve"> to ensure no political interference</w:t>
      </w:r>
      <w:r w:rsidRPr="00EE435E">
        <w:t xml:space="preserve">, integrating antitrust, merger control, </w:t>
      </w:r>
      <w:r w:rsidR="00BD3947" w:rsidRPr="00EE435E">
        <w:t>s</w:t>
      </w:r>
      <w:r w:rsidRPr="00EE435E">
        <w:t xml:space="preserve">tate aid, consumer policy and digital enforcement; </w:t>
      </w:r>
      <w:r w:rsidR="00BD3947" w:rsidRPr="00EE435E">
        <w:t>s</w:t>
      </w:r>
      <w:r w:rsidRPr="00EE435E">
        <w:t xml:space="preserve">tresses the need for adequate staffing, expertise and </w:t>
      </w:r>
      <w:proofErr w:type="gramStart"/>
      <w:r w:rsidRPr="00EE435E">
        <w:t>powers</w:t>
      </w:r>
      <w:r w:rsidR="00637B0B" w:rsidRPr="00EE435E">
        <w:t>;</w:t>
      </w:r>
      <w:proofErr w:type="gramEnd"/>
      <w:r w:rsidR="00637B0B" w:rsidRPr="00EE435E">
        <w:t xml:space="preserve"> </w:t>
      </w:r>
    </w:p>
    <w:p w14:paraId="24304377" w14:textId="77777777" w:rsidR="00EE52D2" w:rsidRPr="00D77DF3" w:rsidRDefault="00EE52D2" w:rsidP="00AE6340">
      <w:pPr>
        <w:rPr>
          <w:b/>
          <w:bCs/>
          <w:i/>
          <w:iCs/>
        </w:rPr>
      </w:pPr>
    </w:p>
    <w:p w14:paraId="3D0D1FBA" w14:textId="78098ECC" w:rsidR="007A38A6" w:rsidRPr="00D77DF3" w:rsidRDefault="00EE52D2" w:rsidP="00A41CF2">
      <w:pPr>
        <w:ind w:left="720" w:hanging="720"/>
        <w:rPr>
          <w:b/>
          <w:bCs/>
          <w:i/>
          <w:iCs/>
        </w:rPr>
      </w:pPr>
      <w:r w:rsidRPr="00D77DF3">
        <w:rPr>
          <w:b/>
          <w:bCs/>
          <w:i/>
          <w:iCs/>
        </w:rPr>
        <w:t>The</w:t>
      </w:r>
      <w:r w:rsidR="00910168" w:rsidRPr="00D77DF3">
        <w:rPr>
          <w:b/>
          <w:bCs/>
          <w:i/>
          <w:iCs/>
        </w:rPr>
        <w:t xml:space="preserve"> </w:t>
      </w:r>
      <w:r w:rsidR="00E23854" w:rsidRPr="00D77DF3">
        <w:rPr>
          <w:b/>
          <w:bCs/>
          <w:i/>
          <w:iCs/>
        </w:rPr>
        <w:t>DMA</w:t>
      </w:r>
      <w:r w:rsidR="00BD3947">
        <w:rPr>
          <w:b/>
          <w:bCs/>
          <w:i/>
          <w:iCs/>
        </w:rPr>
        <w:t xml:space="preserve"> </w:t>
      </w:r>
      <w:r w:rsidR="00E23854" w:rsidRPr="00D77DF3">
        <w:rPr>
          <w:b/>
          <w:bCs/>
          <w:i/>
          <w:iCs/>
        </w:rPr>
        <w:t>e</w:t>
      </w:r>
      <w:r w:rsidR="007A38A6" w:rsidRPr="00D77DF3">
        <w:rPr>
          <w:b/>
          <w:bCs/>
          <w:i/>
          <w:iCs/>
        </w:rPr>
        <w:t xml:space="preserve">nforcement </w:t>
      </w:r>
      <w:r w:rsidR="00910168" w:rsidRPr="00D77DF3">
        <w:rPr>
          <w:b/>
          <w:bCs/>
          <w:i/>
          <w:iCs/>
        </w:rPr>
        <w:t>amid Global Challenges</w:t>
      </w:r>
      <w:r w:rsidR="005C5415" w:rsidRPr="00D77DF3">
        <w:rPr>
          <w:b/>
          <w:bCs/>
          <w:i/>
          <w:iCs/>
        </w:rPr>
        <w:t xml:space="preserve"> </w:t>
      </w:r>
    </w:p>
    <w:p w14:paraId="3B8ABD7B" w14:textId="0A4FBDB6" w:rsidR="000404DE" w:rsidRPr="00D77DF3" w:rsidRDefault="000404DE" w:rsidP="00A41CF2"/>
    <w:p w14:paraId="32B7133D" w14:textId="1A6AB21C" w:rsidR="001A6048" w:rsidRPr="00D011E2" w:rsidRDefault="001A6048" w:rsidP="00A41CF2">
      <w:pPr>
        <w:pStyle w:val="ListParagraph"/>
        <w:numPr>
          <w:ilvl w:val="0"/>
          <w:numId w:val="7"/>
        </w:numPr>
        <w:rPr>
          <w:i/>
          <w:iCs/>
        </w:rPr>
      </w:pPr>
      <w:r w:rsidRPr="00D011E2">
        <w:t xml:space="preserve">Urges the </w:t>
      </w:r>
      <w:r w:rsidR="00720D38" w:rsidRPr="00D011E2">
        <w:t>C</w:t>
      </w:r>
      <w:r w:rsidRPr="00D011E2">
        <w:t xml:space="preserve">ommission to fully enforce the EU competition rulebook to safeguard Europe’s regulatory autonomy against political pressures, </w:t>
      </w:r>
      <w:r w:rsidR="00720D38" w:rsidRPr="00D011E2">
        <w:t>particularly</w:t>
      </w:r>
      <w:r w:rsidRPr="00D011E2">
        <w:t xml:space="preserve"> from the United </w:t>
      </w:r>
      <w:proofErr w:type="gramStart"/>
      <w:r w:rsidRPr="00D011E2">
        <w:t>States;</w:t>
      </w:r>
      <w:proofErr w:type="gramEnd"/>
      <w:r w:rsidRPr="00D011E2">
        <w:t xml:space="preserve"> </w:t>
      </w:r>
    </w:p>
    <w:p w14:paraId="5CE209EA" w14:textId="77777777" w:rsidR="001A6048" w:rsidRPr="00777ACB" w:rsidRDefault="001A6048" w:rsidP="00D011E2">
      <w:pPr>
        <w:pStyle w:val="ListParagraph"/>
        <w:rPr>
          <w:b/>
          <w:bCs/>
          <w:i/>
          <w:iCs/>
        </w:rPr>
      </w:pPr>
    </w:p>
    <w:p w14:paraId="1C1DF664" w14:textId="4298EB78" w:rsidR="00660A7A" w:rsidRPr="0023060F" w:rsidRDefault="003B2AD7" w:rsidP="00A41CF2">
      <w:pPr>
        <w:pStyle w:val="ListParagraph"/>
        <w:numPr>
          <w:ilvl w:val="0"/>
          <w:numId w:val="7"/>
        </w:numPr>
      </w:pPr>
      <w:r w:rsidRPr="0023060F">
        <w:t>Underlines that e</w:t>
      </w:r>
      <w:r w:rsidR="000404DE" w:rsidRPr="0023060F">
        <w:t>ffective enforcement can only be achieved if abuse of dominance rules (Art</w:t>
      </w:r>
      <w:r w:rsidR="00EA2D0D" w:rsidRPr="0023060F">
        <w:t>.</w:t>
      </w:r>
      <w:r w:rsidR="000404DE" w:rsidRPr="0023060F">
        <w:t xml:space="preserve"> 102 TFEU), and the DMA work together, combining ex</w:t>
      </w:r>
      <w:r w:rsidR="00BC5C01" w:rsidRPr="0023060F">
        <w:t>-</w:t>
      </w:r>
      <w:r w:rsidR="000404DE" w:rsidRPr="0023060F">
        <w:t>ante and ex</w:t>
      </w:r>
      <w:r w:rsidR="00BC5C01" w:rsidRPr="0023060F">
        <w:t>-</w:t>
      </w:r>
      <w:r w:rsidR="000404DE" w:rsidRPr="0023060F">
        <w:t>post approaches</w:t>
      </w:r>
      <w:r w:rsidRPr="0023060F">
        <w:t xml:space="preserve">; </w:t>
      </w:r>
      <w:r w:rsidR="00D67398" w:rsidRPr="0023060F">
        <w:t>calls on the Commission to streamline and better articulat</w:t>
      </w:r>
      <w:r w:rsidR="00BD3947" w:rsidRPr="0023060F">
        <w:t xml:space="preserve">e </w:t>
      </w:r>
      <w:r w:rsidR="00C72CD3" w:rsidRPr="0023060F">
        <w:t xml:space="preserve">the </w:t>
      </w:r>
      <w:r w:rsidR="00D67398" w:rsidRPr="0023060F">
        <w:t xml:space="preserve">competition </w:t>
      </w:r>
      <w:proofErr w:type="gramStart"/>
      <w:r w:rsidR="00D67398" w:rsidRPr="0023060F">
        <w:t>rulebook;</w:t>
      </w:r>
      <w:proofErr w:type="gramEnd"/>
    </w:p>
    <w:p w14:paraId="57BBE7D5" w14:textId="77777777" w:rsidR="005C5415" w:rsidRPr="0023060F" w:rsidRDefault="005C5415" w:rsidP="00A41CF2">
      <w:pPr>
        <w:rPr>
          <w:i/>
          <w:iCs/>
        </w:rPr>
      </w:pPr>
    </w:p>
    <w:p w14:paraId="170EA004" w14:textId="77777777" w:rsidR="00240E93" w:rsidRPr="00AE6340" w:rsidRDefault="00B00501" w:rsidP="00240E93">
      <w:pPr>
        <w:pStyle w:val="ListParagraph"/>
        <w:numPr>
          <w:ilvl w:val="0"/>
          <w:numId w:val="7"/>
        </w:numPr>
        <w:rPr>
          <w:rFonts w:eastAsia="Times New Roman"/>
          <w:b/>
          <w:bCs/>
          <w:snapToGrid w:val="0"/>
          <w:kern w:val="0"/>
          <w:szCs w:val="20"/>
          <w14:ligatures w14:val="none"/>
        </w:rPr>
      </w:pPr>
      <w:r w:rsidRPr="0023060F">
        <w:t>Supports enforcement under</w:t>
      </w:r>
      <w:r w:rsidRPr="00D77DF3">
        <w:t xml:space="preserve"> the </w:t>
      </w:r>
      <w:r w:rsidR="00765B8D" w:rsidRPr="00D77DF3">
        <w:t>DMA</w:t>
      </w:r>
      <w:r w:rsidR="00143391" w:rsidRPr="00D77DF3">
        <w:t xml:space="preserve">; welcomes the Commission’s recent market investigations into cloud service providers, such as </w:t>
      </w:r>
      <w:r w:rsidR="00143391" w:rsidRPr="00D77DF3">
        <w:rPr>
          <w:rFonts w:eastAsia="Times New Roman"/>
          <w:snapToGrid w:val="0"/>
          <w:kern w:val="0"/>
          <w:szCs w:val="20"/>
          <w14:ligatures w14:val="none"/>
        </w:rPr>
        <w:t xml:space="preserve">Amazon Web Services </w:t>
      </w:r>
      <w:r w:rsidR="00143391" w:rsidRPr="00871CE5">
        <w:rPr>
          <w:rFonts w:eastAsia="Times New Roman"/>
          <w:snapToGrid w:val="0"/>
          <w:kern w:val="0"/>
          <w:szCs w:val="20"/>
          <w14:ligatures w14:val="none"/>
        </w:rPr>
        <w:t>and Microsoft Azur</w:t>
      </w:r>
      <w:r w:rsidR="006577C5" w:rsidRPr="00871CE5">
        <w:rPr>
          <w:rFonts w:eastAsia="Times New Roman"/>
          <w:snapToGrid w:val="0"/>
          <w:kern w:val="0"/>
          <w:szCs w:val="20"/>
          <w14:ligatures w14:val="none"/>
        </w:rPr>
        <w:t xml:space="preserve">e </w:t>
      </w:r>
      <w:r w:rsidR="00EE52D2" w:rsidRPr="00871CE5">
        <w:rPr>
          <w:rFonts w:eastAsia="Times New Roman"/>
          <w:snapToGrid w:val="0"/>
          <w:kern w:val="0"/>
          <w:szCs w:val="20"/>
          <w14:ligatures w14:val="none"/>
        </w:rPr>
        <w:t>and</w:t>
      </w:r>
      <w:r w:rsidR="00CB3D13" w:rsidRPr="00871CE5">
        <w:rPr>
          <w:rFonts w:eastAsia="Times New Roman"/>
          <w:snapToGrid w:val="0"/>
          <w:kern w:val="0"/>
          <w:szCs w:val="20"/>
          <w14:ligatures w14:val="none"/>
        </w:rPr>
        <w:t>,</w:t>
      </w:r>
      <w:r w:rsidR="00EE52D2" w:rsidRPr="00871CE5">
        <w:rPr>
          <w:rFonts w:eastAsia="Times New Roman"/>
          <w:snapToGrid w:val="0"/>
          <w:kern w:val="0"/>
          <w:szCs w:val="20"/>
          <w14:ligatures w14:val="none"/>
        </w:rPr>
        <w:t xml:space="preserve"> </w:t>
      </w:r>
      <w:r w:rsidR="00BD3947" w:rsidRPr="00871CE5">
        <w:rPr>
          <w:rFonts w:eastAsia="Times New Roman"/>
          <w:snapToGrid w:val="0"/>
          <w:kern w:val="0"/>
          <w:szCs w:val="20"/>
          <w14:ligatures w14:val="none"/>
        </w:rPr>
        <w:t xml:space="preserve">its </w:t>
      </w:r>
      <w:r w:rsidR="00EE52D2" w:rsidRPr="00871CE5">
        <w:rPr>
          <w:rFonts w:eastAsia="Times New Roman"/>
          <w:snapToGrid w:val="0"/>
          <w:kern w:val="0"/>
          <w:szCs w:val="20"/>
          <w14:ligatures w14:val="none"/>
        </w:rPr>
        <w:t>two proceedings agains</w:t>
      </w:r>
      <w:r w:rsidR="006577C5" w:rsidRPr="00871CE5">
        <w:rPr>
          <w:rFonts w:eastAsia="Times New Roman"/>
          <w:snapToGrid w:val="0"/>
          <w:kern w:val="0"/>
          <w:szCs w:val="20"/>
          <w14:ligatures w14:val="none"/>
        </w:rPr>
        <w:t>t</w:t>
      </w:r>
      <w:r w:rsidR="00EE52D2" w:rsidRPr="00871CE5">
        <w:rPr>
          <w:rFonts w:eastAsia="Times New Roman"/>
          <w:snapToGrid w:val="0"/>
          <w:kern w:val="0"/>
          <w:szCs w:val="20"/>
          <w14:ligatures w14:val="none"/>
        </w:rPr>
        <w:t xml:space="preserve"> Google </w:t>
      </w:r>
      <w:r w:rsidR="006577C5" w:rsidRPr="00871CE5">
        <w:rPr>
          <w:rFonts w:eastAsia="Times New Roman"/>
          <w:snapToGrid w:val="0"/>
          <w:kern w:val="0"/>
          <w:szCs w:val="20"/>
          <w14:ligatures w14:val="none"/>
        </w:rPr>
        <w:t xml:space="preserve">on </w:t>
      </w:r>
      <w:r w:rsidR="00BD3947" w:rsidRPr="00871CE5">
        <w:rPr>
          <w:rFonts w:eastAsia="Times New Roman"/>
          <w:snapToGrid w:val="0"/>
          <w:kern w:val="0"/>
          <w:szCs w:val="20"/>
          <w14:ligatures w14:val="none"/>
        </w:rPr>
        <w:t>the</w:t>
      </w:r>
      <w:r w:rsidR="006577C5" w:rsidRPr="00871CE5">
        <w:rPr>
          <w:rFonts w:eastAsia="Times New Roman"/>
          <w:snapToGrid w:val="0"/>
          <w:kern w:val="0"/>
          <w:szCs w:val="20"/>
          <w14:ligatures w14:val="none"/>
        </w:rPr>
        <w:t xml:space="preserve"> Android interoperability and FRAND access to anonymised Google Search </w:t>
      </w:r>
      <w:proofErr w:type="gramStart"/>
      <w:r w:rsidR="006577C5" w:rsidRPr="00871CE5">
        <w:rPr>
          <w:rFonts w:eastAsia="Times New Roman"/>
          <w:snapToGrid w:val="0"/>
          <w:kern w:val="0"/>
          <w:szCs w:val="20"/>
          <w14:ligatures w14:val="none"/>
        </w:rPr>
        <w:t>data</w:t>
      </w:r>
      <w:r w:rsidR="00BD3947" w:rsidRPr="00871CE5">
        <w:rPr>
          <w:rFonts w:eastAsia="Times New Roman"/>
          <w:snapToGrid w:val="0"/>
          <w:kern w:val="0"/>
          <w:szCs w:val="20"/>
          <w14:ligatures w14:val="none"/>
        </w:rPr>
        <w:t>;</w:t>
      </w:r>
      <w:proofErr w:type="gramEnd"/>
      <w:r w:rsidR="006577C5" w:rsidRPr="00871CE5">
        <w:rPr>
          <w:rFonts w:eastAsia="Times New Roman"/>
          <w:snapToGrid w:val="0"/>
          <w:kern w:val="0"/>
          <w:szCs w:val="20"/>
          <w14:ligatures w14:val="none"/>
        </w:rPr>
        <w:t xml:space="preserve"> </w:t>
      </w:r>
    </w:p>
    <w:p w14:paraId="0EF05714" w14:textId="77777777" w:rsidR="00AE6340" w:rsidRPr="00240E93" w:rsidRDefault="00AE6340" w:rsidP="00AE6340">
      <w:pPr>
        <w:pStyle w:val="ListParagraph"/>
        <w:ind w:left="360"/>
        <w:rPr>
          <w:rFonts w:eastAsia="Times New Roman"/>
          <w:b/>
          <w:bCs/>
          <w:snapToGrid w:val="0"/>
          <w:kern w:val="0"/>
          <w:szCs w:val="20"/>
          <w14:ligatures w14:val="none"/>
        </w:rPr>
      </w:pPr>
    </w:p>
    <w:p w14:paraId="7AF1380B" w14:textId="0CF1CB61" w:rsidR="00240E93" w:rsidRPr="00240E93" w:rsidRDefault="00784F53" w:rsidP="00240E93">
      <w:pPr>
        <w:pStyle w:val="ListParagraph"/>
        <w:numPr>
          <w:ilvl w:val="0"/>
          <w:numId w:val="7"/>
        </w:numPr>
        <w:rPr>
          <w:rFonts w:eastAsia="Times New Roman"/>
          <w:b/>
          <w:bCs/>
          <w:snapToGrid w:val="0"/>
          <w:kern w:val="0"/>
          <w:szCs w:val="20"/>
          <w14:ligatures w14:val="none"/>
        </w:rPr>
      </w:pPr>
      <w:r w:rsidRPr="00D77DF3">
        <w:t>Recalls</w:t>
      </w:r>
      <w:r w:rsidR="001A6048" w:rsidRPr="00D77DF3">
        <w:t xml:space="preserve"> that enforcement of the DMA is </w:t>
      </w:r>
      <w:r w:rsidR="001A6048" w:rsidRPr="00240E93">
        <w:t xml:space="preserve">still suboptimal; </w:t>
      </w:r>
      <w:r w:rsidR="00240E93" w:rsidRPr="00240E93">
        <w:t>Suggest</w:t>
      </w:r>
      <w:r w:rsidR="00777ACB">
        <w:t>s</w:t>
      </w:r>
      <w:r w:rsidR="00240E93" w:rsidRPr="00240E93">
        <w:t xml:space="preserve"> stable funding through a “DMA fee,” similar to the </w:t>
      </w:r>
      <w:proofErr w:type="gramStart"/>
      <w:r w:rsidR="00240E93" w:rsidRPr="00240E93">
        <w:t>DSA;</w:t>
      </w:r>
      <w:proofErr w:type="gramEnd"/>
    </w:p>
    <w:p w14:paraId="7EAB802B" w14:textId="77777777" w:rsidR="00240E93" w:rsidRPr="00240E93" w:rsidRDefault="00240E93" w:rsidP="00240E93">
      <w:pPr>
        <w:pStyle w:val="ListParagraph"/>
        <w:ind w:left="360"/>
        <w:rPr>
          <w:rFonts w:eastAsia="Times New Roman"/>
          <w:i/>
          <w:iCs/>
          <w:snapToGrid w:val="0"/>
          <w:kern w:val="0"/>
          <w:szCs w:val="20"/>
          <w14:ligatures w14:val="none"/>
        </w:rPr>
      </w:pPr>
    </w:p>
    <w:p w14:paraId="63BB530E" w14:textId="2F38A847" w:rsidR="00240E93" w:rsidRPr="00240E93" w:rsidRDefault="001A6048" w:rsidP="00A41CF2">
      <w:pPr>
        <w:pStyle w:val="ListParagraph"/>
        <w:numPr>
          <w:ilvl w:val="0"/>
          <w:numId w:val="7"/>
        </w:numPr>
        <w:rPr>
          <w:rFonts w:eastAsia="Times New Roman"/>
          <w:i/>
          <w:iCs/>
          <w:snapToGrid w:val="0"/>
          <w:kern w:val="0"/>
          <w:szCs w:val="20"/>
          <w14:ligatures w14:val="none"/>
        </w:rPr>
      </w:pPr>
      <w:r w:rsidRPr="00D77DF3">
        <w:t>Calls for a transparent</w:t>
      </w:r>
      <w:r w:rsidR="001F244B">
        <w:t xml:space="preserve">, </w:t>
      </w:r>
      <w:r w:rsidRPr="00D77DF3">
        <w:t>thorough</w:t>
      </w:r>
      <w:r w:rsidR="001F244B">
        <w:t xml:space="preserve"> and </w:t>
      </w:r>
      <w:r w:rsidR="004D785C">
        <w:t>ambitious</w:t>
      </w:r>
      <w:r w:rsidRPr="00D77DF3">
        <w:t xml:space="preserve"> DMA review process</w:t>
      </w:r>
      <w:r w:rsidR="00240E93">
        <w:t xml:space="preserve"> </w:t>
      </w:r>
      <w:r w:rsidR="001F244B">
        <w:t xml:space="preserve">expected </w:t>
      </w:r>
      <w:r w:rsidR="00AE6340">
        <w:t>in</w:t>
      </w:r>
      <w:r w:rsidR="001F244B">
        <w:t xml:space="preserve"> May</w:t>
      </w:r>
      <w:r w:rsidR="00240E93">
        <w:t xml:space="preserve"> </w:t>
      </w:r>
      <w:proofErr w:type="gramStart"/>
      <w:r w:rsidR="00240E93">
        <w:t>2026</w:t>
      </w:r>
      <w:r w:rsidRPr="00D77DF3">
        <w:t>;</w:t>
      </w:r>
      <w:proofErr w:type="gramEnd"/>
      <w:r w:rsidRPr="00D77DF3">
        <w:t xml:space="preserve"> </w:t>
      </w:r>
    </w:p>
    <w:p w14:paraId="49692E79" w14:textId="77777777" w:rsidR="00240E93" w:rsidRPr="00240E93" w:rsidRDefault="00240E93" w:rsidP="00240E93">
      <w:pPr>
        <w:pStyle w:val="ListParagraph"/>
        <w:ind w:left="360"/>
        <w:rPr>
          <w:rFonts w:eastAsia="Times New Roman"/>
          <w:i/>
          <w:iCs/>
          <w:snapToGrid w:val="0"/>
          <w:kern w:val="0"/>
          <w:szCs w:val="20"/>
          <w14:ligatures w14:val="none"/>
        </w:rPr>
      </w:pPr>
    </w:p>
    <w:p w14:paraId="069B53CC" w14:textId="0DD5A706" w:rsidR="00784F53" w:rsidRPr="00D77DF3" w:rsidRDefault="00240E93" w:rsidP="00A41CF2">
      <w:pPr>
        <w:pStyle w:val="ListParagraph"/>
        <w:numPr>
          <w:ilvl w:val="0"/>
          <w:numId w:val="7"/>
        </w:numPr>
        <w:rPr>
          <w:rFonts w:eastAsia="Times New Roman"/>
          <w:i/>
          <w:iCs/>
          <w:snapToGrid w:val="0"/>
          <w:kern w:val="0"/>
          <w:szCs w:val="20"/>
          <w14:ligatures w14:val="none"/>
        </w:rPr>
      </w:pPr>
      <w:r>
        <w:t>U</w:t>
      </w:r>
      <w:r w:rsidR="001A6048" w:rsidRPr="00D77DF3">
        <w:t xml:space="preserve">rges the Commission to consider </w:t>
      </w:r>
      <w:r w:rsidR="00251CEC" w:rsidRPr="00D77DF3">
        <w:t xml:space="preserve">AI and cloud services </w:t>
      </w:r>
      <w:r w:rsidR="001A6048" w:rsidRPr="00D77DF3">
        <w:t>as core platform services</w:t>
      </w:r>
      <w:r w:rsidR="00251CEC">
        <w:t xml:space="preserve"> within the DMA</w:t>
      </w:r>
      <w:r w:rsidR="001A6048" w:rsidRPr="00D77DF3">
        <w:t>;</w:t>
      </w:r>
      <w:r w:rsidR="001A6048" w:rsidRPr="00D77DF3">
        <w:rPr>
          <w:rFonts w:eastAsia="Times New Roman"/>
          <w:i/>
          <w:iCs/>
          <w:snapToGrid w:val="0"/>
          <w:kern w:val="0"/>
          <w:szCs w:val="20"/>
          <w14:ligatures w14:val="none"/>
        </w:rPr>
        <w:t xml:space="preserve"> </w:t>
      </w:r>
      <w:r w:rsidR="00CB3D13" w:rsidRPr="00D77DF3">
        <w:t>r</w:t>
      </w:r>
      <w:r w:rsidR="00784F53" w:rsidRPr="00D77DF3">
        <w:t>equests the Commission</w:t>
      </w:r>
      <w:r w:rsidR="00251CEC" w:rsidRPr="00251CEC">
        <w:t xml:space="preserve"> to include SMEs in the DMA review </w:t>
      </w:r>
      <w:proofErr w:type="gramStart"/>
      <w:r w:rsidR="00251CEC" w:rsidRPr="00251CEC">
        <w:t>consultations</w:t>
      </w:r>
      <w:r w:rsidR="00251CEC">
        <w:t>;</w:t>
      </w:r>
      <w:proofErr w:type="gramEnd"/>
    </w:p>
    <w:p w14:paraId="3DBC8238" w14:textId="77777777" w:rsidR="00784F53" w:rsidRPr="00D77DF3" w:rsidRDefault="00784F53" w:rsidP="00A41CF2"/>
    <w:p w14:paraId="5E9590F6" w14:textId="026CEB99" w:rsidR="00E754C6" w:rsidRDefault="00CB3D13" w:rsidP="00DF2441">
      <w:pPr>
        <w:pStyle w:val="ListParagraph"/>
        <w:numPr>
          <w:ilvl w:val="0"/>
          <w:numId w:val="7"/>
        </w:numPr>
      </w:pPr>
      <w:r w:rsidRPr="00D77DF3">
        <w:t>Stresses</w:t>
      </w:r>
      <w:r w:rsidR="00206C1F" w:rsidRPr="00D77DF3">
        <w:t xml:space="preserve"> that DMA enforcement applies to all market participants regardless of nationality; notes Booking’s gatekeeper status and recalls that the French </w:t>
      </w:r>
      <w:r w:rsidR="004F1289">
        <w:t xml:space="preserve">and Spanish </w:t>
      </w:r>
      <w:r w:rsidR="00206C1F" w:rsidRPr="00D77DF3">
        <w:t>authorit</w:t>
      </w:r>
      <w:r w:rsidR="004F1289">
        <w:t>ies sanction</w:t>
      </w:r>
      <w:r w:rsidR="00251CEC">
        <w:t>ed</w:t>
      </w:r>
      <w:r w:rsidR="004F1289">
        <w:t xml:space="preserve"> the company </w:t>
      </w:r>
      <w:r w:rsidR="00B954C9">
        <w:t>on</w:t>
      </w:r>
      <w:r w:rsidR="004F1289">
        <w:t xml:space="preserve"> its</w:t>
      </w:r>
      <w:r w:rsidR="00206C1F" w:rsidRPr="00D77DF3">
        <w:t xml:space="preserve"> parity clauses; urges the Commission to take decisive action</w:t>
      </w:r>
      <w:r w:rsidR="00072323">
        <w:t xml:space="preserve"> </w:t>
      </w:r>
      <w:proofErr w:type="gramStart"/>
      <w:r w:rsidR="002D7CE9">
        <w:t>accordingly;</w:t>
      </w:r>
      <w:proofErr w:type="gramEnd"/>
    </w:p>
    <w:p w14:paraId="53C7994A" w14:textId="6ECD6B15" w:rsidR="00AD2E64" w:rsidRPr="00D77DF3" w:rsidRDefault="00C16AE3" w:rsidP="00A41CF2">
      <w:pPr>
        <w:widowControl w:val="0"/>
        <w:spacing w:before="360" w:after="240"/>
        <w:rPr>
          <w:rFonts w:eastAsia="Times New Roman"/>
          <w:b/>
          <w:i/>
          <w:snapToGrid w:val="0"/>
          <w:kern w:val="0"/>
          <w:szCs w:val="20"/>
          <w14:ligatures w14:val="none"/>
        </w:rPr>
      </w:pPr>
      <w:r w:rsidRPr="00D77DF3">
        <w:rPr>
          <w:rFonts w:eastAsia="Times New Roman"/>
          <w:b/>
          <w:i/>
          <w:snapToGrid w:val="0"/>
          <w:kern w:val="0"/>
          <w:szCs w:val="20"/>
          <w14:ligatures w14:val="none"/>
        </w:rPr>
        <w:t>Antitrus</w:t>
      </w:r>
      <w:r w:rsidR="00EF631C" w:rsidRPr="00D77DF3">
        <w:rPr>
          <w:rFonts w:eastAsia="Times New Roman"/>
          <w:b/>
          <w:i/>
          <w:snapToGrid w:val="0"/>
          <w:kern w:val="0"/>
          <w:szCs w:val="20"/>
          <w14:ligatures w14:val="none"/>
        </w:rPr>
        <w:t>t</w:t>
      </w:r>
    </w:p>
    <w:p w14:paraId="1FF64A80" w14:textId="6C19E621" w:rsidR="000D13E1" w:rsidRPr="006F3EA9" w:rsidRDefault="00785D48" w:rsidP="00DD42E5">
      <w:pPr>
        <w:pStyle w:val="ListParagraph"/>
        <w:widowControl w:val="0"/>
        <w:numPr>
          <w:ilvl w:val="0"/>
          <w:numId w:val="7"/>
        </w:numPr>
        <w:spacing w:before="360" w:after="240"/>
      </w:pPr>
      <w:r w:rsidRPr="00E33310">
        <w:t xml:space="preserve">Urges the Commission to use interim measures to stop any practices that harm competition, especially in fast-evolving </w:t>
      </w:r>
      <w:r w:rsidRPr="006F3EA9">
        <w:t xml:space="preserve">digital markets; </w:t>
      </w:r>
      <w:r w:rsidR="00A4769B" w:rsidRPr="006F3EA9">
        <w:t xml:space="preserve">calls </w:t>
      </w:r>
      <w:r w:rsidR="00541E57" w:rsidRPr="006F3EA9">
        <w:t xml:space="preserve">on </w:t>
      </w:r>
      <w:r w:rsidR="00A4769B" w:rsidRPr="006F3EA9">
        <w:t xml:space="preserve">the </w:t>
      </w:r>
      <w:r w:rsidR="00241104" w:rsidRPr="006F3EA9">
        <w:t>Commission</w:t>
      </w:r>
      <w:r w:rsidR="0085337C" w:rsidRPr="006F3EA9">
        <w:t xml:space="preserve"> </w:t>
      </w:r>
      <w:r w:rsidR="00251CEC" w:rsidRPr="006F3EA9">
        <w:t xml:space="preserve">to modernise </w:t>
      </w:r>
      <w:r w:rsidRPr="006F3EA9">
        <w:t xml:space="preserve">Regulation 1/2003 and implementing Regulation 773/2004 </w:t>
      </w:r>
      <w:r w:rsidR="0085337C" w:rsidRPr="006F3EA9">
        <w:t xml:space="preserve">in its upcoming </w:t>
      </w:r>
      <w:r w:rsidR="0081045A" w:rsidRPr="006F3EA9">
        <w:t>review</w:t>
      </w:r>
      <w:r w:rsidRPr="006F3EA9">
        <w:t xml:space="preserve">, </w:t>
      </w:r>
      <w:r w:rsidR="00E33310" w:rsidRPr="006F3EA9">
        <w:t>especially regarding</w:t>
      </w:r>
      <w:r w:rsidRPr="006F3EA9">
        <w:t xml:space="preserve"> the use of interim </w:t>
      </w:r>
      <w:proofErr w:type="gramStart"/>
      <w:r w:rsidRPr="006F3EA9">
        <w:t>measures;</w:t>
      </w:r>
      <w:proofErr w:type="gramEnd"/>
    </w:p>
    <w:p w14:paraId="55475266" w14:textId="77777777" w:rsidR="005C5415" w:rsidRPr="00D77DF3" w:rsidRDefault="005C5415" w:rsidP="00A41CF2">
      <w:pPr>
        <w:pStyle w:val="ListParagraph"/>
        <w:ind w:left="360"/>
      </w:pPr>
    </w:p>
    <w:p w14:paraId="733AC040" w14:textId="0F8ECF29" w:rsidR="00AB5519" w:rsidRDefault="003C6E99" w:rsidP="00E729F0">
      <w:pPr>
        <w:pStyle w:val="ListParagraph"/>
        <w:numPr>
          <w:ilvl w:val="0"/>
          <w:numId w:val="7"/>
        </w:numPr>
      </w:pPr>
      <w:r w:rsidRPr="00D77DF3">
        <w:t>Reaffirms</w:t>
      </w:r>
      <w:r w:rsidR="006B026E" w:rsidRPr="00D77DF3">
        <w:t xml:space="preserve"> </w:t>
      </w:r>
      <w:r w:rsidR="00BC5C01" w:rsidRPr="00BC5C01">
        <w:t xml:space="preserve">the need for </w:t>
      </w:r>
      <w:r w:rsidR="00CD5EB6">
        <w:t xml:space="preserve">strong </w:t>
      </w:r>
      <w:r w:rsidR="00BC5C01" w:rsidRPr="00BC5C01">
        <w:t xml:space="preserve">cooperation </w:t>
      </w:r>
      <w:r w:rsidR="00CD5EB6">
        <w:t xml:space="preserve">between the Commission and national competition authorities within </w:t>
      </w:r>
      <w:r w:rsidR="003C7C48">
        <w:t xml:space="preserve">the </w:t>
      </w:r>
      <w:r w:rsidR="00CD5EB6" w:rsidRPr="00BC5C01">
        <w:t xml:space="preserve">European Competition </w:t>
      </w:r>
      <w:proofErr w:type="gramStart"/>
      <w:r w:rsidR="00CD5EB6" w:rsidRPr="00BC5C01">
        <w:t>Network</w:t>
      </w:r>
      <w:r w:rsidR="00AE6340">
        <w:t>;</w:t>
      </w:r>
      <w:proofErr w:type="gramEnd"/>
    </w:p>
    <w:p w14:paraId="7C324ED1" w14:textId="77777777" w:rsidR="00BC5C01" w:rsidRPr="00D77DF3" w:rsidRDefault="00BC5C01" w:rsidP="00BC5C01">
      <w:pPr>
        <w:pStyle w:val="ListParagraph"/>
        <w:ind w:left="360"/>
      </w:pPr>
    </w:p>
    <w:p w14:paraId="350A50AE" w14:textId="5CC661DA" w:rsidR="003047FC" w:rsidRDefault="00AB5519" w:rsidP="00D77DF3">
      <w:pPr>
        <w:pStyle w:val="ListParagraph"/>
        <w:numPr>
          <w:ilvl w:val="0"/>
          <w:numId w:val="7"/>
        </w:numPr>
      </w:pPr>
      <w:r w:rsidRPr="00D77DF3">
        <w:t xml:space="preserve">Notes current </w:t>
      </w:r>
      <w:r w:rsidR="002E7DBA" w:rsidRPr="00D77DF3">
        <w:t>investigations</w:t>
      </w:r>
      <w:r w:rsidRPr="00D77DF3">
        <w:t xml:space="preserve"> </w:t>
      </w:r>
      <w:r w:rsidR="004F1289">
        <w:t>of</w:t>
      </w:r>
      <w:r w:rsidRPr="00D77DF3">
        <w:t xml:space="preserve"> US-based companies, including the Commission’s preliminary investigation into Visa and Mastercard fees; calls on the Commission to pursue </w:t>
      </w:r>
      <w:r w:rsidR="003047FC" w:rsidRPr="00D77DF3">
        <w:t>its</w:t>
      </w:r>
      <w:r w:rsidRPr="00D77DF3">
        <w:t xml:space="preserve"> investigation and act to preserve </w:t>
      </w:r>
      <w:r w:rsidR="003047FC" w:rsidRPr="00D77DF3">
        <w:t xml:space="preserve">European </w:t>
      </w:r>
      <w:r w:rsidRPr="00D77DF3">
        <w:t>competition</w:t>
      </w:r>
      <w:r w:rsidR="004F1289">
        <w:t>,</w:t>
      </w:r>
      <w:r w:rsidR="003047FC" w:rsidRPr="00D77DF3">
        <w:t xml:space="preserve"> and </w:t>
      </w:r>
      <w:r w:rsidRPr="00D77DF3">
        <w:t>emphasi</w:t>
      </w:r>
      <w:r w:rsidR="003C7C48">
        <w:t>zes</w:t>
      </w:r>
      <w:r w:rsidRPr="00D77DF3">
        <w:t xml:space="preserve"> the need to review the Interchange Fee Regulation to address rising card scheme fees and ensure a competitive and transparent market</w:t>
      </w:r>
      <w:r w:rsidR="002E7DBA" w:rsidRPr="00D77DF3">
        <w:t xml:space="preserve"> for </w:t>
      </w:r>
      <w:proofErr w:type="gramStart"/>
      <w:r w:rsidR="002E7DBA" w:rsidRPr="00D77DF3">
        <w:t>Europeans</w:t>
      </w:r>
      <w:r w:rsidRPr="00D77DF3">
        <w:t>;</w:t>
      </w:r>
      <w:proofErr w:type="gramEnd"/>
    </w:p>
    <w:p w14:paraId="59A08326" w14:textId="1C06DEF6" w:rsidR="00D53E9C" w:rsidRPr="00D77DF3" w:rsidRDefault="00D53E9C" w:rsidP="00A41CF2">
      <w:pPr>
        <w:widowControl w:val="0"/>
        <w:spacing w:before="360" w:after="240"/>
        <w:rPr>
          <w:rFonts w:eastAsia="Times New Roman"/>
          <w:snapToGrid w:val="0"/>
          <w:kern w:val="0"/>
          <w:szCs w:val="20"/>
          <w14:ligatures w14:val="none"/>
        </w:rPr>
      </w:pPr>
      <w:r w:rsidRPr="00D77DF3">
        <w:rPr>
          <w:rFonts w:eastAsia="Times New Roman"/>
          <w:b/>
          <w:i/>
          <w:snapToGrid w:val="0"/>
          <w:kern w:val="0"/>
          <w:szCs w:val="20"/>
          <w14:ligatures w14:val="none"/>
        </w:rPr>
        <w:t>Merger</w:t>
      </w:r>
      <w:r w:rsidR="00D57DD8" w:rsidRPr="00D77DF3">
        <w:rPr>
          <w:rFonts w:eastAsia="Times New Roman"/>
          <w:b/>
          <w:i/>
          <w:snapToGrid w:val="0"/>
          <w:kern w:val="0"/>
          <w:szCs w:val="20"/>
          <w14:ligatures w14:val="none"/>
        </w:rPr>
        <w:t xml:space="preserve"> control</w:t>
      </w:r>
    </w:p>
    <w:p w14:paraId="6F7A6C47" w14:textId="3A8C6E33" w:rsidR="00921532" w:rsidRPr="00D77DF3" w:rsidRDefault="009019B3" w:rsidP="00A41CF2">
      <w:pPr>
        <w:pStyle w:val="ListParagraph"/>
        <w:numPr>
          <w:ilvl w:val="0"/>
          <w:numId w:val="7"/>
        </w:numPr>
      </w:pPr>
      <w:r w:rsidRPr="00D77DF3">
        <w:t>Stresses that Europe lack</w:t>
      </w:r>
      <w:r w:rsidR="004F1289">
        <w:t>s</w:t>
      </w:r>
      <w:r w:rsidRPr="00D77DF3">
        <w:t xml:space="preserve"> large-scale </w:t>
      </w:r>
      <w:r w:rsidR="00BD3947">
        <w:t>companies</w:t>
      </w:r>
      <w:r w:rsidRPr="00D77DF3">
        <w:t xml:space="preserve">; considers scale as a strategic Union imperative, as highlighted by the Letta report, to compete effectively on global </w:t>
      </w:r>
      <w:proofErr w:type="gramStart"/>
      <w:r w:rsidRPr="00D77DF3">
        <w:t>markets;</w:t>
      </w:r>
      <w:proofErr w:type="gramEnd"/>
    </w:p>
    <w:p w14:paraId="494C3FD5" w14:textId="77777777" w:rsidR="00921532" w:rsidRPr="00D77DF3" w:rsidRDefault="00921532" w:rsidP="00921532">
      <w:pPr>
        <w:pStyle w:val="ListParagraph"/>
        <w:ind w:left="360"/>
      </w:pPr>
    </w:p>
    <w:p w14:paraId="5A4C65E1" w14:textId="7BE619B5" w:rsidR="00EC3A2F" w:rsidRPr="00D77DF3" w:rsidRDefault="00921532" w:rsidP="00921532">
      <w:pPr>
        <w:pStyle w:val="ListParagraph"/>
        <w:numPr>
          <w:ilvl w:val="0"/>
          <w:numId w:val="7"/>
        </w:numPr>
        <w:rPr>
          <w:b/>
          <w:bCs/>
        </w:rPr>
      </w:pPr>
      <w:r w:rsidRPr="00D77DF3">
        <w:t xml:space="preserve">Calls on the Commission to apply competition policies </w:t>
      </w:r>
      <w:r w:rsidR="003047FC" w:rsidRPr="00D77DF3">
        <w:t xml:space="preserve">dynamically, adapt </w:t>
      </w:r>
      <w:r w:rsidR="003C7C48">
        <w:t xml:space="preserve">them </w:t>
      </w:r>
      <w:r w:rsidR="003047FC" w:rsidRPr="00D77DF3">
        <w:t xml:space="preserve">to new market realities, and analyse ex-post effects of </w:t>
      </w:r>
      <w:proofErr w:type="gramStart"/>
      <w:r w:rsidR="003047FC" w:rsidRPr="00D77DF3">
        <w:t>concentrations;</w:t>
      </w:r>
      <w:proofErr w:type="gramEnd"/>
    </w:p>
    <w:p w14:paraId="0C033ABC" w14:textId="77777777" w:rsidR="00EC3A2F" w:rsidRPr="00D77DF3" w:rsidRDefault="00EC3A2F" w:rsidP="00A41CF2">
      <w:pPr>
        <w:pStyle w:val="ListParagraph"/>
        <w:ind w:left="360"/>
      </w:pPr>
    </w:p>
    <w:p w14:paraId="5F25E9DF" w14:textId="135D9C20" w:rsidR="000E4F6B" w:rsidRDefault="00EC3A2F" w:rsidP="00BD3947">
      <w:pPr>
        <w:pStyle w:val="ListParagraph"/>
        <w:numPr>
          <w:ilvl w:val="0"/>
          <w:numId w:val="7"/>
        </w:numPr>
      </w:pPr>
      <w:r w:rsidRPr="00D77DF3">
        <w:t xml:space="preserve">Calls for an ambitious revision of the EU merger guidelines to better align with the Union’s industrial and sectoral policy </w:t>
      </w:r>
      <w:r w:rsidRPr="005A51DC">
        <w:t xml:space="preserve">objectives while continuing to safeguard high consumer welfare; insists that merger control </w:t>
      </w:r>
      <w:r w:rsidR="003C7C48">
        <w:t>should</w:t>
      </w:r>
      <w:r w:rsidR="003C7C48" w:rsidRPr="003C7C48">
        <w:t xml:space="preserve"> not </w:t>
      </w:r>
      <w:r w:rsidR="00E33310" w:rsidRPr="003C7C48">
        <w:t xml:space="preserve">obstruct </w:t>
      </w:r>
      <w:proofErr w:type="spellStart"/>
      <w:r w:rsidR="00E33310" w:rsidRPr="003C7C48">
        <w:t>paneuropean</w:t>
      </w:r>
      <w:proofErr w:type="spellEnd"/>
      <w:r w:rsidR="00A30468" w:rsidRPr="003C7C48">
        <w:t xml:space="preserve"> mergers </w:t>
      </w:r>
      <w:r w:rsidR="00AD349A" w:rsidRPr="003C7C48">
        <w:t xml:space="preserve">creating </w:t>
      </w:r>
      <w:r w:rsidRPr="003C7C48">
        <w:t xml:space="preserve">“EU champions” in </w:t>
      </w:r>
      <w:r w:rsidR="00724840" w:rsidRPr="003C7C48">
        <w:t>key sectors, like</w:t>
      </w:r>
      <w:r w:rsidR="004C467E" w:rsidRPr="003C7C48">
        <w:t xml:space="preserve"> telecom, </w:t>
      </w:r>
      <w:r w:rsidR="00724840" w:rsidRPr="003C7C48">
        <w:t>banking</w:t>
      </w:r>
      <w:r w:rsidR="00724840" w:rsidRPr="005A51DC">
        <w:t>, payment</w:t>
      </w:r>
      <w:r w:rsidR="003047FC" w:rsidRPr="005A51DC">
        <w:t>s</w:t>
      </w:r>
      <w:r w:rsidR="00724840" w:rsidRPr="005A51DC">
        <w:t xml:space="preserve"> </w:t>
      </w:r>
      <w:r w:rsidR="004C467E" w:rsidRPr="005A51DC">
        <w:t>and energy</w:t>
      </w:r>
      <w:r w:rsidR="00724840" w:rsidRPr="005A51DC">
        <w:t xml:space="preserve">, </w:t>
      </w:r>
      <w:r w:rsidRPr="005A51DC">
        <w:t xml:space="preserve">while safeguarding fair </w:t>
      </w:r>
      <w:proofErr w:type="gramStart"/>
      <w:r w:rsidRPr="005A51DC">
        <w:t>competition;</w:t>
      </w:r>
      <w:proofErr w:type="gramEnd"/>
      <w:r w:rsidRPr="005A51DC">
        <w:t xml:space="preserve"> </w:t>
      </w:r>
    </w:p>
    <w:p w14:paraId="28082BE8" w14:textId="77777777" w:rsidR="00724840" w:rsidRPr="00E33310" w:rsidRDefault="00724840" w:rsidP="00E33310"/>
    <w:p w14:paraId="67899636" w14:textId="08E38B19" w:rsidR="000E4F6B" w:rsidRDefault="000E4F6B" w:rsidP="00A41CF2">
      <w:pPr>
        <w:pStyle w:val="ListParagraph"/>
        <w:numPr>
          <w:ilvl w:val="0"/>
          <w:numId w:val="7"/>
        </w:numPr>
      </w:pPr>
      <w:r w:rsidRPr="00D77DF3">
        <w:t xml:space="preserve">Calls on the Commission to adopt a forward-looking approach to mergers, </w:t>
      </w:r>
      <w:r w:rsidR="004036AD">
        <w:t>taking efficiency gains into account, allowing companies to form alliance</w:t>
      </w:r>
      <w:r w:rsidR="0081045A">
        <w:t>s</w:t>
      </w:r>
      <w:r w:rsidR="004036AD">
        <w:t xml:space="preserve"> when the</w:t>
      </w:r>
      <w:r w:rsidR="0081045A">
        <w:t>y</w:t>
      </w:r>
      <w:r w:rsidR="004036AD">
        <w:t xml:space="preserve"> contribute to innovation, climate, resilience and security</w:t>
      </w:r>
      <w:r w:rsidR="0081045A">
        <w:t>,</w:t>
      </w:r>
      <w:r w:rsidR="004036AD">
        <w:t xml:space="preserve"> </w:t>
      </w:r>
      <w:r w:rsidRPr="00D77DF3">
        <w:t xml:space="preserve">and reflect sector-specific realities beyond prices and market </w:t>
      </w:r>
      <w:proofErr w:type="gramStart"/>
      <w:r w:rsidRPr="00D77DF3">
        <w:t>shares;</w:t>
      </w:r>
      <w:proofErr w:type="gramEnd"/>
      <w:r w:rsidRPr="00D77DF3">
        <w:t xml:space="preserve"> </w:t>
      </w:r>
    </w:p>
    <w:p w14:paraId="3B53D0D4" w14:textId="77777777" w:rsidR="00F65D67" w:rsidRDefault="00F65D67" w:rsidP="00F65D67">
      <w:pPr>
        <w:pStyle w:val="ListParagraph"/>
        <w:ind w:left="360"/>
      </w:pPr>
    </w:p>
    <w:p w14:paraId="2185EA7D" w14:textId="01FD8D17" w:rsidR="00D1094F" w:rsidRPr="0023060F" w:rsidRDefault="00D1094F" w:rsidP="004036AD">
      <w:pPr>
        <w:pStyle w:val="ListParagraph"/>
        <w:numPr>
          <w:ilvl w:val="0"/>
          <w:numId w:val="7"/>
        </w:numPr>
      </w:pPr>
      <w:r w:rsidRPr="0023060F">
        <w:t xml:space="preserve">Recalls </w:t>
      </w:r>
      <w:r w:rsidR="00EA2D0D" w:rsidRPr="0023060F">
        <w:t xml:space="preserve">competition safeguards </w:t>
      </w:r>
      <w:r w:rsidRPr="0023060F">
        <w:t xml:space="preserve">consumer choice; notes Netflix and Paramount’s </w:t>
      </w:r>
      <w:r w:rsidR="003C7C48">
        <w:t>interest in acquiring</w:t>
      </w:r>
      <w:r w:rsidRPr="0023060F">
        <w:t xml:space="preserve"> Warner Bros and calls for a thorough review of </w:t>
      </w:r>
      <w:r w:rsidR="00EA2D0D" w:rsidRPr="0023060F">
        <w:t>future</w:t>
      </w:r>
      <w:r w:rsidRPr="0023060F">
        <w:t xml:space="preserve"> </w:t>
      </w:r>
      <w:r w:rsidR="00EA2D0D" w:rsidRPr="0023060F">
        <w:t xml:space="preserve">audiovisual </w:t>
      </w:r>
      <w:proofErr w:type="gramStart"/>
      <w:r w:rsidRPr="0023060F">
        <w:t>mergers</w:t>
      </w:r>
      <w:r w:rsidR="00EA2D0D" w:rsidRPr="0023060F">
        <w:t>;</w:t>
      </w:r>
      <w:proofErr w:type="gramEnd"/>
    </w:p>
    <w:p w14:paraId="54BF57DE" w14:textId="77777777" w:rsidR="00D1094F" w:rsidRPr="00E33310" w:rsidRDefault="00D1094F" w:rsidP="00D1094F">
      <w:pPr>
        <w:pStyle w:val="ListParagraph"/>
        <w:ind w:left="360"/>
      </w:pPr>
    </w:p>
    <w:p w14:paraId="58D9CF6E" w14:textId="264D5347" w:rsidR="000E4F6B" w:rsidRPr="00E33310" w:rsidRDefault="00F65D67" w:rsidP="004036AD">
      <w:pPr>
        <w:pStyle w:val="ListParagraph"/>
        <w:numPr>
          <w:ilvl w:val="0"/>
          <w:numId w:val="7"/>
        </w:numPr>
      </w:pPr>
      <w:r w:rsidRPr="00E33310">
        <w:t>Calls on the Commission to detect and prevent “killer acquisitions,” particularly in AI and other strategic sectors</w:t>
      </w:r>
      <w:r w:rsidR="00D011E2" w:rsidRPr="00E33310">
        <w:t xml:space="preserve"> and urges </w:t>
      </w:r>
      <w:r w:rsidR="00785D48" w:rsidRPr="00E33310">
        <w:t>Member</w:t>
      </w:r>
      <w:r w:rsidR="00D011E2" w:rsidRPr="00E33310">
        <w:t xml:space="preserve"> </w:t>
      </w:r>
      <w:r w:rsidR="003C7C48">
        <w:t>S</w:t>
      </w:r>
      <w:r w:rsidR="00D011E2" w:rsidRPr="00E33310">
        <w:t>tate</w:t>
      </w:r>
      <w:r w:rsidR="003C7C48">
        <w:t>s</w:t>
      </w:r>
      <w:r w:rsidR="00D011E2" w:rsidRPr="00E33310">
        <w:t xml:space="preserve"> to give </w:t>
      </w:r>
      <w:r w:rsidR="00785D48" w:rsidRPr="00E33310">
        <w:t>national</w:t>
      </w:r>
      <w:r w:rsidR="00D011E2" w:rsidRPr="00E33310">
        <w:t xml:space="preserve"> competition </w:t>
      </w:r>
      <w:r w:rsidR="00785D48" w:rsidRPr="00E33310">
        <w:t>authorities</w:t>
      </w:r>
      <w:r w:rsidR="00D011E2" w:rsidRPr="00E33310">
        <w:t xml:space="preserve"> </w:t>
      </w:r>
      <w:r w:rsidR="00785D48" w:rsidRPr="00E33310">
        <w:t>“</w:t>
      </w:r>
      <w:r w:rsidR="00D011E2" w:rsidRPr="00E33310">
        <w:t>call in</w:t>
      </w:r>
      <w:r w:rsidR="00785D48" w:rsidRPr="00E33310">
        <w:t>”</w:t>
      </w:r>
      <w:r w:rsidR="00D011E2" w:rsidRPr="00E33310">
        <w:t xml:space="preserve"> power</w:t>
      </w:r>
      <w:r w:rsidR="00785D48" w:rsidRPr="00E33310">
        <w:t xml:space="preserve">s, if not already the </w:t>
      </w:r>
      <w:proofErr w:type="gramStart"/>
      <w:r w:rsidR="00785D48" w:rsidRPr="00E33310">
        <w:t>case;</w:t>
      </w:r>
      <w:proofErr w:type="gramEnd"/>
    </w:p>
    <w:p w14:paraId="01FDEFFD" w14:textId="3E18B591" w:rsidR="00D53E9C" w:rsidRPr="00D77DF3" w:rsidRDefault="00D53E9C" w:rsidP="00A41CF2">
      <w:pPr>
        <w:widowControl w:val="0"/>
        <w:spacing w:before="360" w:after="240"/>
        <w:rPr>
          <w:rFonts w:eastAsia="Times New Roman"/>
          <w:snapToGrid w:val="0"/>
          <w:kern w:val="0"/>
          <w:szCs w:val="20"/>
          <w14:ligatures w14:val="none"/>
        </w:rPr>
      </w:pPr>
      <w:r w:rsidRPr="00D77DF3">
        <w:rPr>
          <w:rFonts w:eastAsia="Times New Roman"/>
          <w:b/>
          <w:i/>
          <w:snapToGrid w:val="0"/>
          <w:kern w:val="0"/>
          <w:szCs w:val="20"/>
          <w14:ligatures w14:val="none"/>
        </w:rPr>
        <w:t>S</w:t>
      </w:r>
      <w:r w:rsidR="004F02C9" w:rsidRPr="00D77DF3">
        <w:rPr>
          <w:rFonts w:eastAsia="Times New Roman"/>
          <w:b/>
          <w:i/>
          <w:snapToGrid w:val="0"/>
          <w:kern w:val="0"/>
          <w:szCs w:val="20"/>
          <w14:ligatures w14:val="none"/>
        </w:rPr>
        <w:t>tate aid</w:t>
      </w:r>
    </w:p>
    <w:p w14:paraId="6606060C" w14:textId="5F61A8F1" w:rsidR="005C5415" w:rsidRPr="00D77DF3" w:rsidRDefault="00FA601E" w:rsidP="00A41CF2">
      <w:pPr>
        <w:pStyle w:val="ListParagraph"/>
        <w:numPr>
          <w:ilvl w:val="0"/>
          <w:numId w:val="7"/>
        </w:numPr>
      </w:pPr>
      <w:r w:rsidRPr="00D77DF3">
        <w:t xml:space="preserve">Welcomes the Clean Industrial State </w:t>
      </w:r>
      <w:r w:rsidR="00E60C63" w:rsidRPr="00D77DF3">
        <w:t>A</w:t>
      </w:r>
      <w:r w:rsidRPr="00D77DF3">
        <w:t>id Framework (CISAF)</w:t>
      </w:r>
      <w:r w:rsidR="00871CE5">
        <w:t xml:space="preserve">; </w:t>
      </w:r>
      <w:r w:rsidR="004A0B41" w:rsidRPr="00D77DF3">
        <w:t>c</w:t>
      </w:r>
      <w:r w:rsidR="00CA5785" w:rsidRPr="00D77DF3">
        <w:t>alls for CISAF</w:t>
      </w:r>
      <w:r w:rsidR="000E4F6B" w:rsidRPr="00D77DF3">
        <w:t xml:space="preserve"> </w:t>
      </w:r>
      <w:r w:rsidR="00871CE5" w:rsidRPr="00D77DF3">
        <w:t>minimal</w:t>
      </w:r>
      <w:r w:rsidR="00871CE5">
        <w:t>ly burdensome</w:t>
      </w:r>
      <w:r w:rsidR="000E4F6B" w:rsidRPr="00D77DF3">
        <w:t xml:space="preserve"> </w:t>
      </w:r>
      <w:r w:rsidR="00871CE5">
        <w:t>implementation</w:t>
      </w:r>
      <w:r w:rsidR="00A30468">
        <w:t xml:space="preserve"> </w:t>
      </w:r>
      <w:r w:rsidR="00E60C63" w:rsidRPr="00D77DF3">
        <w:t>and avoid</w:t>
      </w:r>
      <w:r w:rsidR="000E4F6B" w:rsidRPr="00D77DF3">
        <w:t>ing</w:t>
      </w:r>
      <w:r w:rsidR="00E60C63" w:rsidRPr="00D77DF3">
        <w:t xml:space="preserve"> subsidy races between Member </w:t>
      </w:r>
      <w:proofErr w:type="gramStart"/>
      <w:r w:rsidR="00E60C63" w:rsidRPr="00D77DF3">
        <w:t>States</w:t>
      </w:r>
      <w:r w:rsidRPr="00D77DF3">
        <w:t>;</w:t>
      </w:r>
      <w:proofErr w:type="gramEnd"/>
    </w:p>
    <w:p w14:paraId="239F7937" w14:textId="77777777" w:rsidR="005C5415" w:rsidRPr="00D77DF3" w:rsidRDefault="005C5415" w:rsidP="00A41CF2">
      <w:pPr>
        <w:pStyle w:val="ListParagraph"/>
        <w:ind w:left="360"/>
      </w:pPr>
    </w:p>
    <w:p w14:paraId="1C9B8EA8" w14:textId="4FF5656B" w:rsidR="005C5415" w:rsidRPr="00D77DF3" w:rsidRDefault="00E7625F" w:rsidP="00A41CF2">
      <w:pPr>
        <w:pStyle w:val="ListParagraph"/>
        <w:numPr>
          <w:ilvl w:val="0"/>
          <w:numId w:val="7"/>
        </w:numPr>
      </w:pPr>
      <w:r w:rsidRPr="00D77DF3">
        <w:t xml:space="preserve">Expects the review </w:t>
      </w:r>
      <w:r w:rsidR="006B7C50" w:rsidRPr="00D77DF3">
        <w:t xml:space="preserve">of </w:t>
      </w:r>
      <w:r w:rsidRPr="00D77DF3">
        <w:t xml:space="preserve">the General Block Exemption Regulation </w:t>
      </w:r>
      <w:r w:rsidR="00CA5785" w:rsidRPr="00D77DF3">
        <w:t xml:space="preserve">to </w:t>
      </w:r>
      <w:r w:rsidR="00A4769B" w:rsidRPr="00D77DF3">
        <w:t xml:space="preserve">modernise and simplify state aid rules, to reduce red tape and </w:t>
      </w:r>
      <w:r w:rsidR="00CB3D13" w:rsidRPr="00D77DF3">
        <w:t>boost</w:t>
      </w:r>
      <w:r w:rsidR="00A4769B" w:rsidRPr="00D77DF3">
        <w:t xml:space="preserve"> Europe’s </w:t>
      </w:r>
      <w:proofErr w:type="gramStart"/>
      <w:r w:rsidR="00A4769B" w:rsidRPr="00D77DF3">
        <w:t>competitiveness;</w:t>
      </w:r>
      <w:proofErr w:type="gramEnd"/>
    </w:p>
    <w:p w14:paraId="352E32C7" w14:textId="77777777" w:rsidR="005C5415" w:rsidRPr="00D77DF3" w:rsidRDefault="005C5415" w:rsidP="00A41CF2">
      <w:pPr>
        <w:pStyle w:val="ListParagraph"/>
        <w:ind w:left="360"/>
      </w:pPr>
    </w:p>
    <w:p w14:paraId="25C308B3" w14:textId="2E382FD0" w:rsidR="003128B9" w:rsidRPr="003128B9" w:rsidRDefault="006B7C50" w:rsidP="00362E26">
      <w:pPr>
        <w:pStyle w:val="ListParagraph"/>
        <w:numPr>
          <w:ilvl w:val="0"/>
          <w:numId w:val="7"/>
        </w:numPr>
      </w:pPr>
      <w:r w:rsidRPr="00D77DF3">
        <w:t xml:space="preserve">Welcomes the adoption of a revised SGEI decision </w:t>
      </w:r>
      <w:proofErr w:type="gramStart"/>
      <w:r w:rsidRPr="00D77DF3">
        <w:t>C(</w:t>
      </w:r>
      <w:proofErr w:type="gramEnd"/>
      <w:r w:rsidRPr="00D77DF3">
        <w:t>2025)8829 to enable Member States to support affordable housing projects</w:t>
      </w:r>
      <w:r w:rsidR="006A0779" w:rsidRPr="00D77DF3">
        <w:t>;</w:t>
      </w:r>
    </w:p>
    <w:p w14:paraId="3EC346A7" w14:textId="59E6D06D" w:rsidR="00D53E9C" w:rsidRPr="003128B9" w:rsidRDefault="00D53E9C" w:rsidP="003128B9">
      <w:pPr>
        <w:widowControl w:val="0"/>
        <w:spacing w:before="360" w:after="240"/>
        <w:rPr>
          <w:rFonts w:eastAsia="Times New Roman"/>
          <w:snapToGrid w:val="0"/>
          <w:kern w:val="0"/>
          <w:szCs w:val="20"/>
          <w14:ligatures w14:val="none"/>
        </w:rPr>
      </w:pPr>
      <w:r w:rsidRPr="003128B9">
        <w:rPr>
          <w:rFonts w:eastAsia="Times New Roman"/>
          <w:b/>
          <w:i/>
          <w:snapToGrid w:val="0"/>
          <w:kern w:val="0"/>
          <w:szCs w:val="20"/>
          <w14:ligatures w14:val="none"/>
        </w:rPr>
        <w:t xml:space="preserve">Parliamentary involvement </w:t>
      </w:r>
    </w:p>
    <w:p w14:paraId="57F4C3B9" w14:textId="2B8A3990" w:rsidR="005E528F" w:rsidRPr="00D77DF3" w:rsidRDefault="008C77B1" w:rsidP="00A41CF2">
      <w:pPr>
        <w:pStyle w:val="ListParagraph"/>
        <w:numPr>
          <w:ilvl w:val="0"/>
          <w:numId w:val="7"/>
        </w:numPr>
      </w:pPr>
      <w:r w:rsidRPr="00D77DF3">
        <w:t>Deplores the</w:t>
      </w:r>
      <w:r w:rsidR="004F4BD1" w:rsidRPr="00D77DF3">
        <w:t xml:space="preserve"> persistent</w:t>
      </w:r>
      <w:r w:rsidRPr="00D77DF3">
        <w:t xml:space="preserve"> lack of </w:t>
      </w:r>
      <w:r w:rsidR="004F4BD1" w:rsidRPr="00D77DF3">
        <w:t xml:space="preserve">information </w:t>
      </w:r>
      <w:r w:rsidRPr="00D77DF3">
        <w:t xml:space="preserve">of the European Parliament in the </w:t>
      </w:r>
      <w:r w:rsidR="004F4BD1" w:rsidRPr="00D77DF3">
        <w:t xml:space="preserve">revision and implementation </w:t>
      </w:r>
      <w:r w:rsidRPr="00D77DF3">
        <w:t>of competition rules</w:t>
      </w:r>
      <w:r w:rsidR="004F02C9" w:rsidRPr="00D77DF3">
        <w:t>;</w:t>
      </w:r>
      <w:r w:rsidR="004F4BD1" w:rsidRPr="00D77DF3">
        <w:t xml:space="preserve"> </w:t>
      </w:r>
      <w:r w:rsidR="004A0B41" w:rsidRPr="00D77DF3">
        <w:t>i</w:t>
      </w:r>
      <w:r w:rsidR="004F4BD1" w:rsidRPr="00D77DF3">
        <w:t>nsists</w:t>
      </w:r>
      <w:r w:rsidR="004F02C9" w:rsidRPr="00D77DF3">
        <w:t xml:space="preserve"> </w:t>
      </w:r>
      <w:r w:rsidRPr="00D77DF3">
        <w:t>on</w:t>
      </w:r>
      <w:r w:rsidR="00BA06CD" w:rsidRPr="00D77DF3">
        <w:t xml:space="preserve"> </w:t>
      </w:r>
      <w:r w:rsidR="00C72CD3" w:rsidRPr="00D77DF3">
        <w:t xml:space="preserve">its </w:t>
      </w:r>
      <w:r w:rsidRPr="00D77DF3">
        <w:t>full</w:t>
      </w:r>
      <w:r w:rsidR="004F4BD1" w:rsidRPr="00D77DF3">
        <w:t xml:space="preserve">, timely </w:t>
      </w:r>
      <w:r w:rsidR="00BC5C01" w:rsidRPr="00D77DF3">
        <w:t xml:space="preserve">information and </w:t>
      </w:r>
      <w:proofErr w:type="gramStart"/>
      <w:r w:rsidR="004F02C9" w:rsidRPr="00D77DF3">
        <w:t>involvement</w:t>
      </w:r>
      <w:r w:rsidR="005E528F" w:rsidRPr="00D77DF3">
        <w:t>;</w:t>
      </w:r>
      <w:proofErr w:type="gramEnd"/>
    </w:p>
    <w:p w14:paraId="076E7AD2" w14:textId="77777777" w:rsidR="005E528F" w:rsidRPr="00D77DF3" w:rsidRDefault="005E528F" w:rsidP="00A41CF2">
      <w:pPr>
        <w:pStyle w:val="ListParagraph"/>
        <w:ind w:left="360"/>
      </w:pPr>
    </w:p>
    <w:p w14:paraId="50AD8557" w14:textId="55DC65DD" w:rsidR="001A6048" w:rsidRPr="0023060F" w:rsidRDefault="001A6048" w:rsidP="00A41CF2">
      <w:pPr>
        <w:pStyle w:val="ListParagraph"/>
        <w:numPr>
          <w:ilvl w:val="0"/>
          <w:numId w:val="7"/>
        </w:numPr>
      </w:pPr>
      <w:r w:rsidRPr="00D77DF3">
        <w:t xml:space="preserve">Emphasises the need for transparency with the European Parliament </w:t>
      </w:r>
      <w:r w:rsidR="0081045A" w:rsidRPr="0023060F">
        <w:t>about</w:t>
      </w:r>
      <w:r w:rsidRPr="0023060F">
        <w:t xml:space="preserve"> all discussions with third countr</w:t>
      </w:r>
      <w:r w:rsidR="004036AD" w:rsidRPr="0023060F">
        <w:t>ies</w:t>
      </w:r>
      <w:r w:rsidRPr="0023060F">
        <w:t xml:space="preserve"> that may affect DMA </w:t>
      </w:r>
      <w:proofErr w:type="gramStart"/>
      <w:r w:rsidRPr="0023060F">
        <w:t>enforcement</w:t>
      </w:r>
      <w:r w:rsidR="004036AD" w:rsidRPr="0023060F">
        <w:t>;</w:t>
      </w:r>
      <w:proofErr w:type="gramEnd"/>
    </w:p>
    <w:p w14:paraId="6AB3FE90" w14:textId="77777777" w:rsidR="00362E26" w:rsidRPr="0023060F" w:rsidRDefault="00362E26" w:rsidP="00362E26">
      <w:pPr>
        <w:pStyle w:val="ListParagraph"/>
        <w:ind w:left="360"/>
      </w:pPr>
    </w:p>
    <w:p w14:paraId="2CAD934B" w14:textId="3FEC2E2B" w:rsidR="00362E26" w:rsidRPr="0023060F" w:rsidRDefault="002F48BB" w:rsidP="00362E26">
      <w:pPr>
        <w:pStyle w:val="ListParagraph"/>
        <w:widowControl w:val="0"/>
        <w:numPr>
          <w:ilvl w:val="0"/>
          <w:numId w:val="7"/>
        </w:numPr>
        <w:spacing w:before="360" w:after="240"/>
        <w:rPr>
          <w:rFonts w:eastAsia="Times New Roman"/>
          <w:snapToGrid w:val="0"/>
          <w:kern w:val="0"/>
          <w:szCs w:val="20"/>
          <w14:ligatures w14:val="none"/>
        </w:rPr>
      </w:pPr>
      <w:r>
        <w:t>Promotes</w:t>
      </w:r>
      <w:r w:rsidR="003C7C48">
        <w:t xml:space="preserve"> </w:t>
      </w:r>
      <w:r>
        <w:t>exchange</w:t>
      </w:r>
      <w:r w:rsidRPr="0023060F">
        <w:t xml:space="preserve"> </w:t>
      </w:r>
      <w:r>
        <w:t xml:space="preserve">of </w:t>
      </w:r>
      <w:r w:rsidRPr="0023060F">
        <w:t>best practices</w:t>
      </w:r>
      <w:r>
        <w:t xml:space="preserve"> in </w:t>
      </w:r>
      <w:r w:rsidR="00362E26" w:rsidRPr="0023060F">
        <w:t>international fora</w:t>
      </w:r>
      <w:r>
        <w:t xml:space="preserve">, </w:t>
      </w:r>
      <w:r w:rsidR="00362E26" w:rsidRPr="0023060F">
        <w:t xml:space="preserve">as the International Competition Network and the OECD Competition Committee, and deplores missed opportunities as the </w:t>
      </w:r>
      <w:proofErr w:type="gramStart"/>
      <w:r w:rsidR="00362E26" w:rsidRPr="0023060F">
        <w:t>TTIP;</w:t>
      </w:r>
      <w:proofErr w:type="gramEnd"/>
      <w:r w:rsidR="00362E26" w:rsidRPr="0023060F">
        <w:t xml:space="preserve"> </w:t>
      </w:r>
    </w:p>
    <w:p w14:paraId="412C78A2" w14:textId="77777777" w:rsidR="004F4BD1" w:rsidRPr="00362E26" w:rsidRDefault="004F4BD1" w:rsidP="00A41CF2">
      <w:pPr>
        <w:pStyle w:val="ListParagraph"/>
        <w:ind w:left="360"/>
      </w:pPr>
    </w:p>
    <w:p w14:paraId="3794B451" w14:textId="2FB47E5C" w:rsidR="00D53E9C" w:rsidRPr="00A41CF2" w:rsidRDefault="00D53E9C" w:rsidP="00A41CF2">
      <w:pPr>
        <w:pStyle w:val="ListParagraph"/>
        <w:numPr>
          <w:ilvl w:val="0"/>
          <w:numId w:val="7"/>
        </w:numPr>
      </w:pPr>
      <w:r w:rsidRPr="00D77DF3">
        <w:rPr>
          <w:rFonts w:eastAsia="Times New Roman"/>
          <w:snapToGrid w:val="0"/>
          <w:kern w:val="0"/>
          <w:szCs w:val="20"/>
          <w14:ligatures w14:val="none"/>
        </w:rPr>
        <w:t>Instructs its President to forward this resolution to the Council and the Commission</w:t>
      </w:r>
      <w:r w:rsidRPr="00A41CF2">
        <w:rPr>
          <w:rFonts w:eastAsia="Times New Roman"/>
          <w:snapToGrid w:val="0"/>
          <w:kern w:val="0"/>
          <w:szCs w:val="20"/>
          <w14:ligatures w14:val="none"/>
        </w:rPr>
        <w:t>.</w:t>
      </w:r>
    </w:p>
    <w:p w14:paraId="5FFCAF48" w14:textId="77777777" w:rsidR="00D53E9C" w:rsidRPr="00A41CF2" w:rsidRDefault="00D53E9C" w:rsidP="00A41CF2"/>
    <w:p w14:paraId="71BBB8FC" w14:textId="77777777" w:rsidR="00D53E9C" w:rsidRPr="00D53E9C" w:rsidRDefault="00D53E9C"/>
    <w:p w14:paraId="2AF35132" w14:textId="77777777" w:rsidR="00241104" w:rsidRDefault="00241104">
      <w:pPr>
        <w:jc w:val="left"/>
        <w:rPr>
          <w:rFonts w:ascii="Arial" w:eastAsia="Times New Roman" w:hAnsi="Arial" w:cs="Arial"/>
          <w:b/>
          <w:snapToGrid w:val="0"/>
          <w:kern w:val="0"/>
          <w:szCs w:val="20"/>
          <w14:ligatures w14:val="none"/>
        </w:rPr>
      </w:pPr>
      <w:bookmarkStart w:id="2" w:name="_Toc195630195"/>
      <w:r>
        <w:rPr>
          <w:rFonts w:ascii="Arial" w:eastAsia="Times New Roman" w:hAnsi="Arial" w:cs="Arial"/>
          <w:b/>
          <w:snapToGrid w:val="0"/>
          <w:kern w:val="0"/>
          <w:szCs w:val="20"/>
          <w14:ligatures w14:val="none"/>
        </w:rPr>
        <w:br w:type="page"/>
      </w:r>
    </w:p>
    <w:p w14:paraId="1CAC3C76" w14:textId="7B2DE691" w:rsidR="00D53E9C" w:rsidRPr="00D53E9C" w:rsidRDefault="00D53E9C" w:rsidP="00D53E9C">
      <w:pPr>
        <w:keepNext/>
        <w:widowControl w:val="0"/>
        <w:spacing w:after="480"/>
        <w:jc w:val="center"/>
        <w:rPr>
          <w:rFonts w:ascii="Arial" w:eastAsia="Times New Roman" w:hAnsi="Arial" w:cs="Arial"/>
          <w:b/>
          <w:snapToGrid w:val="0"/>
          <w:kern w:val="0"/>
          <w:szCs w:val="20"/>
          <w14:ligatures w14:val="none"/>
        </w:rPr>
      </w:pPr>
      <w:r w:rsidRPr="00D53E9C">
        <w:rPr>
          <w:rFonts w:ascii="Arial" w:eastAsia="Times New Roman" w:hAnsi="Arial" w:cs="Arial"/>
          <w:b/>
          <w:snapToGrid w:val="0"/>
          <w:kern w:val="0"/>
          <w:szCs w:val="20"/>
          <w14:ligatures w14:val="none"/>
        </w:rPr>
        <w:lastRenderedPageBreak/>
        <w:t>EXPLANATORY STATEMENT</w:t>
      </w:r>
      <w:bookmarkEnd w:id="2"/>
    </w:p>
    <w:p w14:paraId="27B6ABB5" w14:textId="3736A379" w:rsidR="00921532" w:rsidRPr="005A51DC" w:rsidRDefault="00921532" w:rsidP="00921532">
      <w:r w:rsidRPr="00B55621">
        <w:t xml:space="preserve">In an increasingly fragmented global economy marked by geopolitical pressure and growing market concentration, </w:t>
      </w:r>
      <w:r w:rsidRPr="005A51DC">
        <w:t>EU competition policy must not only ensure effective competition in the Single Market</w:t>
      </w:r>
      <w:r w:rsidR="00532AFD" w:rsidRPr="005A51DC">
        <w:t xml:space="preserve"> </w:t>
      </w:r>
      <w:r w:rsidRPr="005A51DC">
        <w:t xml:space="preserve">but also defend Europe’s strategic autonomy and regulatory sovereignty. Our rules must be applied without compromise, ensuring that economic success is driven by innovation, efficiency, and consumer choice rather than by the abuse of dominance. Recent external pressures, particularly from the United States, repeatedly challenged our frameworks, including the Digital Markets Act (DMA), and such interference </w:t>
      </w:r>
      <w:r w:rsidR="00532AFD" w:rsidRPr="005A51DC">
        <w:t>cannot be tolerated</w:t>
      </w:r>
      <w:r w:rsidRPr="005A51DC">
        <w:t xml:space="preserve">. Competition policy </w:t>
      </w:r>
      <w:r w:rsidR="00532AFD" w:rsidRPr="005A51DC">
        <w:t>must evolve</w:t>
      </w:r>
      <w:r w:rsidRPr="005A51DC">
        <w:t xml:space="preserve"> </w:t>
      </w:r>
      <w:r w:rsidR="00532AFD" w:rsidRPr="005A51DC">
        <w:t>and become</w:t>
      </w:r>
      <w:r w:rsidRPr="005A51DC">
        <w:t xml:space="preserve"> forward-looking, supporting European innovation while firmly resisting external political influence. Europe will not outsource its sovereignty: our competition rules are </w:t>
      </w:r>
      <w:proofErr w:type="gramStart"/>
      <w:r w:rsidRPr="005A51DC">
        <w:t>non-negotiable</w:t>
      </w:r>
      <w:proofErr w:type="gramEnd"/>
      <w:r w:rsidRPr="005A51DC">
        <w:t xml:space="preserve"> and</w:t>
      </w:r>
      <w:r w:rsidR="00532AFD" w:rsidRPr="005A51DC">
        <w:t xml:space="preserve"> they are</w:t>
      </w:r>
      <w:r w:rsidRPr="005A51DC">
        <w:t xml:space="preserve"> enforceable on all market actors.</w:t>
      </w:r>
    </w:p>
    <w:p w14:paraId="25E61034" w14:textId="77777777" w:rsidR="00921532" w:rsidRPr="005A51DC" w:rsidRDefault="00921532" w:rsidP="00921532"/>
    <w:p w14:paraId="06085F61" w14:textId="2BA68033" w:rsidR="00921532" w:rsidRPr="005A51DC" w:rsidRDefault="00F50DDC" w:rsidP="00921532">
      <w:r w:rsidRPr="005A51DC">
        <w:t>Against this backdrop, o</w:t>
      </w:r>
      <w:r w:rsidR="00532AFD" w:rsidRPr="005A51DC">
        <w:t>ur competition rulebook</w:t>
      </w:r>
      <w:r w:rsidR="00921532" w:rsidRPr="005A51DC">
        <w:t xml:space="preserve"> is a central pillar of Europe’s strategic autonomy. The EU competition acquis has long supported broader Union objectives by enabling firms to grow and innovate under fair conditions. Building on the </w:t>
      </w:r>
      <w:r w:rsidR="00532AFD" w:rsidRPr="005A51DC">
        <w:t>recommendations</w:t>
      </w:r>
      <w:r w:rsidR="00921532" w:rsidRPr="005A51DC">
        <w:t xml:space="preserve"> of the Draghi and Letta reports, competition policy must be adapted to new market realities. This includes actively promoting technology-friendly market conditions, based on open standards and interoperable infrastructures. In this context, cloud services should be recognised as strategic European infrastructure, critical for digital sovereignty. Important Projects of Common European Interest (IPCEIs) must be delivered faster, through simplified or fast-track notification procedures, particularly for SMEs. At the same time, the enforcement of the Foreign Subsidies Regulation (FSR) is an important and necessary tool to address distortions caused by foreign state-backed investments. Europe must defend its markets and technological edge.</w:t>
      </w:r>
    </w:p>
    <w:p w14:paraId="4993899F" w14:textId="77777777" w:rsidR="0029755A" w:rsidRPr="005A51DC" w:rsidRDefault="0029755A" w:rsidP="00532AFD"/>
    <w:p w14:paraId="0CD3AAA6" w14:textId="266FF1F5" w:rsidR="00532AFD" w:rsidRPr="005A51DC" w:rsidRDefault="00F50DDC" w:rsidP="00532AFD">
      <w:r w:rsidRPr="005A51DC">
        <w:t>To deliver on this objectives, e</w:t>
      </w:r>
      <w:r w:rsidR="0029755A" w:rsidRPr="005A51DC">
        <w:t xml:space="preserve">ffective enforcement is essential to the credibility of the EU competition rulebook. The Union should move towards a strong and independent European Competition Authority under democratic oversight by the European Parliament. Such an authority </w:t>
      </w:r>
      <w:r w:rsidR="00E82146" w:rsidRPr="005A51DC">
        <w:t xml:space="preserve">must be separated </w:t>
      </w:r>
      <w:r w:rsidR="009222D5" w:rsidRPr="005A51DC">
        <w:t>from</w:t>
      </w:r>
      <w:r w:rsidR="00E82146" w:rsidRPr="005A51DC">
        <w:t xml:space="preserve"> the executive branch to shie</w:t>
      </w:r>
      <w:r w:rsidR="002F48BB">
        <w:t>l</w:t>
      </w:r>
      <w:r w:rsidR="00E82146" w:rsidRPr="005A51DC">
        <w:t xml:space="preserve">d it </w:t>
      </w:r>
      <w:r w:rsidR="002F48BB">
        <w:t>from</w:t>
      </w:r>
      <w:r w:rsidR="00E82146" w:rsidRPr="005A51DC">
        <w:t xml:space="preserve"> any political interference, in line with the model of national competition authorities. This </w:t>
      </w:r>
      <w:r w:rsidR="0029755A" w:rsidRPr="005A51DC">
        <w:t>would ensure consistent, impartial, and credible enforcement of EU competition</w:t>
      </w:r>
      <w:r w:rsidR="00E82146" w:rsidRPr="005A51DC">
        <w:t xml:space="preserve">. </w:t>
      </w:r>
      <w:r w:rsidR="0029755A" w:rsidRPr="005A51DC">
        <w:t>It should be empowered to enforce antitrust, merger control, state aid, digital, and consumer</w:t>
      </w:r>
      <w:r w:rsidR="002F48BB">
        <w:t xml:space="preserve"> policy</w:t>
      </w:r>
      <w:r w:rsidR="0029755A" w:rsidRPr="005A51DC">
        <w:t xml:space="preserve"> rules, and be equipped with adequate human and financial resources. </w:t>
      </w:r>
    </w:p>
    <w:p w14:paraId="05424793" w14:textId="0D928793" w:rsidR="0058518A" w:rsidRPr="005A51DC" w:rsidRDefault="0058518A" w:rsidP="00532AFD"/>
    <w:p w14:paraId="682F9476" w14:textId="78E29C77" w:rsidR="00AE6340" w:rsidRPr="005A51DC" w:rsidRDefault="00AE6340" w:rsidP="00532AFD">
      <w:r w:rsidRPr="005A51DC">
        <w:t xml:space="preserve">Europe should also strengthen its international cooperation. </w:t>
      </w:r>
      <w:r w:rsidR="009E0754" w:rsidRPr="005A51DC">
        <w:t>European and global partners should make full use</w:t>
      </w:r>
      <w:r w:rsidRPr="005A51DC">
        <w:t xml:space="preserve"> of international fora, such as the </w:t>
      </w:r>
      <w:r w:rsidR="009E0754" w:rsidRPr="005A51DC">
        <w:t>International Competition Network (</w:t>
      </w:r>
      <w:r w:rsidRPr="005A51DC">
        <w:t>ICN</w:t>
      </w:r>
      <w:r w:rsidR="009E0754" w:rsidRPr="005A51DC">
        <w:t>)</w:t>
      </w:r>
      <w:r w:rsidR="002F48BB" w:rsidRPr="002F48BB">
        <w:t xml:space="preserve"> </w:t>
      </w:r>
      <w:r w:rsidR="002F48BB" w:rsidRPr="0023060F">
        <w:t>and the OECD Competition Committee</w:t>
      </w:r>
      <w:r w:rsidRPr="005A51DC">
        <w:t xml:space="preserve">, to </w:t>
      </w:r>
      <w:r w:rsidR="009E0754" w:rsidRPr="005A51DC">
        <w:t>promote cooperation and convergence in competition enforcement</w:t>
      </w:r>
      <w:r w:rsidR="003A22F5" w:rsidRPr="005A51DC">
        <w:t>.</w:t>
      </w:r>
    </w:p>
    <w:p w14:paraId="390E8B0B" w14:textId="77777777" w:rsidR="0058518A" w:rsidRPr="005A51DC" w:rsidRDefault="0058518A" w:rsidP="00532AFD"/>
    <w:p w14:paraId="4AC75FDC" w14:textId="3018B404" w:rsidR="00921532" w:rsidRPr="005A51DC" w:rsidRDefault="00F50DDC" w:rsidP="00921532">
      <w:r w:rsidRPr="005A51DC">
        <w:t xml:space="preserve">When it comes to the DMA, </w:t>
      </w:r>
      <w:r w:rsidRPr="002F48BB">
        <w:t xml:space="preserve">enforcement must be strict, independent, and non-negotiable. The DMA is indispensable to restoring </w:t>
      </w:r>
      <w:r w:rsidR="002F48BB" w:rsidRPr="002F48BB">
        <w:t>competition</w:t>
      </w:r>
      <w:r w:rsidRPr="002F48BB">
        <w:t xml:space="preserve"> in digital markets dominated by powerful gatekeeper</w:t>
      </w:r>
      <w:r w:rsidR="002F48BB" w:rsidRPr="002F48BB">
        <w:t>s</w:t>
      </w:r>
      <w:r w:rsidRPr="002F48BB">
        <w:t>. It must apply equally to all market participants and safeguard Europe’s regulatory autonomy from</w:t>
      </w:r>
      <w:r w:rsidRPr="005A51DC">
        <w:t xml:space="preserve"> external political influence. The robustness of the EU competition rulebook depends on the DMA and abuse-of-dominance rules working together, combining ex-ante and ex-post enforcement. Nonetheless, r</w:t>
      </w:r>
      <w:r w:rsidR="00921532" w:rsidRPr="005A51DC">
        <w:t xml:space="preserve">ecent investigations into major cloud service providers and digital payment systems illustrate both the scale and the complexity of </w:t>
      </w:r>
      <w:r w:rsidRPr="005A51DC">
        <w:t xml:space="preserve">DMA </w:t>
      </w:r>
      <w:r w:rsidR="00921532" w:rsidRPr="005A51DC">
        <w:t xml:space="preserve">enforcement. </w:t>
      </w:r>
      <w:r w:rsidRPr="005A51DC">
        <w:t>We observe that the</w:t>
      </w:r>
      <w:r w:rsidR="00921532" w:rsidRPr="005A51DC">
        <w:t xml:space="preserve"> DMA enforcement remains uneven and requires a transparent and thorough review, including of cloud services and AI interfaces with a view to </w:t>
      </w:r>
      <w:r w:rsidR="002F48BB">
        <w:t>designate them</w:t>
      </w:r>
      <w:r w:rsidR="00921532" w:rsidRPr="005A51DC">
        <w:t xml:space="preserve"> as core </w:t>
      </w:r>
      <w:r w:rsidR="00921532" w:rsidRPr="005A51DC">
        <w:lastRenderedPageBreak/>
        <w:t xml:space="preserve">platform services. </w:t>
      </w:r>
      <w:r w:rsidR="002F48BB" w:rsidRPr="005A51DC">
        <w:t xml:space="preserve">Enforcement of the Digital Markets Act should be supported by a dedicated supervisory fee, </w:t>
      </w:r>
      <w:proofErr w:type="gramStart"/>
      <w:r w:rsidR="002F48BB" w:rsidRPr="005A51DC">
        <w:t>similar to</w:t>
      </w:r>
      <w:proofErr w:type="gramEnd"/>
      <w:r w:rsidR="002F48BB" w:rsidRPr="005A51DC">
        <w:t xml:space="preserve"> the supervisory fee introduced under the Digital Services Act.</w:t>
      </w:r>
    </w:p>
    <w:p w14:paraId="612ADDCA" w14:textId="77777777" w:rsidR="00921532" w:rsidRPr="005A51DC" w:rsidRDefault="00921532" w:rsidP="00921532"/>
    <w:p w14:paraId="002C4BB7" w14:textId="67E15F33" w:rsidR="00F50DDC" w:rsidRPr="005A51DC" w:rsidRDefault="00F50DDC" w:rsidP="00921532">
      <w:r w:rsidRPr="005A51DC">
        <w:t>In parallel, t</w:t>
      </w:r>
      <w:r w:rsidR="00921532" w:rsidRPr="005A51DC">
        <w:t xml:space="preserve">raditional antitrust enforcement remains the backbone of competition policy and must be modernised to address algorithmic, data-driven market power, and artificial intelligence. Regulation 1/2003 and its implementing rules require updating. </w:t>
      </w:r>
      <w:r w:rsidRPr="005A51DC">
        <w:t>In that regard, full</w:t>
      </w:r>
      <w:r w:rsidR="00921532" w:rsidRPr="005A51DC">
        <w:t xml:space="preserve"> cooperation </w:t>
      </w:r>
      <w:r w:rsidR="0058518A" w:rsidRPr="005A51DC">
        <w:t>within the</w:t>
      </w:r>
      <w:r w:rsidRPr="005A51DC">
        <w:t xml:space="preserve"> </w:t>
      </w:r>
      <w:r w:rsidR="003A22F5" w:rsidRPr="005A51DC">
        <w:t>European Competition Network (ECN)</w:t>
      </w:r>
      <w:r w:rsidRPr="005A51DC">
        <w:t xml:space="preserve">, </w:t>
      </w:r>
      <w:r w:rsidR="0058518A" w:rsidRPr="005A51DC">
        <w:t xml:space="preserve">between the Commission and national </w:t>
      </w:r>
      <w:r w:rsidR="00E82146" w:rsidRPr="005A51DC">
        <w:t>competition</w:t>
      </w:r>
      <w:r w:rsidR="0058518A" w:rsidRPr="005A51DC">
        <w:t xml:space="preserve"> authorities</w:t>
      </w:r>
      <w:r w:rsidR="003A22F5" w:rsidRPr="005A51DC">
        <w:t>,</w:t>
      </w:r>
      <w:r w:rsidR="0058518A" w:rsidRPr="005A51DC">
        <w:t xml:space="preserve"> is </w:t>
      </w:r>
      <w:r w:rsidR="003A22F5" w:rsidRPr="005A51DC">
        <w:t xml:space="preserve">more than </w:t>
      </w:r>
      <w:r w:rsidR="00D858A9">
        <w:t>necessary</w:t>
      </w:r>
      <w:r w:rsidR="0058518A" w:rsidRPr="005A51DC">
        <w:t>. When it comes to Commission enforcement,</w:t>
      </w:r>
      <w:r w:rsidR="003A22F5" w:rsidRPr="005A51DC">
        <w:t xml:space="preserve"> its use of interim measures remains insufficient and should be normalised to stop anti-competitive practices in fast-changing markets, such as the digital market. </w:t>
      </w:r>
    </w:p>
    <w:p w14:paraId="3A08BD38" w14:textId="77777777" w:rsidR="00F50DDC" w:rsidRPr="005A51DC" w:rsidRDefault="00F50DDC" w:rsidP="00921532"/>
    <w:p w14:paraId="448B727D" w14:textId="4ADE0D24" w:rsidR="00921532" w:rsidRPr="005A51DC" w:rsidRDefault="00F50DDC" w:rsidP="00921532">
      <w:r w:rsidRPr="005A51DC">
        <w:t>In addition, m</w:t>
      </w:r>
      <w:r w:rsidR="00921532" w:rsidRPr="005A51DC">
        <w:t xml:space="preserve">erger control must also evolve to remain effective in changing market conditions. Merger guidelines should be revised to better reflect innovation, investment, and long-term competitiveness, while safeguarding high consumer welfare and preventing killer acquisitions, notably in AI and other strategic sectors. A forward-looking approach is particularly needed in telecoms and audiovisual markets. At the same time, Europe’s lack of scale in strategic sectors undermines its competitiveness and resilience and calls for a framework that </w:t>
      </w:r>
      <w:r w:rsidR="000A0429">
        <w:t xml:space="preserve">does not hamper </w:t>
      </w:r>
      <w:proofErr w:type="spellStart"/>
      <w:r w:rsidR="000A0429">
        <w:t>paneuropean</w:t>
      </w:r>
      <w:proofErr w:type="spellEnd"/>
      <w:r w:rsidR="000A0429">
        <w:t xml:space="preserve"> mergers and thus </w:t>
      </w:r>
      <w:r w:rsidR="00921532" w:rsidRPr="005A51DC">
        <w:t xml:space="preserve">enables the emergence of European champions </w:t>
      </w:r>
      <w:r w:rsidRPr="005A51DC">
        <w:t xml:space="preserve">in key sectors like telecoms, payment, banking and energy, to </w:t>
      </w:r>
      <w:r w:rsidR="00921532" w:rsidRPr="005A51DC">
        <w:t xml:space="preserve">able to compete globally </w:t>
      </w:r>
      <w:r w:rsidRPr="005A51DC">
        <w:t xml:space="preserve">and secure Europe’s </w:t>
      </w:r>
      <w:r w:rsidR="000A0429">
        <w:t>s</w:t>
      </w:r>
      <w:r w:rsidRPr="005A51DC">
        <w:t>trategic autonomy</w:t>
      </w:r>
      <w:r w:rsidR="00921532" w:rsidRPr="005A51DC">
        <w:t>. State aid policy</w:t>
      </w:r>
      <w:r w:rsidRPr="005A51DC">
        <w:t xml:space="preserve"> </w:t>
      </w:r>
      <w:r w:rsidR="00921532" w:rsidRPr="005A51DC">
        <w:t xml:space="preserve">must </w:t>
      </w:r>
      <w:r w:rsidRPr="005A51DC">
        <w:t xml:space="preserve">also </w:t>
      </w:r>
      <w:r w:rsidR="00921532" w:rsidRPr="005A51DC">
        <w:t>support the green and digital transitions without fragmenting the Single Market, through the Clean Industrial State Aid Framework, a simplified GBER, and effective IPCEIs.</w:t>
      </w:r>
    </w:p>
    <w:p w14:paraId="762B30BA" w14:textId="77777777" w:rsidR="0058518A" w:rsidRPr="005A51DC" w:rsidRDefault="0058518A" w:rsidP="00921532"/>
    <w:p w14:paraId="1892493C" w14:textId="68ED643C" w:rsidR="00D53E9C" w:rsidRPr="00532AFD" w:rsidRDefault="00921532" w:rsidP="00921532">
      <w:r w:rsidRPr="005A51DC">
        <w:t xml:space="preserve">Finally, competition policy must be subject to strong democratic oversight. The European Parliament must be fully and timely involved in the revision, implementation, and external dimension of competition policy, including all discussions with third countries that may affect DMA enforcement. Transparency and accountability are essential to maintain legitimacy, trust, and public support for a strong and credible EU competition framework. Europe’s rules are our rules: external actors have no veto over how we enforce competition. Our regulatory autonomy is a cornerstone of our strategic sovereignty and </w:t>
      </w:r>
      <w:proofErr w:type="gramStart"/>
      <w:r w:rsidRPr="005A51DC">
        <w:t>has to</w:t>
      </w:r>
      <w:proofErr w:type="gramEnd"/>
      <w:r w:rsidRPr="005A51DC">
        <w:t xml:space="preserve"> be defended at all costs</w:t>
      </w:r>
    </w:p>
    <w:bookmarkEnd w:id="0"/>
    <w:p w14:paraId="0F918D68" w14:textId="77777777" w:rsidR="00D84805" w:rsidRPr="00D53E9C" w:rsidRDefault="00D84805"/>
    <w:p w14:paraId="7F3D8AF1" w14:textId="77777777" w:rsidR="008C77B1" w:rsidRDefault="008C77B1">
      <w:pPr>
        <w:jc w:val="left"/>
        <w:rPr>
          <w:rFonts w:ascii="Arial" w:eastAsia="Times New Roman" w:hAnsi="Arial" w:cs="Arial"/>
          <w:b/>
          <w:snapToGrid w:val="0"/>
          <w:kern w:val="0"/>
          <w:szCs w:val="20"/>
          <w14:ligatures w14:val="none"/>
        </w:rPr>
      </w:pPr>
      <w:bookmarkStart w:id="3" w:name="_Toc195630196"/>
    </w:p>
    <w:p w14:paraId="7A5506B3" w14:textId="3D9A7935" w:rsidR="003A22F5" w:rsidRDefault="003A22F5">
      <w:pPr>
        <w:jc w:val="left"/>
        <w:rPr>
          <w:rFonts w:ascii="Arial" w:eastAsia="Times New Roman" w:hAnsi="Arial" w:cs="Arial"/>
          <w:b/>
          <w:snapToGrid w:val="0"/>
          <w:kern w:val="0"/>
          <w:szCs w:val="20"/>
          <w14:ligatures w14:val="none"/>
        </w:rPr>
      </w:pPr>
    </w:p>
    <w:bookmarkEnd w:id="3"/>
    <w:sectPr w:rsidR="003A22F5">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6C7CB" w14:textId="77777777" w:rsidR="00D53E9C" w:rsidRDefault="00D53E9C" w:rsidP="00D53E9C">
      <w:r>
        <w:separator/>
      </w:r>
    </w:p>
  </w:endnote>
  <w:endnote w:type="continuationSeparator" w:id="0">
    <w:p w14:paraId="3A190E04" w14:textId="77777777" w:rsidR="00D53E9C" w:rsidRDefault="00D53E9C" w:rsidP="00D5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471482"/>
      <w:docPartObj>
        <w:docPartGallery w:val="Page Numbers (Bottom of Page)"/>
        <w:docPartUnique/>
      </w:docPartObj>
    </w:sdtPr>
    <w:sdtEndPr>
      <w:rPr>
        <w:noProof/>
      </w:rPr>
    </w:sdtEndPr>
    <w:sdtContent>
      <w:p w14:paraId="778A8C28" w14:textId="74C6E870" w:rsidR="0052774B" w:rsidRDefault="005277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47CD8C" w14:textId="77777777" w:rsidR="0052774B" w:rsidRDefault="00527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F9004" w14:textId="77777777" w:rsidR="00D53E9C" w:rsidRDefault="00D53E9C" w:rsidP="00D53E9C">
      <w:r>
        <w:separator/>
      </w:r>
    </w:p>
  </w:footnote>
  <w:footnote w:type="continuationSeparator" w:id="0">
    <w:p w14:paraId="30749317" w14:textId="77777777" w:rsidR="00D53E9C" w:rsidRDefault="00D53E9C" w:rsidP="00D53E9C">
      <w:r>
        <w:continuationSeparator/>
      </w:r>
    </w:p>
  </w:footnote>
  <w:footnote w:id="1">
    <w:p w14:paraId="75901BD3" w14:textId="77777777" w:rsidR="00D53E9C" w:rsidRPr="009E75EB" w:rsidRDefault="00D53E9C" w:rsidP="00D53E9C">
      <w:pPr>
        <w:pStyle w:val="FootnoteText"/>
        <w:rPr>
          <w:lang w:val="fi-FI"/>
        </w:rPr>
      </w:pPr>
      <w:r w:rsidRPr="002D77EB">
        <w:rPr>
          <w:rStyle w:val="FootnoteReference"/>
        </w:rPr>
        <w:footnoteRef/>
      </w:r>
      <w:r w:rsidRPr="009E75EB">
        <w:rPr>
          <w:lang w:val="fi-FI"/>
        </w:rPr>
        <w:t xml:space="preserve"> OJ L 024, 29.1.2004, p. 1, ELI: </w:t>
      </w:r>
      <w:hyperlink r:id="rId1" w:history="1">
        <w:r w:rsidRPr="009E75EB">
          <w:rPr>
            <w:color w:val="0000FF"/>
            <w:u w:val="single" w:color="0000FF"/>
            <w:lang w:val="fi-FI"/>
          </w:rPr>
          <w:t>http://data.europa.eu/eli/reg/2004/139/oj.</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62A"/>
    <w:multiLevelType w:val="hybridMultilevel"/>
    <w:tmpl w:val="2F18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21B87"/>
    <w:multiLevelType w:val="hybridMultilevel"/>
    <w:tmpl w:val="83D4C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A1E1C"/>
    <w:multiLevelType w:val="hybridMultilevel"/>
    <w:tmpl w:val="1BD8A7FC"/>
    <w:lvl w:ilvl="0" w:tplc="B07858B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5D4472"/>
    <w:multiLevelType w:val="hybridMultilevel"/>
    <w:tmpl w:val="3A52BA7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0427A"/>
    <w:multiLevelType w:val="hybridMultilevel"/>
    <w:tmpl w:val="0E2CEBCA"/>
    <w:lvl w:ilvl="0" w:tplc="F14EE02A">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705D9F"/>
    <w:multiLevelType w:val="hybridMultilevel"/>
    <w:tmpl w:val="B7CA390C"/>
    <w:lvl w:ilvl="0" w:tplc="F14EE02A">
      <w:start w:val="1"/>
      <w:numFmt w:val="decimal"/>
      <w:lvlText w:val="%1."/>
      <w:lvlJc w:val="left"/>
      <w:pPr>
        <w:ind w:left="1080"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6335109"/>
    <w:multiLevelType w:val="hybridMultilevel"/>
    <w:tmpl w:val="3612C6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98601C"/>
    <w:multiLevelType w:val="hybridMultilevel"/>
    <w:tmpl w:val="A42A5F36"/>
    <w:lvl w:ilvl="0" w:tplc="F14EE02A">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A8580C"/>
    <w:multiLevelType w:val="hybridMultilevel"/>
    <w:tmpl w:val="3D2040B4"/>
    <w:lvl w:ilvl="0" w:tplc="F14EE02A">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FD7004"/>
    <w:multiLevelType w:val="hybridMultilevel"/>
    <w:tmpl w:val="C428C3E6"/>
    <w:lvl w:ilvl="0" w:tplc="67E2C70C">
      <w:start w:val="4"/>
      <w:numFmt w:val="bullet"/>
      <w:lvlText w:val="–"/>
      <w:lvlJc w:val="left"/>
      <w:pPr>
        <w:ind w:left="360" w:hanging="360"/>
      </w:pPr>
      <w:rPr>
        <w:rFonts w:ascii="Times New Roman" w:eastAsia="Times New Roman" w:hAnsi="Times New Roman" w:cs="Times New Roman" w:hint="default"/>
        <w:b w:val="0"/>
        <w: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3067FE"/>
    <w:multiLevelType w:val="hybridMultilevel"/>
    <w:tmpl w:val="B810D412"/>
    <w:lvl w:ilvl="0" w:tplc="6B0E8BAE">
      <w:start w:val="1"/>
      <w:numFmt w:val="decimal"/>
      <w:lvlText w:val="%1."/>
      <w:lvlJc w:val="left"/>
      <w:pPr>
        <w:ind w:left="360" w:hanging="360"/>
      </w:pPr>
      <w:rPr>
        <w:b w:val="0"/>
        <w:bCs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F5383C"/>
    <w:multiLevelType w:val="hybridMultilevel"/>
    <w:tmpl w:val="407AD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F475A"/>
    <w:multiLevelType w:val="hybridMultilevel"/>
    <w:tmpl w:val="52EEEF4A"/>
    <w:lvl w:ilvl="0" w:tplc="6F86EC5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B0CF3"/>
    <w:multiLevelType w:val="hybridMultilevel"/>
    <w:tmpl w:val="12A21694"/>
    <w:lvl w:ilvl="0" w:tplc="F14EE02A">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ED1186"/>
    <w:multiLevelType w:val="hybridMultilevel"/>
    <w:tmpl w:val="EAA0BAF2"/>
    <w:lvl w:ilvl="0" w:tplc="01F6A4E8">
      <w:numFmt w:val="bullet"/>
      <w:lvlText w:val=""/>
      <w:lvlJc w:val="left"/>
      <w:pPr>
        <w:ind w:left="720" w:hanging="360"/>
      </w:pPr>
      <w:rPr>
        <w:rFonts w:ascii="Wingdings" w:eastAsiaTheme="minorHAnsi"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9E3AD3"/>
    <w:multiLevelType w:val="hybridMultilevel"/>
    <w:tmpl w:val="C922B284"/>
    <w:lvl w:ilvl="0" w:tplc="F14EE02A">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FD0B64"/>
    <w:multiLevelType w:val="hybridMultilevel"/>
    <w:tmpl w:val="4F64FD4C"/>
    <w:lvl w:ilvl="0" w:tplc="08090001">
      <w:start w:val="1"/>
      <w:numFmt w:val="bullet"/>
      <w:lvlText w:val=""/>
      <w:lvlJc w:val="left"/>
      <w:pPr>
        <w:ind w:left="844" w:hanging="360"/>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17" w15:restartNumberingAfterBreak="0">
    <w:nsid w:val="59974ABD"/>
    <w:multiLevelType w:val="hybridMultilevel"/>
    <w:tmpl w:val="F64AFB60"/>
    <w:lvl w:ilvl="0" w:tplc="F14EE02A">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D869BD"/>
    <w:multiLevelType w:val="hybridMultilevel"/>
    <w:tmpl w:val="E794DF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51824A8"/>
    <w:multiLevelType w:val="multilevel"/>
    <w:tmpl w:val="FA7E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BB26E1"/>
    <w:multiLevelType w:val="hybridMultilevel"/>
    <w:tmpl w:val="7E7A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AA4346"/>
    <w:multiLevelType w:val="hybridMultilevel"/>
    <w:tmpl w:val="2884A4E2"/>
    <w:lvl w:ilvl="0" w:tplc="014E6E9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5362488">
    <w:abstractNumId w:val="21"/>
  </w:num>
  <w:num w:numId="2" w16cid:durableId="683242699">
    <w:abstractNumId w:val="2"/>
  </w:num>
  <w:num w:numId="3" w16cid:durableId="1495337998">
    <w:abstractNumId w:val="12"/>
  </w:num>
  <w:num w:numId="4" w16cid:durableId="1715933312">
    <w:abstractNumId w:val="9"/>
  </w:num>
  <w:num w:numId="5" w16cid:durableId="706217482">
    <w:abstractNumId w:val="18"/>
  </w:num>
  <w:num w:numId="6" w16cid:durableId="1405644033">
    <w:abstractNumId w:val="6"/>
  </w:num>
  <w:num w:numId="7" w16cid:durableId="1614901149">
    <w:abstractNumId w:val="10"/>
  </w:num>
  <w:num w:numId="8" w16cid:durableId="482815344">
    <w:abstractNumId w:val="20"/>
  </w:num>
  <w:num w:numId="9" w16cid:durableId="531576190">
    <w:abstractNumId w:val="16"/>
  </w:num>
  <w:num w:numId="10" w16cid:durableId="910194104">
    <w:abstractNumId w:val="17"/>
  </w:num>
  <w:num w:numId="11" w16cid:durableId="646202392">
    <w:abstractNumId w:val="0"/>
  </w:num>
  <w:num w:numId="12" w16cid:durableId="1872455890">
    <w:abstractNumId w:val="3"/>
  </w:num>
  <w:num w:numId="13" w16cid:durableId="444738783">
    <w:abstractNumId w:val="5"/>
  </w:num>
  <w:num w:numId="14" w16cid:durableId="2004043492">
    <w:abstractNumId w:val="15"/>
  </w:num>
  <w:num w:numId="15" w16cid:durableId="1888104868">
    <w:abstractNumId w:val="4"/>
  </w:num>
  <w:num w:numId="16" w16cid:durableId="90587947">
    <w:abstractNumId w:val="7"/>
  </w:num>
  <w:num w:numId="17" w16cid:durableId="1422146133">
    <w:abstractNumId w:val="1"/>
  </w:num>
  <w:num w:numId="18" w16cid:durableId="1366365656">
    <w:abstractNumId w:val="11"/>
  </w:num>
  <w:num w:numId="19" w16cid:durableId="1137256381">
    <w:abstractNumId w:val="13"/>
  </w:num>
  <w:num w:numId="20" w16cid:durableId="1910772106">
    <w:abstractNumId w:val="8"/>
  </w:num>
  <w:num w:numId="21" w16cid:durableId="17171189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7940106">
    <w:abstractNumId w:val="19"/>
  </w:num>
  <w:num w:numId="23" w16cid:durableId="3446745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E9C"/>
    <w:rsid w:val="00033E86"/>
    <w:rsid w:val="000404DE"/>
    <w:rsid w:val="00042BE5"/>
    <w:rsid w:val="00043ED6"/>
    <w:rsid w:val="00050E07"/>
    <w:rsid w:val="0005184F"/>
    <w:rsid w:val="00071FC4"/>
    <w:rsid w:val="00072323"/>
    <w:rsid w:val="0009243D"/>
    <w:rsid w:val="00093A9B"/>
    <w:rsid w:val="000A0429"/>
    <w:rsid w:val="000D13E1"/>
    <w:rsid w:val="000E4F6B"/>
    <w:rsid w:val="000F6C9B"/>
    <w:rsid w:val="00107EFD"/>
    <w:rsid w:val="00143391"/>
    <w:rsid w:val="00145E6F"/>
    <w:rsid w:val="00160EE7"/>
    <w:rsid w:val="001864A4"/>
    <w:rsid w:val="00196B72"/>
    <w:rsid w:val="001A6048"/>
    <w:rsid w:val="001B7E35"/>
    <w:rsid w:val="001D59B4"/>
    <w:rsid w:val="001F244B"/>
    <w:rsid w:val="002008C5"/>
    <w:rsid w:val="00200972"/>
    <w:rsid w:val="00206C1F"/>
    <w:rsid w:val="00214861"/>
    <w:rsid w:val="0023060F"/>
    <w:rsid w:val="00240E93"/>
    <w:rsid w:val="00241104"/>
    <w:rsid w:val="00251CEC"/>
    <w:rsid w:val="0026644D"/>
    <w:rsid w:val="00267FC0"/>
    <w:rsid w:val="00292532"/>
    <w:rsid w:val="0029755A"/>
    <w:rsid w:val="002B4F35"/>
    <w:rsid w:val="002D592A"/>
    <w:rsid w:val="002D7CE9"/>
    <w:rsid w:val="002E1B02"/>
    <w:rsid w:val="002E7DBA"/>
    <w:rsid w:val="002F1720"/>
    <w:rsid w:val="002F1BE1"/>
    <w:rsid w:val="002F48BB"/>
    <w:rsid w:val="002F7630"/>
    <w:rsid w:val="0030119D"/>
    <w:rsid w:val="003047FC"/>
    <w:rsid w:val="003128B9"/>
    <w:rsid w:val="00316037"/>
    <w:rsid w:val="003200BC"/>
    <w:rsid w:val="00336BB7"/>
    <w:rsid w:val="00353DC3"/>
    <w:rsid w:val="00362E26"/>
    <w:rsid w:val="00377F3A"/>
    <w:rsid w:val="0038524A"/>
    <w:rsid w:val="00396E9A"/>
    <w:rsid w:val="00397622"/>
    <w:rsid w:val="003A22F5"/>
    <w:rsid w:val="003A417E"/>
    <w:rsid w:val="003B2AD7"/>
    <w:rsid w:val="003C6E99"/>
    <w:rsid w:val="003C7C48"/>
    <w:rsid w:val="003D0A0A"/>
    <w:rsid w:val="003E1555"/>
    <w:rsid w:val="003F56E9"/>
    <w:rsid w:val="004036AD"/>
    <w:rsid w:val="00414A3F"/>
    <w:rsid w:val="004359A0"/>
    <w:rsid w:val="00443166"/>
    <w:rsid w:val="0044479C"/>
    <w:rsid w:val="00454263"/>
    <w:rsid w:val="004662CE"/>
    <w:rsid w:val="00470986"/>
    <w:rsid w:val="00476A89"/>
    <w:rsid w:val="004A0B41"/>
    <w:rsid w:val="004A1DDD"/>
    <w:rsid w:val="004C467E"/>
    <w:rsid w:val="004D785C"/>
    <w:rsid w:val="004F02C9"/>
    <w:rsid w:val="004F1289"/>
    <w:rsid w:val="004F4BD1"/>
    <w:rsid w:val="00502529"/>
    <w:rsid w:val="00514564"/>
    <w:rsid w:val="00517B72"/>
    <w:rsid w:val="0052774B"/>
    <w:rsid w:val="00532AFD"/>
    <w:rsid w:val="00541E57"/>
    <w:rsid w:val="00544688"/>
    <w:rsid w:val="0056207F"/>
    <w:rsid w:val="005762E3"/>
    <w:rsid w:val="00583D91"/>
    <w:rsid w:val="0058518A"/>
    <w:rsid w:val="0058659F"/>
    <w:rsid w:val="005A1624"/>
    <w:rsid w:val="005A51DC"/>
    <w:rsid w:val="005B0A5B"/>
    <w:rsid w:val="005C5415"/>
    <w:rsid w:val="005C64C6"/>
    <w:rsid w:val="005D0D60"/>
    <w:rsid w:val="005E528F"/>
    <w:rsid w:val="00604BC4"/>
    <w:rsid w:val="00637B0B"/>
    <w:rsid w:val="00643DBE"/>
    <w:rsid w:val="00645B99"/>
    <w:rsid w:val="006577C5"/>
    <w:rsid w:val="00660929"/>
    <w:rsid w:val="00660A7A"/>
    <w:rsid w:val="00687EEB"/>
    <w:rsid w:val="006A0779"/>
    <w:rsid w:val="006A3260"/>
    <w:rsid w:val="006A7168"/>
    <w:rsid w:val="006B026E"/>
    <w:rsid w:val="006B7C50"/>
    <w:rsid w:val="006C49B1"/>
    <w:rsid w:val="006D53D6"/>
    <w:rsid w:val="006E286B"/>
    <w:rsid w:val="006E614F"/>
    <w:rsid w:val="006F3EA9"/>
    <w:rsid w:val="007025DE"/>
    <w:rsid w:val="007149D1"/>
    <w:rsid w:val="00717788"/>
    <w:rsid w:val="00720D38"/>
    <w:rsid w:val="00724840"/>
    <w:rsid w:val="007324F8"/>
    <w:rsid w:val="007478FD"/>
    <w:rsid w:val="00755264"/>
    <w:rsid w:val="00765B8D"/>
    <w:rsid w:val="0077574D"/>
    <w:rsid w:val="00777ACB"/>
    <w:rsid w:val="00784F53"/>
    <w:rsid w:val="00785D48"/>
    <w:rsid w:val="007A38A6"/>
    <w:rsid w:val="007A472F"/>
    <w:rsid w:val="007B4395"/>
    <w:rsid w:val="007E2C4D"/>
    <w:rsid w:val="00807F69"/>
    <w:rsid w:val="0081045A"/>
    <w:rsid w:val="0083098A"/>
    <w:rsid w:val="008461E9"/>
    <w:rsid w:val="0085185A"/>
    <w:rsid w:val="00852B76"/>
    <w:rsid w:val="0085337C"/>
    <w:rsid w:val="00856A23"/>
    <w:rsid w:val="00862EF5"/>
    <w:rsid w:val="00871CE5"/>
    <w:rsid w:val="008765BE"/>
    <w:rsid w:val="008822A1"/>
    <w:rsid w:val="008A18E6"/>
    <w:rsid w:val="008A5E45"/>
    <w:rsid w:val="008C77B1"/>
    <w:rsid w:val="008F6494"/>
    <w:rsid w:val="009019B3"/>
    <w:rsid w:val="00910168"/>
    <w:rsid w:val="00913AB0"/>
    <w:rsid w:val="00921532"/>
    <w:rsid w:val="009222D5"/>
    <w:rsid w:val="0092443E"/>
    <w:rsid w:val="0095057F"/>
    <w:rsid w:val="00954204"/>
    <w:rsid w:val="0098336C"/>
    <w:rsid w:val="009C6801"/>
    <w:rsid w:val="009E0754"/>
    <w:rsid w:val="009F16C2"/>
    <w:rsid w:val="00A00EBA"/>
    <w:rsid w:val="00A15BD6"/>
    <w:rsid w:val="00A247FD"/>
    <w:rsid w:val="00A30468"/>
    <w:rsid w:val="00A41CF2"/>
    <w:rsid w:val="00A4769B"/>
    <w:rsid w:val="00A62B3F"/>
    <w:rsid w:val="00A9346F"/>
    <w:rsid w:val="00A97FCD"/>
    <w:rsid w:val="00AB5519"/>
    <w:rsid w:val="00AC6606"/>
    <w:rsid w:val="00AD2B94"/>
    <w:rsid w:val="00AD2E64"/>
    <w:rsid w:val="00AD349A"/>
    <w:rsid w:val="00AE30B3"/>
    <w:rsid w:val="00AE6340"/>
    <w:rsid w:val="00AF6168"/>
    <w:rsid w:val="00B00501"/>
    <w:rsid w:val="00B01D7A"/>
    <w:rsid w:val="00B4041F"/>
    <w:rsid w:val="00B41A33"/>
    <w:rsid w:val="00B53492"/>
    <w:rsid w:val="00B627E3"/>
    <w:rsid w:val="00B641B2"/>
    <w:rsid w:val="00B903F7"/>
    <w:rsid w:val="00B954C9"/>
    <w:rsid w:val="00BA06CD"/>
    <w:rsid w:val="00BB6BD4"/>
    <w:rsid w:val="00BC4879"/>
    <w:rsid w:val="00BC5C01"/>
    <w:rsid w:val="00BC6C97"/>
    <w:rsid w:val="00BD3947"/>
    <w:rsid w:val="00C0383D"/>
    <w:rsid w:val="00C16AE3"/>
    <w:rsid w:val="00C32B33"/>
    <w:rsid w:val="00C55EC7"/>
    <w:rsid w:val="00C61048"/>
    <w:rsid w:val="00C66746"/>
    <w:rsid w:val="00C72CD3"/>
    <w:rsid w:val="00C81CE2"/>
    <w:rsid w:val="00C84EF2"/>
    <w:rsid w:val="00C87AB8"/>
    <w:rsid w:val="00C903C5"/>
    <w:rsid w:val="00CA0064"/>
    <w:rsid w:val="00CA5785"/>
    <w:rsid w:val="00CB3D13"/>
    <w:rsid w:val="00CC0640"/>
    <w:rsid w:val="00CD040C"/>
    <w:rsid w:val="00CD5EB6"/>
    <w:rsid w:val="00D011E2"/>
    <w:rsid w:val="00D1094F"/>
    <w:rsid w:val="00D361BE"/>
    <w:rsid w:val="00D450E9"/>
    <w:rsid w:val="00D47712"/>
    <w:rsid w:val="00D53E9C"/>
    <w:rsid w:val="00D57DD8"/>
    <w:rsid w:val="00D60842"/>
    <w:rsid w:val="00D67398"/>
    <w:rsid w:val="00D77DF3"/>
    <w:rsid w:val="00D77F97"/>
    <w:rsid w:val="00D84805"/>
    <w:rsid w:val="00D854FA"/>
    <w:rsid w:val="00D858A9"/>
    <w:rsid w:val="00DD42E5"/>
    <w:rsid w:val="00DE1F2F"/>
    <w:rsid w:val="00DE65E9"/>
    <w:rsid w:val="00DE7A75"/>
    <w:rsid w:val="00DF0E15"/>
    <w:rsid w:val="00DF2441"/>
    <w:rsid w:val="00E132BC"/>
    <w:rsid w:val="00E1703C"/>
    <w:rsid w:val="00E2264F"/>
    <w:rsid w:val="00E23854"/>
    <w:rsid w:val="00E32850"/>
    <w:rsid w:val="00E33310"/>
    <w:rsid w:val="00E34887"/>
    <w:rsid w:val="00E361A4"/>
    <w:rsid w:val="00E37F47"/>
    <w:rsid w:val="00E4347A"/>
    <w:rsid w:val="00E53ADD"/>
    <w:rsid w:val="00E543A7"/>
    <w:rsid w:val="00E60C63"/>
    <w:rsid w:val="00E64DB4"/>
    <w:rsid w:val="00E7405A"/>
    <w:rsid w:val="00E754C6"/>
    <w:rsid w:val="00E7625F"/>
    <w:rsid w:val="00E82146"/>
    <w:rsid w:val="00E93F20"/>
    <w:rsid w:val="00E946A9"/>
    <w:rsid w:val="00EA0F26"/>
    <w:rsid w:val="00EA15BC"/>
    <w:rsid w:val="00EA2D0D"/>
    <w:rsid w:val="00EA40F8"/>
    <w:rsid w:val="00EB5A71"/>
    <w:rsid w:val="00EC3A2F"/>
    <w:rsid w:val="00ED31FD"/>
    <w:rsid w:val="00ED3A34"/>
    <w:rsid w:val="00EE0717"/>
    <w:rsid w:val="00EE41DB"/>
    <w:rsid w:val="00EE435E"/>
    <w:rsid w:val="00EE52D2"/>
    <w:rsid w:val="00EF0DD0"/>
    <w:rsid w:val="00EF631C"/>
    <w:rsid w:val="00F24BC1"/>
    <w:rsid w:val="00F37804"/>
    <w:rsid w:val="00F43FCE"/>
    <w:rsid w:val="00F50DDC"/>
    <w:rsid w:val="00F53702"/>
    <w:rsid w:val="00F62000"/>
    <w:rsid w:val="00F6214D"/>
    <w:rsid w:val="00F6503C"/>
    <w:rsid w:val="00F65711"/>
    <w:rsid w:val="00F65D67"/>
    <w:rsid w:val="00F71144"/>
    <w:rsid w:val="00F86F1F"/>
    <w:rsid w:val="00F93C5D"/>
    <w:rsid w:val="00FA00AE"/>
    <w:rsid w:val="00FA1B59"/>
    <w:rsid w:val="00FA601E"/>
    <w:rsid w:val="00FA6C17"/>
    <w:rsid w:val="00FB2890"/>
    <w:rsid w:val="00FC756B"/>
    <w:rsid w:val="00FE7786"/>
    <w:rsid w:val="00FE7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54110"/>
  <w15:chartTrackingRefBased/>
  <w15:docId w15:val="{C4E1DDED-88B9-46C6-8265-77ABEE02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character" w:customStyle="1" w:styleId="BoldItalic">
    <w:name w:val="BoldItalic"/>
    <w:uiPriority w:val="1"/>
    <w:rsid w:val="00D53E9C"/>
    <w:rPr>
      <w:b/>
      <w:i/>
      <w:u w:val="none"/>
    </w:rPr>
  </w:style>
  <w:style w:type="paragraph" w:customStyle="1" w:styleId="Normal12a24b">
    <w:name w:val="Normal12a24b"/>
    <w:basedOn w:val="Normal"/>
    <w:rsid w:val="00D53E9C"/>
    <w:pPr>
      <w:widowControl w:val="0"/>
      <w:spacing w:before="360" w:after="240"/>
      <w:jc w:val="left"/>
    </w:pPr>
    <w:rPr>
      <w:rFonts w:eastAsia="Times New Roman"/>
      <w:snapToGrid w:val="0"/>
      <w:kern w:val="0"/>
      <w:szCs w:val="20"/>
      <w14:ligatures w14:val="none"/>
    </w:rPr>
  </w:style>
  <w:style w:type="paragraph" w:styleId="FootnoteText">
    <w:name w:val="footnote text"/>
    <w:basedOn w:val="Normal"/>
    <w:link w:val="FootnoteTextChar"/>
    <w:semiHidden/>
    <w:rsid w:val="00D53E9C"/>
    <w:pPr>
      <w:widowControl w:val="0"/>
      <w:jc w:val="left"/>
    </w:pPr>
    <w:rPr>
      <w:rFonts w:eastAsia="Times New Roman"/>
      <w:snapToGrid w:val="0"/>
      <w:kern w:val="0"/>
      <w:sz w:val="20"/>
      <w:szCs w:val="20"/>
      <w14:ligatures w14:val="none"/>
    </w:rPr>
  </w:style>
  <w:style w:type="character" w:customStyle="1" w:styleId="FootnoteTextChar">
    <w:name w:val="Footnote Text Char"/>
    <w:basedOn w:val="DefaultParagraphFont"/>
    <w:link w:val="FootnoteText"/>
    <w:semiHidden/>
    <w:rsid w:val="00D53E9C"/>
    <w:rPr>
      <w:rFonts w:ascii="Times New Roman" w:eastAsia="Times New Roman" w:hAnsi="Times New Roman"/>
      <w:snapToGrid w:val="0"/>
      <w:kern w:val="0"/>
      <w:sz w:val="20"/>
      <w:szCs w:val="20"/>
      <w14:ligatures w14:val="none"/>
    </w:rPr>
  </w:style>
  <w:style w:type="character" w:styleId="FootnoteReference">
    <w:name w:val="footnote reference"/>
    <w:rsid w:val="00D53E9C"/>
    <w:rPr>
      <w:vertAlign w:val="superscript"/>
    </w:rPr>
  </w:style>
  <w:style w:type="character" w:customStyle="1" w:styleId="Italic">
    <w:name w:val="Italic"/>
    <w:uiPriority w:val="1"/>
    <w:rsid w:val="00D53E9C"/>
    <w:rPr>
      <w:i/>
    </w:rPr>
  </w:style>
  <w:style w:type="character" w:styleId="Hyperlink">
    <w:name w:val="Hyperlink"/>
    <w:basedOn w:val="DefaultParagraphFont"/>
    <w:uiPriority w:val="99"/>
    <w:rsid w:val="00D53E9C"/>
    <w:rPr>
      <w:color w:val="0000FF"/>
      <w:u w:val="single"/>
    </w:rPr>
  </w:style>
  <w:style w:type="character" w:styleId="UnresolvedMention">
    <w:name w:val="Unresolved Mention"/>
    <w:basedOn w:val="DefaultParagraphFont"/>
    <w:uiPriority w:val="99"/>
    <w:semiHidden/>
    <w:unhideWhenUsed/>
    <w:rsid w:val="0005184F"/>
    <w:rPr>
      <w:color w:val="605E5C"/>
      <w:shd w:val="clear" w:color="auto" w:fill="E1DFDD"/>
    </w:rPr>
  </w:style>
  <w:style w:type="paragraph" w:styleId="Revision">
    <w:name w:val="Revision"/>
    <w:hidden/>
    <w:uiPriority w:val="99"/>
    <w:semiHidden/>
    <w:rsid w:val="00660929"/>
    <w:rPr>
      <w:rFonts w:ascii="Times New Roman" w:hAnsi="Times New Roman"/>
      <w:sz w:val="24"/>
      <w:szCs w:val="24"/>
    </w:rPr>
  </w:style>
  <w:style w:type="character" w:styleId="CommentReference">
    <w:name w:val="annotation reference"/>
    <w:basedOn w:val="DefaultParagraphFont"/>
    <w:uiPriority w:val="99"/>
    <w:semiHidden/>
    <w:unhideWhenUsed/>
    <w:rsid w:val="00660929"/>
    <w:rPr>
      <w:sz w:val="16"/>
      <w:szCs w:val="16"/>
    </w:rPr>
  </w:style>
  <w:style w:type="paragraph" w:styleId="CommentText">
    <w:name w:val="annotation text"/>
    <w:basedOn w:val="Normal"/>
    <w:link w:val="CommentTextChar"/>
    <w:uiPriority w:val="99"/>
    <w:unhideWhenUsed/>
    <w:rsid w:val="00660929"/>
    <w:rPr>
      <w:sz w:val="20"/>
      <w:szCs w:val="20"/>
    </w:rPr>
  </w:style>
  <w:style w:type="character" w:customStyle="1" w:styleId="CommentTextChar">
    <w:name w:val="Comment Text Char"/>
    <w:basedOn w:val="DefaultParagraphFont"/>
    <w:link w:val="CommentText"/>
    <w:uiPriority w:val="99"/>
    <w:rsid w:val="0066092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60929"/>
    <w:rPr>
      <w:b/>
      <w:bCs/>
    </w:rPr>
  </w:style>
  <w:style w:type="character" w:customStyle="1" w:styleId="CommentSubjectChar">
    <w:name w:val="Comment Subject Char"/>
    <w:basedOn w:val="CommentTextChar"/>
    <w:link w:val="CommentSubject"/>
    <w:uiPriority w:val="99"/>
    <w:semiHidden/>
    <w:rsid w:val="00660929"/>
    <w:rPr>
      <w:rFonts w:ascii="Times New Roman" w:hAnsi="Times New Roman"/>
      <w:b/>
      <w:bCs/>
      <w:sz w:val="20"/>
      <w:szCs w:val="20"/>
    </w:rPr>
  </w:style>
  <w:style w:type="character" w:styleId="FollowedHyperlink">
    <w:name w:val="FollowedHyperlink"/>
    <w:basedOn w:val="DefaultParagraphFont"/>
    <w:uiPriority w:val="99"/>
    <w:semiHidden/>
    <w:unhideWhenUsed/>
    <w:rsid w:val="00583D91"/>
    <w:rPr>
      <w:color w:val="954F72" w:themeColor="followedHyperlink"/>
      <w:u w:val="single"/>
    </w:rPr>
  </w:style>
  <w:style w:type="paragraph" w:styleId="NormalWeb">
    <w:name w:val="Normal (Web)"/>
    <w:basedOn w:val="Normal"/>
    <w:uiPriority w:val="99"/>
    <w:semiHidden/>
    <w:unhideWhenUsed/>
    <w:rsid w:val="006577C5"/>
  </w:style>
  <w:style w:type="paragraph" w:styleId="Header">
    <w:name w:val="header"/>
    <w:basedOn w:val="Normal"/>
    <w:link w:val="HeaderChar"/>
    <w:uiPriority w:val="99"/>
    <w:unhideWhenUsed/>
    <w:rsid w:val="0052774B"/>
    <w:pPr>
      <w:tabs>
        <w:tab w:val="center" w:pos="4513"/>
        <w:tab w:val="right" w:pos="9026"/>
      </w:tabs>
    </w:pPr>
  </w:style>
  <w:style w:type="character" w:customStyle="1" w:styleId="HeaderChar">
    <w:name w:val="Header Char"/>
    <w:basedOn w:val="DefaultParagraphFont"/>
    <w:link w:val="Header"/>
    <w:uiPriority w:val="99"/>
    <w:rsid w:val="0052774B"/>
    <w:rPr>
      <w:rFonts w:ascii="Times New Roman" w:hAnsi="Times New Roman"/>
      <w:sz w:val="24"/>
      <w:szCs w:val="24"/>
    </w:rPr>
  </w:style>
  <w:style w:type="paragraph" w:styleId="Footer">
    <w:name w:val="footer"/>
    <w:basedOn w:val="Normal"/>
    <w:link w:val="FooterChar"/>
    <w:uiPriority w:val="99"/>
    <w:unhideWhenUsed/>
    <w:rsid w:val="0052774B"/>
    <w:pPr>
      <w:tabs>
        <w:tab w:val="center" w:pos="4513"/>
        <w:tab w:val="right" w:pos="9026"/>
      </w:tabs>
    </w:pPr>
  </w:style>
  <w:style w:type="character" w:customStyle="1" w:styleId="FooterChar">
    <w:name w:val="Footer Char"/>
    <w:basedOn w:val="DefaultParagraphFont"/>
    <w:link w:val="Footer"/>
    <w:uiPriority w:val="99"/>
    <w:rsid w:val="0052774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0807">
      <w:bodyDiv w:val="1"/>
      <w:marLeft w:val="0"/>
      <w:marRight w:val="0"/>
      <w:marTop w:val="0"/>
      <w:marBottom w:val="0"/>
      <w:divBdr>
        <w:top w:val="none" w:sz="0" w:space="0" w:color="auto"/>
        <w:left w:val="none" w:sz="0" w:space="0" w:color="auto"/>
        <w:bottom w:val="none" w:sz="0" w:space="0" w:color="auto"/>
        <w:right w:val="none" w:sz="0" w:space="0" w:color="auto"/>
      </w:divBdr>
    </w:div>
    <w:div w:id="331883878">
      <w:bodyDiv w:val="1"/>
      <w:marLeft w:val="0"/>
      <w:marRight w:val="0"/>
      <w:marTop w:val="0"/>
      <w:marBottom w:val="0"/>
      <w:divBdr>
        <w:top w:val="none" w:sz="0" w:space="0" w:color="auto"/>
        <w:left w:val="none" w:sz="0" w:space="0" w:color="auto"/>
        <w:bottom w:val="none" w:sz="0" w:space="0" w:color="auto"/>
        <w:right w:val="none" w:sz="0" w:space="0" w:color="auto"/>
      </w:divBdr>
    </w:div>
    <w:div w:id="439223538">
      <w:bodyDiv w:val="1"/>
      <w:marLeft w:val="0"/>
      <w:marRight w:val="0"/>
      <w:marTop w:val="0"/>
      <w:marBottom w:val="0"/>
      <w:divBdr>
        <w:top w:val="none" w:sz="0" w:space="0" w:color="auto"/>
        <w:left w:val="none" w:sz="0" w:space="0" w:color="auto"/>
        <w:bottom w:val="none" w:sz="0" w:space="0" w:color="auto"/>
        <w:right w:val="none" w:sz="0" w:space="0" w:color="auto"/>
      </w:divBdr>
    </w:div>
    <w:div w:id="476069684">
      <w:bodyDiv w:val="1"/>
      <w:marLeft w:val="0"/>
      <w:marRight w:val="0"/>
      <w:marTop w:val="0"/>
      <w:marBottom w:val="0"/>
      <w:divBdr>
        <w:top w:val="none" w:sz="0" w:space="0" w:color="auto"/>
        <w:left w:val="none" w:sz="0" w:space="0" w:color="auto"/>
        <w:bottom w:val="none" w:sz="0" w:space="0" w:color="auto"/>
        <w:right w:val="none" w:sz="0" w:space="0" w:color="auto"/>
      </w:divBdr>
    </w:div>
    <w:div w:id="566963625">
      <w:bodyDiv w:val="1"/>
      <w:marLeft w:val="0"/>
      <w:marRight w:val="0"/>
      <w:marTop w:val="0"/>
      <w:marBottom w:val="0"/>
      <w:divBdr>
        <w:top w:val="none" w:sz="0" w:space="0" w:color="auto"/>
        <w:left w:val="none" w:sz="0" w:space="0" w:color="auto"/>
        <w:bottom w:val="none" w:sz="0" w:space="0" w:color="auto"/>
        <w:right w:val="none" w:sz="0" w:space="0" w:color="auto"/>
      </w:divBdr>
    </w:div>
    <w:div w:id="639043354">
      <w:bodyDiv w:val="1"/>
      <w:marLeft w:val="0"/>
      <w:marRight w:val="0"/>
      <w:marTop w:val="0"/>
      <w:marBottom w:val="0"/>
      <w:divBdr>
        <w:top w:val="none" w:sz="0" w:space="0" w:color="auto"/>
        <w:left w:val="none" w:sz="0" w:space="0" w:color="auto"/>
        <w:bottom w:val="none" w:sz="0" w:space="0" w:color="auto"/>
        <w:right w:val="none" w:sz="0" w:space="0" w:color="auto"/>
      </w:divBdr>
    </w:div>
    <w:div w:id="645353827">
      <w:bodyDiv w:val="1"/>
      <w:marLeft w:val="0"/>
      <w:marRight w:val="0"/>
      <w:marTop w:val="0"/>
      <w:marBottom w:val="0"/>
      <w:divBdr>
        <w:top w:val="none" w:sz="0" w:space="0" w:color="auto"/>
        <w:left w:val="none" w:sz="0" w:space="0" w:color="auto"/>
        <w:bottom w:val="none" w:sz="0" w:space="0" w:color="auto"/>
        <w:right w:val="none" w:sz="0" w:space="0" w:color="auto"/>
      </w:divBdr>
    </w:div>
    <w:div w:id="822114224">
      <w:bodyDiv w:val="1"/>
      <w:marLeft w:val="0"/>
      <w:marRight w:val="0"/>
      <w:marTop w:val="0"/>
      <w:marBottom w:val="0"/>
      <w:divBdr>
        <w:top w:val="none" w:sz="0" w:space="0" w:color="auto"/>
        <w:left w:val="none" w:sz="0" w:space="0" w:color="auto"/>
        <w:bottom w:val="none" w:sz="0" w:space="0" w:color="auto"/>
        <w:right w:val="none" w:sz="0" w:space="0" w:color="auto"/>
      </w:divBdr>
    </w:div>
    <w:div w:id="991905180">
      <w:bodyDiv w:val="1"/>
      <w:marLeft w:val="0"/>
      <w:marRight w:val="0"/>
      <w:marTop w:val="0"/>
      <w:marBottom w:val="0"/>
      <w:divBdr>
        <w:top w:val="none" w:sz="0" w:space="0" w:color="auto"/>
        <w:left w:val="none" w:sz="0" w:space="0" w:color="auto"/>
        <w:bottom w:val="none" w:sz="0" w:space="0" w:color="auto"/>
        <w:right w:val="none" w:sz="0" w:space="0" w:color="auto"/>
      </w:divBdr>
    </w:div>
    <w:div w:id="1060057188">
      <w:bodyDiv w:val="1"/>
      <w:marLeft w:val="0"/>
      <w:marRight w:val="0"/>
      <w:marTop w:val="0"/>
      <w:marBottom w:val="0"/>
      <w:divBdr>
        <w:top w:val="none" w:sz="0" w:space="0" w:color="auto"/>
        <w:left w:val="none" w:sz="0" w:space="0" w:color="auto"/>
        <w:bottom w:val="none" w:sz="0" w:space="0" w:color="auto"/>
        <w:right w:val="none" w:sz="0" w:space="0" w:color="auto"/>
      </w:divBdr>
    </w:div>
    <w:div w:id="1107770622">
      <w:bodyDiv w:val="1"/>
      <w:marLeft w:val="0"/>
      <w:marRight w:val="0"/>
      <w:marTop w:val="0"/>
      <w:marBottom w:val="0"/>
      <w:divBdr>
        <w:top w:val="none" w:sz="0" w:space="0" w:color="auto"/>
        <w:left w:val="none" w:sz="0" w:space="0" w:color="auto"/>
        <w:bottom w:val="none" w:sz="0" w:space="0" w:color="auto"/>
        <w:right w:val="none" w:sz="0" w:space="0" w:color="auto"/>
      </w:divBdr>
    </w:div>
    <w:div w:id="1205294453">
      <w:bodyDiv w:val="1"/>
      <w:marLeft w:val="0"/>
      <w:marRight w:val="0"/>
      <w:marTop w:val="0"/>
      <w:marBottom w:val="0"/>
      <w:divBdr>
        <w:top w:val="none" w:sz="0" w:space="0" w:color="auto"/>
        <w:left w:val="none" w:sz="0" w:space="0" w:color="auto"/>
        <w:bottom w:val="none" w:sz="0" w:space="0" w:color="auto"/>
        <w:right w:val="none" w:sz="0" w:space="0" w:color="auto"/>
      </w:divBdr>
      <w:divsChild>
        <w:div w:id="1585259280">
          <w:marLeft w:val="0"/>
          <w:marRight w:val="0"/>
          <w:marTop w:val="0"/>
          <w:marBottom w:val="0"/>
          <w:divBdr>
            <w:top w:val="none" w:sz="0" w:space="0" w:color="auto"/>
            <w:left w:val="none" w:sz="0" w:space="0" w:color="auto"/>
            <w:bottom w:val="none" w:sz="0" w:space="0" w:color="auto"/>
            <w:right w:val="none" w:sz="0" w:space="0" w:color="auto"/>
          </w:divBdr>
        </w:div>
        <w:div w:id="1473525639">
          <w:marLeft w:val="0"/>
          <w:marRight w:val="0"/>
          <w:marTop w:val="0"/>
          <w:marBottom w:val="0"/>
          <w:divBdr>
            <w:top w:val="none" w:sz="0" w:space="0" w:color="auto"/>
            <w:left w:val="none" w:sz="0" w:space="0" w:color="auto"/>
            <w:bottom w:val="none" w:sz="0" w:space="0" w:color="auto"/>
            <w:right w:val="none" w:sz="0" w:space="0" w:color="auto"/>
          </w:divBdr>
          <w:divsChild>
            <w:div w:id="125633165">
              <w:marLeft w:val="0"/>
              <w:marRight w:val="0"/>
              <w:marTop w:val="0"/>
              <w:marBottom w:val="0"/>
              <w:divBdr>
                <w:top w:val="none" w:sz="0" w:space="0" w:color="auto"/>
                <w:left w:val="none" w:sz="0" w:space="0" w:color="auto"/>
                <w:bottom w:val="none" w:sz="0" w:space="0" w:color="auto"/>
                <w:right w:val="none" w:sz="0" w:space="0" w:color="auto"/>
              </w:divBdr>
              <w:divsChild>
                <w:div w:id="216207432">
                  <w:marLeft w:val="0"/>
                  <w:marRight w:val="0"/>
                  <w:marTop w:val="0"/>
                  <w:marBottom w:val="0"/>
                  <w:divBdr>
                    <w:top w:val="none" w:sz="0" w:space="0" w:color="auto"/>
                    <w:left w:val="none" w:sz="0" w:space="0" w:color="auto"/>
                    <w:bottom w:val="none" w:sz="0" w:space="0" w:color="auto"/>
                    <w:right w:val="none" w:sz="0" w:space="0" w:color="auto"/>
                  </w:divBdr>
                </w:div>
                <w:div w:id="915434767">
                  <w:marLeft w:val="0"/>
                  <w:marRight w:val="0"/>
                  <w:marTop w:val="0"/>
                  <w:marBottom w:val="0"/>
                  <w:divBdr>
                    <w:top w:val="single" w:sz="6" w:space="12" w:color="FFFFFF"/>
                    <w:left w:val="none" w:sz="0" w:space="0" w:color="auto"/>
                    <w:bottom w:val="none" w:sz="0" w:space="31" w:color="auto"/>
                    <w:right w:val="none" w:sz="0" w:space="0" w:color="auto"/>
                  </w:divBdr>
                </w:div>
              </w:divsChild>
            </w:div>
          </w:divsChild>
        </w:div>
        <w:div w:id="1019312090">
          <w:marLeft w:val="0"/>
          <w:marRight w:val="0"/>
          <w:marTop w:val="720"/>
          <w:marBottom w:val="0"/>
          <w:divBdr>
            <w:top w:val="none" w:sz="0" w:space="0" w:color="auto"/>
            <w:left w:val="none" w:sz="0" w:space="0" w:color="auto"/>
            <w:bottom w:val="none" w:sz="0" w:space="0" w:color="auto"/>
            <w:right w:val="none" w:sz="0" w:space="0" w:color="auto"/>
          </w:divBdr>
          <w:divsChild>
            <w:div w:id="1104883512">
              <w:marLeft w:val="0"/>
              <w:marRight w:val="0"/>
              <w:marTop w:val="0"/>
              <w:marBottom w:val="0"/>
              <w:divBdr>
                <w:top w:val="none" w:sz="0" w:space="0" w:color="auto"/>
                <w:left w:val="none" w:sz="0" w:space="0" w:color="auto"/>
                <w:bottom w:val="none" w:sz="0" w:space="0" w:color="auto"/>
                <w:right w:val="none" w:sz="0" w:space="0" w:color="auto"/>
              </w:divBdr>
              <w:divsChild>
                <w:div w:id="1634095507">
                  <w:marLeft w:val="0"/>
                  <w:marRight w:val="0"/>
                  <w:marTop w:val="0"/>
                  <w:marBottom w:val="0"/>
                  <w:divBdr>
                    <w:top w:val="none" w:sz="0" w:space="0" w:color="auto"/>
                    <w:left w:val="none" w:sz="0" w:space="0" w:color="auto"/>
                    <w:bottom w:val="none" w:sz="0" w:space="0" w:color="auto"/>
                    <w:right w:val="none" w:sz="0" w:space="0" w:color="auto"/>
                  </w:divBdr>
                </w:div>
                <w:div w:id="663239377">
                  <w:marLeft w:val="0"/>
                  <w:marRight w:val="0"/>
                  <w:marTop w:val="0"/>
                  <w:marBottom w:val="0"/>
                  <w:divBdr>
                    <w:top w:val="none" w:sz="0" w:space="0" w:color="auto"/>
                    <w:left w:val="none" w:sz="0" w:space="0" w:color="auto"/>
                    <w:bottom w:val="none" w:sz="0" w:space="0" w:color="auto"/>
                    <w:right w:val="none" w:sz="0" w:space="0" w:color="auto"/>
                  </w:divBdr>
                </w:div>
                <w:div w:id="1252470562">
                  <w:marLeft w:val="0"/>
                  <w:marRight w:val="0"/>
                  <w:marTop w:val="480"/>
                  <w:marBottom w:val="0"/>
                  <w:divBdr>
                    <w:top w:val="none" w:sz="0" w:space="0" w:color="auto"/>
                    <w:left w:val="none" w:sz="0" w:space="0" w:color="auto"/>
                    <w:bottom w:val="none" w:sz="0" w:space="0" w:color="auto"/>
                    <w:right w:val="none" w:sz="0" w:space="0" w:color="auto"/>
                  </w:divBdr>
                  <w:divsChild>
                    <w:div w:id="631138026">
                      <w:marLeft w:val="0"/>
                      <w:marRight w:val="0"/>
                      <w:marTop w:val="0"/>
                      <w:marBottom w:val="0"/>
                      <w:divBdr>
                        <w:top w:val="none" w:sz="0" w:space="0" w:color="auto"/>
                        <w:left w:val="none" w:sz="0" w:space="0" w:color="auto"/>
                        <w:bottom w:val="none" w:sz="0" w:space="0" w:color="auto"/>
                        <w:right w:val="none" w:sz="0" w:space="0" w:color="auto"/>
                      </w:divBdr>
                      <w:divsChild>
                        <w:div w:id="21024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2603">
              <w:marLeft w:val="0"/>
              <w:marRight w:val="0"/>
              <w:marTop w:val="0"/>
              <w:marBottom w:val="0"/>
              <w:divBdr>
                <w:top w:val="none" w:sz="0" w:space="0" w:color="auto"/>
                <w:left w:val="none" w:sz="0" w:space="0" w:color="auto"/>
                <w:bottom w:val="none" w:sz="0" w:space="0" w:color="auto"/>
                <w:right w:val="none" w:sz="0" w:space="0" w:color="auto"/>
              </w:divBdr>
            </w:div>
          </w:divsChild>
        </w:div>
        <w:div w:id="1829592763">
          <w:marLeft w:val="0"/>
          <w:marRight w:val="0"/>
          <w:marTop w:val="0"/>
          <w:marBottom w:val="0"/>
          <w:divBdr>
            <w:top w:val="none" w:sz="0" w:space="0" w:color="auto"/>
            <w:left w:val="none" w:sz="0" w:space="0" w:color="auto"/>
            <w:bottom w:val="none" w:sz="0" w:space="0" w:color="auto"/>
            <w:right w:val="none" w:sz="0" w:space="0" w:color="auto"/>
          </w:divBdr>
          <w:divsChild>
            <w:div w:id="1417433430">
              <w:marLeft w:val="0"/>
              <w:marRight w:val="0"/>
              <w:marTop w:val="0"/>
              <w:marBottom w:val="0"/>
              <w:divBdr>
                <w:top w:val="none" w:sz="0" w:space="0" w:color="auto"/>
                <w:left w:val="none" w:sz="0" w:space="0" w:color="auto"/>
                <w:bottom w:val="none" w:sz="0" w:space="0" w:color="auto"/>
                <w:right w:val="none" w:sz="0" w:space="0" w:color="auto"/>
              </w:divBdr>
              <w:divsChild>
                <w:div w:id="761998108">
                  <w:marLeft w:val="0"/>
                  <w:marRight w:val="0"/>
                  <w:marTop w:val="0"/>
                  <w:marBottom w:val="0"/>
                  <w:divBdr>
                    <w:top w:val="none" w:sz="0" w:space="0" w:color="auto"/>
                    <w:left w:val="none" w:sz="0" w:space="0" w:color="auto"/>
                    <w:bottom w:val="none" w:sz="0" w:space="0" w:color="auto"/>
                    <w:right w:val="none" w:sz="0" w:space="0" w:color="auto"/>
                  </w:divBdr>
                  <w:divsChild>
                    <w:div w:id="1467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15957">
      <w:bodyDiv w:val="1"/>
      <w:marLeft w:val="0"/>
      <w:marRight w:val="0"/>
      <w:marTop w:val="0"/>
      <w:marBottom w:val="0"/>
      <w:divBdr>
        <w:top w:val="none" w:sz="0" w:space="0" w:color="auto"/>
        <w:left w:val="none" w:sz="0" w:space="0" w:color="auto"/>
        <w:bottom w:val="none" w:sz="0" w:space="0" w:color="auto"/>
        <w:right w:val="none" w:sz="0" w:space="0" w:color="auto"/>
      </w:divBdr>
    </w:div>
    <w:div w:id="1263297156">
      <w:bodyDiv w:val="1"/>
      <w:marLeft w:val="0"/>
      <w:marRight w:val="0"/>
      <w:marTop w:val="0"/>
      <w:marBottom w:val="0"/>
      <w:divBdr>
        <w:top w:val="none" w:sz="0" w:space="0" w:color="auto"/>
        <w:left w:val="none" w:sz="0" w:space="0" w:color="auto"/>
        <w:bottom w:val="none" w:sz="0" w:space="0" w:color="auto"/>
        <w:right w:val="none" w:sz="0" w:space="0" w:color="auto"/>
      </w:divBdr>
    </w:div>
    <w:div w:id="1266497374">
      <w:bodyDiv w:val="1"/>
      <w:marLeft w:val="0"/>
      <w:marRight w:val="0"/>
      <w:marTop w:val="0"/>
      <w:marBottom w:val="0"/>
      <w:divBdr>
        <w:top w:val="none" w:sz="0" w:space="0" w:color="auto"/>
        <w:left w:val="none" w:sz="0" w:space="0" w:color="auto"/>
        <w:bottom w:val="none" w:sz="0" w:space="0" w:color="auto"/>
        <w:right w:val="none" w:sz="0" w:space="0" w:color="auto"/>
      </w:divBdr>
    </w:div>
    <w:div w:id="1329746236">
      <w:bodyDiv w:val="1"/>
      <w:marLeft w:val="0"/>
      <w:marRight w:val="0"/>
      <w:marTop w:val="0"/>
      <w:marBottom w:val="0"/>
      <w:divBdr>
        <w:top w:val="none" w:sz="0" w:space="0" w:color="auto"/>
        <w:left w:val="none" w:sz="0" w:space="0" w:color="auto"/>
        <w:bottom w:val="none" w:sz="0" w:space="0" w:color="auto"/>
        <w:right w:val="none" w:sz="0" w:space="0" w:color="auto"/>
      </w:divBdr>
    </w:div>
    <w:div w:id="1343239601">
      <w:bodyDiv w:val="1"/>
      <w:marLeft w:val="0"/>
      <w:marRight w:val="0"/>
      <w:marTop w:val="0"/>
      <w:marBottom w:val="0"/>
      <w:divBdr>
        <w:top w:val="none" w:sz="0" w:space="0" w:color="auto"/>
        <w:left w:val="none" w:sz="0" w:space="0" w:color="auto"/>
        <w:bottom w:val="none" w:sz="0" w:space="0" w:color="auto"/>
        <w:right w:val="none" w:sz="0" w:space="0" w:color="auto"/>
      </w:divBdr>
    </w:div>
    <w:div w:id="1410228625">
      <w:bodyDiv w:val="1"/>
      <w:marLeft w:val="0"/>
      <w:marRight w:val="0"/>
      <w:marTop w:val="0"/>
      <w:marBottom w:val="0"/>
      <w:divBdr>
        <w:top w:val="none" w:sz="0" w:space="0" w:color="auto"/>
        <w:left w:val="none" w:sz="0" w:space="0" w:color="auto"/>
        <w:bottom w:val="none" w:sz="0" w:space="0" w:color="auto"/>
        <w:right w:val="none" w:sz="0" w:space="0" w:color="auto"/>
      </w:divBdr>
    </w:div>
    <w:div w:id="1422525314">
      <w:bodyDiv w:val="1"/>
      <w:marLeft w:val="0"/>
      <w:marRight w:val="0"/>
      <w:marTop w:val="0"/>
      <w:marBottom w:val="0"/>
      <w:divBdr>
        <w:top w:val="none" w:sz="0" w:space="0" w:color="auto"/>
        <w:left w:val="none" w:sz="0" w:space="0" w:color="auto"/>
        <w:bottom w:val="none" w:sz="0" w:space="0" w:color="auto"/>
        <w:right w:val="none" w:sz="0" w:space="0" w:color="auto"/>
      </w:divBdr>
    </w:div>
    <w:div w:id="1513957106">
      <w:bodyDiv w:val="1"/>
      <w:marLeft w:val="0"/>
      <w:marRight w:val="0"/>
      <w:marTop w:val="0"/>
      <w:marBottom w:val="0"/>
      <w:divBdr>
        <w:top w:val="none" w:sz="0" w:space="0" w:color="auto"/>
        <w:left w:val="none" w:sz="0" w:space="0" w:color="auto"/>
        <w:bottom w:val="none" w:sz="0" w:space="0" w:color="auto"/>
        <w:right w:val="none" w:sz="0" w:space="0" w:color="auto"/>
      </w:divBdr>
    </w:div>
    <w:div w:id="1698702490">
      <w:bodyDiv w:val="1"/>
      <w:marLeft w:val="0"/>
      <w:marRight w:val="0"/>
      <w:marTop w:val="0"/>
      <w:marBottom w:val="0"/>
      <w:divBdr>
        <w:top w:val="none" w:sz="0" w:space="0" w:color="auto"/>
        <w:left w:val="none" w:sz="0" w:space="0" w:color="auto"/>
        <w:bottom w:val="none" w:sz="0" w:space="0" w:color="auto"/>
        <w:right w:val="none" w:sz="0" w:space="0" w:color="auto"/>
      </w:divBdr>
    </w:div>
    <w:div w:id="1820993870">
      <w:bodyDiv w:val="1"/>
      <w:marLeft w:val="0"/>
      <w:marRight w:val="0"/>
      <w:marTop w:val="0"/>
      <w:marBottom w:val="0"/>
      <w:divBdr>
        <w:top w:val="none" w:sz="0" w:space="0" w:color="auto"/>
        <w:left w:val="none" w:sz="0" w:space="0" w:color="auto"/>
        <w:bottom w:val="none" w:sz="0" w:space="0" w:color="auto"/>
        <w:right w:val="none" w:sz="0" w:space="0" w:color="auto"/>
      </w:divBdr>
    </w:div>
    <w:div w:id="1891257771">
      <w:bodyDiv w:val="1"/>
      <w:marLeft w:val="0"/>
      <w:marRight w:val="0"/>
      <w:marTop w:val="0"/>
      <w:marBottom w:val="0"/>
      <w:divBdr>
        <w:top w:val="none" w:sz="0" w:space="0" w:color="auto"/>
        <w:left w:val="none" w:sz="0" w:space="0" w:color="auto"/>
        <w:bottom w:val="none" w:sz="0" w:space="0" w:color="auto"/>
        <w:right w:val="none" w:sz="0" w:space="0" w:color="auto"/>
      </w:divBdr>
    </w:div>
    <w:div w:id="1929265501">
      <w:bodyDiv w:val="1"/>
      <w:marLeft w:val="0"/>
      <w:marRight w:val="0"/>
      <w:marTop w:val="0"/>
      <w:marBottom w:val="0"/>
      <w:divBdr>
        <w:top w:val="none" w:sz="0" w:space="0" w:color="auto"/>
        <w:left w:val="none" w:sz="0" w:space="0" w:color="auto"/>
        <w:bottom w:val="none" w:sz="0" w:space="0" w:color="auto"/>
        <w:right w:val="none" w:sz="0" w:space="0" w:color="auto"/>
      </w:divBdr>
    </w:div>
    <w:div w:id="1958559926">
      <w:bodyDiv w:val="1"/>
      <w:marLeft w:val="0"/>
      <w:marRight w:val="0"/>
      <w:marTop w:val="0"/>
      <w:marBottom w:val="0"/>
      <w:divBdr>
        <w:top w:val="none" w:sz="0" w:space="0" w:color="auto"/>
        <w:left w:val="none" w:sz="0" w:space="0" w:color="auto"/>
        <w:bottom w:val="none" w:sz="0" w:space="0" w:color="auto"/>
        <w:right w:val="none" w:sz="0" w:space="0" w:color="auto"/>
      </w:divBdr>
    </w:div>
    <w:div w:id="1966501715">
      <w:bodyDiv w:val="1"/>
      <w:marLeft w:val="0"/>
      <w:marRight w:val="0"/>
      <w:marTop w:val="0"/>
      <w:marBottom w:val="0"/>
      <w:divBdr>
        <w:top w:val="none" w:sz="0" w:space="0" w:color="auto"/>
        <w:left w:val="none" w:sz="0" w:space="0" w:color="auto"/>
        <w:bottom w:val="none" w:sz="0" w:space="0" w:color="auto"/>
        <w:right w:val="none" w:sz="0" w:space="0" w:color="auto"/>
      </w:divBdr>
      <w:divsChild>
        <w:div w:id="624703569">
          <w:marLeft w:val="0"/>
          <w:marRight w:val="0"/>
          <w:marTop w:val="0"/>
          <w:marBottom w:val="0"/>
          <w:divBdr>
            <w:top w:val="none" w:sz="0" w:space="0" w:color="auto"/>
            <w:left w:val="none" w:sz="0" w:space="0" w:color="auto"/>
            <w:bottom w:val="none" w:sz="0" w:space="0" w:color="auto"/>
            <w:right w:val="none" w:sz="0" w:space="0" w:color="auto"/>
          </w:divBdr>
        </w:div>
        <w:div w:id="1529105526">
          <w:marLeft w:val="0"/>
          <w:marRight w:val="0"/>
          <w:marTop w:val="0"/>
          <w:marBottom w:val="0"/>
          <w:divBdr>
            <w:top w:val="none" w:sz="0" w:space="0" w:color="auto"/>
            <w:left w:val="none" w:sz="0" w:space="0" w:color="auto"/>
            <w:bottom w:val="none" w:sz="0" w:space="0" w:color="auto"/>
            <w:right w:val="none" w:sz="0" w:space="0" w:color="auto"/>
          </w:divBdr>
          <w:divsChild>
            <w:div w:id="881943811">
              <w:marLeft w:val="0"/>
              <w:marRight w:val="0"/>
              <w:marTop w:val="0"/>
              <w:marBottom w:val="0"/>
              <w:divBdr>
                <w:top w:val="none" w:sz="0" w:space="0" w:color="auto"/>
                <w:left w:val="none" w:sz="0" w:space="0" w:color="auto"/>
                <w:bottom w:val="none" w:sz="0" w:space="0" w:color="auto"/>
                <w:right w:val="none" w:sz="0" w:space="0" w:color="auto"/>
              </w:divBdr>
              <w:divsChild>
                <w:div w:id="25758256">
                  <w:marLeft w:val="0"/>
                  <w:marRight w:val="0"/>
                  <w:marTop w:val="0"/>
                  <w:marBottom w:val="0"/>
                  <w:divBdr>
                    <w:top w:val="none" w:sz="0" w:space="0" w:color="auto"/>
                    <w:left w:val="none" w:sz="0" w:space="0" w:color="auto"/>
                    <w:bottom w:val="none" w:sz="0" w:space="0" w:color="auto"/>
                    <w:right w:val="none" w:sz="0" w:space="0" w:color="auto"/>
                  </w:divBdr>
                </w:div>
                <w:div w:id="2078436057">
                  <w:marLeft w:val="0"/>
                  <w:marRight w:val="0"/>
                  <w:marTop w:val="0"/>
                  <w:marBottom w:val="0"/>
                  <w:divBdr>
                    <w:top w:val="single" w:sz="6" w:space="12" w:color="FFFFFF"/>
                    <w:left w:val="none" w:sz="0" w:space="0" w:color="auto"/>
                    <w:bottom w:val="none" w:sz="0" w:space="31" w:color="auto"/>
                    <w:right w:val="none" w:sz="0" w:space="0" w:color="auto"/>
                  </w:divBdr>
                </w:div>
              </w:divsChild>
            </w:div>
          </w:divsChild>
        </w:div>
        <w:div w:id="1799687958">
          <w:marLeft w:val="0"/>
          <w:marRight w:val="0"/>
          <w:marTop w:val="720"/>
          <w:marBottom w:val="0"/>
          <w:divBdr>
            <w:top w:val="none" w:sz="0" w:space="0" w:color="auto"/>
            <w:left w:val="none" w:sz="0" w:space="0" w:color="auto"/>
            <w:bottom w:val="none" w:sz="0" w:space="0" w:color="auto"/>
            <w:right w:val="none" w:sz="0" w:space="0" w:color="auto"/>
          </w:divBdr>
          <w:divsChild>
            <w:div w:id="344210337">
              <w:marLeft w:val="0"/>
              <w:marRight w:val="0"/>
              <w:marTop w:val="0"/>
              <w:marBottom w:val="0"/>
              <w:divBdr>
                <w:top w:val="none" w:sz="0" w:space="0" w:color="auto"/>
                <w:left w:val="none" w:sz="0" w:space="0" w:color="auto"/>
                <w:bottom w:val="none" w:sz="0" w:space="0" w:color="auto"/>
                <w:right w:val="none" w:sz="0" w:space="0" w:color="auto"/>
              </w:divBdr>
              <w:divsChild>
                <w:div w:id="2059936255">
                  <w:marLeft w:val="0"/>
                  <w:marRight w:val="0"/>
                  <w:marTop w:val="0"/>
                  <w:marBottom w:val="0"/>
                  <w:divBdr>
                    <w:top w:val="none" w:sz="0" w:space="0" w:color="auto"/>
                    <w:left w:val="none" w:sz="0" w:space="0" w:color="auto"/>
                    <w:bottom w:val="none" w:sz="0" w:space="0" w:color="auto"/>
                    <w:right w:val="none" w:sz="0" w:space="0" w:color="auto"/>
                  </w:divBdr>
                </w:div>
                <w:div w:id="1149244166">
                  <w:marLeft w:val="0"/>
                  <w:marRight w:val="0"/>
                  <w:marTop w:val="0"/>
                  <w:marBottom w:val="0"/>
                  <w:divBdr>
                    <w:top w:val="none" w:sz="0" w:space="0" w:color="auto"/>
                    <w:left w:val="none" w:sz="0" w:space="0" w:color="auto"/>
                    <w:bottom w:val="none" w:sz="0" w:space="0" w:color="auto"/>
                    <w:right w:val="none" w:sz="0" w:space="0" w:color="auto"/>
                  </w:divBdr>
                </w:div>
                <w:div w:id="1991666996">
                  <w:marLeft w:val="0"/>
                  <w:marRight w:val="0"/>
                  <w:marTop w:val="480"/>
                  <w:marBottom w:val="0"/>
                  <w:divBdr>
                    <w:top w:val="none" w:sz="0" w:space="0" w:color="auto"/>
                    <w:left w:val="none" w:sz="0" w:space="0" w:color="auto"/>
                    <w:bottom w:val="none" w:sz="0" w:space="0" w:color="auto"/>
                    <w:right w:val="none" w:sz="0" w:space="0" w:color="auto"/>
                  </w:divBdr>
                  <w:divsChild>
                    <w:div w:id="1771388155">
                      <w:marLeft w:val="0"/>
                      <w:marRight w:val="0"/>
                      <w:marTop w:val="0"/>
                      <w:marBottom w:val="0"/>
                      <w:divBdr>
                        <w:top w:val="none" w:sz="0" w:space="0" w:color="auto"/>
                        <w:left w:val="none" w:sz="0" w:space="0" w:color="auto"/>
                        <w:bottom w:val="none" w:sz="0" w:space="0" w:color="auto"/>
                        <w:right w:val="none" w:sz="0" w:space="0" w:color="auto"/>
                      </w:divBdr>
                      <w:divsChild>
                        <w:div w:id="177605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1021">
              <w:marLeft w:val="0"/>
              <w:marRight w:val="0"/>
              <w:marTop w:val="0"/>
              <w:marBottom w:val="0"/>
              <w:divBdr>
                <w:top w:val="none" w:sz="0" w:space="0" w:color="auto"/>
                <w:left w:val="none" w:sz="0" w:space="0" w:color="auto"/>
                <w:bottom w:val="none" w:sz="0" w:space="0" w:color="auto"/>
                <w:right w:val="none" w:sz="0" w:space="0" w:color="auto"/>
              </w:divBdr>
            </w:div>
          </w:divsChild>
        </w:div>
        <w:div w:id="678780070">
          <w:marLeft w:val="0"/>
          <w:marRight w:val="0"/>
          <w:marTop w:val="0"/>
          <w:marBottom w:val="0"/>
          <w:divBdr>
            <w:top w:val="none" w:sz="0" w:space="0" w:color="auto"/>
            <w:left w:val="none" w:sz="0" w:space="0" w:color="auto"/>
            <w:bottom w:val="none" w:sz="0" w:space="0" w:color="auto"/>
            <w:right w:val="none" w:sz="0" w:space="0" w:color="auto"/>
          </w:divBdr>
          <w:divsChild>
            <w:div w:id="2118526176">
              <w:marLeft w:val="0"/>
              <w:marRight w:val="0"/>
              <w:marTop w:val="0"/>
              <w:marBottom w:val="0"/>
              <w:divBdr>
                <w:top w:val="none" w:sz="0" w:space="0" w:color="auto"/>
                <w:left w:val="none" w:sz="0" w:space="0" w:color="auto"/>
                <w:bottom w:val="none" w:sz="0" w:space="0" w:color="auto"/>
                <w:right w:val="none" w:sz="0" w:space="0" w:color="auto"/>
              </w:divBdr>
              <w:divsChild>
                <w:div w:id="123040376">
                  <w:marLeft w:val="0"/>
                  <w:marRight w:val="0"/>
                  <w:marTop w:val="0"/>
                  <w:marBottom w:val="0"/>
                  <w:divBdr>
                    <w:top w:val="none" w:sz="0" w:space="0" w:color="auto"/>
                    <w:left w:val="none" w:sz="0" w:space="0" w:color="auto"/>
                    <w:bottom w:val="none" w:sz="0" w:space="0" w:color="auto"/>
                    <w:right w:val="none" w:sz="0" w:space="0" w:color="auto"/>
                  </w:divBdr>
                  <w:divsChild>
                    <w:div w:id="12854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1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52004XC0205%2802%29" TargetMode="External"/><Relationship Id="rId13" Type="http://schemas.openxmlformats.org/officeDocument/2006/relationships/hyperlink" Target="https://ec.europa.eu/transparency/documents-register/detail?ref=C(2026)42&amp;lang=e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petition-policy.ec.europa.eu/document/download/53e9348d-4f11-46ef-9098-526e24313ee8_en?filename=kd0125000enn_ex-post_evaluation_antitrust_remedies_study_e-version.pdf" TargetMode="External"/><Relationship Id="rId17" Type="http://schemas.openxmlformats.org/officeDocument/2006/relationships/hyperlink" Target="https://ec.europa.eu/transparency/documents-register/detail?ref=C(2025)8820&amp;lang=en" TargetMode="External"/><Relationship Id="rId2" Type="http://schemas.openxmlformats.org/officeDocument/2006/relationships/numbering" Target="numbering.xml"/><Relationship Id="rId16" Type="http://schemas.openxmlformats.org/officeDocument/2006/relationships/hyperlink" Target="C://Users/shonnefelder/Downloads/090166e52375c1e5%20(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ission.europa.eu/topics/competitiveness/competitiveness-compass_en" TargetMode="External"/><Relationship Id="rId5" Type="http://schemas.openxmlformats.org/officeDocument/2006/relationships/webSettings" Target="webSettings.xml"/><Relationship Id="rId15" Type="http://schemas.openxmlformats.org/officeDocument/2006/relationships/hyperlink" Target="https://competition-policy.ec.europa.eu/document/download/d960b2f1-d699-45c5-ad80-6e82700da393_en?filename=CISAF_staff-working-doc_C_2025_850_en.pdf" TargetMode="External"/><Relationship Id="rId10" Type="http://schemas.openxmlformats.org/officeDocument/2006/relationships/hyperlink" Target="https://oeil.secure.europarl.europa.eu/oeil/popups/ficheprocedure.do?lang=en&amp;reference=2024/2116(IN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EN/TXT/?uri=oj:JOC_2008_265_R_0006_01" TargetMode="External"/><Relationship Id="rId14" Type="http://schemas.openxmlformats.org/officeDocument/2006/relationships/hyperlink" Target="https://eur-lex.europa.eu/eli/C/2025/3602/oj/e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uriserv:OJ.L_.2004.024.01.0001.01.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E43EC-4928-490C-9228-AE6C0BA9A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7</Pages>
  <Words>2430</Words>
  <Characters>15745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HONNEFELDER Stephanie</dc:creator>
  <cp:keywords/>
  <dc:description/>
  <cp:lastModifiedBy>Nelly</cp:lastModifiedBy>
  <cp:revision>69</cp:revision>
  <cp:lastPrinted>2026-02-11T16:51:00Z</cp:lastPrinted>
  <dcterms:created xsi:type="dcterms:W3CDTF">2026-01-30T09:58:00Z</dcterms:created>
  <dcterms:modified xsi:type="dcterms:W3CDTF">2026-02-12T18:34:00Z</dcterms:modified>
</cp:coreProperties>
</file>