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DF70C" w14:textId="77777777" w:rsidR="00895671" w:rsidRPr="00D33E6D" w:rsidRDefault="00895671" w:rsidP="00895671">
      <w:pPr>
        <w:pStyle w:val="Typedudocument"/>
        <w:jc w:val="both"/>
        <w:rPr>
          <w:noProof/>
        </w:rPr>
      </w:pPr>
      <w:r w:rsidRPr="008F5610">
        <w:t>DIRECTIVE OF THE EUROPEAN PARLIAMENT AND OF THE COUNCIL</w:t>
      </w:r>
    </w:p>
    <w:p w14:paraId="1B7B4747" w14:textId="77777777" w:rsidR="00895671" w:rsidRPr="00D33E6D" w:rsidRDefault="00895671" w:rsidP="00895671">
      <w:pPr>
        <w:pStyle w:val="Titreobjet"/>
        <w:rPr>
          <w:noProof/>
          <w:lang w:val="en-US"/>
        </w:rPr>
      </w:pPr>
      <w:r w:rsidRPr="008F5610">
        <w:t>amending Directives 2014/65/EU and (EU) 2022/2557 as regards the extension of certain mitigating measures available for small and medium sized enterprises to small mid-cap enterprises and further simplifying measures</w:t>
      </w:r>
    </w:p>
    <w:p w14:paraId="636A1FF2" w14:textId="77777777" w:rsidR="00895671" w:rsidRPr="00F700FA" w:rsidRDefault="00895671" w:rsidP="00895671">
      <w:pPr>
        <w:pStyle w:val="paragraph"/>
        <w:spacing w:before="0" w:beforeAutospacing="0" w:after="0" w:afterAutospacing="0" w:line="276" w:lineRule="auto"/>
        <w:jc w:val="both"/>
        <w:textAlignment w:val="baseline"/>
      </w:pPr>
    </w:p>
    <w:p w14:paraId="795866BF" w14:textId="77777777" w:rsidR="00895671" w:rsidRPr="000C02DC" w:rsidRDefault="00895671" w:rsidP="00895671">
      <w:pPr>
        <w:pStyle w:val="paragraph"/>
        <w:pBdr>
          <w:top w:val="single" w:sz="8" w:space="1" w:color="000000"/>
          <w:left w:val="single" w:sz="8" w:space="4" w:color="000000"/>
          <w:right w:val="single" w:sz="8" w:space="4" w:color="000000"/>
        </w:pBdr>
        <w:spacing w:before="0" w:beforeAutospacing="0" w:after="0" w:afterAutospacing="0" w:line="276" w:lineRule="auto"/>
        <w:ind w:left="705" w:hanging="705"/>
        <w:jc w:val="both"/>
        <w:textAlignment w:val="baseline"/>
        <w:rPr>
          <w:b/>
          <w:bCs/>
          <w:color w:val="000000"/>
          <w:sz w:val="32"/>
          <w:szCs w:val="32"/>
        </w:rPr>
      </w:pPr>
      <w:r w:rsidRPr="00BA723D">
        <w:rPr>
          <w:rStyle w:val="normaltextrun"/>
          <w:b/>
          <w:bCs/>
          <w:color w:val="000000"/>
          <w:sz w:val="32"/>
          <w:szCs w:val="32"/>
        </w:rPr>
        <w:t>CA </w:t>
      </w:r>
      <w:r>
        <w:rPr>
          <w:rStyle w:val="normaltextrun"/>
          <w:b/>
          <w:bCs/>
          <w:color w:val="000000"/>
          <w:sz w:val="32"/>
          <w:szCs w:val="32"/>
        </w:rPr>
        <w:t>1</w:t>
      </w:r>
      <w:r w:rsidRPr="00BA723D">
        <w:rPr>
          <w:rStyle w:val="normaltextrun"/>
          <w:b/>
          <w:bCs/>
          <w:color w:val="000000"/>
          <w:sz w:val="32"/>
          <w:szCs w:val="32"/>
        </w:rPr>
        <w:t>: recitals</w:t>
      </w:r>
      <w:r>
        <w:rPr>
          <w:rStyle w:val="normaltextrun"/>
          <w:b/>
          <w:bCs/>
          <w:color w:val="000000"/>
          <w:sz w:val="32"/>
          <w:szCs w:val="32"/>
        </w:rPr>
        <w:t xml:space="preserve"> - shared competence </w:t>
      </w:r>
    </w:p>
    <w:p w14:paraId="4F6A9370" w14:textId="77777777" w:rsidR="00895671" w:rsidRDefault="00895671" w:rsidP="00895671">
      <w:pPr>
        <w:pStyle w:val="paragraph"/>
        <w:pBdr>
          <w:left w:val="single" w:sz="8" w:space="4" w:color="000000"/>
          <w:bottom w:val="single" w:sz="4" w:space="1" w:color="auto"/>
          <w:right w:val="single" w:sz="8" w:space="4" w:color="000000"/>
        </w:pBdr>
        <w:spacing w:before="0" w:beforeAutospacing="0" w:after="0" w:afterAutospacing="0" w:line="276" w:lineRule="auto"/>
        <w:textAlignment w:val="baseline"/>
        <w:rPr>
          <w:rStyle w:val="normaltextrun"/>
          <w:b/>
          <w:bCs/>
          <w:i/>
          <w:iCs/>
          <w:color w:val="000000"/>
        </w:rPr>
      </w:pPr>
    </w:p>
    <w:p w14:paraId="46A718D0" w14:textId="4B108ABB" w:rsidR="00895671" w:rsidRDefault="00895671" w:rsidP="00895671">
      <w:pPr>
        <w:pStyle w:val="paragraph"/>
        <w:pBdr>
          <w:left w:val="single" w:sz="8" w:space="4" w:color="000000"/>
          <w:bottom w:val="single" w:sz="4" w:space="1" w:color="auto"/>
          <w:right w:val="single" w:sz="8" w:space="4" w:color="000000"/>
        </w:pBdr>
        <w:spacing w:before="0" w:beforeAutospacing="0" w:after="0" w:afterAutospacing="0" w:line="276" w:lineRule="auto"/>
        <w:textAlignment w:val="baseline"/>
        <w:rPr>
          <w:rStyle w:val="normaltextrun"/>
          <w:b/>
          <w:bCs/>
          <w:i/>
          <w:iCs/>
        </w:rPr>
      </w:pPr>
      <w:r w:rsidRPr="00BA723D">
        <w:rPr>
          <w:rStyle w:val="normaltextrun"/>
          <w:b/>
          <w:bCs/>
          <w:i/>
          <w:iCs/>
          <w:color w:val="000000"/>
        </w:rPr>
        <w:t>Compromise amendment covering the following amendments:</w:t>
      </w:r>
      <w:r w:rsidRPr="00BA723D">
        <w:rPr>
          <w:rStyle w:val="normaltextrun"/>
          <w:b/>
          <w:bCs/>
          <w:i/>
          <w:iCs/>
        </w:rPr>
        <w:t> </w:t>
      </w:r>
      <w:r>
        <w:rPr>
          <w:rStyle w:val="normaltextrun"/>
          <w:b/>
          <w:bCs/>
          <w:i/>
          <w:iCs/>
        </w:rPr>
        <w:t>8, 10, 11</w:t>
      </w:r>
      <w:r w:rsidR="00D968A8">
        <w:rPr>
          <w:rStyle w:val="normaltextrun"/>
          <w:b/>
          <w:bCs/>
          <w:i/>
          <w:iCs/>
        </w:rPr>
        <w:t xml:space="preserve"> (partially)</w:t>
      </w:r>
      <w:r>
        <w:rPr>
          <w:rStyle w:val="normaltextrun"/>
          <w:b/>
          <w:bCs/>
          <w:i/>
          <w:iCs/>
        </w:rPr>
        <w:t>, 12, 13</w:t>
      </w:r>
      <w:r w:rsidR="00AA576B">
        <w:rPr>
          <w:rStyle w:val="normaltextrun"/>
          <w:b/>
          <w:bCs/>
          <w:i/>
          <w:iCs/>
        </w:rPr>
        <w:t>(Partially)</w:t>
      </w:r>
      <w:r>
        <w:rPr>
          <w:rStyle w:val="normaltextrun"/>
          <w:b/>
          <w:bCs/>
          <w:i/>
          <w:iCs/>
        </w:rPr>
        <w:t>, 16, 20,</w:t>
      </w:r>
      <w:r w:rsidR="00D968A8">
        <w:rPr>
          <w:rStyle w:val="normaltextrun"/>
          <w:b/>
          <w:bCs/>
          <w:i/>
          <w:iCs/>
        </w:rPr>
        <w:t xml:space="preserve"> 21 (partially),</w:t>
      </w:r>
      <w:r>
        <w:rPr>
          <w:rStyle w:val="normaltextrun"/>
          <w:b/>
          <w:bCs/>
          <w:i/>
          <w:iCs/>
        </w:rPr>
        <w:t xml:space="preserve"> 22, 23, 25, 26, 27, 28, 29, 30</w:t>
      </w:r>
    </w:p>
    <w:p w14:paraId="136FB756" w14:textId="77777777" w:rsidR="00895671" w:rsidRPr="00BA723D" w:rsidRDefault="00895671" w:rsidP="00895671">
      <w:pPr>
        <w:pStyle w:val="paragraph"/>
        <w:pBdr>
          <w:left w:val="single" w:sz="8" w:space="4" w:color="000000"/>
          <w:bottom w:val="single" w:sz="4" w:space="1" w:color="auto"/>
          <w:right w:val="single" w:sz="8" w:space="4" w:color="000000"/>
        </w:pBdr>
        <w:spacing w:before="0" w:beforeAutospacing="0" w:after="0" w:afterAutospacing="0" w:line="276" w:lineRule="auto"/>
        <w:textAlignment w:val="baseline"/>
        <w:rPr>
          <w:b/>
          <w:bCs/>
        </w:rPr>
      </w:pPr>
    </w:p>
    <w:p w14:paraId="3FD91491" w14:textId="77777777" w:rsidR="00895671" w:rsidRDefault="00895671" w:rsidP="00895671">
      <w:pPr>
        <w:pStyle w:val="paragraph"/>
        <w:pBdr>
          <w:left w:val="single" w:sz="8" w:space="4" w:color="000000"/>
          <w:bottom w:val="single" w:sz="4" w:space="1" w:color="auto"/>
          <w:right w:val="single" w:sz="8" w:space="4" w:color="000000"/>
        </w:pBdr>
        <w:spacing w:before="0" w:beforeAutospacing="0" w:after="0" w:afterAutospacing="0" w:line="276" w:lineRule="auto"/>
        <w:textAlignment w:val="baseline"/>
        <w:rPr>
          <w:rStyle w:val="normaltextrun"/>
          <w:b/>
          <w:bCs/>
          <w:i/>
          <w:iCs/>
        </w:rPr>
      </w:pPr>
      <w:r w:rsidRPr="00BA723D">
        <w:rPr>
          <w:rStyle w:val="normaltextrun"/>
          <w:b/>
          <w:bCs/>
          <w:i/>
          <w:iCs/>
        </w:rPr>
        <w:t xml:space="preserve">Amendments not covered: </w:t>
      </w:r>
      <w:r>
        <w:rPr>
          <w:rStyle w:val="normaltextrun"/>
          <w:b/>
          <w:bCs/>
          <w:i/>
          <w:iCs/>
        </w:rPr>
        <w:t>6, 7, 9, 14, 15,</w:t>
      </w:r>
    </w:p>
    <w:p w14:paraId="05F6CC9B" w14:textId="77777777" w:rsidR="00895671" w:rsidRDefault="00895671" w:rsidP="00895671">
      <w:pPr>
        <w:pStyle w:val="paragraph"/>
        <w:pBdr>
          <w:left w:val="single" w:sz="8" w:space="4" w:color="000000"/>
          <w:bottom w:val="single" w:sz="4" w:space="1" w:color="auto"/>
          <w:right w:val="single" w:sz="8" w:space="4" w:color="000000"/>
        </w:pBdr>
        <w:spacing w:before="0" w:beforeAutospacing="0" w:after="0" w:afterAutospacing="0" w:line="276" w:lineRule="auto"/>
        <w:textAlignment w:val="baseline"/>
        <w:rPr>
          <w:rStyle w:val="normaltextrun"/>
          <w:b/>
          <w:bCs/>
          <w:i/>
          <w:iCs/>
        </w:rPr>
      </w:pPr>
    </w:p>
    <w:p w14:paraId="68140630" w14:textId="77777777" w:rsidR="00895671" w:rsidRPr="00BA723D" w:rsidRDefault="00895671" w:rsidP="00895671">
      <w:pPr>
        <w:pStyle w:val="paragraph"/>
        <w:pBdr>
          <w:left w:val="single" w:sz="8" w:space="4" w:color="000000"/>
          <w:bottom w:val="single" w:sz="4" w:space="1" w:color="auto"/>
          <w:right w:val="single" w:sz="8" w:space="4" w:color="000000"/>
        </w:pBdr>
        <w:spacing w:before="0" w:beforeAutospacing="0" w:after="0" w:afterAutospacing="0" w:line="276" w:lineRule="auto"/>
        <w:textAlignment w:val="baseline"/>
        <w:rPr>
          <w:b/>
          <w:bCs/>
        </w:rPr>
      </w:pPr>
      <w:r>
        <w:rPr>
          <w:rStyle w:val="normaltextrun"/>
          <w:b/>
          <w:bCs/>
          <w:i/>
          <w:iCs/>
        </w:rPr>
        <w:t>For political discussion: 17, 18, 19, 24</w:t>
      </w:r>
    </w:p>
    <w:p w14:paraId="633E3BE6" w14:textId="77777777" w:rsidR="00895671" w:rsidRDefault="00895671" w:rsidP="00895671">
      <w:pPr>
        <w:pStyle w:val="paragraph"/>
        <w:spacing w:before="0" w:beforeAutospacing="0" w:after="0" w:afterAutospacing="0" w:line="276" w:lineRule="auto"/>
        <w:jc w:val="both"/>
        <w:textAlignment w:val="baseline"/>
      </w:pPr>
    </w:p>
    <w:p w14:paraId="658CC5F0" w14:textId="77777777" w:rsidR="00895671" w:rsidRPr="00D33E6D" w:rsidRDefault="00895671" w:rsidP="00895671">
      <w:pPr>
        <w:pStyle w:val="Institutionquiagit"/>
        <w:rPr>
          <w:noProof/>
        </w:rPr>
      </w:pPr>
      <w:r w:rsidRPr="00D33E6D">
        <w:rPr>
          <w:noProof/>
        </w:rPr>
        <w:t xml:space="preserve">THE EUROPEAN PARLIAMENT AND THE COUNCIL OF THE EUROPEAN </w:t>
      </w:r>
      <w:smartTag w:uri="urn:schemas-microsoft-com:office:smarttags" w:element="place">
        <w:r w:rsidRPr="00D33E6D">
          <w:rPr>
            <w:noProof/>
          </w:rPr>
          <w:t>UNION</w:t>
        </w:r>
      </w:smartTag>
      <w:r w:rsidRPr="00D33E6D">
        <w:rPr>
          <w:noProof/>
        </w:rPr>
        <w:t>,</w:t>
      </w:r>
    </w:p>
    <w:p w14:paraId="64926ACB" w14:textId="77777777" w:rsidR="00895671" w:rsidRPr="00D33E6D" w:rsidRDefault="00895671" w:rsidP="00895671">
      <w:pPr>
        <w:rPr>
          <w:noProof/>
        </w:rPr>
      </w:pPr>
      <w:r w:rsidRPr="00D33E6D">
        <w:rPr>
          <w:noProof/>
        </w:rPr>
        <w:t xml:space="preserve">Having regard to the Treaty on the Functioning of the European Union, and in particular </w:t>
      </w:r>
      <w:r w:rsidRPr="00D33E6D">
        <w:rPr>
          <w:rFonts w:eastAsia="Times New Roman"/>
          <w:noProof/>
          <w:color w:val="000000"/>
          <w:bdr w:val="none" w:sz="0" w:space="0" w:color="auto" w:frame="1"/>
          <w:lang w:val="en-IE" w:eastAsia="en-IE"/>
        </w:rPr>
        <w:t>Article 53(1), Article 114</w:t>
      </w:r>
      <w:r w:rsidRPr="00D33E6D">
        <w:rPr>
          <w:rFonts w:eastAsia="Times New Roman"/>
          <w:noProof/>
          <w:color w:val="000000" w:themeColor="text1"/>
          <w:lang w:val="en-IE" w:eastAsia="en-IE"/>
        </w:rPr>
        <w:t xml:space="preserve"> </w:t>
      </w:r>
      <w:r w:rsidRPr="00D33E6D">
        <w:rPr>
          <w:rFonts w:eastAsia="Times New Roman"/>
          <w:noProof/>
          <w:color w:val="000000"/>
          <w:bdr w:val="none" w:sz="0" w:space="0" w:color="auto" w:frame="1"/>
          <w:lang w:val="en-IE" w:eastAsia="en-IE"/>
        </w:rPr>
        <w:t>thereof</w:t>
      </w:r>
      <w:r w:rsidRPr="00D33E6D">
        <w:rPr>
          <w:noProof/>
        </w:rPr>
        <w:t>,</w:t>
      </w:r>
    </w:p>
    <w:p w14:paraId="6017C915" w14:textId="77777777" w:rsidR="00895671" w:rsidRDefault="00895671" w:rsidP="00895671">
      <w:pPr>
        <w:rPr>
          <w:noProof/>
        </w:rPr>
      </w:pPr>
      <w:r w:rsidRPr="00D33E6D">
        <w:rPr>
          <w:noProof/>
        </w:rPr>
        <w:t>Having regard to the proposal from the European Commission,</w:t>
      </w:r>
    </w:p>
    <w:p w14:paraId="0B8A1495" w14:textId="77777777" w:rsidR="00895671" w:rsidRPr="00D33E6D" w:rsidRDefault="00895671" w:rsidP="00895671">
      <w:pPr>
        <w:rPr>
          <w:noProof/>
        </w:rPr>
      </w:pPr>
      <w:r w:rsidRPr="00AE3331">
        <w:rPr>
          <w:noProof/>
        </w:rPr>
        <w:t>After transmission of the draft legislative act to the national parliaments</w:t>
      </w:r>
      <w:r>
        <w:rPr>
          <w:noProof/>
        </w:rPr>
        <w:t>,</w:t>
      </w:r>
    </w:p>
    <w:p w14:paraId="4B444576" w14:textId="77777777" w:rsidR="00895671" w:rsidRPr="00D33E6D" w:rsidRDefault="00895671" w:rsidP="00895671">
      <w:pPr>
        <w:rPr>
          <w:noProof/>
        </w:rPr>
      </w:pPr>
      <w:r w:rsidRPr="00D33E6D">
        <w:rPr>
          <w:noProof/>
        </w:rPr>
        <w:t>Having regard to the opinion of the European Economic and Social Committee,</w:t>
      </w:r>
      <w:r w:rsidRPr="00D33E6D">
        <w:rPr>
          <w:rStyle w:val="FootnoteReference0"/>
          <w:noProof/>
        </w:rPr>
        <w:footnoteReference w:id="1"/>
      </w:r>
    </w:p>
    <w:p w14:paraId="15299597" w14:textId="77777777" w:rsidR="00895671" w:rsidRPr="00D33E6D" w:rsidRDefault="00895671" w:rsidP="00895671">
      <w:pPr>
        <w:rPr>
          <w:noProof/>
        </w:rPr>
      </w:pPr>
      <w:r w:rsidRPr="00D33E6D">
        <w:rPr>
          <w:noProof/>
        </w:rPr>
        <w:t>Having regard to the opinion of the Committee of the Regions</w:t>
      </w:r>
      <w:r w:rsidRPr="00D33E6D">
        <w:rPr>
          <w:rStyle w:val="FootnoteReference0"/>
          <w:noProof/>
        </w:rPr>
        <w:footnoteReference w:id="2"/>
      </w:r>
      <w:r w:rsidRPr="00D33E6D">
        <w:rPr>
          <w:noProof/>
        </w:rPr>
        <w:t xml:space="preserve">, </w:t>
      </w:r>
    </w:p>
    <w:p w14:paraId="775C6D89" w14:textId="77777777" w:rsidR="00895671" w:rsidRPr="00D33E6D" w:rsidRDefault="00895671" w:rsidP="00895671">
      <w:pPr>
        <w:rPr>
          <w:noProof/>
        </w:rPr>
      </w:pPr>
      <w:r w:rsidRPr="00D33E6D">
        <w:rPr>
          <w:noProof/>
        </w:rPr>
        <w:t>Acting in accordance with the ordinary legislative procedure,</w:t>
      </w:r>
    </w:p>
    <w:p w14:paraId="2FE31D01" w14:textId="77777777" w:rsidR="00895671" w:rsidRPr="00D33E6D" w:rsidRDefault="00895671" w:rsidP="00895671">
      <w:pPr>
        <w:rPr>
          <w:noProof/>
        </w:rPr>
      </w:pPr>
      <w:r w:rsidRPr="00D33E6D">
        <w:rPr>
          <w:noProof/>
        </w:rPr>
        <w:t>Whereas:</w:t>
      </w:r>
    </w:p>
    <w:p w14:paraId="36DC6922" w14:textId="77777777" w:rsidR="00895671" w:rsidRPr="00744E0F" w:rsidRDefault="00895671" w:rsidP="00895671">
      <w:pPr>
        <w:pStyle w:val="ManualConsidrant"/>
        <w:rPr>
          <w:noProof/>
        </w:rPr>
      </w:pPr>
      <w:r w:rsidRPr="00744E0F">
        <w:rPr>
          <w:noProof/>
        </w:rPr>
        <w:t>(1)</w:t>
      </w:r>
      <w:r w:rsidRPr="00744E0F">
        <w:rPr>
          <w:noProof/>
        </w:rPr>
        <w:tab/>
        <w:t>In the political guidelines for the European Commission’s 2024-2029 term</w:t>
      </w:r>
      <w:r w:rsidRPr="00744E0F">
        <w:rPr>
          <w:rStyle w:val="FootnoteReference0"/>
          <w:noProof/>
        </w:rPr>
        <w:footnoteReference w:id="3"/>
      </w:r>
      <w:r w:rsidRPr="00744E0F">
        <w:rPr>
          <w:rStyle w:val="FootnoteReference0"/>
          <w:noProof/>
        </w:rPr>
        <w:t>,</w:t>
      </w:r>
      <w:r w:rsidRPr="00744E0F">
        <w:rPr>
          <w:noProof/>
        </w:rPr>
        <w:t xml:space="preserve"> President von der Leyen set out a plan for the Union’s sustainable prosperity and competitiveness. Making business easier and deepening the Single Market are among the plan’s key priorities.</w:t>
      </w:r>
    </w:p>
    <w:p w14:paraId="40BA18EA" w14:textId="77777777" w:rsidR="00895671" w:rsidRPr="00744E0F" w:rsidRDefault="00895671" w:rsidP="00895671">
      <w:pPr>
        <w:pStyle w:val="ManualConsidrant"/>
        <w:rPr>
          <w:noProof/>
        </w:rPr>
      </w:pPr>
      <w:r w:rsidRPr="00744E0F">
        <w:rPr>
          <w:noProof/>
        </w:rPr>
        <w:t>(2)</w:t>
      </w:r>
      <w:r w:rsidRPr="00744E0F">
        <w:rPr>
          <w:noProof/>
        </w:rPr>
        <w:tab/>
        <w:t>The Commission’s better regulation agenda</w:t>
      </w:r>
      <w:r w:rsidRPr="00744E0F">
        <w:rPr>
          <w:rStyle w:val="FootnoteReference0"/>
          <w:noProof/>
        </w:rPr>
        <w:footnoteReference w:id="4"/>
      </w:r>
      <w:r w:rsidRPr="00744E0F">
        <w:rPr>
          <w:noProof/>
        </w:rPr>
        <w:t xml:space="preserve"> also supports the competitiveness of Union enterprises by aiming to ensure that Union laws deliver on their objectives at a minimum cost. In 2023, the Commission identified the need to rationalize and simplify reporting requirements for enterprises and administrations</w:t>
      </w:r>
      <w:r w:rsidRPr="00744E0F">
        <w:rPr>
          <w:rStyle w:val="FootnoteReference0"/>
          <w:noProof/>
        </w:rPr>
        <w:footnoteReference w:id="5"/>
      </w:r>
      <w:r w:rsidRPr="00744E0F">
        <w:rPr>
          <w:rStyle w:val="FootnoteReference0"/>
          <w:noProof/>
        </w:rPr>
        <w:t xml:space="preserve"> </w:t>
      </w:r>
      <w:r w:rsidRPr="00744E0F">
        <w:rPr>
          <w:noProof/>
        </w:rPr>
        <w:t xml:space="preserve">and committed to reduce administrative burdens by 25%. </w:t>
      </w:r>
      <w:r w:rsidRPr="00744E0F">
        <w:rPr>
          <w:b/>
          <w:bCs/>
          <w:noProof/>
        </w:rPr>
        <w:t xml:space="preserve">This  proposal should ensure that related Union legislation remains proportionate, reducing unnecessary burdens and stimulating </w:t>
      </w:r>
      <w:r w:rsidRPr="00744E0F">
        <w:rPr>
          <w:b/>
          <w:bCs/>
          <w:noProof/>
        </w:rPr>
        <w:lastRenderedPageBreak/>
        <w:t>growth, investment of companies in the EU and  their ability to thrive in the global economy (AM 8, AM 30 partially).</w:t>
      </w:r>
    </w:p>
    <w:p w14:paraId="3E5AA180" w14:textId="77777777" w:rsidR="00895671" w:rsidRPr="00744E0F" w:rsidRDefault="00895671" w:rsidP="00895671">
      <w:pPr>
        <w:pStyle w:val="ManualConsidrant"/>
        <w:rPr>
          <w:noProof/>
        </w:rPr>
      </w:pPr>
      <w:r w:rsidRPr="00744E0F">
        <w:rPr>
          <w:noProof/>
        </w:rPr>
        <w:t>(3)</w:t>
      </w:r>
      <w:r w:rsidRPr="00744E0F">
        <w:rPr>
          <w:noProof/>
        </w:rPr>
        <w:tab/>
        <w:t>On 12 September 2023, the Commission published the SME Relief Package</w:t>
      </w:r>
      <w:r w:rsidRPr="00744E0F">
        <w:rPr>
          <w:rStyle w:val="FootnoteReference0"/>
          <w:noProof/>
        </w:rPr>
        <w:footnoteReference w:id="6"/>
      </w:r>
      <w:r w:rsidRPr="00744E0F">
        <w:rPr>
          <w:noProof/>
        </w:rPr>
        <w:t>, announcing its goal to help small and medium sized enterprises (‘SMEs’) compete and grow, by being attentive to the needs of enterprises that outgrow the thresholds of the SME definition</w:t>
      </w:r>
      <w:r w:rsidRPr="00744E0F">
        <w:rPr>
          <w:rStyle w:val="FootnoteReference0"/>
          <w:noProof/>
        </w:rPr>
        <w:footnoteReference w:id="7"/>
      </w:r>
      <w:r w:rsidRPr="00744E0F">
        <w:rPr>
          <w:noProof/>
        </w:rPr>
        <w:t>, and those in the broader range of small mid-cap enterprises. Action 18 of this relief package announced that the Commission would ‘develop a harmonised definition for small mid-cap enterprises, build a dataset based on such definition and assess possible measures to support these enterprises in their growth (including potential application in adapted form of certain measures favouring SMEs)’.</w:t>
      </w:r>
    </w:p>
    <w:p w14:paraId="35F272D5" w14:textId="77777777" w:rsidR="00895671" w:rsidRPr="00D33E6D" w:rsidRDefault="00895671" w:rsidP="00895671">
      <w:pPr>
        <w:pStyle w:val="ManualConsidrant"/>
        <w:rPr>
          <w:noProof/>
        </w:rPr>
      </w:pPr>
      <w:r w:rsidRPr="00744E0F">
        <w:rPr>
          <w:noProof/>
        </w:rPr>
        <w:t>(4)</w:t>
      </w:r>
      <w:r w:rsidRPr="00744E0F">
        <w:rPr>
          <w:noProof/>
        </w:rPr>
        <w:tab/>
        <w:t xml:space="preserve">Enterprises outgrowing the SME definition – the </w:t>
      </w:r>
      <w:r w:rsidRPr="00744E0F">
        <w:rPr>
          <w:noProof/>
          <w:lang w:val="en-IE"/>
        </w:rPr>
        <w:t>‘</w:t>
      </w:r>
      <w:r w:rsidRPr="00744E0F">
        <w:rPr>
          <w:noProof/>
        </w:rPr>
        <w:t xml:space="preserve">small mid-cap enterprises’ (‘SMCs’) – play a vital role in the Union’s economy </w:t>
      </w:r>
      <w:r w:rsidRPr="00744E0F">
        <w:rPr>
          <w:b/>
          <w:bCs/>
          <w:noProof/>
        </w:rPr>
        <w:t>and are key drivers of the Union’s competitiveness, innnovation and job creation (partially AM 30)</w:t>
      </w:r>
      <w:r w:rsidRPr="00744E0F">
        <w:rPr>
          <w:noProof/>
        </w:rPr>
        <w:t>.</w:t>
      </w:r>
      <w:r w:rsidRPr="00744E0F">
        <w:rPr>
          <w:rStyle w:val="FootnoteReference0"/>
          <w:noProof/>
        </w:rPr>
        <w:footnoteReference w:id="8"/>
      </w:r>
      <w:r w:rsidRPr="00744E0F">
        <w:rPr>
          <w:noProof/>
        </w:rPr>
        <w:t xml:space="preserve"> They are prominently present in industrial ecosystems that are key to the competitiveness of the Union and its technological sovereignty, in fields including electronics, aerospace and defence, energy, energy-intensive industries and health. Around 20% of all small mid-cap enterprises were SMEs three years earlier</w:t>
      </w:r>
      <w:r w:rsidRPr="00744E0F">
        <w:rPr>
          <w:rStyle w:val="FootnoteReference0"/>
          <w:noProof/>
        </w:rPr>
        <w:footnoteReference w:id="9"/>
      </w:r>
      <w:r w:rsidRPr="00744E0F">
        <w:rPr>
          <w:noProof/>
        </w:rPr>
        <w:t>.</w:t>
      </w:r>
      <w:r w:rsidRPr="00D33E6D">
        <w:rPr>
          <w:noProof/>
        </w:rPr>
        <w:t xml:space="preserve"> </w:t>
      </w:r>
    </w:p>
    <w:p w14:paraId="7A14C622" w14:textId="7A769823" w:rsidR="00017603" w:rsidRDefault="00895671" w:rsidP="00017603">
      <w:pPr>
        <w:pStyle w:val="ManualConsidrant"/>
        <w:rPr>
          <w:b/>
          <w:bCs/>
          <w:noProof/>
        </w:rPr>
      </w:pPr>
      <w:bookmarkStart w:id="1" w:name="_Hlk220321926"/>
      <w:r w:rsidRPr="008F5AAA">
        <w:rPr>
          <w:noProof/>
        </w:rPr>
        <w:t>(5)</w:t>
      </w:r>
      <w:r w:rsidRPr="008F5AAA">
        <w:rPr>
          <w:noProof/>
        </w:rPr>
        <w:tab/>
      </w:r>
      <w:bookmarkEnd w:id="1"/>
      <w:r w:rsidR="00017603" w:rsidRPr="00D33E6D">
        <w:rPr>
          <w:noProof/>
        </w:rPr>
        <w:t xml:space="preserve">Compared to SMEs, SMCs tend to demonstrate a higher pace of growth, and level of innovation and digitisation. Nevertheless, where administrative burden is concerned, they face similar challenges as SMEs, leading to a need for proportionality in legislation and for targeted support. To enable the smooth transition of SMEs into SMCs, it is important to address in a coherent manner the cliff-effect that may arise once they outgrow the segment of SMEs and are faced with rules that apply to large enterprises. </w:t>
      </w:r>
      <w:r w:rsidR="00017603" w:rsidRPr="00D968A8">
        <w:rPr>
          <w:noProof/>
        </w:rPr>
        <w:t>To make business easier for SMCs and reduce their administrative burden, a number of existing acts which provide for specific mitigating rules for SMEs should be adapted to extend the scope of those provisions and include SMCs</w:t>
      </w:r>
      <w:r w:rsidR="00017603">
        <w:rPr>
          <w:b/>
          <w:bCs/>
          <w:noProof/>
        </w:rPr>
        <w:t xml:space="preserve">, </w:t>
      </w:r>
      <w:r w:rsidR="00017603" w:rsidRPr="008F6C17">
        <w:rPr>
          <w:b/>
          <w:bCs/>
          <w:noProof/>
        </w:rPr>
        <w:t xml:space="preserve">provided  this </w:t>
      </w:r>
      <w:r w:rsidR="00017603" w:rsidRPr="00FC6FC5">
        <w:rPr>
          <w:b/>
          <w:bCs/>
          <w:noProof/>
        </w:rPr>
        <w:t>does not affect or reduce the scope, funding, or application of Union measures dedicated to SMEs including specific provisions and budgetary allocations made available to them under the Union legal framework and the Multiannual Financial Framework</w:t>
      </w:r>
      <w:r w:rsidR="00017603" w:rsidRPr="008F6C17">
        <w:rPr>
          <w:b/>
          <w:bCs/>
          <w:noProof/>
        </w:rPr>
        <w:t xml:space="preserve">. </w:t>
      </w:r>
      <w:r w:rsidR="00017603" w:rsidRPr="00FC6FC5">
        <w:rPr>
          <w:b/>
          <w:bCs/>
          <w:noProof/>
        </w:rPr>
        <w:t>Union law should contunue to apply the “think small first” principle given that the majority of SMEs are micro-enterprises whose characteristics and resources differ substantially from those of SMCs</w:t>
      </w:r>
      <w:r w:rsidR="00017603">
        <w:rPr>
          <w:b/>
          <w:bCs/>
          <w:noProof/>
        </w:rPr>
        <w:t xml:space="preserve"> </w:t>
      </w:r>
      <w:r w:rsidR="00017603" w:rsidRPr="00FC6FC5">
        <w:rPr>
          <w:b/>
          <w:bCs/>
          <w:noProof/>
        </w:rPr>
        <w:t>to ensure proportionality, adequate protection and targeted support for the smallest companies, while avoiding the creation of disincentives to growth beyond the SME category resulting from the anticipation of disproportionate compliance burdens</w:t>
      </w:r>
      <w:r w:rsidR="00744E0F">
        <w:rPr>
          <w:b/>
          <w:bCs/>
          <w:noProof/>
        </w:rPr>
        <w:t xml:space="preserve"> </w:t>
      </w:r>
      <w:r w:rsidR="00017603">
        <w:rPr>
          <w:b/>
          <w:bCs/>
          <w:noProof/>
        </w:rPr>
        <w:t>(partially AM 10, AM 16, AM 20, AM 25, AM 26, AM 27</w:t>
      </w:r>
      <w:r w:rsidR="00017603" w:rsidRPr="003455B3">
        <w:rPr>
          <w:b/>
          <w:bCs/>
          <w:noProof/>
        </w:rPr>
        <w:t>, partially AM 30</w:t>
      </w:r>
      <w:r w:rsidR="00017603">
        <w:rPr>
          <w:b/>
          <w:bCs/>
          <w:noProof/>
        </w:rPr>
        <w:t>)</w:t>
      </w:r>
      <w:r w:rsidR="00017603" w:rsidRPr="008F6C17">
        <w:rPr>
          <w:b/>
          <w:bCs/>
          <w:noProof/>
        </w:rPr>
        <w:t>.</w:t>
      </w:r>
      <w:r w:rsidR="00017603">
        <w:rPr>
          <w:b/>
          <w:bCs/>
          <w:noProof/>
        </w:rPr>
        <w:t xml:space="preserve">  </w:t>
      </w:r>
      <w:r w:rsidR="00017603" w:rsidRPr="009A58C3">
        <w:rPr>
          <w:b/>
          <w:bCs/>
          <w:noProof/>
        </w:rPr>
        <w:t>The changes introduced by this Directive are limited to Directives 2014/65/EU and (EU) 2022/2557 and do not affect other Union legislation applicable to small and medium-sized enterprises or to other categories of undertakings</w:t>
      </w:r>
      <w:r w:rsidR="00017603">
        <w:rPr>
          <w:b/>
          <w:bCs/>
          <w:noProof/>
        </w:rPr>
        <w:t xml:space="preserve"> </w:t>
      </w:r>
      <w:r w:rsidR="00017603" w:rsidRPr="003455B3">
        <w:rPr>
          <w:b/>
          <w:bCs/>
          <w:noProof/>
        </w:rPr>
        <w:t xml:space="preserve">(partially AMs 11, </w:t>
      </w:r>
      <w:r w:rsidR="00017603" w:rsidRPr="00F754A1">
        <w:rPr>
          <w:b/>
          <w:bCs/>
          <w:noProof/>
        </w:rPr>
        <w:t>13</w:t>
      </w:r>
      <w:r w:rsidR="00017603" w:rsidRPr="003455B3">
        <w:rPr>
          <w:b/>
          <w:bCs/>
          <w:noProof/>
        </w:rPr>
        <w:t>, 21).</w:t>
      </w:r>
    </w:p>
    <w:p w14:paraId="60316022" w14:textId="0A020AAE" w:rsidR="00D968A8" w:rsidRDefault="00D968A8" w:rsidP="00D968A8">
      <w:pPr>
        <w:pStyle w:val="ManualConsidrant"/>
        <w:rPr>
          <w:b/>
          <w:bCs/>
          <w:noProof/>
        </w:rPr>
      </w:pPr>
    </w:p>
    <w:p w14:paraId="56065797" w14:textId="32B77964" w:rsidR="00895671" w:rsidRPr="00744E0F" w:rsidRDefault="00895671" w:rsidP="00AA576B">
      <w:pPr>
        <w:pStyle w:val="ManualConsidrant"/>
        <w:rPr>
          <w:b/>
          <w:iCs/>
        </w:rPr>
      </w:pPr>
      <w:r w:rsidRPr="00744E0F">
        <w:rPr>
          <w:b/>
          <w:bCs/>
          <w:noProof/>
        </w:rPr>
        <w:lastRenderedPageBreak/>
        <w:t xml:space="preserve">5(a)   </w:t>
      </w:r>
      <w:r w:rsidRPr="00744E0F">
        <w:rPr>
          <w:b/>
          <w:iCs/>
        </w:rPr>
        <w:t>Whereas the proposals set out in this Omnibus should be accompanied by a set of complementary measures aimed at supporting SMEs and small mid-caps, not only through regulatory simplification but also through the reduction of administrative burdens, the use of fiscal incentives, the strengthening of access to talent and skills, as well as the promotion and adoption of innovative technologies, in order to ensure that the regulatory framework effectively contributes to their competitiveness, growth and access to finance (AM 12);</w:t>
      </w:r>
    </w:p>
    <w:p w14:paraId="76DF18A4" w14:textId="77777777" w:rsidR="002F05AD" w:rsidRPr="00744E0F" w:rsidRDefault="002F05AD" w:rsidP="002F05AD">
      <w:pPr>
        <w:pStyle w:val="ManualConsidrant"/>
        <w:ind w:left="0" w:firstLine="0"/>
        <w:rPr>
          <w:b/>
          <w:iCs/>
        </w:rPr>
      </w:pPr>
    </w:p>
    <w:p w14:paraId="7729E2EE" w14:textId="75878E2C" w:rsidR="000A027A" w:rsidRPr="00744E0F" w:rsidRDefault="000A027A" w:rsidP="00AA576B">
      <w:pPr>
        <w:pStyle w:val="ManualConsidrant"/>
        <w:rPr>
          <w:b/>
          <w:bCs/>
          <w:noProof/>
        </w:rPr>
      </w:pPr>
      <w:r w:rsidRPr="00744E0F">
        <w:rPr>
          <w:b/>
          <w:iCs/>
        </w:rPr>
        <w:t xml:space="preserve">5(b) </w:t>
      </w:r>
      <w:bookmarkStart w:id="2" w:name="_Hlk220426179"/>
      <w:r w:rsidRPr="00744E0F">
        <w:rPr>
          <w:b/>
          <w:iCs/>
        </w:rPr>
        <w:t>The current challenges faced by small European companies in trying to scale their businesses within the European Union are significant. These challenges present a direct threat to the efficacy and success of the Single Market, which should be addressed as a priority if Europe is to truly be a place that supports enterprise, entrepreneurship, and a competitive market economy</w:t>
      </w:r>
      <w:r w:rsidR="002F05AD" w:rsidRPr="00744E0F">
        <w:rPr>
          <w:b/>
          <w:iCs/>
        </w:rPr>
        <w:t>.</w:t>
      </w:r>
      <w:r w:rsidRPr="00744E0F">
        <w:rPr>
          <w:b/>
          <w:iCs/>
        </w:rPr>
        <w:t xml:space="preserve"> </w:t>
      </w:r>
      <w:bookmarkEnd w:id="2"/>
      <w:r w:rsidRPr="00744E0F">
        <w:rPr>
          <w:b/>
          <w:iCs/>
        </w:rPr>
        <w:t>(IMCO CAs)</w:t>
      </w:r>
    </w:p>
    <w:p w14:paraId="4C5B1E89" w14:textId="77777777" w:rsidR="00895671" w:rsidRPr="00744E0F" w:rsidRDefault="00895671" w:rsidP="00895671">
      <w:pPr>
        <w:pStyle w:val="ManualConsidrant"/>
        <w:ind w:left="0" w:firstLine="0"/>
        <w:rPr>
          <w:noProof/>
        </w:rPr>
      </w:pPr>
    </w:p>
    <w:p w14:paraId="5EAF5013" w14:textId="44DDB9D9" w:rsidR="00895671" w:rsidRPr="00D33E6D" w:rsidRDefault="00895671" w:rsidP="00895671">
      <w:pPr>
        <w:pStyle w:val="ManualConsidrant"/>
        <w:rPr>
          <w:noProof/>
        </w:rPr>
      </w:pPr>
      <w:r w:rsidRPr="00744E0F">
        <w:rPr>
          <w:noProof/>
        </w:rPr>
        <w:t>(6)</w:t>
      </w:r>
      <w:r w:rsidRPr="00744E0F">
        <w:rPr>
          <w:noProof/>
        </w:rPr>
        <w:tab/>
        <w:t>Directive 2014/65/EU</w:t>
      </w:r>
      <w:r w:rsidRPr="00744E0F">
        <w:rPr>
          <w:rStyle w:val="FootnoteReference0"/>
          <w:noProof/>
        </w:rPr>
        <w:footnoteReference w:id="10"/>
      </w:r>
      <w:r w:rsidRPr="00744E0F">
        <w:rPr>
          <w:noProof/>
        </w:rPr>
        <w:t xml:space="preserve"> of the European Parliament and of the Council</w:t>
      </w:r>
      <w:r w:rsidRPr="00744E0F">
        <w:rPr>
          <w:rStyle w:val="FootnoteReference0"/>
          <w:noProof/>
        </w:rPr>
        <w:t xml:space="preserve">, </w:t>
      </w:r>
      <w:bookmarkStart w:id="3" w:name="_Hlk194519022"/>
      <w:r w:rsidRPr="00744E0F">
        <w:rPr>
          <w:noProof/>
        </w:rPr>
        <w:t xml:space="preserve">contains certain provisions that aim at providing simplification or mitigating measures to SMEs. More specifically, those provisions aim at alleviating administrative burden and reducing or eliminating market entry barriers or draw Member States’ attention to the benefits that SMEs derive from dedicated guidance, support and assistance. Directive (EU) 2022/2557 </w:t>
      </w:r>
      <w:r w:rsidRPr="00744E0F">
        <w:rPr>
          <w:rStyle w:val="FootnoteReference0"/>
          <w:noProof/>
        </w:rPr>
        <w:footnoteReference w:id="11"/>
      </w:r>
      <w:r w:rsidRPr="00744E0F">
        <w:rPr>
          <w:noProof/>
        </w:rPr>
        <w:t xml:space="preserve"> of</w:t>
      </w:r>
      <w:r>
        <w:rPr>
          <w:noProof/>
        </w:rPr>
        <w:t xml:space="preserve"> the European Parliament and the Council provides that Member States should support critical entities, including those that qualify as small or medium-sized enterprises, in strengthening their resilience. The Directive requires Member States to include in their resilience strategies a description of measures that are already in place </w:t>
      </w:r>
      <w:r w:rsidR="005F2A15">
        <w:rPr>
          <w:noProof/>
        </w:rPr>
        <w:t>ff</w:t>
      </w:r>
      <w:r>
        <w:rPr>
          <w:noProof/>
        </w:rPr>
        <w:t>at national level which aim to facilitate the implementation of the obligations of SMEs that were identified as critical entities.</w:t>
      </w:r>
    </w:p>
    <w:bookmarkEnd w:id="3"/>
    <w:p w14:paraId="069FCEBC" w14:textId="2C9398C0" w:rsidR="00895671" w:rsidRPr="00333509" w:rsidRDefault="00895671" w:rsidP="00895671">
      <w:pPr>
        <w:pStyle w:val="ManualConsidrant"/>
        <w:rPr>
          <w:strike/>
          <w:noProof/>
        </w:rPr>
      </w:pPr>
      <w:r w:rsidRPr="008F5AAA">
        <w:rPr>
          <w:noProof/>
        </w:rPr>
        <w:t>(7)</w:t>
      </w:r>
      <w:r w:rsidRPr="008F5AAA">
        <w:rPr>
          <w:noProof/>
        </w:rPr>
        <w:tab/>
      </w:r>
      <w:r w:rsidRPr="00D33E6D">
        <w:rPr>
          <w:noProof/>
        </w:rPr>
        <w:t xml:space="preserve">To ensure consistency and legal certainty, </w:t>
      </w:r>
      <w:r w:rsidR="00D8672C">
        <w:rPr>
          <w:b/>
          <w:bCs/>
          <w:noProof/>
        </w:rPr>
        <w:t xml:space="preserve">where appropriate, </w:t>
      </w:r>
      <w:r w:rsidRPr="00D33E6D">
        <w:rPr>
          <w:noProof/>
        </w:rPr>
        <w:t>a definition of SMCs should be introduced in those acts</w:t>
      </w:r>
      <w:r>
        <w:rPr>
          <w:noProof/>
        </w:rPr>
        <w:t xml:space="preserve"> </w:t>
      </w:r>
      <w:r>
        <w:rPr>
          <w:b/>
          <w:iCs/>
        </w:rPr>
        <w:t>(</w:t>
      </w:r>
      <w:r w:rsidRPr="003455B3">
        <w:rPr>
          <w:b/>
          <w:iCs/>
        </w:rPr>
        <w:t>AM 21</w:t>
      </w:r>
      <w:r>
        <w:rPr>
          <w:b/>
          <w:iCs/>
        </w:rPr>
        <w:t>)</w:t>
      </w:r>
      <w:r w:rsidRPr="00D33E6D">
        <w:rPr>
          <w:noProof/>
        </w:rPr>
        <w:t xml:space="preserve">. </w:t>
      </w:r>
      <w:r w:rsidRPr="00333509">
        <w:rPr>
          <w:strike/>
          <w:noProof/>
        </w:rPr>
        <w:t xml:space="preserve">While the definition of SMCs should in principle correspond to the definition in Commission Recommendation of 21.5.2025 on the definition of small mid-cap enterprises -  C(2025) 3500 final and cover enterprises that are up to three times the size of SMEs, </w:t>
      </w:r>
      <w:r w:rsidRPr="00333509">
        <w:rPr>
          <w:rFonts w:eastAsia="Times New Roman"/>
          <w:strike/>
          <w:noProof/>
        </w:rPr>
        <w:t>it should, where appropriate, build on the definitions of SMEs that are already provided in the acts that are being amended, which were considered</w:t>
      </w:r>
      <w:r w:rsidRPr="00333509">
        <w:rPr>
          <w:strike/>
          <w:noProof/>
        </w:rPr>
        <w:t xml:space="preserve"> fitting by the legislators. </w:t>
      </w:r>
    </w:p>
    <w:p w14:paraId="3BCAB001" w14:textId="77777777" w:rsidR="00895671" w:rsidRDefault="00895671" w:rsidP="00895671">
      <w:pPr>
        <w:pStyle w:val="ManualConsidrant"/>
        <w:rPr>
          <w:noProof/>
        </w:rPr>
      </w:pPr>
    </w:p>
    <w:p w14:paraId="69CEE88F" w14:textId="77777777" w:rsidR="00895671" w:rsidRPr="008B28B5" w:rsidRDefault="00895671" w:rsidP="00895671">
      <w:pPr>
        <w:pStyle w:val="ManualConsidrant"/>
        <w:rPr>
          <w:b/>
          <w:bCs/>
          <w:noProof/>
        </w:rPr>
      </w:pPr>
      <w:r w:rsidRPr="008B28B5">
        <w:rPr>
          <w:b/>
          <w:bCs/>
          <w:noProof/>
        </w:rPr>
        <w:t>(7 a)</w:t>
      </w:r>
      <w:r w:rsidRPr="008B28B5">
        <w:rPr>
          <w:b/>
          <w:bCs/>
          <w:noProof/>
        </w:rPr>
        <w:tab/>
        <w:t>In order to ensure a coherent and evidence-based approach to the future extension of SME preferential measures to small mid-cap enterprises, it is necessary to establish a complete overview of all existing derogations, simplifications, exemptions and other preferential treatments granted to small and medium-sized enterprises across Union legislation. Such an inventory will serve as the factual basis for assessing, in subsequent legislative initiatives, whether and under which conditions those measures could be appropriately extended to small mid-cap enterprises</w:t>
      </w:r>
      <w:r>
        <w:rPr>
          <w:b/>
          <w:bCs/>
          <w:noProof/>
        </w:rPr>
        <w:t xml:space="preserve"> (</w:t>
      </w:r>
      <w:r w:rsidRPr="003455B3">
        <w:rPr>
          <w:b/>
          <w:iCs/>
        </w:rPr>
        <w:t>AM 22</w:t>
      </w:r>
      <w:r>
        <w:rPr>
          <w:b/>
          <w:iCs/>
        </w:rPr>
        <w:t>)</w:t>
      </w:r>
      <w:r w:rsidRPr="00D33E6D">
        <w:rPr>
          <w:noProof/>
        </w:rPr>
        <w:t>.</w:t>
      </w:r>
    </w:p>
    <w:p w14:paraId="41BC99C1" w14:textId="77777777" w:rsidR="00895671" w:rsidRPr="00D33E6D" w:rsidRDefault="00895671" w:rsidP="00895671">
      <w:pPr>
        <w:pStyle w:val="ManualConsidrant"/>
        <w:rPr>
          <w:noProof/>
        </w:rPr>
      </w:pPr>
    </w:p>
    <w:p w14:paraId="215585AA" w14:textId="1A205A4B" w:rsidR="00895671" w:rsidRPr="00744E0F" w:rsidRDefault="00895671" w:rsidP="00744E0F">
      <w:pPr>
        <w:pStyle w:val="ManualConsidrant"/>
        <w:rPr>
          <w:noProof/>
        </w:rPr>
      </w:pPr>
      <w:r w:rsidRPr="00744E0F">
        <w:rPr>
          <w:noProof/>
        </w:rPr>
        <w:t>(8)</w:t>
      </w:r>
      <w:r w:rsidRPr="00744E0F">
        <w:rPr>
          <w:noProof/>
        </w:rPr>
        <w:tab/>
        <w:t>Directive 2014/65/EU identifies a subcategory of multilateral trading facilities (‘MTF’) known as SME growth markets. Article 33 (3), point (a), of that Directive lays down specific conditions to ensure that those trading venues effectively benefit SMEs by facilitating their access to capital and the further development of specialist markets that cater for SMEs’ needs.</w:t>
      </w:r>
      <w:r w:rsidRPr="00744E0F">
        <w:rPr>
          <w:rFonts w:eastAsia="Times New Roman"/>
          <w:noProof/>
        </w:rPr>
        <w:t xml:space="preserve"> That provision should be extended to include SMCs, to also allow those companies to access capital markets through those SME growth markets.</w:t>
      </w:r>
      <w:r w:rsidRPr="00744E0F">
        <w:rPr>
          <w:noProof/>
        </w:rPr>
        <w:t xml:space="preserve"> </w:t>
      </w:r>
    </w:p>
    <w:p w14:paraId="3371D117" w14:textId="77777777" w:rsidR="005F2A15" w:rsidRPr="00744E0F" w:rsidRDefault="005F2A15" w:rsidP="00737DAC">
      <w:pPr>
        <w:pStyle w:val="ManualConsidrant"/>
        <w:ind w:left="0" w:firstLine="0"/>
        <w:rPr>
          <w:b/>
          <w:bCs/>
          <w:noProof/>
        </w:rPr>
      </w:pPr>
    </w:p>
    <w:p w14:paraId="317F015A" w14:textId="6634BE25" w:rsidR="00895671" w:rsidRDefault="00895671" w:rsidP="00895671">
      <w:pPr>
        <w:pStyle w:val="ManualConsidrant"/>
        <w:rPr>
          <w:b/>
          <w:bCs/>
        </w:rPr>
      </w:pPr>
      <w:r w:rsidRPr="00744E0F">
        <w:rPr>
          <w:noProof/>
        </w:rPr>
        <w:t>(9)</w:t>
      </w:r>
      <w:r w:rsidRPr="00744E0F">
        <w:rPr>
          <w:noProof/>
        </w:rPr>
        <w:tab/>
        <w:t xml:space="preserve">Directive (EU) 2022/2557 obliges the Member States to support critical entities that qualify as SMEs in strengthening their resilience. In doing so, Member States are to prevent excessive administrative burdens. To this purpose, Member States are to adopt strategies for enhancing the resilience of critical entities. Pursuant to Article 4 of that Directive, each strategy is to contain a description of measures that are already in place to facilitate the implementation of certain obligations by the SMEs that are identified as critical entities by the Member States. The scope of that provision should be extended to include SMCs, so that Member States should include a description of any facilitating measures for SMC in their strategies. </w:t>
      </w:r>
      <w:r w:rsidRPr="00744E0F">
        <w:rPr>
          <w:b/>
          <w:bCs/>
          <w:noProof/>
        </w:rPr>
        <w:t xml:space="preserve">Pursuant  to Article 4 and Article 10 of Directive (EU) 2022/2557, such measures should support compliance for SMEs and SMCs without undermining the uniform application of minimum resilience requirements or the objectives of that Directive. </w:t>
      </w:r>
      <w:r w:rsidRPr="00744E0F">
        <w:rPr>
          <w:b/>
          <w:bCs/>
        </w:rPr>
        <w:t>(AM 29)</w:t>
      </w:r>
    </w:p>
    <w:p w14:paraId="7063A7EB" w14:textId="77777777" w:rsidR="00895671" w:rsidRDefault="00895671" w:rsidP="00895671">
      <w:pPr>
        <w:pStyle w:val="ManualConsidrant"/>
        <w:rPr>
          <w:b/>
          <w:bCs/>
        </w:rPr>
      </w:pPr>
    </w:p>
    <w:p w14:paraId="0BF1FA6E" w14:textId="287B5EB4" w:rsidR="00895671" w:rsidRDefault="000A027A" w:rsidP="000A027A">
      <w:pPr>
        <w:pStyle w:val="ManualConsidrant"/>
        <w:rPr>
          <w:b/>
          <w:bCs/>
        </w:rPr>
      </w:pPr>
      <w:r w:rsidRPr="00333509">
        <w:rPr>
          <w:b/>
          <w:bCs/>
          <w:noProof/>
        </w:rPr>
        <w:t xml:space="preserve">9 (a) </w:t>
      </w:r>
      <w:bookmarkStart w:id="4" w:name="_Hlk220426156"/>
      <w:r w:rsidRPr="00333509">
        <w:rPr>
          <w:b/>
          <w:bCs/>
        </w:rPr>
        <w:t xml:space="preserve">The Commission should, by </w:t>
      </w:r>
      <w:r w:rsidRPr="00333509">
        <w:rPr>
          <w:b/>
          <w:bCs/>
          <w:strike/>
        </w:rPr>
        <w:t>three</w:t>
      </w:r>
      <w:r w:rsidRPr="00333509">
        <w:rPr>
          <w:b/>
          <w:bCs/>
        </w:rPr>
        <w:t xml:space="preserve"> </w:t>
      </w:r>
      <w:r w:rsidR="00440ACB" w:rsidRPr="00333509">
        <w:rPr>
          <w:b/>
          <w:bCs/>
          <w:color w:val="FF0000"/>
        </w:rPr>
        <w:t xml:space="preserve">five </w:t>
      </w:r>
      <w:r w:rsidRPr="00333509">
        <w:rPr>
          <w:b/>
          <w:bCs/>
        </w:rPr>
        <w:t xml:space="preserve">years from the entry into force of this Directive and every </w:t>
      </w:r>
      <w:r w:rsidR="00333509" w:rsidRPr="00333509">
        <w:rPr>
          <w:b/>
          <w:bCs/>
          <w:color w:val="FF0000"/>
        </w:rPr>
        <w:t xml:space="preserve">five </w:t>
      </w:r>
      <w:r w:rsidRPr="00333509">
        <w:rPr>
          <w:b/>
          <w:bCs/>
        </w:rPr>
        <w:t>years thereafter, carry out an evaluation and present a report to the European Parliament and the Council on the implementation of the provisions of Directives</w:t>
      </w:r>
      <w:r w:rsidR="002F05AD" w:rsidRPr="00333509">
        <w:rPr>
          <w:b/>
          <w:bCs/>
        </w:rPr>
        <w:t xml:space="preserve"> 2014/65/EU and (EU) 2022/2557</w:t>
      </w:r>
      <w:r w:rsidRPr="00333509">
        <w:rPr>
          <w:b/>
          <w:bCs/>
        </w:rPr>
        <w:t xml:space="preserve"> as amended by this Directive, including the impact on administrative burden-reduction and competitiveness, </w:t>
      </w:r>
      <w:r w:rsidR="002F05AD" w:rsidRPr="00333509">
        <w:rPr>
          <w:b/>
          <w:bCs/>
        </w:rPr>
        <w:t xml:space="preserve">on economic, social and environmental aspects, and </w:t>
      </w:r>
      <w:r w:rsidRPr="00333509">
        <w:rPr>
          <w:b/>
          <w:bCs/>
        </w:rPr>
        <w:t xml:space="preserve">on the development and growth of micro, small and medium-sized enterprises. The report should particularly focus on the possible need to review the thresholds defining SMCs, </w:t>
      </w:r>
      <w:proofErr w:type="gramStart"/>
      <w:r w:rsidRPr="00333509">
        <w:rPr>
          <w:b/>
          <w:bCs/>
        </w:rPr>
        <w:t>in light of</w:t>
      </w:r>
      <w:proofErr w:type="gramEnd"/>
      <w:r w:rsidRPr="00333509">
        <w:rPr>
          <w:b/>
          <w:bCs/>
        </w:rPr>
        <w:t xml:space="preserve"> economic and market developments. Thresholds defining enterprise categories should be based on objective, verifiable, and up-to-data data, underpinned by a clear policy rationale. The report should be accompanied, if appropriate, by a legislative proposal</w:t>
      </w:r>
      <w:bookmarkEnd w:id="4"/>
      <w:r w:rsidRPr="00333509">
        <w:rPr>
          <w:b/>
          <w:bCs/>
        </w:rPr>
        <w:t xml:space="preserve"> (IMCO CAs, AM 23, 28).</w:t>
      </w:r>
      <w:r>
        <w:rPr>
          <w:b/>
          <w:bCs/>
        </w:rPr>
        <w:t xml:space="preserve"> </w:t>
      </w:r>
    </w:p>
    <w:p w14:paraId="677FB9D8" w14:textId="77777777" w:rsidR="000A027A" w:rsidRPr="000A027A" w:rsidRDefault="000A027A" w:rsidP="000A027A">
      <w:pPr>
        <w:pStyle w:val="ManualConsidrant"/>
        <w:ind w:left="0" w:firstLine="0"/>
        <w:rPr>
          <w:b/>
          <w:bCs/>
        </w:rPr>
      </w:pPr>
    </w:p>
    <w:p w14:paraId="5D210D20" w14:textId="2A0991CD" w:rsidR="00895671" w:rsidRPr="00D33E6D" w:rsidRDefault="00895671" w:rsidP="00895671">
      <w:pPr>
        <w:pStyle w:val="ManualConsidrant"/>
        <w:rPr>
          <w:rStyle w:val="CommentReference"/>
          <w:noProof/>
          <w:szCs w:val="24"/>
        </w:rPr>
      </w:pPr>
      <w:r w:rsidRPr="008F5AAA">
        <w:rPr>
          <w:rStyle w:val="CommentReference"/>
          <w:noProof/>
        </w:rPr>
        <w:t>(10)</w:t>
      </w:r>
      <w:r w:rsidRPr="008F5AAA">
        <w:rPr>
          <w:rStyle w:val="CommentReference"/>
          <w:noProof/>
        </w:rPr>
        <w:tab/>
      </w:r>
      <w:r w:rsidRPr="00D33E6D">
        <w:rPr>
          <w:noProof/>
        </w:rPr>
        <w:t>Directives 2014/65/EU and (EU) 2022/2557 should therefore be amended accordingly</w:t>
      </w:r>
    </w:p>
    <w:p w14:paraId="4846E4C1" w14:textId="77777777" w:rsidR="00895671" w:rsidRDefault="00895671" w:rsidP="00895671"/>
    <w:p w14:paraId="62C2A26B" w14:textId="77777777" w:rsidR="00895671" w:rsidRPr="00F700FA" w:rsidRDefault="00895671" w:rsidP="00895671">
      <w:pPr>
        <w:pStyle w:val="paragraph"/>
        <w:spacing w:before="0" w:beforeAutospacing="0" w:after="0" w:afterAutospacing="0" w:line="276" w:lineRule="auto"/>
        <w:jc w:val="both"/>
        <w:textAlignment w:val="baseline"/>
      </w:pPr>
    </w:p>
    <w:p w14:paraId="5FDDC8B2" w14:textId="77777777" w:rsidR="00895671" w:rsidRPr="000C02DC" w:rsidRDefault="00895671" w:rsidP="00895671">
      <w:pPr>
        <w:pStyle w:val="paragraph"/>
        <w:pBdr>
          <w:top w:val="single" w:sz="8" w:space="1" w:color="000000"/>
          <w:left w:val="single" w:sz="8" w:space="4" w:color="000000"/>
          <w:right w:val="single" w:sz="8" w:space="4" w:color="000000"/>
        </w:pBdr>
        <w:spacing w:before="0" w:beforeAutospacing="0" w:after="0" w:afterAutospacing="0" w:line="276" w:lineRule="auto"/>
        <w:ind w:left="705" w:hanging="705"/>
        <w:jc w:val="both"/>
        <w:textAlignment w:val="baseline"/>
        <w:rPr>
          <w:b/>
          <w:bCs/>
          <w:color w:val="000000"/>
          <w:sz w:val="32"/>
          <w:szCs w:val="32"/>
        </w:rPr>
      </w:pPr>
      <w:r w:rsidRPr="00BA723D">
        <w:rPr>
          <w:rStyle w:val="normaltextrun"/>
          <w:b/>
          <w:bCs/>
          <w:color w:val="000000"/>
          <w:sz w:val="32"/>
          <w:szCs w:val="32"/>
        </w:rPr>
        <w:t>CA </w:t>
      </w:r>
      <w:r>
        <w:rPr>
          <w:rStyle w:val="normaltextrun"/>
          <w:b/>
          <w:bCs/>
          <w:color w:val="000000"/>
          <w:sz w:val="32"/>
          <w:szCs w:val="32"/>
        </w:rPr>
        <w:t>2</w:t>
      </w:r>
      <w:r w:rsidRPr="00BA723D">
        <w:rPr>
          <w:rStyle w:val="normaltextrun"/>
          <w:b/>
          <w:bCs/>
          <w:color w:val="000000"/>
          <w:sz w:val="32"/>
          <w:szCs w:val="32"/>
        </w:rPr>
        <w:t>: </w:t>
      </w:r>
      <w:r>
        <w:rPr>
          <w:rStyle w:val="normaltextrun"/>
          <w:b/>
          <w:bCs/>
          <w:color w:val="000000"/>
          <w:sz w:val="32"/>
          <w:szCs w:val="32"/>
        </w:rPr>
        <w:t xml:space="preserve">Article 1 - ECON competence </w:t>
      </w:r>
    </w:p>
    <w:p w14:paraId="5A694F18" w14:textId="77777777" w:rsidR="00895671" w:rsidRDefault="00895671" w:rsidP="00895671">
      <w:pPr>
        <w:pStyle w:val="paragraph"/>
        <w:pBdr>
          <w:left w:val="single" w:sz="8" w:space="4" w:color="000000"/>
          <w:bottom w:val="single" w:sz="4" w:space="1" w:color="auto"/>
          <w:right w:val="single" w:sz="8" w:space="4" w:color="000000"/>
        </w:pBdr>
        <w:spacing w:before="0" w:beforeAutospacing="0" w:after="0" w:afterAutospacing="0" w:line="276" w:lineRule="auto"/>
        <w:textAlignment w:val="baseline"/>
        <w:rPr>
          <w:rStyle w:val="normaltextrun"/>
          <w:b/>
          <w:bCs/>
          <w:i/>
          <w:iCs/>
          <w:color w:val="000000"/>
        </w:rPr>
      </w:pPr>
    </w:p>
    <w:p w14:paraId="150C4448" w14:textId="16FFCBEE" w:rsidR="00895671" w:rsidRDefault="00895671" w:rsidP="00895671">
      <w:pPr>
        <w:pStyle w:val="paragraph"/>
        <w:pBdr>
          <w:left w:val="single" w:sz="8" w:space="4" w:color="000000"/>
          <w:bottom w:val="single" w:sz="4" w:space="1" w:color="auto"/>
          <w:right w:val="single" w:sz="8" w:space="4" w:color="000000"/>
        </w:pBdr>
        <w:spacing w:before="0" w:beforeAutospacing="0" w:after="0" w:afterAutospacing="0" w:line="276" w:lineRule="auto"/>
        <w:textAlignment w:val="baseline"/>
        <w:rPr>
          <w:rStyle w:val="normaltextrun"/>
          <w:b/>
          <w:bCs/>
          <w:i/>
          <w:iCs/>
        </w:rPr>
      </w:pPr>
      <w:r w:rsidRPr="00BA723D">
        <w:rPr>
          <w:rStyle w:val="normaltextrun"/>
          <w:b/>
          <w:bCs/>
          <w:i/>
          <w:iCs/>
          <w:color w:val="000000"/>
        </w:rPr>
        <w:t>Compromise amendment covering the following amendments:</w:t>
      </w:r>
      <w:r w:rsidRPr="00BA723D">
        <w:rPr>
          <w:rStyle w:val="normaltextrun"/>
          <w:b/>
          <w:bCs/>
          <w:i/>
          <w:iCs/>
        </w:rPr>
        <w:t> </w:t>
      </w:r>
      <w:r w:rsidR="00610235">
        <w:rPr>
          <w:rStyle w:val="normaltextrun"/>
          <w:b/>
          <w:bCs/>
          <w:i/>
          <w:iCs/>
        </w:rPr>
        <w:t>32</w:t>
      </w:r>
    </w:p>
    <w:p w14:paraId="12A43B9A" w14:textId="77777777" w:rsidR="00895671" w:rsidRPr="00BA723D" w:rsidRDefault="00895671" w:rsidP="00895671">
      <w:pPr>
        <w:pStyle w:val="paragraph"/>
        <w:pBdr>
          <w:left w:val="single" w:sz="8" w:space="4" w:color="000000"/>
          <w:bottom w:val="single" w:sz="4" w:space="1" w:color="auto"/>
          <w:right w:val="single" w:sz="8" w:space="4" w:color="000000"/>
        </w:pBdr>
        <w:spacing w:before="0" w:beforeAutospacing="0" w:after="0" w:afterAutospacing="0" w:line="276" w:lineRule="auto"/>
        <w:textAlignment w:val="baseline"/>
        <w:rPr>
          <w:b/>
          <w:bCs/>
        </w:rPr>
      </w:pPr>
    </w:p>
    <w:p w14:paraId="418F3453" w14:textId="30E1A9BA" w:rsidR="00895671" w:rsidRDefault="00895671" w:rsidP="00895671">
      <w:pPr>
        <w:pStyle w:val="paragraph"/>
        <w:pBdr>
          <w:left w:val="single" w:sz="8" w:space="4" w:color="000000"/>
          <w:bottom w:val="single" w:sz="4" w:space="1" w:color="auto"/>
          <w:right w:val="single" w:sz="8" w:space="4" w:color="000000"/>
        </w:pBdr>
        <w:spacing w:before="0" w:beforeAutospacing="0" w:after="0" w:afterAutospacing="0" w:line="276" w:lineRule="auto"/>
        <w:textAlignment w:val="baseline"/>
        <w:rPr>
          <w:rStyle w:val="normaltextrun"/>
          <w:b/>
          <w:bCs/>
          <w:i/>
          <w:iCs/>
        </w:rPr>
      </w:pPr>
      <w:r w:rsidRPr="00BA723D">
        <w:rPr>
          <w:rStyle w:val="normaltextrun"/>
          <w:b/>
          <w:bCs/>
          <w:i/>
          <w:iCs/>
        </w:rPr>
        <w:t xml:space="preserve">Amendments not covered: </w:t>
      </w:r>
      <w:r w:rsidR="00610235">
        <w:rPr>
          <w:rStyle w:val="normaltextrun"/>
          <w:b/>
          <w:bCs/>
          <w:i/>
          <w:iCs/>
        </w:rPr>
        <w:t>31,33,34,35,36,37</w:t>
      </w:r>
    </w:p>
    <w:p w14:paraId="2DD72287" w14:textId="77777777" w:rsidR="00895671" w:rsidRDefault="00895671" w:rsidP="00895671">
      <w:pPr>
        <w:pStyle w:val="paragraph"/>
        <w:pBdr>
          <w:left w:val="single" w:sz="8" w:space="4" w:color="000000"/>
          <w:bottom w:val="single" w:sz="4" w:space="1" w:color="auto"/>
          <w:right w:val="single" w:sz="8" w:space="4" w:color="000000"/>
        </w:pBdr>
        <w:spacing w:before="0" w:beforeAutospacing="0" w:after="0" w:afterAutospacing="0" w:line="276" w:lineRule="auto"/>
        <w:textAlignment w:val="baseline"/>
        <w:rPr>
          <w:rStyle w:val="normaltextrun"/>
          <w:b/>
          <w:bCs/>
          <w:i/>
          <w:iCs/>
        </w:rPr>
      </w:pPr>
    </w:p>
    <w:p w14:paraId="31546EBC" w14:textId="77777777" w:rsidR="00895671" w:rsidRPr="00BA723D" w:rsidRDefault="00895671" w:rsidP="00895671">
      <w:pPr>
        <w:pStyle w:val="paragraph"/>
        <w:pBdr>
          <w:left w:val="single" w:sz="8" w:space="4" w:color="000000"/>
          <w:bottom w:val="single" w:sz="4" w:space="1" w:color="auto"/>
          <w:right w:val="single" w:sz="8" w:space="4" w:color="000000"/>
        </w:pBdr>
        <w:spacing w:before="0" w:beforeAutospacing="0" w:after="0" w:afterAutospacing="0" w:line="276" w:lineRule="auto"/>
        <w:textAlignment w:val="baseline"/>
        <w:rPr>
          <w:b/>
          <w:bCs/>
        </w:rPr>
      </w:pPr>
      <w:r>
        <w:rPr>
          <w:rStyle w:val="normaltextrun"/>
          <w:b/>
          <w:bCs/>
          <w:i/>
          <w:iCs/>
        </w:rPr>
        <w:t xml:space="preserve">For political discussion: </w:t>
      </w:r>
    </w:p>
    <w:p w14:paraId="0F28E609" w14:textId="77777777" w:rsidR="00895671" w:rsidRPr="000A2F1B" w:rsidRDefault="00895671" w:rsidP="00895671"/>
    <w:p w14:paraId="2F0DA28A" w14:textId="77777777" w:rsidR="00895671" w:rsidRPr="00D33E6D" w:rsidRDefault="00895671" w:rsidP="00895671">
      <w:pPr>
        <w:pStyle w:val="Titrearticle"/>
        <w:rPr>
          <w:noProof/>
        </w:rPr>
      </w:pPr>
      <w:r w:rsidRPr="00D33E6D">
        <w:rPr>
          <w:noProof/>
        </w:rPr>
        <w:lastRenderedPageBreak/>
        <w:t>Article 1</w:t>
      </w:r>
      <w:r w:rsidRPr="00D33E6D">
        <w:rPr>
          <w:noProof/>
          <w:lang w:val="en-US"/>
        </w:rPr>
        <w:br/>
      </w:r>
      <w:r w:rsidRPr="00D33E6D">
        <w:rPr>
          <w:noProof/>
        </w:rPr>
        <w:t>Amendments to Directive 2014/65/EU</w:t>
      </w:r>
    </w:p>
    <w:p w14:paraId="3921559C" w14:textId="77777777" w:rsidR="00895671" w:rsidRPr="00D33E6D" w:rsidRDefault="00895671" w:rsidP="00895671">
      <w:pPr>
        <w:spacing w:after="100"/>
        <w:rPr>
          <w:rFonts w:eastAsia="Times New Roman"/>
          <w:noProof/>
          <w:color w:val="000000" w:themeColor="text1"/>
          <w:lang w:eastAsia="en-IE"/>
        </w:rPr>
      </w:pPr>
      <w:r w:rsidRPr="00D33E6D">
        <w:rPr>
          <w:rFonts w:eastAsia="Times New Roman"/>
          <w:noProof/>
          <w:color w:val="000000" w:themeColor="text1"/>
          <w:lang w:eastAsia="en-IE"/>
        </w:rPr>
        <w:t>Directive 2014/65/EU is amended as follows:</w:t>
      </w:r>
    </w:p>
    <w:p w14:paraId="4EDE1478" w14:textId="77777777" w:rsidR="00895671" w:rsidRPr="00D33E6D" w:rsidRDefault="00895671" w:rsidP="00895671">
      <w:pPr>
        <w:pStyle w:val="Point1"/>
        <w:rPr>
          <w:i/>
          <w:iCs/>
          <w:noProof/>
          <w:lang w:eastAsia="en-IE"/>
        </w:rPr>
      </w:pPr>
      <w:r w:rsidRPr="008F5AAA">
        <w:rPr>
          <w:noProof/>
        </w:rPr>
        <w:t>(1)</w:t>
      </w:r>
      <w:r w:rsidRPr="008F5AAA">
        <w:rPr>
          <w:noProof/>
        </w:rPr>
        <w:tab/>
      </w:r>
      <w:r w:rsidRPr="00D33E6D">
        <w:rPr>
          <w:noProof/>
          <w:lang w:eastAsia="en-IE"/>
        </w:rPr>
        <w:t>in Article 4</w:t>
      </w:r>
      <w:r w:rsidRPr="00D33E6D" w:rsidDel="004862AA">
        <w:rPr>
          <w:noProof/>
          <w:lang w:eastAsia="en-IE"/>
        </w:rPr>
        <w:t>(</w:t>
      </w:r>
      <w:r w:rsidRPr="00D33E6D">
        <w:rPr>
          <w:noProof/>
          <w:lang w:eastAsia="en-IE"/>
        </w:rPr>
        <w:t>1</w:t>
      </w:r>
      <w:r w:rsidRPr="00D33E6D" w:rsidDel="004862AA">
        <w:rPr>
          <w:noProof/>
          <w:lang w:eastAsia="en-IE"/>
        </w:rPr>
        <w:t>)</w:t>
      </w:r>
      <w:r w:rsidRPr="00D33E6D">
        <w:rPr>
          <w:noProof/>
          <w:lang w:eastAsia="en-IE"/>
        </w:rPr>
        <w:t>, the following point (13a) is inserted:</w:t>
      </w:r>
    </w:p>
    <w:p w14:paraId="38C40E6B" w14:textId="457E25D6" w:rsidR="00895671" w:rsidRPr="00D33E6D" w:rsidRDefault="00895671" w:rsidP="00895671">
      <w:pPr>
        <w:rPr>
          <w:rFonts w:eastAsia="Times New Roman"/>
          <w:noProof/>
          <w:color w:val="000000" w:themeColor="text1"/>
          <w:lang w:val="en-IE" w:eastAsia="en-IE"/>
        </w:rPr>
      </w:pPr>
      <w:r w:rsidRPr="00D33E6D">
        <w:rPr>
          <w:rFonts w:eastAsia="Times New Roman"/>
          <w:noProof/>
          <w:color w:val="000000" w:themeColor="text1"/>
          <w:lang w:val="en-IE" w:eastAsia="en-IE"/>
        </w:rPr>
        <w:t>‘(13a) ‘small mid-cap enterprises’,</w:t>
      </w:r>
      <w:r w:rsidR="00610235">
        <w:rPr>
          <w:rFonts w:eastAsia="Times New Roman"/>
          <w:noProof/>
          <w:color w:val="000000" w:themeColor="text1"/>
          <w:lang w:val="en-IE" w:eastAsia="en-IE"/>
        </w:rPr>
        <w:t xml:space="preserve"> </w:t>
      </w:r>
      <w:r w:rsidR="00610235">
        <w:rPr>
          <w:b/>
          <w:i/>
        </w:rPr>
        <w:t xml:space="preserve">or </w:t>
      </w:r>
      <w:r w:rsidR="00610235" w:rsidRPr="00610235">
        <w:rPr>
          <w:b/>
          <w:i/>
        </w:rPr>
        <w:t>'SMCs</w:t>
      </w:r>
      <w:r w:rsidR="00610235" w:rsidRPr="00610235">
        <w:rPr>
          <w:b/>
        </w:rPr>
        <w:t>' (</w:t>
      </w:r>
      <w:r w:rsidR="00610235" w:rsidRPr="003455B3">
        <w:rPr>
          <w:b/>
        </w:rPr>
        <w:t>AM 32</w:t>
      </w:r>
      <w:r w:rsidR="00610235" w:rsidRPr="00610235">
        <w:rPr>
          <w:b/>
        </w:rPr>
        <w:t>)</w:t>
      </w:r>
      <w:r w:rsidRPr="00D33E6D">
        <w:rPr>
          <w:rFonts w:eastAsia="Times New Roman"/>
          <w:noProof/>
          <w:color w:val="000000" w:themeColor="text1"/>
          <w:lang w:val="en-IE" w:eastAsia="en-IE"/>
        </w:rPr>
        <w:t xml:space="preserve"> for the purposes of this Directive, means companies that had an average market capitalisation equal to or higher than EUR 200 000 000 and lower than EUR 1 000 000 000 on the basis of end-year quotes for the previous three calendar years;’;</w:t>
      </w:r>
    </w:p>
    <w:p w14:paraId="5469FC02" w14:textId="77777777" w:rsidR="00895671" w:rsidRPr="00D33E6D" w:rsidRDefault="00895671" w:rsidP="00895671">
      <w:pPr>
        <w:pStyle w:val="Point1"/>
        <w:rPr>
          <w:noProof/>
        </w:rPr>
      </w:pPr>
      <w:r w:rsidRPr="008F5AAA">
        <w:rPr>
          <w:noProof/>
        </w:rPr>
        <w:t>(2)</w:t>
      </w:r>
      <w:r w:rsidRPr="008F5AAA">
        <w:rPr>
          <w:noProof/>
        </w:rPr>
        <w:tab/>
      </w:r>
      <w:r w:rsidRPr="00D33E6D">
        <w:rPr>
          <w:noProof/>
        </w:rPr>
        <w:t>in Article 33(3), point (a) is replaced by the following:</w:t>
      </w:r>
    </w:p>
    <w:p w14:paraId="00F5AA1A" w14:textId="77777777" w:rsidR="00895671" w:rsidRDefault="00895671" w:rsidP="00895671">
      <w:pPr>
        <w:rPr>
          <w:rFonts w:eastAsia="Times New Roman"/>
          <w:noProof/>
          <w:color w:val="000000" w:themeColor="text1"/>
          <w:lang w:val="en-IE" w:eastAsia="en-IE"/>
        </w:rPr>
      </w:pPr>
      <w:r w:rsidRPr="00D33E6D">
        <w:rPr>
          <w:rFonts w:eastAsia="Times New Roman"/>
          <w:noProof/>
          <w:color w:val="000000" w:themeColor="text1"/>
          <w:lang w:val="en-IE" w:eastAsia="en-IE"/>
        </w:rPr>
        <w:t>‘(a) at least 50% of the issuers whose financial instruments are admitted to trading on the MTF are SMEs or SMCs or both, at the time when the MTF is registered as an SME growth market and in any calendar year thereafter;’.</w:t>
      </w:r>
    </w:p>
    <w:p w14:paraId="6B8B64F6" w14:textId="77777777" w:rsidR="00895671" w:rsidRDefault="00895671" w:rsidP="00895671">
      <w:pPr>
        <w:rPr>
          <w:rFonts w:eastAsia="Times New Roman"/>
          <w:noProof/>
          <w:color w:val="000000" w:themeColor="text1"/>
          <w:lang w:val="en-IE" w:eastAsia="en-IE"/>
        </w:rPr>
      </w:pPr>
    </w:p>
    <w:p w14:paraId="5DAD1014" w14:textId="77777777" w:rsidR="00895671" w:rsidRDefault="00895671" w:rsidP="00895671">
      <w:pPr>
        <w:rPr>
          <w:rFonts w:eastAsia="Times New Roman"/>
          <w:noProof/>
          <w:color w:val="000000" w:themeColor="text1"/>
          <w:lang w:val="en-IE" w:eastAsia="en-IE"/>
        </w:rPr>
      </w:pPr>
    </w:p>
    <w:p w14:paraId="5DFBB62D" w14:textId="77777777" w:rsidR="00895671" w:rsidRDefault="00895671" w:rsidP="00895671">
      <w:pPr>
        <w:rPr>
          <w:rFonts w:eastAsia="Times New Roman"/>
          <w:noProof/>
          <w:color w:val="000000" w:themeColor="text1"/>
          <w:lang w:val="en-IE" w:eastAsia="en-IE"/>
        </w:rPr>
      </w:pPr>
    </w:p>
    <w:p w14:paraId="1C88CCD1" w14:textId="77777777" w:rsidR="00895671" w:rsidRPr="00F700FA" w:rsidRDefault="00895671" w:rsidP="00895671">
      <w:pPr>
        <w:pStyle w:val="paragraph"/>
        <w:spacing w:before="0" w:beforeAutospacing="0" w:after="0" w:afterAutospacing="0" w:line="276" w:lineRule="auto"/>
        <w:jc w:val="both"/>
        <w:textAlignment w:val="baseline"/>
      </w:pPr>
    </w:p>
    <w:p w14:paraId="47263A0E" w14:textId="77777777" w:rsidR="00895671" w:rsidRPr="000C02DC" w:rsidRDefault="00895671" w:rsidP="00895671">
      <w:pPr>
        <w:pStyle w:val="paragraph"/>
        <w:pBdr>
          <w:top w:val="single" w:sz="8" w:space="1" w:color="000000"/>
          <w:left w:val="single" w:sz="8" w:space="4" w:color="000000"/>
          <w:right w:val="single" w:sz="8" w:space="4" w:color="000000"/>
        </w:pBdr>
        <w:spacing w:before="0" w:beforeAutospacing="0" w:after="0" w:afterAutospacing="0" w:line="276" w:lineRule="auto"/>
        <w:ind w:left="705" w:hanging="705"/>
        <w:jc w:val="both"/>
        <w:textAlignment w:val="baseline"/>
        <w:rPr>
          <w:b/>
          <w:bCs/>
          <w:color w:val="000000"/>
          <w:sz w:val="32"/>
          <w:szCs w:val="32"/>
        </w:rPr>
      </w:pPr>
      <w:r w:rsidRPr="00BA723D">
        <w:rPr>
          <w:rStyle w:val="normaltextrun"/>
          <w:b/>
          <w:bCs/>
          <w:color w:val="000000"/>
          <w:sz w:val="32"/>
          <w:szCs w:val="32"/>
        </w:rPr>
        <w:t>CA </w:t>
      </w:r>
      <w:r>
        <w:rPr>
          <w:rStyle w:val="normaltextrun"/>
          <w:b/>
          <w:bCs/>
          <w:color w:val="000000"/>
          <w:sz w:val="32"/>
          <w:szCs w:val="32"/>
        </w:rPr>
        <w:t>3</w:t>
      </w:r>
      <w:r w:rsidRPr="00BA723D">
        <w:rPr>
          <w:rStyle w:val="normaltextrun"/>
          <w:b/>
          <w:bCs/>
          <w:color w:val="000000"/>
          <w:sz w:val="32"/>
          <w:szCs w:val="32"/>
        </w:rPr>
        <w:t>: </w:t>
      </w:r>
      <w:r>
        <w:rPr>
          <w:rStyle w:val="normaltextrun"/>
          <w:b/>
          <w:bCs/>
          <w:color w:val="000000"/>
          <w:sz w:val="32"/>
          <w:szCs w:val="32"/>
        </w:rPr>
        <w:t xml:space="preserve">Article 2 - LIBE competence </w:t>
      </w:r>
    </w:p>
    <w:p w14:paraId="208DF38B" w14:textId="77777777" w:rsidR="00895671" w:rsidRDefault="00895671" w:rsidP="00895671">
      <w:pPr>
        <w:pStyle w:val="paragraph"/>
        <w:pBdr>
          <w:left w:val="single" w:sz="8" w:space="4" w:color="000000"/>
          <w:bottom w:val="single" w:sz="4" w:space="1" w:color="auto"/>
          <w:right w:val="single" w:sz="8" w:space="4" w:color="000000"/>
        </w:pBdr>
        <w:spacing w:before="0" w:beforeAutospacing="0" w:after="0" w:afterAutospacing="0" w:line="276" w:lineRule="auto"/>
        <w:textAlignment w:val="baseline"/>
        <w:rPr>
          <w:rStyle w:val="normaltextrun"/>
          <w:b/>
          <w:bCs/>
          <w:i/>
          <w:iCs/>
          <w:color w:val="000000"/>
        </w:rPr>
      </w:pPr>
    </w:p>
    <w:p w14:paraId="00C4E7C7" w14:textId="77777777" w:rsidR="00895671" w:rsidRDefault="00895671" w:rsidP="00895671">
      <w:pPr>
        <w:pStyle w:val="paragraph"/>
        <w:pBdr>
          <w:left w:val="single" w:sz="8" w:space="4" w:color="000000"/>
          <w:bottom w:val="single" w:sz="4" w:space="1" w:color="auto"/>
          <w:right w:val="single" w:sz="8" w:space="4" w:color="000000"/>
        </w:pBdr>
        <w:spacing w:before="0" w:beforeAutospacing="0" w:after="0" w:afterAutospacing="0" w:line="276" w:lineRule="auto"/>
        <w:textAlignment w:val="baseline"/>
        <w:rPr>
          <w:rStyle w:val="normaltextrun"/>
          <w:b/>
          <w:bCs/>
          <w:i/>
          <w:iCs/>
        </w:rPr>
      </w:pPr>
      <w:r w:rsidRPr="00BA723D">
        <w:rPr>
          <w:rStyle w:val="normaltextrun"/>
          <w:b/>
          <w:bCs/>
          <w:i/>
          <w:iCs/>
          <w:color w:val="000000"/>
        </w:rPr>
        <w:t>Compromise amendment covering the following amendments:</w:t>
      </w:r>
      <w:r w:rsidRPr="00BA723D">
        <w:rPr>
          <w:rStyle w:val="normaltextrun"/>
          <w:b/>
          <w:bCs/>
          <w:i/>
          <w:iCs/>
        </w:rPr>
        <w:t> </w:t>
      </w:r>
    </w:p>
    <w:p w14:paraId="1CFC6D53" w14:textId="77777777" w:rsidR="00895671" w:rsidRPr="00BA723D" w:rsidRDefault="00895671" w:rsidP="00895671">
      <w:pPr>
        <w:pStyle w:val="paragraph"/>
        <w:pBdr>
          <w:left w:val="single" w:sz="8" w:space="4" w:color="000000"/>
          <w:bottom w:val="single" w:sz="4" w:space="1" w:color="auto"/>
          <w:right w:val="single" w:sz="8" w:space="4" w:color="000000"/>
        </w:pBdr>
        <w:spacing w:before="0" w:beforeAutospacing="0" w:after="0" w:afterAutospacing="0" w:line="276" w:lineRule="auto"/>
        <w:textAlignment w:val="baseline"/>
        <w:rPr>
          <w:b/>
          <w:bCs/>
        </w:rPr>
      </w:pPr>
    </w:p>
    <w:p w14:paraId="1AFACD31" w14:textId="77777777" w:rsidR="00895671" w:rsidRDefault="00895671" w:rsidP="00895671">
      <w:pPr>
        <w:pStyle w:val="paragraph"/>
        <w:pBdr>
          <w:left w:val="single" w:sz="8" w:space="4" w:color="000000"/>
          <w:bottom w:val="single" w:sz="4" w:space="1" w:color="auto"/>
          <w:right w:val="single" w:sz="8" w:space="4" w:color="000000"/>
        </w:pBdr>
        <w:spacing w:before="0" w:beforeAutospacing="0" w:after="0" w:afterAutospacing="0" w:line="276" w:lineRule="auto"/>
        <w:textAlignment w:val="baseline"/>
        <w:rPr>
          <w:rStyle w:val="normaltextrun"/>
          <w:b/>
          <w:bCs/>
          <w:i/>
          <w:iCs/>
        </w:rPr>
      </w:pPr>
      <w:r w:rsidRPr="00BA723D">
        <w:rPr>
          <w:rStyle w:val="normaltextrun"/>
          <w:b/>
          <w:bCs/>
          <w:i/>
          <w:iCs/>
        </w:rPr>
        <w:t xml:space="preserve">Amendments not covered: </w:t>
      </w:r>
    </w:p>
    <w:p w14:paraId="229E8D15" w14:textId="77777777" w:rsidR="00895671" w:rsidRDefault="00895671" w:rsidP="00895671">
      <w:pPr>
        <w:pStyle w:val="paragraph"/>
        <w:pBdr>
          <w:left w:val="single" w:sz="8" w:space="4" w:color="000000"/>
          <w:bottom w:val="single" w:sz="4" w:space="1" w:color="auto"/>
          <w:right w:val="single" w:sz="8" w:space="4" w:color="000000"/>
        </w:pBdr>
        <w:spacing w:before="0" w:beforeAutospacing="0" w:after="0" w:afterAutospacing="0" w:line="276" w:lineRule="auto"/>
        <w:textAlignment w:val="baseline"/>
        <w:rPr>
          <w:rStyle w:val="normaltextrun"/>
          <w:b/>
          <w:bCs/>
          <w:i/>
          <w:iCs/>
        </w:rPr>
      </w:pPr>
    </w:p>
    <w:p w14:paraId="37972A45" w14:textId="77777777" w:rsidR="00895671" w:rsidRPr="00BA723D" w:rsidRDefault="00895671" w:rsidP="00895671">
      <w:pPr>
        <w:pStyle w:val="paragraph"/>
        <w:pBdr>
          <w:left w:val="single" w:sz="8" w:space="4" w:color="000000"/>
          <w:bottom w:val="single" w:sz="4" w:space="1" w:color="auto"/>
          <w:right w:val="single" w:sz="8" w:space="4" w:color="000000"/>
        </w:pBdr>
        <w:spacing w:before="0" w:beforeAutospacing="0" w:after="0" w:afterAutospacing="0" w:line="276" w:lineRule="auto"/>
        <w:textAlignment w:val="baseline"/>
        <w:rPr>
          <w:b/>
          <w:bCs/>
        </w:rPr>
      </w:pPr>
      <w:r>
        <w:rPr>
          <w:rStyle w:val="normaltextrun"/>
          <w:b/>
          <w:bCs/>
          <w:i/>
          <w:iCs/>
        </w:rPr>
        <w:t>For political discussion: 38, 39, 40, 41, 42, 43, 44, 45</w:t>
      </w:r>
    </w:p>
    <w:p w14:paraId="3D3D6DC6" w14:textId="77777777" w:rsidR="00895671" w:rsidRPr="000A2F1B" w:rsidRDefault="00895671" w:rsidP="00895671"/>
    <w:p w14:paraId="78A918D9" w14:textId="77777777" w:rsidR="00895671" w:rsidRPr="000A2F1B" w:rsidRDefault="00895671" w:rsidP="00895671">
      <w:pPr>
        <w:rPr>
          <w:rFonts w:eastAsia="Times New Roman"/>
          <w:noProof/>
          <w:color w:val="000000" w:themeColor="text1"/>
          <w:lang w:eastAsia="en-IE"/>
        </w:rPr>
      </w:pPr>
    </w:p>
    <w:p w14:paraId="0A2B2775" w14:textId="77777777" w:rsidR="00895671" w:rsidRPr="00D33E6D" w:rsidRDefault="00895671" w:rsidP="00895671">
      <w:pPr>
        <w:pStyle w:val="Titrearticle"/>
        <w:rPr>
          <w:noProof/>
          <w:lang w:val="en-US"/>
        </w:rPr>
      </w:pPr>
      <w:r w:rsidRPr="00333509">
        <w:rPr>
          <w:noProof/>
        </w:rPr>
        <w:t>Article 2</w:t>
      </w:r>
      <w:r w:rsidRPr="00333509">
        <w:rPr>
          <w:noProof/>
          <w:lang w:val="en-US"/>
        </w:rPr>
        <w:br/>
        <w:t>Amendment to Directive (EU) 2022/2557</w:t>
      </w:r>
    </w:p>
    <w:p w14:paraId="34957943" w14:textId="19FC6221" w:rsidR="00895671" w:rsidRDefault="00895671" w:rsidP="00895671">
      <w:pPr>
        <w:shd w:val="clear" w:color="auto" w:fill="FFFFFF" w:themeFill="background1"/>
        <w:textAlignment w:val="baseline"/>
        <w:rPr>
          <w:rFonts w:eastAsia="Times New Roman"/>
          <w:b/>
          <w:bCs/>
          <w:noProof/>
          <w:color w:val="000000"/>
          <w:bdr w:val="none" w:sz="0" w:space="0" w:color="auto" w:frame="1"/>
          <w:lang w:val="en-IE" w:eastAsia="en-IE"/>
        </w:rPr>
      </w:pPr>
      <w:r w:rsidRPr="00011D2D">
        <w:rPr>
          <w:rFonts w:eastAsia="Times New Roman"/>
          <w:b/>
          <w:bCs/>
          <w:strike/>
          <w:noProof/>
          <w:color w:val="000000"/>
          <w:bdr w:val="none" w:sz="0" w:space="0" w:color="auto" w:frame="1"/>
          <w:lang w:val="en-IE" w:eastAsia="en-IE"/>
        </w:rPr>
        <w:t>In Article 4</w:t>
      </w:r>
      <w:r w:rsidRPr="00011D2D" w:rsidDel="0088319B">
        <w:rPr>
          <w:rFonts w:eastAsia="Times New Roman"/>
          <w:b/>
          <w:bCs/>
          <w:strike/>
          <w:noProof/>
          <w:color w:val="000000"/>
          <w:bdr w:val="none" w:sz="0" w:space="0" w:color="auto" w:frame="1"/>
          <w:lang w:val="en-IE" w:eastAsia="en-IE"/>
        </w:rPr>
        <w:t>(</w:t>
      </w:r>
      <w:r w:rsidRPr="00011D2D">
        <w:rPr>
          <w:rFonts w:eastAsia="Times New Roman"/>
          <w:b/>
          <w:bCs/>
          <w:strike/>
          <w:noProof/>
          <w:color w:val="000000"/>
          <w:bdr w:val="none" w:sz="0" w:space="0" w:color="auto" w:frame="1"/>
          <w:lang w:val="en-IE" w:eastAsia="en-IE"/>
        </w:rPr>
        <w:t>2</w:t>
      </w:r>
      <w:r w:rsidRPr="00011D2D" w:rsidDel="0088319B">
        <w:rPr>
          <w:rFonts w:eastAsia="Times New Roman"/>
          <w:b/>
          <w:bCs/>
          <w:strike/>
          <w:noProof/>
          <w:color w:val="000000"/>
          <w:bdr w:val="none" w:sz="0" w:space="0" w:color="auto" w:frame="1"/>
          <w:lang w:val="en-IE" w:eastAsia="en-IE"/>
        </w:rPr>
        <w:t>)</w:t>
      </w:r>
      <w:r w:rsidRPr="00011D2D">
        <w:rPr>
          <w:rFonts w:eastAsia="Times New Roman"/>
          <w:b/>
          <w:bCs/>
          <w:strike/>
          <w:noProof/>
          <w:color w:val="000000"/>
          <w:bdr w:val="none" w:sz="0" w:space="0" w:color="auto" w:frame="1"/>
          <w:lang w:val="en-IE" w:eastAsia="en-IE"/>
        </w:rPr>
        <w:t xml:space="preserve"> of</w:t>
      </w:r>
      <w:r w:rsidRPr="00D33E6D">
        <w:rPr>
          <w:rFonts w:eastAsia="Times New Roman"/>
          <w:noProof/>
          <w:color w:val="000000"/>
          <w:bdr w:val="none" w:sz="0" w:space="0" w:color="auto" w:frame="1"/>
          <w:lang w:val="en-IE" w:eastAsia="en-IE"/>
        </w:rPr>
        <w:t xml:space="preserve"> Directive (EU) 2022/2557</w:t>
      </w:r>
      <w:r w:rsidRPr="00011D2D">
        <w:rPr>
          <w:rFonts w:eastAsia="Times New Roman"/>
          <w:b/>
          <w:bCs/>
          <w:strike/>
          <w:noProof/>
          <w:color w:val="000000"/>
          <w:bdr w:val="none" w:sz="0" w:space="0" w:color="auto" w:frame="1"/>
          <w:lang w:val="en-IE" w:eastAsia="en-IE"/>
        </w:rPr>
        <w:t>, point (h) is replaced by the following</w:t>
      </w:r>
      <w:r w:rsidR="00011D2D">
        <w:rPr>
          <w:rFonts w:eastAsia="Times New Roman"/>
          <w:b/>
          <w:bCs/>
          <w:noProof/>
          <w:color w:val="000000"/>
          <w:bdr w:val="none" w:sz="0" w:space="0" w:color="auto" w:frame="1"/>
          <w:lang w:val="en-IE" w:eastAsia="en-IE"/>
        </w:rPr>
        <w:t xml:space="preserve"> is amended as </w:t>
      </w:r>
      <w:r w:rsidR="00011D2D" w:rsidRPr="00011D2D">
        <w:rPr>
          <w:rFonts w:eastAsia="Times New Roman"/>
          <w:b/>
          <w:bCs/>
          <w:noProof/>
          <w:color w:val="000000"/>
          <w:bdr w:val="none" w:sz="0" w:space="0" w:color="auto" w:frame="1"/>
          <w:lang w:val="en-IE" w:eastAsia="en-IE"/>
        </w:rPr>
        <w:t>follows:</w:t>
      </w:r>
    </w:p>
    <w:p w14:paraId="6B6588EC" w14:textId="77777777" w:rsidR="00011D2D" w:rsidRDefault="00011D2D" w:rsidP="00895671">
      <w:pPr>
        <w:shd w:val="clear" w:color="auto" w:fill="FFFFFF" w:themeFill="background1"/>
        <w:textAlignment w:val="baseline"/>
        <w:rPr>
          <w:rFonts w:eastAsia="Times New Roman"/>
          <w:noProof/>
          <w:color w:val="000000"/>
          <w:bdr w:val="none" w:sz="0" w:space="0" w:color="auto" w:frame="1"/>
          <w:lang w:val="en-IE" w:eastAsia="en-IE"/>
        </w:rPr>
      </w:pPr>
    </w:p>
    <w:p w14:paraId="675D6BB5" w14:textId="476C5ED5" w:rsidR="00011D2D" w:rsidRPr="00011D2D" w:rsidRDefault="00011D2D" w:rsidP="00895671">
      <w:pPr>
        <w:shd w:val="clear" w:color="auto" w:fill="FFFFFF" w:themeFill="background1"/>
        <w:textAlignment w:val="baseline"/>
        <w:rPr>
          <w:rFonts w:eastAsia="Times New Roman"/>
          <w:b/>
          <w:bCs/>
          <w:noProof/>
          <w:color w:val="000000"/>
          <w:bdr w:val="none" w:sz="0" w:space="0" w:color="auto" w:frame="1"/>
          <w:lang w:val="en-IE" w:eastAsia="en-IE"/>
        </w:rPr>
      </w:pPr>
      <w:r w:rsidRPr="00011D2D">
        <w:rPr>
          <w:rFonts w:eastAsia="Times New Roman"/>
          <w:b/>
          <w:bCs/>
          <w:noProof/>
          <w:color w:val="000000"/>
          <w:bdr w:val="none" w:sz="0" w:space="0" w:color="auto" w:frame="1"/>
          <w:lang w:val="en-IE" w:eastAsia="en-IE"/>
        </w:rPr>
        <w:t xml:space="preserve">(1) </w:t>
      </w:r>
      <w:r>
        <w:rPr>
          <w:rFonts w:eastAsia="Times New Roman"/>
          <w:b/>
          <w:bCs/>
          <w:noProof/>
          <w:color w:val="000000"/>
          <w:bdr w:val="none" w:sz="0" w:space="0" w:color="auto" w:frame="1"/>
          <w:lang w:val="en-IE" w:eastAsia="en-IE"/>
        </w:rPr>
        <w:t>in Article 2, the following points are inserted:</w:t>
      </w:r>
    </w:p>
    <w:p w14:paraId="3321825F" w14:textId="77777777" w:rsidR="00011D2D" w:rsidRDefault="00011D2D" w:rsidP="00895671">
      <w:pPr>
        <w:shd w:val="clear" w:color="auto" w:fill="FFFFFF" w:themeFill="background1"/>
        <w:textAlignment w:val="baseline"/>
        <w:rPr>
          <w:rFonts w:eastAsia="Times New Roman"/>
          <w:noProof/>
          <w:color w:val="000000"/>
          <w:bdr w:val="none" w:sz="0" w:space="0" w:color="auto" w:frame="1"/>
          <w:lang w:val="en-IE" w:eastAsia="en-IE"/>
        </w:rPr>
      </w:pPr>
    </w:p>
    <w:p w14:paraId="56E37C5F" w14:textId="20000C01" w:rsidR="00011D2D" w:rsidRPr="00011D2D" w:rsidRDefault="00011D2D" w:rsidP="00011D2D">
      <w:pPr>
        <w:shd w:val="clear" w:color="auto" w:fill="FFFFFF" w:themeFill="background1"/>
        <w:ind w:left="720"/>
        <w:textAlignment w:val="baseline"/>
        <w:rPr>
          <w:rFonts w:eastAsia="Times New Roman"/>
          <w:b/>
          <w:bCs/>
          <w:noProof/>
          <w:color w:val="000000"/>
          <w:bdr w:val="none" w:sz="0" w:space="0" w:color="auto" w:frame="1"/>
          <w:lang w:val="en-IE" w:eastAsia="en-IE"/>
        </w:rPr>
      </w:pPr>
      <w:r w:rsidRPr="00011D2D">
        <w:rPr>
          <w:rFonts w:eastAsia="Times New Roman"/>
          <w:b/>
          <w:bCs/>
          <w:noProof/>
          <w:color w:val="000000"/>
          <w:bdr w:val="none" w:sz="0" w:space="0" w:color="auto" w:frame="1"/>
          <w:lang w:val="en-IE" w:eastAsia="en-IE"/>
        </w:rPr>
        <w:t>(11) ‘</w:t>
      </w:r>
      <w:r w:rsidR="00440ACB" w:rsidRPr="00440ACB">
        <w:rPr>
          <w:rFonts w:eastAsia="Times New Roman"/>
          <w:b/>
          <w:bCs/>
          <w:noProof/>
          <w:color w:val="000000"/>
          <w:bdr w:val="none" w:sz="0" w:space="0" w:color="auto" w:frame="1"/>
          <w:lang w:val="en-IE" w:eastAsia="en-IE"/>
        </w:rPr>
        <w:t>micro, small and medium-sized enterprises</w:t>
      </w:r>
      <w:r w:rsidR="00440ACB">
        <w:rPr>
          <w:rFonts w:eastAsia="Times New Roman"/>
          <w:b/>
          <w:bCs/>
          <w:noProof/>
          <w:color w:val="000000"/>
          <w:bdr w:val="none" w:sz="0" w:space="0" w:color="auto" w:frame="1"/>
          <w:lang w:eastAsia="en-IE"/>
        </w:rPr>
        <w:t xml:space="preserve">’ </w:t>
      </w:r>
      <w:r w:rsidRPr="00011D2D">
        <w:rPr>
          <w:rFonts w:eastAsia="Times New Roman"/>
          <w:b/>
          <w:bCs/>
          <w:noProof/>
          <w:color w:val="000000"/>
          <w:bdr w:val="none" w:sz="0" w:space="0" w:color="auto" w:frame="1"/>
          <w:lang w:val="en-IE" w:eastAsia="en-IE"/>
        </w:rPr>
        <w:t>means enterprises which employ fewer than 250 persons and which have an annual turnover not exceeding EUR 50 million, or an annual balance sheet total not exceeding EUR 43 million</w:t>
      </w:r>
      <w:r w:rsidR="00857D3A">
        <w:rPr>
          <w:rFonts w:eastAsia="Times New Roman"/>
          <w:b/>
          <w:bCs/>
          <w:noProof/>
          <w:color w:val="000000"/>
          <w:bdr w:val="none" w:sz="0" w:space="0" w:color="auto" w:frame="1"/>
          <w:lang w:val="en-IE" w:eastAsia="en-IE"/>
        </w:rPr>
        <w:t xml:space="preserve"> in accordance with </w:t>
      </w:r>
      <w:r w:rsidR="00857D3A" w:rsidRPr="00857D3A">
        <w:rPr>
          <w:rFonts w:eastAsia="Times New Roman"/>
          <w:b/>
          <w:bCs/>
          <w:noProof/>
          <w:color w:val="000000"/>
          <w:bdr w:val="none" w:sz="0" w:space="0" w:color="auto" w:frame="1"/>
          <w:lang w:val="en-IE" w:eastAsia="en-IE"/>
        </w:rPr>
        <w:t>Article 2 of the Annex to Commission Recommendation 2003/361/EC*</w:t>
      </w:r>
      <w:r w:rsidRPr="00011D2D">
        <w:rPr>
          <w:rFonts w:eastAsia="Times New Roman"/>
          <w:b/>
          <w:bCs/>
          <w:noProof/>
          <w:color w:val="000000"/>
          <w:bdr w:val="none" w:sz="0" w:space="0" w:color="auto" w:frame="1"/>
          <w:lang w:val="en-IE" w:eastAsia="en-IE"/>
        </w:rPr>
        <w:t>;</w:t>
      </w:r>
    </w:p>
    <w:p w14:paraId="517FD47A" w14:textId="77777777" w:rsidR="00011D2D" w:rsidRDefault="00011D2D" w:rsidP="00011D2D">
      <w:pPr>
        <w:shd w:val="clear" w:color="auto" w:fill="FFFFFF" w:themeFill="background1"/>
        <w:ind w:left="720"/>
        <w:textAlignment w:val="baseline"/>
        <w:rPr>
          <w:rFonts w:eastAsia="Times New Roman"/>
          <w:noProof/>
          <w:color w:val="000000"/>
          <w:bdr w:val="none" w:sz="0" w:space="0" w:color="auto" w:frame="1"/>
          <w:lang w:val="en-IE" w:eastAsia="en-IE"/>
        </w:rPr>
      </w:pPr>
    </w:p>
    <w:p w14:paraId="2EA6FC54" w14:textId="77777777" w:rsidR="00440ACB" w:rsidRDefault="00011D2D" w:rsidP="00011D2D">
      <w:pPr>
        <w:ind w:left="720"/>
        <w:rPr>
          <w:b/>
          <w:bCs/>
          <w:noProof/>
          <w:lang w:val="en-IE"/>
        </w:rPr>
      </w:pPr>
      <w:r w:rsidRPr="00011D2D">
        <w:rPr>
          <w:rFonts w:eastAsia="Times New Roman"/>
          <w:b/>
          <w:bCs/>
          <w:noProof/>
          <w:color w:val="000000"/>
          <w:bdr w:val="none" w:sz="0" w:space="0" w:color="auto" w:frame="1"/>
          <w:lang w:val="en-IE" w:eastAsia="en-IE"/>
        </w:rPr>
        <w:t>(12)</w:t>
      </w:r>
      <w:r>
        <w:rPr>
          <w:rFonts w:eastAsia="Times New Roman"/>
          <w:b/>
          <w:bCs/>
          <w:noProof/>
          <w:color w:val="000000"/>
          <w:bdr w:val="none" w:sz="0" w:space="0" w:color="auto" w:frame="1"/>
          <w:lang w:val="en-IE" w:eastAsia="en-IE"/>
        </w:rPr>
        <w:t xml:space="preserve"> </w:t>
      </w:r>
      <w:r w:rsidRPr="00857D3A">
        <w:rPr>
          <w:b/>
          <w:bCs/>
          <w:noProof/>
          <w:lang w:val="en-IE"/>
        </w:rPr>
        <w:t>‘small mid-cap enterprises’ means enterprises</w:t>
      </w:r>
      <w:r w:rsidRPr="001E502B">
        <w:t xml:space="preserve"> </w:t>
      </w:r>
      <w:r w:rsidRPr="00E25201">
        <w:rPr>
          <w:b/>
          <w:bCs/>
          <w:noProof/>
          <w:lang w:val="en-IE"/>
        </w:rPr>
        <w:t>that are not micro, small, and medium-sized enterprises</w:t>
      </w:r>
      <w:r w:rsidR="00440ACB">
        <w:rPr>
          <w:b/>
          <w:bCs/>
          <w:noProof/>
          <w:lang w:val="en-IE"/>
        </w:rPr>
        <w:t xml:space="preserve"> and that</w:t>
      </w:r>
    </w:p>
    <w:p w14:paraId="394C4461" w14:textId="42DFE890" w:rsidR="00440ACB" w:rsidRPr="00440ACB" w:rsidRDefault="00011D2D" w:rsidP="00440ACB">
      <w:pPr>
        <w:pStyle w:val="ListParagraph"/>
        <w:numPr>
          <w:ilvl w:val="0"/>
          <w:numId w:val="6"/>
        </w:numPr>
        <w:rPr>
          <w:b/>
          <w:bCs/>
          <w:noProof/>
          <w:lang w:val="en-IE"/>
        </w:rPr>
      </w:pPr>
      <w:r w:rsidRPr="00440ACB">
        <w:rPr>
          <w:b/>
          <w:bCs/>
          <w:noProof/>
          <w:lang w:val="en-IE"/>
        </w:rPr>
        <w:t>employ fewer than</w:t>
      </w:r>
      <w:r w:rsidRPr="00440ACB">
        <w:rPr>
          <w:b/>
          <w:bCs/>
          <w:noProof/>
        </w:rPr>
        <w:t xml:space="preserve"> </w:t>
      </w:r>
      <w:r w:rsidR="00547569">
        <w:rPr>
          <w:b/>
          <w:bCs/>
          <w:noProof/>
          <w:lang w:val="bg-BG"/>
        </w:rPr>
        <w:t>1000</w:t>
      </w:r>
      <w:r w:rsidRPr="00440ACB">
        <w:rPr>
          <w:b/>
          <w:bCs/>
          <w:noProof/>
          <w:lang w:val="en-IE"/>
        </w:rPr>
        <w:t xml:space="preserve"> persons</w:t>
      </w:r>
      <w:r w:rsidR="00440ACB" w:rsidRPr="00440ACB">
        <w:rPr>
          <w:b/>
          <w:bCs/>
          <w:noProof/>
          <w:lang w:val="en-IE"/>
        </w:rPr>
        <w:t>;</w:t>
      </w:r>
    </w:p>
    <w:p w14:paraId="53FF55AD" w14:textId="0BEBB1B0" w:rsidR="00440ACB" w:rsidRPr="00440ACB" w:rsidRDefault="00857D3A" w:rsidP="00440ACB">
      <w:pPr>
        <w:pStyle w:val="ListParagraph"/>
        <w:numPr>
          <w:ilvl w:val="0"/>
          <w:numId w:val="6"/>
        </w:numPr>
        <w:rPr>
          <w:b/>
          <w:bCs/>
          <w:i/>
          <w:iCs/>
          <w:noProof/>
          <w:lang w:val="en-IE"/>
        </w:rPr>
      </w:pPr>
      <w:r w:rsidRPr="00440ACB">
        <w:rPr>
          <w:b/>
          <w:bCs/>
          <w:noProof/>
          <w:lang w:val="en-IE"/>
        </w:rPr>
        <w:t>and</w:t>
      </w:r>
      <w:r w:rsidR="00011D2D" w:rsidRPr="00440ACB">
        <w:rPr>
          <w:b/>
          <w:bCs/>
          <w:noProof/>
          <w:lang w:val="en-IE"/>
        </w:rPr>
        <w:t xml:space="preserve"> have an annual turnover not exceeding EUR </w:t>
      </w:r>
      <w:r w:rsidR="00547569">
        <w:rPr>
          <w:b/>
          <w:bCs/>
          <w:noProof/>
          <w:lang w:val="bg-BG"/>
        </w:rPr>
        <w:t xml:space="preserve">200 </w:t>
      </w:r>
      <w:r w:rsidR="00011D2D" w:rsidRPr="00440ACB">
        <w:rPr>
          <w:b/>
          <w:bCs/>
          <w:noProof/>
          <w:lang w:val="en-IE"/>
        </w:rPr>
        <w:t xml:space="preserve">million </w:t>
      </w:r>
      <w:proofErr w:type="gramStart"/>
      <w:r w:rsidRPr="00440ACB">
        <w:rPr>
          <w:b/>
          <w:bCs/>
        </w:rPr>
        <w:t>or</w:t>
      </w:r>
      <w:r w:rsidR="00440ACB">
        <w:rPr>
          <w:b/>
          <w:bCs/>
        </w:rPr>
        <w:t>;</w:t>
      </w:r>
      <w:proofErr w:type="gramEnd"/>
      <w:r w:rsidRPr="00440ACB">
        <w:rPr>
          <w:b/>
          <w:bCs/>
        </w:rPr>
        <w:t xml:space="preserve"> </w:t>
      </w:r>
    </w:p>
    <w:p w14:paraId="3281D178" w14:textId="614A15C6" w:rsidR="00011D2D" w:rsidRPr="00440ACB" w:rsidRDefault="00440ACB" w:rsidP="00440ACB">
      <w:pPr>
        <w:pStyle w:val="ListParagraph"/>
        <w:numPr>
          <w:ilvl w:val="0"/>
          <w:numId w:val="6"/>
        </w:numPr>
        <w:rPr>
          <w:b/>
          <w:bCs/>
          <w:i/>
          <w:iCs/>
          <w:noProof/>
          <w:lang w:val="en-IE"/>
        </w:rPr>
      </w:pPr>
      <w:r>
        <w:rPr>
          <w:b/>
          <w:bCs/>
          <w:lang w:val="en-IE"/>
        </w:rPr>
        <w:t xml:space="preserve">have an </w:t>
      </w:r>
      <w:r w:rsidR="00011D2D" w:rsidRPr="00440ACB">
        <w:rPr>
          <w:b/>
          <w:bCs/>
          <w:noProof/>
          <w:lang w:val="en-IE"/>
        </w:rPr>
        <w:t xml:space="preserve">annual balance sheet total not exceeding EUR </w:t>
      </w:r>
      <w:r w:rsidR="00547569">
        <w:rPr>
          <w:b/>
          <w:bCs/>
          <w:noProof/>
          <w:lang w:val="bg-BG"/>
        </w:rPr>
        <w:t>172</w:t>
      </w:r>
      <w:r w:rsidR="00011D2D" w:rsidRPr="00440ACB">
        <w:rPr>
          <w:b/>
          <w:bCs/>
          <w:noProof/>
          <w:lang w:val="en-IE"/>
        </w:rPr>
        <w:t xml:space="preserve"> million.</w:t>
      </w:r>
    </w:p>
    <w:p w14:paraId="785ED8C7" w14:textId="77777777" w:rsidR="00011D2D" w:rsidRDefault="00011D2D" w:rsidP="00011D2D">
      <w:pPr>
        <w:ind w:left="720"/>
        <w:rPr>
          <w:b/>
          <w:bCs/>
          <w:i/>
          <w:iCs/>
          <w:noProof/>
          <w:lang w:val="en-IE"/>
        </w:rPr>
      </w:pPr>
    </w:p>
    <w:p w14:paraId="04F4DA06" w14:textId="40F1130A" w:rsidR="00011D2D" w:rsidRDefault="00011D2D" w:rsidP="00011D2D">
      <w:pPr>
        <w:rPr>
          <w:b/>
          <w:bCs/>
        </w:rPr>
      </w:pPr>
      <w:r w:rsidRPr="00011D2D">
        <w:rPr>
          <w:b/>
          <w:bCs/>
        </w:rPr>
        <w:lastRenderedPageBreak/>
        <w:t>(2) in Article 4(2), point (h) is replaced by the following:</w:t>
      </w:r>
    </w:p>
    <w:p w14:paraId="538B2341" w14:textId="77777777" w:rsidR="00011D2D" w:rsidRPr="00011D2D" w:rsidRDefault="00011D2D" w:rsidP="00011D2D">
      <w:pPr>
        <w:rPr>
          <w:b/>
          <w:bCs/>
          <w:highlight w:val="yellow"/>
        </w:rPr>
      </w:pPr>
    </w:p>
    <w:p w14:paraId="6559DD4C" w14:textId="77777777" w:rsidR="00895671" w:rsidRPr="00D33E6D" w:rsidRDefault="00895671" w:rsidP="00895671">
      <w:pPr>
        <w:shd w:val="clear" w:color="auto" w:fill="FFFFFF" w:themeFill="background1"/>
        <w:textAlignment w:val="baseline"/>
        <w:rPr>
          <w:rFonts w:eastAsia="Times New Roman"/>
          <w:noProof/>
          <w:color w:val="000000"/>
          <w:lang w:val="en-IE" w:eastAsia="en-IE"/>
        </w:rPr>
      </w:pPr>
      <w:r w:rsidRPr="00D33E6D">
        <w:rPr>
          <w:rFonts w:eastAsia="Times New Roman"/>
          <w:noProof/>
          <w:color w:val="000000" w:themeColor="text1"/>
          <w:lang w:val="en-IE" w:eastAsia="en-IE"/>
        </w:rPr>
        <w:t>‘</w:t>
      </w:r>
      <w:r w:rsidRPr="00D33E6D">
        <w:rPr>
          <w:rFonts w:eastAsia="Times New Roman"/>
          <w:noProof/>
          <w:color w:val="000000"/>
          <w:lang w:val="en-IE" w:eastAsia="en-IE"/>
        </w:rPr>
        <w:t xml:space="preserve">(h) a description of measures already in place which aim to facilitate the implementation of obligations under Chapter III of this Directive by small and medium-sized </w:t>
      </w:r>
      <w:r w:rsidRPr="00011D2D">
        <w:rPr>
          <w:rFonts w:eastAsia="Times New Roman"/>
          <w:strike/>
          <w:noProof/>
          <w:color w:val="000000"/>
          <w:lang w:val="en-IE" w:eastAsia="en-IE"/>
        </w:rPr>
        <w:t>enterprises within the meaning of the Annex to Commission Recommendation 2003/361/EC</w:t>
      </w:r>
      <w:r w:rsidRPr="00011D2D">
        <w:rPr>
          <w:rFonts w:eastAsia="Times New Roman"/>
          <w:strike/>
          <w:noProof/>
          <w:color w:val="000000" w:themeColor="text1"/>
          <w:lang w:val="en-IE" w:eastAsia="en-IE"/>
        </w:rPr>
        <w:t>*</w:t>
      </w:r>
      <w:r w:rsidRPr="00D33E6D">
        <w:rPr>
          <w:rFonts w:eastAsia="Times New Roman"/>
          <w:noProof/>
          <w:color w:val="000000"/>
          <w:lang w:val="en-IE" w:eastAsia="en-IE"/>
        </w:rPr>
        <w:t xml:space="preserve"> and </w:t>
      </w:r>
      <w:r w:rsidRPr="00D33E6D">
        <w:rPr>
          <w:rFonts w:eastAsia="Times New Roman"/>
          <w:noProof/>
          <w:color w:val="000000" w:themeColor="text1"/>
          <w:lang w:val="en-IE" w:eastAsia="en-IE"/>
        </w:rPr>
        <w:t xml:space="preserve">by small mid-cap enterprises </w:t>
      </w:r>
      <w:r w:rsidRPr="001A75FB">
        <w:rPr>
          <w:rFonts w:eastAsia="Times New Roman"/>
          <w:strike/>
          <w:noProof/>
          <w:color w:val="000000"/>
          <w:lang w:val="en-IE" w:eastAsia="en-IE"/>
        </w:rPr>
        <w:t xml:space="preserve">within the meaning of the Annex to Commission Recommendation </w:t>
      </w:r>
      <w:r w:rsidRPr="001A75FB">
        <w:rPr>
          <w:rFonts w:eastAsia="Times New Roman"/>
          <w:b/>
          <w:bCs/>
          <w:strike/>
          <w:noProof/>
          <w:color w:val="000000"/>
          <w:lang w:val="en-IE" w:eastAsia="en-IE"/>
        </w:rPr>
        <w:t>(EU) 2025/1099</w:t>
      </w:r>
      <w:r w:rsidRPr="001A75FB">
        <w:rPr>
          <w:rFonts w:eastAsia="Times New Roman"/>
          <w:b/>
          <w:bCs/>
          <w:strike/>
          <w:noProof/>
          <w:color w:val="000000" w:themeColor="text1"/>
          <w:lang w:val="en-IE" w:eastAsia="en-IE"/>
        </w:rPr>
        <w:t>**</w:t>
      </w:r>
      <w:r w:rsidRPr="009A58C3">
        <w:rPr>
          <w:rFonts w:eastAsia="Times New Roman"/>
          <w:noProof/>
          <w:color w:val="000000"/>
          <w:highlight w:val="yellow"/>
          <w:lang w:val="en-IE" w:eastAsia="en-IE"/>
        </w:rPr>
        <w:t xml:space="preserve"> </w:t>
      </w:r>
      <w:r w:rsidRPr="00011D2D">
        <w:rPr>
          <w:rFonts w:eastAsia="Times New Roman"/>
          <w:noProof/>
          <w:color w:val="000000"/>
          <w:lang w:val="en-IE" w:eastAsia="en-IE"/>
        </w:rPr>
        <w:t>that the Member State in question has identified as critical entities.</w:t>
      </w:r>
      <w:r w:rsidRPr="00D33E6D">
        <w:rPr>
          <w:rFonts w:eastAsia="Times New Roman"/>
          <w:noProof/>
          <w:color w:val="000000"/>
          <w:lang w:val="en-IE" w:eastAsia="en-IE"/>
        </w:rPr>
        <w:t>’.</w:t>
      </w:r>
    </w:p>
    <w:p w14:paraId="438BA445" w14:textId="77777777" w:rsidR="00895671" w:rsidRPr="00D33E6D" w:rsidRDefault="00895671" w:rsidP="00895671">
      <w:pPr>
        <w:pStyle w:val="Text1"/>
        <w:rPr>
          <w:rStyle w:val="footnotereference"/>
          <w:noProof/>
          <w:sz w:val="20"/>
          <w:szCs w:val="20"/>
        </w:rPr>
      </w:pPr>
      <w:r w:rsidRPr="00D33E6D">
        <w:rPr>
          <w:rStyle w:val="footnotereference"/>
          <w:noProof/>
          <w:sz w:val="20"/>
          <w:szCs w:val="20"/>
        </w:rPr>
        <w:t>________</w:t>
      </w:r>
    </w:p>
    <w:p w14:paraId="5F29C7FA" w14:textId="77777777" w:rsidR="00895671" w:rsidRPr="00D33E6D" w:rsidRDefault="00895671" w:rsidP="00895671">
      <w:pPr>
        <w:pStyle w:val="Text1"/>
        <w:rPr>
          <w:rStyle w:val="footnotereference"/>
          <w:noProof/>
          <w:sz w:val="20"/>
          <w:szCs w:val="20"/>
        </w:rPr>
      </w:pPr>
      <w:r w:rsidRPr="00D33E6D">
        <w:rPr>
          <w:rStyle w:val="footnotereference"/>
          <w:noProof/>
          <w:sz w:val="20"/>
          <w:szCs w:val="20"/>
        </w:rPr>
        <w:t xml:space="preserve">* Commission Recommendation of 6 May 2003 concerning the definition of micro, small and medium-sized enterprises (OJ L 124, 20.5.2003, p. 36, ELI: http://data.europa.eu/eli/reco/2003/361/oj). </w:t>
      </w:r>
    </w:p>
    <w:p w14:paraId="60E9A4A6" w14:textId="5843F171" w:rsidR="00895671" w:rsidRDefault="00895671" w:rsidP="00895671">
      <w:pPr>
        <w:pStyle w:val="Text1"/>
        <w:rPr>
          <w:rStyle w:val="footnotereference"/>
          <w:b/>
          <w:bCs/>
          <w:noProof/>
          <w:sz w:val="20"/>
          <w:szCs w:val="20"/>
        </w:rPr>
      </w:pPr>
      <w:r w:rsidRPr="00D33E6D">
        <w:rPr>
          <w:rStyle w:val="footnotereference"/>
          <w:noProof/>
          <w:sz w:val="20"/>
          <w:szCs w:val="20"/>
        </w:rPr>
        <w:t xml:space="preserve">** </w:t>
      </w:r>
      <w:r w:rsidRPr="00A95E1E">
        <w:rPr>
          <w:rStyle w:val="footnotereference"/>
          <w:b/>
          <w:bCs/>
          <w:noProof/>
          <w:sz w:val="20"/>
          <w:szCs w:val="20"/>
        </w:rPr>
        <w:t>Commission Recommendation 2025/1099 of 21 May 2025 on the definition of small mid-cap enterprises</w:t>
      </w:r>
      <w:r w:rsidRPr="00A95E1E">
        <w:rPr>
          <w:b/>
          <w:bCs/>
          <w:noProof/>
          <w:sz w:val="20"/>
          <w:szCs w:val="20"/>
        </w:rPr>
        <w:t xml:space="preserve">ELI: http://data.europa.eu/eli/reco/2025/1099/oj) </w:t>
      </w:r>
      <w:r w:rsidRPr="00A95E1E">
        <w:rPr>
          <w:rStyle w:val="footnotereference"/>
          <w:b/>
          <w:bCs/>
          <w:noProof/>
          <w:sz w:val="20"/>
          <w:szCs w:val="20"/>
        </w:rPr>
        <w:t>.</w:t>
      </w:r>
    </w:p>
    <w:p w14:paraId="7E5E648B" w14:textId="77777777" w:rsidR="00895671" w:rsidRDefault="00895671" w:rsidP="00895671">
      <w:pPr>
        <w:pStyle w:val="Text1"/>
        <w:rPr>
          <w:rStyle w:val="footnotereference"/>
          <w:b/>
          <w:bCs/>
          <w:noProof/>
          <w:sz w:val="20"/>
          <w:szCs w:val="20"/>
        </w:rPr>
      </w:pPr>
    </w:p>
    <w:p w14:paraId="06442C73" w14:textId="77777777" w:rsidR="00895671" w:rsidRDefault="00895671" w:rsidP="00895671">
      <w:pPr>
        <w:rPr>
          <w:rFonts w:eastAsia="Times New Roman"/>
          <w:noProof/>
          <w:color w:val="000000" w:themeColor="text1"/>
          <w:lang w:val="en-IE" w:eastAsia="en-IE"/>
        </w:rPr>
      </w:pPr>
    </w:p>
    <w:p w14:paraId="0069E650" w14:textId="77777777" w:rsidR="00895671" w:rsidRPr="00F700FA" w:rsidRDefault="00895671" w:rsidP="00895671">
      <w:pPr>
        <w:pStyle w:val="paragraph"/>
        <w:spacing w:before="0" w:beforeAutospacing="0" w:after="0" w:afterAutospacing="0" w:line="276" w:lineRule="auto"/>
        <w:jc w:val="both"/>
        <w:textAlignment w:val="baseline"/>
      </w:pPr>
    </w:p>
    <w:p w14:paraId="79B536D1" w14:textId="77777777" w:rsidR="00895671" w:rsidRPr="000C02DC" w:rsidRDefault="00895671" w:rsidP="00895671">
      <w:pPr>
        <w:pStyle w:val="paragraph"/>
        <w:pBdr>
          <w:top w:val="single" w:sz="8" w:space="1" w:color="000000"/>
          <w:left w:val="single" w:sz="8" w:space="4" w:color="000000"/>
          <w:right w:val="single" w:sz="8" w:space="4" w:color="000000"/>
        </w:pBdr>
        <w:spacing w:before="0" w:beforeAutospacing="0" w:after="0" w:afterAutospacing="0" w:line="276" w:lineRule="auto"/>
        <w:ind w:left="705" w:hanging="705"/>
        <w:jc w:val="both"/>
        <w:textAlignment w:val="baseline"/>
        <w:rPr>
          <w:b/>
          <w:bCs/>
          <w:color w:val="000000"/>
          <w:sz w:val="32"/>
          <w:szCs w:val="32"/>
        </w:rPr>
      </w:pPr>
      <w:r w:rsidRPr="00BA723D">
        <w:rPr>
          <w:rStyle w:val="normaltextrun"/>
          <w:b/>
          <w:bCs/>
          <w:color w:val="000000"/>
          <w:sz w:val="32"/>
          <w:szCs w:val="32"/>
        </w:rPr>
        <w:t>CA </w:t>
      </w:r>
      <w:r>
        <w:rPr>
          <w:rStyle w:val="normaltextrun"/>
          <w:b/>
          <w:bCs/>
          <w:color w:val="000000"/>
          <w:sz w:val="32"/>
          <w:szCs w:val="32"/>
        </w:rPr>
        <w:t>4</w:t>
      </w:r>
      <w:r w:rsidRPr="00BA723D">
        <w:rPr>
          <w:rStyle w:val="normaltextrun"/>
          <w:b/>
          <w:bCs/>
          <w:color w:val="000000"/>
          <w:sz w:val="32"/>
          <w:szCs w:val="32"/>
        </w:rPr>
        <w:t>: </w:t>
      </w:r>
      <w:r>
        <w:rPr>
          <w:rStyle w:val="normaltextrun"/>
          <w:b/>
          <w:bCs/>
          <w:color w:val="000000"/>
          <w:sz w:val="32"/>
          <w:szCs w:val="32"/>
        </w:rPr>
        <w:t xml:space="preserve">Articles 2a, 2b, 2c - Shared competence </w:t>
      </w:r>
    </w:p>
    <w:p w14:paraId="3804F321" w14:textId="77777777" w:rsidR="00895671" w:rsidRDefault="00895671" w:rsidP="00895671">
      <w:pPr>
        <w:pStyle w:val="paragraph"/>
        <w:pBdr>
          <w:left w:val="single" w:sz="8" w:space="4" w:color="000000"/>
          <w:bottom w:val="single" w:sz="4" w:space="1" w:color="auto"/>
          <w:right w:val="single" w:sz="8" w:space="4" w:color="000000"/>
        </w:pBdr>
        <w:spacing w:before="0" w:beforeAutospacing="0" w:after="0" w:afterAutospacing="0" w:line="276" w:lineRule="auto"/>
        <w:textAlignment w:val="baseline"/>
        <w:rPr>
          <w:rStyle w:val="normaltextrun"/>
          <w:b/>
          <w:bCs/>
          <w:i/>
          <w:iCs/>
          <w:color w:val="000000"/>
        </w:rPr>
      </w:pPr>
    </w:p>
    <w:p w14:paraId="30EFFCF3" w14:textId="3C19C887" w:rsidR="00895671" w:rsidRDefault="00895671" w:rsidP="00895671">
      <w:pPr>
        <w:pStyle w:val="paragraph"/>
        <w:pBdr>
          <w:left w:val="single" w:sz="8" w:space="4" w:color="000000"/>
          <w:bottom w:val="single" w:sz="4" w:space="1" w:color="auto"/>
          <w:right w:val="single" w:sz="8" w:space="4" w:color="000000"/>
        </w:pBdr>
        <w:spacing w:before="0" w:beforeAutospacing="0" w:after="0" w:afterAutospacing="0" w:line="276" w:lineRule="auto"/>
        <w:textAlignment w:val="baseline"/>
        <w:rPr>
          <w:rStyle w:val="normaltextrun"/>
          <w:b/>
          <w:bCs/>
          <w:i/>
          <w:iCs/>
        </w:rPr>
      </w:pPr>
      <w:r w:rsidRPr="00BA723D">
        <w:rPr>
          <w:rStyle w:val="normaltextrun"/>
          <w:b/>
          <w:bCs/>
          <w:i/>
          <w:iCs/>
          <w:color w:val="000000"/>
        </w:rPr>
        <w:t>Compromise amendment covering the following amendments:</w:t>
      </w:r>
      <w:r w:rsidRPr="00BA723D">
        <w:rPr>
          <w:rStyle w:val="normaltextrun"/>
          <w:b/>
          <w:bCs/>
          <w:i/>
          <w:iCs/>
        </w:rPr>
        <w:t> </w:t>
      </w:r>
      <w:r w:rsidR="00F0625B">
        <w:rPr>
          <w:rStyle w:val="normaltextrun"/>
          <w:b/>
          <w:bCs/>
          <w:i/>
          <w:iCs/>
        </w:rPr>
        <w:t>47,48,</w:t>
      </w:r>
    </w:p>
    <w:p w14:paraId="01C7C674" w14:textId="77777777" w:rsidR="00895671" w:rsidRPr="00BA723D" w:rsidRDefault="00895671" w:rsidP="00895671">
      <w:pPr>
        <w:pStyle w:val="paragraph"/>
        <w:pBdr>
          <w:left w:val="single" w:sz="8" w:space="4" w:color="000000"/>
          <w:bottom w:val="single" w:sz="4" w:space="1" w:color="auto"/>
          <w:right w:val="single" w:sz="8" w:space="4" w:color="000000"/>
        </w:pBdr>
        <w:spacing w:before="0" w:beforeAutospacing="0" w:after="0" w:afterAutospacing="0" w:line="276" w:lineRule="auto"/>
        <w:textAlignment w:val="baseline"/>
        <w:rPr>
          <w:b/>
          <w:bCs/>
        </w:rPr>
      </w:pPr>
    </w:p>
    <w:p w14:paraId="68151140" w14:textId="7D863568" w:rsidR="00895671" w:rsidRDefault="00895671" w:rsidP="00895671">
      <w:pPr>
        <w:pStyle w:val="paragraph"/>
        <w:pBdr>
          <w:left w:val="single" w:sz="8" w:space="4" w:color="000000"/>
          <w:bottom w:val="single" w:sz="4" w:space="1" w:color="auto"/>
          <w:right w:val="single" w:sz="8" w:space="4" w:color="000000"/>
        </w:pBdr>
        <w:spacing w:before="0" w:beforeAutospacing="0" w:after="0" w:afterAutospacing="0" w:line="276" w:lineRule="auto"/>
        <w:textAlignment w:val="baseline"/>
        <w:rPr>
          <w:rStyle w:val="normaltextrun"/>
          <w:b/>
          <w:bCs/>
          <w:i/>
          <w:iCs/>
        </w:rPr>
      </w:pPr>
      <w:r w:rsidRPr="00BA723D">
        <w:rPr>
          <w:rStyle w:val="normaltextrun"/>
          <w:b/>
          <w:bCs/>
          <w:i/>
          <w:iCs/>
        </w:rPr>
        <w:t xml:space="preserve">Amendments not covered: </w:t>
      </w:r>
      <w:r w:rsidR="001635E4">
        <w:rPr>
          <w:rStyle w:val="normaltextrun"/>
          <w:b/>
          <w:bCs/>
          <w:i/>
          <w:iCs/>
        </w:rPr>
        <w:t>46, 49</w:t>
      </w:r>
    </w:p>
    <w:p w14:paraId="0B43BE8A" w14:textId="77777777" w:rsidR="00895671" w:rsidRDefault="00895671" w:rsidP="00895671">
      <w:pPr>
        <w:pStyle w:val="paragraph"/>
        <w:pBdr>
          <w:left w:val="single" w:sz="8" w:space="4" w:color="000000"/>
          <w:bottom w:val="single" w:sz="4" w:space="1" w:color="auto"/>
          <w:right w:val="single" w:sz="8" w:space="4" w:color="000000"/>
        </w:pBdr>
        <w:spacing w:before="0" w:beforeAutospacing="0" w:after="0" w:afterAutospacing="0" w:line="276" w:lineRule="auto"/>
        <w:textAlignment w:val="baseline"/>
        <w:rPr>
          <w:rStyle w:val="normaltextrun"/>
          <w:b/>
          <w:bCs/>
          <w:i/>
          <w:iCs/>
        </w:rPr>
      </w:pPr>
    </w:p>
    <w:p w14:paraId="40F16908" w14:textId="4C73656A" w:rsidR="00895671" w:rsidRPr="00BA723D" w:rsidRDefault="00895671" w:rsidP="00895671">
      <w:pPr>
        <w:pStyle w:val="paragraph"/>
        <w:pBdr>
          <w:left w:val="single" w:sz="8" w:space="4" w:color="000000"/>
          <w:bottom w:val="single" w:sz="4" w:space="1" w:color="auto"/>
          <w:right w:val="single" w:sz="8" w:space="4" w:color="000000"/>
        </w:pBdr>
        <w:spacing w:before="0" w:beforeAutospacing="0" w:after="0" w:afterAutospacing="0" w:line="276" w:lineRule="auto"/>
        <w:textAlignment w:val="baseline"/>
        <w:rPr>
          <w:b/>
          <w:bCs/>
        </w:rPr>
      </w:pPr>
      <w:r>
        <w:rPr>
          <w:rStyle w:val="normaltextrun"/>
          <w:b/>
          <w:bCs/>
          <w:i/>
          <w:iCs/>
        </w:rPr>
        <w:t xml:space="preserve">For political discussion: </w:t>
      </w:r>
      <w:r w:rsidR="00B00266">
        <w:rPr>
          <w:rStyle w:val="normaltextrun"/>
          <w:b/>
          <w:bCs/>
          <w:i/>
          <w:iCs/>
        </w:rPr>
        <w:t>47, 4</w:t>
      </w:r>
      <w:r w:rsidR="001635E4">
        <w:rPr>
          <w:rStyle w:val="normaltextrun"/>
          <w:b/>
          <w:bCs/>
          <w:i/>
          <w:iCs/>
        </w:rPr>
        <w:t>8</w:t>
      </w:r>
    </w:p>
    <w:p w14:paraId="08573AE4" w14:textId="77777777" w:rsidR="00895671" w:rsidRDefault="00895671" w:rsidP="00895671">
      <w:pPr>
        <w:pStyle w:val="Text1"/>
        <w:rPr>
          <w:rStyle w:val="footnotereference"/>
          <w:b/>
          <w:bCs/>
          <w:noProof/>
          <w:sz w:val="20"/>
          <w:szCs w:val="20"/>
        </w:rPr>
      </w:pPr>
    </w:p>
    <w:p w14:paraId="157AEE49" w14:textId="77777777" w:rsidR="00895671" w:rsidRDefault="00895671" w:rsidP="00895671">
      <w:pPr>
        <w:pStyle w:val="Text1"/>
        <w:rPr>
          <w:rStyle w:val="footnotereference"/>
          <w:b/>
          <w:bCs/>
          <w:noProof/>
          <w:sz w:val="20"/>
          <w:szCs w:val="20"/>
        </w:rPr>
      </w:pPr>
    </w:p>
    <w:p w14:paraId="6B254352" w14:textId="77777777" w:rsidR="00895671" w:rsidRDefault="00895671" w:rsidP="00895671">
      <w:pPr>
        <w:pStyle w:val="Text1"/>
        <w:rPr>
          <w:rStyle w:val="footnotereference"/>
          <w:noProof/>
          <w:szCs w:val="24"/>
        </w:rPr>
      </w:pPr>
    </w:p>
    <w:p w14:paraId="0F94A3C4" w14:textId="5DC25FF9" w:rsidR="00895671" w:rsidRPr="00333509" w:rsidRDefault="00895671" w:rsidP="00895671">
      <w:pPr>
        <w:pStyle w:val="Text1"/>
        <w:jc w:val="center"/>
        <w:rPr>
          <w:rStyle w:val="footnotereference"/>
          <w:b/>
          <w:bCs/>
          <w:noProof/>
          <w:szCs w:val="24"/>
          <w:lang w:val="bg-BG"/>
        </w:rPr>
      </w:pPr>
      <w:r w:rsidRPr="00333509">
        <w:rPr>
          <w:rStyle w:val="footnotereference"/>
          <w:b/>
          <w:bCs/>
          <w:noProof/>
          <w:szCs w:val="24"/>
        </w:rPr>
        <w:t>Article 2</w:t>
      </w:r>
      <w:r w:rsidR="00547569" w:rsidRPr="00333509">
        <w:rPr>
          <w:rStyle w:val="footnotereference"/>
          <w:b/>
          <w:bCs/>
          <w:noProof/>
          <w:szCs w:val="24"/>
          <w:lang w:val="bg-BG"/>
        </w:rPr>
        <w:t>а</w:t>
      </w:r>
    </w:p>
    <w:p w14:paraId="545B5D29" w14:textId="77777777" w:rsidR="00895671" w:rsidRPr="00333509" w:rsidRDefault="00895671" w:rsidP="00895671">
      <w:pPr>
        <w:pStyle w:val="Text1"/>
        <w:jc w:val="center"/>
        <w:rPr>
          <w:rStyle w:val="footnotereference"/>
          <w:b/>
          <w:bCs/>
          <w:strike/>
          <w:noProof/>
          <w:szCs w:val="24"/>
        </w:rPr>
      </w:pPr>
      <w:r w:rsidRPr="00333509">
        <w:rPr>
          <w:rStyle w:val="footnotereference"/>
          <w:b/>
          <w:bCs/>
          <w:strike/>
          <w:noProof/>
          <w:szCs w:val="24"/>
        </w:rPr>
        <w:t>Review</w:t>
      </w:r>
    </w:p>
    <w:p w14:paraId="259A9162" w14:textId="30B86BD6" w:rsidR="00ED022D" w:rsidRDefault="00ED022D" w:rsidP="00895671">
      <w:pPr>
        <w:pStyle w:val="Text1"/>
        <w:jc w:val="center"/>
        <w:rPr>
          <w:rStyle w:val="footnotereference"/>
          <w:b/>
          <w:bCs/>
          <w:noProof/>
          <w:szCs w:val="24"/>
        </w:rPr>
      </w:pPr>
      <w:r w:rsidRPr="00333509">
        <w:rPr>
          <w:rStyle w:val="footnotereference"/>
          <w:b/>
          <w:bCs/>
          <w:noProof/>
          <w:szCs w:val="24"/>
        </w:rPr>
        <w:t>Evaluation and Review</w:t>
      </w:r>
    </w:p>
    <w:p w14:paraId="796B3F64" w14:textId="77777777" w:rsidR="00ED022D" w:rsidRDefault="00ED022D" w:rsidP="00895671">
      <w:pPr>
        <w:pStyle w:val="Text1"/>
        <w:jc w:val="center"/>
        <w:rPr>
          <w:rStyle w:val="footnotereference"/>
          <w:b/>
          <w:bCs/>
          <w:noProof/>
          <w:szCs w:val="24"/>
        </w:rPr>
      </w:pPr>
    </w:p>
    <w:p w14:paraId="10796173" w14:textId="1FECE587" w:rsidR="00ED022D" w:rsidRPr="002F05AD" w:rsidRDefault="00ED022D" w:rsidP="00ED022D">
      <w:pPr>
        <w:pStyle w:val="Text1"/>
        <w:rPr>
          <w:rStyle w:val="footnotereference"/>
          <w:b/>
          <w:bCs/>
          <w:noProof/>
          <w:szCs w:val="24"/>
        </w:rPr>
      </w:pPr>
      <w:r w:rsidRPr="00744E0F">
        <w:rPr>
          <w:rStyle w:val="footnotereference"/>
          <w:b/>
          <w:bCs/>
          <w:noProof/>
          <w:szCs w:val="24"/>
        </w:rPr>
        <w:t xml:space="preserve">By </w:t>
      </w:r>
      <w:r w:rsidRPr="00744E0F">
        <w:rPr>
          <w:rStyle w:val="footnotereference"/>
          <w:b/>
          <w:bCs/>
          <w:strike/>
          <w:noProof/>
          <w:szCs w:val="24"/>
        </w:rPr>
        <w:t>three</w:t>
      </w:r>
      <w:r w:rsidRPr="00744E0F">
        <w:rPr>
          <w:rStyle w:val="footnotereference"/>
          <w:b/>
          <w:bCs/>
          <w:noProof/>
          <w:szCs w:val="24"/>
        </w:rPr>
        <w:t xml:space="preserve"> </w:t>
      </w:r>
      <w:r w:rsidR="00AB4124" w:rsidRPr="00744E0F">
        <w:rPr>
          <w:rStyle w:val="footnotereference"/>
          <w:b/>
          <w:bCs/>
          <w:noProof/>
          <w:color w:val="FF0000"/>
          <w:szCs w:val="24"/>
        </w:rPr>
        <w:t xml:space="preserve">five </w:t>
      </w:r>
      <w:r w:rsidRPr="00744E0F">
        <w:rPr>
          <w:rStyle w:val="footnotereference"/>
          <w:b/>
          <w:bCs/>
          <w:noProof/>
          <w:szCs w:val="24"/>
        </w:rPr>
        <w:t xml:space="preserve">years from the entry into force of this Directive and every </w:t>
      </w:r>
      <w:r w:rsidRPr="00333509">
        <w:rPr>
          <w:rStyle w:val="footnotereference"/>
          <w:b/>
          <w:bCs/>
          <w:noProof/>
          <w:color w:val="FF0000"/>
          <w:szCs w:val="24"/>
        </w:rPr>
        <w:t xml:space="preserve">five </w:t>
      </w:r>
      <w:r w:rsidRPr="00744E0F">
        <w:rPr>
          <w:rStyle w:val="footnotereference"/>
          <w:b/>
          <w:bCs/>
          <w:noProof/>
          <w:szCs w:val="24"/>
        </w:rPr>
        <w:t xml:space="preserve">years thereafter, the Commission shall carry out an evaluation and present a report to the European Parliament and the Council on the implementation of the provisions of Directives </w:t>
      </w:r>
      <w:r w:rsidRPr="00744E0F">
        <w:rPr>
          <w:b/>
          <w:bCs/>
          <w:noProof/>
        </w:rPr>
        <w:t xml:space="preserve">2014/65/EU and (EU) 2022/2557 </w:t>
      </w:r>
      <w:r w:rsidRPr="00744E0F">
        <w:rPr>
          <w:rStyle w:val="footnotereference"/>
          <w:b/>
          <w:bCs/>
          <w:noProof/>
          <w:szCs w:val="24"/>
        </w:rPr>
        <w:t>as amended by this Directive,</w:t>
      </w:r>
      <w:r w:rsidRPr="00744E0F">
        <w:rPr>
          <w:b/>
          <w:bCs/>
        </w:rPr>
        <w:t>including the impact on administrative burden-reduction and competitiveness, on economic, social and environmental aspects, and on the development and growth of micro, small and medium-sized enterprises.</w:t>
      </w:r>
      <w:r w:rsidRPr="00744E0F">
        <w:rPr>
          <w:rStyle w:val="footnotereference"/>
          <w:b/>
          <w:bCs/>
          <w:noProof/>
          <w:szCs w:val="24"/>
        </w:rPr>
        <w:t xml:space="preserve"> The report shall particularly focus on the possible need to review the thresholds defining SMCs, in light of economic and market developments. The report shall be accompanied, if appropriate, by a legislative proposal. (IMCO, AM 47,48)</w:t>
      </w:r>
    </w:p>
    <w:p w14:paraId="7D92095C" w14:textId="77777777" w:rsidR="00895671" w:rsidRDefault="00895671" w:rsidP="00895671">
      <w:pPr>
        <w:pStyle w:val="Titrearticle"/>
        <w:rPr>
          <w:noProof/>
          <w:lang w:val="en-US"/>
        </w:rPr>
      </w:pPr>
    </w:p>
    <w:p w14:paraId="667E0D93" w14:textId="77777777" w:rsidR="00895671" w:rsidRPr="00D33E6D" w:rsidRDefault="00895671" w:rsidP="00895671">
      <w:pPr>
        <w:pStyle w:val="Titrearticle"/>
        <w:rPr>
          <w:noProof/>
          <w:lang w:val="en-US"/>
        </w:rPr>
      </w:pPr>
      <w:r w:rsidRPr="00D33E6D">
        <w:rPr>
          <w:noProof/>
          <w:lang w:val="en-US"/>
        </w:rPr>
        <w:t xml:space="preserve">Article </w:t>
      </w:r>
      <w:bookmarkStart w:id="5" w:name="_Hlk193987889"/>
      <w:r w:rsidRPr="00D33E6D">
        <w:rPr>
          <w:noProof/>
          <w:lang w:val="en-US"/>
        </w:rPr>
        <w:t>3</w:t>
      </w:r>
      <w:r w:rsidRPr="00D33E6D">
        <w:rPr>
          <w:noProof/>
          <w:lang w:val="en-US"/>
        </w:rPr>
        <w:br/>
      </w:r>
      <w:bookmarkEnd w:id="5"/>
      <w:r w:rsidRPr="00D33E6D">
        <w:rPr>
          <w:noProof/>
          <w:lang w:val="en-US"/>
        </w:rPr>
        <w:t>Transposition</w:t>
      </w:r>
    </w:p>
    <w:p w14:paraId="0CDBA3B0" w14:textId="77777777" w:rsidR="00895671" w:rsidRPr="00D33E6D" w:rsidRDefault="00895671" w:rsidP="00895671">
      <w:pPr>
        <w:pStyle w:val="Point0"/>
        <w:rPr>
          <w:noProof/>
          <w:lang w:eastAsia="en-IE"/>
        </w:rPr>
      </w:pPr>
      <w:r w:rsidRPr="00D33E6D">
        <w:rPr>
          <w:noProof/>
          <w:lang w:eastAsia="en-IE"/>
        </w:rPr>
        <w:t>1.</w:t>
      </w:r>
      <w:r w:rsidRPr="00D33E6D">
        <w:rPr>
          <w:noProof/>
        </w:rPr>
        <w:tab/>
      </w:r>
      <w:r w:rsidRPr="00D33E6D">
        <w:rPr>
          <w:noProof/>
          <w:lang w:eastAsia="en-IE"/>
        </w:rPr>
        <w:t>Member States shall adopt and publish, by [Note to PO: insert exact date – […] 12 months after entry into force of this Directive] at the latest, the laws, regulations and administrative provisions necessary to comply with this Directive. They shall forthwith communicate to the Commission the text of those provisions.</w:t>
      </w:r>
    </w:p>
    <w:p w14:paraId="61233DE6" w14:textId="77777777" w:rsidR="00895671" w:rsidRPr="00D33E6D" w:rsidRDefault="00895671" w:rsidP="00895671">
      <w:pPr>
        <w:pStyle w:val="Point1"/>
        <w:rPr>
          <w:b/>
          <w:bCs/>
          <w:noProof/>
          <w:lang w:val="en-IE" w:eastAsia="en-IE"/>
        </w:rPr>
      </w:pPr>
      <w:r w:rsidRPr="00D33E6D">
        <w:rPr>
          <w:noProof/>
          <w:bdr w:val="none" w:sz="0" w:space="0" w:color="auto" w:frame="1"/>
          <w:lang w:val="en-IE" w:eastAsia="en-IE"/>
        </w:rPr>
        <w:t>They shall apply those provisions from </w:t>
      </w:r>
      <w:r w:rsidRPr="00D33E6D">
        <w:rPr>
          <w:b/>
          <w:bCs/>
          <w:noProof/>
          <w:bdr w:val="none" w:sz="0" w:space="0" w:color="auto" w:frame="1"/>
          <w:lang w:val="en-IE" w:eastAsia="en-IE"/>
        </w:rPr>
        <w:t>[Note to PO: insert exact date – […] 12 months and one day after entry into force of this Directive].</w:t>
      </w:r>
    </w:p>
    <w:p w14:paraId="200A8BC8" w14:textId="77777777" w:rsidR="00895671" w:rsidRPr="00D33E6D" w:rsidRDefault="00895671" w:rsidP="00895671">
      <w:pPr>
        <w:ind w:left="850"/>
        <w:rPr>
          <w:noProof/>
          <w:bdr w:val="none" w:sz="0" w:space="0" w:color="auto" w:frame="1"/>
          <w:lang w:val="en-IE" w:eastAsia="en-IE"/>
        </w:rPr>
      </w:pPr>
      <w:r w:rsidRPr="00D33E6D">
        <w:rPr>
          <w:noProof/>
          <w:bdr w:val="none" w:sz="0" w:space="0" w:color="auto" w:frame="1"/>
          <w:lang w:val="en-IE" w:eastAsia="en-IE"/>
        </w:rPr>
        <w:t>When Member States adopt those provisions, they shall contain a reference to this Directive or be accompanied by such a reference on the occasion of their official publication. Member States shall determine how such reference is to be made.</w:t>
      </w:r>
    </w:p>
    <w:p w14:paraId="4FA1285C" w14:textId="77777777" w:rsidR="00895671" w:rsidRPr="00D33E6D" w:rsidRDefault="00895671" w:rsidP="00895671">
      <w:pPr>
        <w:pStyle w:val="Point0"/>
        <w:rPr>
          <w:noProof/>
          <w:lang w:eastAsia="en-IE"/>
        </w:rPr>
      </w:pPr>
      <w:r w:rsidRPr="00D33E6D">
        <w:rPr>
          <w:noProof/>
          <w:lang w:eastAsia="en-IE"/>
        </w:rPr>
        <w:t>2.</w:t>
      </w:r>
      <w:r w:rsidRPr="00D33E6D">
        <w:rPr>
          <w:noProof/>
        </w:rPr>
        <w:tab/>
      </w:r>
      <w:r w:rsidRPr="00D33E6D">
        <w:rPr>
          <w:noProof/>
          <w:lang w:eastAsia="en-IE"/>
        </w:rPr>
        <w:t>Member States shall communicate to the Commission the text of the main provisions of national law which they adopt in the field covered by this Directive.</w:t>
      </w:r>
    </w:p>
    <w:p w14:paraId="74962DCE" w14:textId="77777777" w:rsidR="00895671" w:rsidRPr="00D33E6D" w:rsidRDefault="00895671" w:rsidP="00895671">
      <w:pPr>
        <w:pStyle w:val="Titrearticle"/>
        <w:rPr>
          <w:noProof/>
          <w:lang w:val="en-US"/>
        </w:rPr>
      </w:pPr>
      <w:r w:rsidRPr="00D33E6D">
        <w:rPr>
          <w:noProof/>
          <w:lang w:val="en-US"/>
        </w:rPr>
        <w:t>Article 4</w:t>
      </w:r>
      <w:r w:rsidRPr="00D33E6D">
        <w:rPr>
          <w:noProof/>
          <w:lang w:val="en-US"/>
        </w:rPr>
        <w:br/>
        <w:t>Entry into force</w:t>
      </w:r>
    </w:p>
    <w:p w14:paraId="4068369D" w14:textId="77777777" w:rsidR="00895671" w:rsidRPr="00D33E6D" w:rsidRDefault="00895671" w:rsidP="00895671">
      <w:pPr>
        <w:shd w:val="clear" w:color="auto" w:fill="FFFFFF"/>
        <w:textAlignment w:val="baseline"/>
        <w:rPr>
          <w:rFonts w:eastAsia="Times New Roman"/>
          <w:noProof/>
          <w:color w:val="000000"/>
          <w:bdr w:val="none" w:sz="0" w:space="0" w:color="auto" w:frame="1"/>
          <w:lang w:val="en-IE" w:eastAsia="en-IE"/>
        </w:rPr>
      </w:pPr>
      <w:r w:rsidRPr="00D33E6D">
        <w:rPr>
          <w:rFonts w:eastAsia="Times New Roman"/>
          <w:noProof/>
          <w:color w:val="000000"/>
          <w:bdr w:val="none" w:sz="0" w:space="0" w:color="auto" w:frame="1"/>
          <w:lang w:val="en-IE" w:eastAsia="en-IE"/>
        </w:rPr>
        <w:t>This Directive shall enter into force on the twentieth day following that of its publication in the Official Journal of the European Union.</w:t>
      </w:r>
    </w:p>
    <w:p w14:paraId="79040BC2" w14:textId="77777777" w:rsidR="00895671" w:rsidRPr="00D33E6D" w:rsidRDefault="00895671" w:rsidP="00895671">
      <w:pPr>
        <w:pStyle w:val="Titrearticle"/>
        <w:rPr>
          <w:noProof/>
          <w:lang w:val="en-US"/>
        </w:rPr>
      </w:pPr>
      <w:r w:rsidRPr="00D33E6D">
        <w:rPr>
          <w:noProof/>
          <w:lang w:val="en-US"/>
        </w:rPr>
        <w:t>Article 5</w:t>
      </w:r>
      <w:r w:rsidRPr="00D33E6D">
        <w:rPr>
          <w:noProof/>
          <w:lang w:val="en-US"/>
        </w:rPr>
        <w:br/>
        <w:t>Addressees</w:t>
      </w:r>
    </w:p>
    <w:p w14:paraId="2B4412CE" w14:textId="77777777" w:rsidR="00895671" w:rsidRPr="00D33E6D" w:rsidRDefault="00895671" w:rsidP="00895671">
      <w:pPr>
        <w:shd w:val="clear" w:color="auto" w:fill="FFFFFF"/>
        <w:textAlignment w:val="baseline"/>
        <w:rPr>
          <w:rFonts w:eastAsia="Times New Roman"/>
          <w:noProof/>
          <w:color w:val="000000"/>
          <w:lang w:val="en-IE" w:eastAsia="en-IE"/>
        </w:rPr>
      </w:pPr>
      <w:r w:rsidRPr="00D33E6D">
        <w:rPr>
          <w:rFonts w:eastAsia="Times New Roman"/>
          <w:noProof/>
          <w:color w:val="000000"/>
          <w:bdr w:val="none" w:sz="0" w:space="0" w:color="auto" w:frame="1"/>
          <w:lang w:val="en-IE" w:eastAsia="en-IE"/>
        </w:rPr>
        <w:t>This Directive is addressed to the Member States.</w:t>
      </w:r>
    </w:p>
    <w:p w14:paraId="6D923017" w14:textId="77777777" w:rsidR="00895671" w:rsidRPr="00D33E6D" w:rsidRDefault="00895671" w:rsidP="00895671">
      <w:pPr>
        <w:pStyle w:val="Fait"/>
        <w:rPr>
          <w:noProof/>
        </w:rPr>
      </w:pPr>
      <w:r w:rsidRPr="008F5610">
        <w:t>Done at Brussels,</w:t>
      </w:r>
    </w:p>
    <w:p w14:paraId="1C4BD898" w14:textId="77777777" w:rsidR="00895671" w:rsidRPr="00D33E6D" w:rsidRDefault="00895671" w:rsidP="00895671">
      <w:pPr>
        <w:pStyle w:val="Institutionquisigne"/>
        <w:rPr>
          <w:noProof/>
        </w:rPr>
      </w:pPr>
      <w:r w:rsidRPr="00D33E6D">
        <w:rPr>
          <w:noProof/>
        </w:rPr>
        <w:t>For the European Parliament</w:t>
      </w:r>
      <w:r w:rsidRPr="00D33E6D">
        <w:rPr>
          <w:noProof/>
        </w:rPr>
        <w:tab/>
        <w:t>For the Council</w:t>
      </w:r>
    </w:p>
    <w:p w14:paraId="24C10AF9" w14:textId="77777777" w:rsidR="00895671" w:rsidRPr="00D33E6D" w:rsidRDefault="00895671" w:rsidP="00895671">
      <w:pPr>
        <w:pStyle w:val="Institutionquisigne"/>
        <w:rPr>
          <w:noProof/>
        </w:rPr>
      </w:pPr>
      <w:r w:rsidRPr="00D33E6D">
        <w:rPr>
          <w:noProof/>
        </w:rPr>
        <w:t>The President</w:t>
      </w:r>
      <w:r w:rsidRPr="00D33E6D">
        <w:rPr>
          <w:noProof/>
        </w:rPr>
        <w:tab/>
        <w:t>The President</w:t>
      </w:r>
    </w:p>
    <w:p w14:paraId="3CE1C6AD" w14:textId="77777777" w:rsidR="008765BE" w:rsidRDefault="008765BE"/>
    <w:sectPr w:rsidR="008765BE" w:rsidSect="0054756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9828E" w14:textId="77777777" w:rsidR="00335B6F" w:rsidRDefault="00335B6F" w:rsidP="00895671">
      <w:r>
        <w:separator/>
      </w:r>
    </w:p>
  </w:endnote>
  <w:endnote w:type="continuationSeparator" w:id="0">
    <w:p w14:paraId="2342D5E2" w14:textId="77777777" w:rsidR="00335B6F" w:rsidRDefault="00335B6F" w:rsidP="00895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6805424"/>
      <w:docPartObj>
        <w:docPartGallery w:val="Page Numbers (Bottom of Page)"/>
        <w:docPartUnique/>
      </w:docPartObj>
    </w:sdtPr>
    <w:sdtEndPr>
      <w:rPr>
        <w:noProof/>
      </w:rPr>
    </w:sdtEndPr>
    <w:sdtContent>
      <w:p w14:paraId="6D2A452C" w14:textId="3DF7DE39" w:rsidR="00713939" w:rsidRDefault="007139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A336BC" w14:textId="77777777" w:rsidR="00713939" w:rsidRDefault="00713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D7ECB" w14:textId="77777777" w:rsidR="00335B6F" w:rsidRDefault="00335B6F" w:rsidP="00895671">
      <w:r>
        <w:separator/>
      </w:r>
    </w:p>
  </w:footnote>
  <w:footnote w:type="continuationSeparator" w:id="0">
    <w:p w14:paraId="3C01D637" w14:textId="77777777" w:rsidR="00335B6F" w:rsidRDefault="00335B6F" w:rsidP="00895671">
      <w:r>
        <w:continuationSeparator/>
      </w:r>
    </w:p>
  </w:footnote>
  <w:footnote w:id="1">
    <w:p w14:paraId="353F7D3F" w14:textId="77777777" w:rsidR="00895671" w:rsidRPr="00A31D5B" w:rsidRDefault="00895671" w:rsidP="00895671">
      <w:pPr>
        <w:pStyle w:val="FootnoteText"/>
        <w:rPr>
          <w:lang w:val="pl-PL"/>
        </w:rPr>
      </w:pPr>
      <w:r w:rsidRPr="00F911DE">
        <w:rPr>
          <w:rStyle w:val="FootnoteReference0"/>
        </w:rPr>
        <w:footnoteRef/>
      </w:r>
      <w:r w:rsidRPr="00A31D5B">
        <w:rPr>
          <w:lang w:val="pl-PL"/>
        </w:rPr>
        <w:tab/>
      </w:r>
      <w:r w:rsidRPr="00CA5179">
        <w:rPr>
          <w:lang w:val="pl-PL"/>
        </w:rPr>
        <w:t xml:space="preserve">OJ </w:t>
      </w:r>
      <w:proofErr w:type="gramStart"/>
      <w:r w:rsidRPr="00CA5179">
        <w:rPr>
          <w:lang w:val="pl-PL"/>
        </w:rPr>
        <w:t>C ,</w:t>
      </w:r>
      <w:proofErr w:type="gramEnd"/>
      <w:r w:rsidRPr="00CA5179">
        <w:rPr>
          <w:lang w:val="pl-PL"/>
        </w:rPr>
        <w:t xml:space="preserve"> , p. </w:t>
      </w:r>
    </w:p>
  </w:footnote>
  <w:footnote w:id="2">
    <w:p w14:paraId="5FB4A14B" w14:textId="77777777" w:rsidR="00895671" w:rsidRPr="00CA5179" w:rsidRDefault="00895671" w:rsidP="00895671">
      <w:pPr>
        <w:pStyle w:val="FootnoteText"/>
        <w:rPr>
          <w:lang w:val="pl-PL"/>
        </w:rPr>
      </w:pPr>
      <w:r>
        <w:rPr>
          <w:rStyle w:val="FootnoteReference0"/>
        </w:rPr>
        <w:footnoteRef/>
      </w:r>
      <w:r w:rsidRPr="00CA5179">
        <w:rPr>
          <w:lang w:val="pl-PL"/>
        </w:rPr>
        <w:tab/>
      </w:r>
      <w:bookmarkStart w:id="0" w:name="_Hlk194482792"/>
      <w:r w:rsidRPr="00CA5179">
        <w:rPr>
          <w:lang w:val="pl-PL"/>
        </w:rPr>
        <w:t xml:space="preserve">OJ </w:t>
      </w:r>
      <w:proofErr w:type="gramStart"/>
      <w:r w:rsidRPr="00CA5179">
        <w:rPr>
          <w:lang w:val="pl-PL"/>
        </w:rPr>
        <w:t>C ,</w:t>
      </w:r>
      <w:proofErr w:type="gramEnd"/>
      <w:r w:rsidRPr="00CA5179">
        <w:rPr>
          <w:lang w:val="pl-PL"/>
        </w:rPr>
        <w:t xml:space="preserve"> , p. </w:t>
      </w:r>
      <w:bookmarkEnd w:id="0"/>
      <w:r w:rsidRPr="00CA5179">
        <w:rPr>
          <w:lang w:val="pl-PL"/>
        </w:rPr>
        <w:t>.</w:t>
      </w:r>
    </w:p>
  </w:footnote>
  <w:footnote w:id="3">
    <w:p w14:paraId="2F9C980F" w14:textId="77777777" w:rsidR="00895671" w:rsidRPr="00F36E63" w:rsidRDefault="00895671" w:rsidP="00895671">
      <w:pPr>
        <w:pStyle w:val="FootnoteText"/>
        <w:rPr>
          <w:lang w:val="pl-PL"/>
        </w:rPr>
      </w:pPr>
      <w:r w:rsidRPr="00DD17E0">
        <w:rPr>
          <w:rStyle w:val="FootnoteReference0"/>
        </w:rPr>
        <w:footnoteRef/>
      </w:r>
      <w:r>
        <w:rPr>
          <w:lang w:val="pl-PL"/>
        </w:rPr>
        <w:tab/>
      </w:r>
      <w:r w:rsidR="00D12037">
        <w:fldChar w:fldCharType="begin"/>
      </w:r>
      <w:r w:rsidR="00D12037" w:rsidRPr="00D12037">
        <w:rPr>
          <w:lang w:val="pl-PL"/>
        </w:rPr>
        <w:instrText>HYPERLINK "https://commission.europa.eu/document/download/e6cd4328-673c-4e7a-8683-f63ffb2cf648_en?filename=Political%20Guidelines%202024-2029_EN.pdf"</w:instrText>
      </w:r>
      <w:r w:rsidR="00D12037">
        <w:fldChar w:fldCharType="separate"/>
      </w:r>
      <w:r w:rsidRPr="000163BC">
        <w:rPr>
          <w:rStyle w:val="Hyperlink"/>
          <w:lang w:val="pl-PL"/>
        </w:rPr>
        <w:t>https://commission.europa.eu/document/download/e6cd4328-673c-4e7a-8683-f63ffb2cf648_en?filename=Political%20Guidelines%202024-2029_EN.pdf</w:t>
      </w:r>
      <w:r w:rsidR="00D12037">
        <w:rPr>
          <w:rStyle w:val="Hyperlink"/>
          <w:lang w:val="pl-PL"/>
        </w:rPr>
        <w:fldChar w:fldCharType="end"/>
      </w:r>
      <w:r w:rsidRPr="00F36E63">
        <w:rPr>
          <w:lang w:val="pl-PL"/>
        </w:rPr>
        <w:t xml:space="preserve"> </w:t>
      </w:r>
    </w:p>
  </w:footnote>
  <w:footnote w:id="4">
    <w:p w14:paraId="25823AD0" w14:textId="77777777" w:rsidR="00895671" w:rsidRPr="00773E51" w:rsidRDefault="00895671" w:rsidP="00895671">
      <w:pPr>
        <w:pStyle w:val="FootnoteText"/>
        <w:rPr>
          <w:lang w:val="en-IE"/>
        </w:rPr>
      </w:pPr>
      <w:r w:rsidRPr="00DD17E0">
        <w:rPr>
          <w:rStyle w:val="FootnoteReference0"/>
        </w:rPr>
        <w:footnoteRef/>
      </w:r>
      <w:r>
        <w:tab/>
      </w:r>
      <w:r w:rsidRPr="00F36E63">
        <w:t xml:space="preserve">Better regulation: Joining forces to make better laws, COM(2021) 219 final, available at: </w:t>
      </w:r>
      <w:hyperlink r:id="rId1" w:history="1">
        <w:r w:rsidRPr="00F36E63">
          <w:rPr>
            <w:rStyle w:val="Hyperlink"/>
          </w:rPr>
          <w:t>https://eur-lex.europa.eu/legal-content/EN/TXT/?uri=COM:2021:219:FIN</w:t>
        </w:r>
      </w:hyperlink>
      <w:r w:rsidRPr="00F36E63">
        <w:t xml:space="preserve"> </w:t>
      </w:r>
    </w:p>
  </w:footnote>
  <w:footnote w:id="5">
    <w:p w14:paraId="1016FC5B" w14:textId="77777777" w:rsidR="00895671" w:rsidRPr="00773E51" w:rsidRDefault="00895671" w:rsidP="00895671">
      <w:pPr>
        <w:pStyle w:val="FootnoteText"/>
        <w:rPr>
          <w:lang w:val="en-IE"/>
        </w:rPr>
      </w:pPr>
      <w:r w:rsidRPr="00DD17E0">
        <w:rPr>
          <w:rStyle w:val="FootnoteReference0"/>
        </w:rPr>
        <w:footnoteRef/>
      </w:r>
      <w:r>
        <w:tab/>
      </w:r>
      <w:r w:rsidRPr="00F36E63">
        <w:t xml:space="preserve">Long-term competitiveness of the EU: looking beyond 2030, </w:t>
      </w:r>
      <w:r w:rsidRPr="00773E51">
        <w:rPr>
          <w:lang w:val="en-IE"/>
        </w:rPr>
        <w:t xml:space="preserve">COM(2023) 168 final, available at: </w:t>
      </w:r>
      <w:hyperlink r:id="rId2" w:history="1">
        <w:r w:rsidRPr="00773E51">
          <w:rPr>
            <w:rStyle w:val="Hyperlink"/>
            <w:lang w:val="en-IE"/>
          </w:rPr>
          <w:t>https://eur-lex.europa.eu/legal-content/EN/TXT/?uri=CELEX:52023DC0168</w:t>
        </w:r>
      </w:hyperlink>
      <w:r w:rsidRPr="00773E51">
        <w:rPr>
          <w:lang w:val="en-IE"/>
        </w:rPr>
        <w:t xml:space="preserve"> </w:t>
      </w:r>
    </w:p>
  </w:footnote>
  <w:footnote w:id="6">
    <w:p w14:paraId="5CDBEAC6" w14:textId="77777777" w:rsidR="00895671" w:rsidRPr="0021120E" w:rsidRDefault="00895671" w:rsidP="00895671">
      <w:pPr>
        <w:pStyle w:val="FootnoteText"/>
        <w:rPr>
          <w:lang w:val="en-IE"/>
        </w:rPr>
      </w:pPr>
      <w:r w:rsidRPr="00DD17E0">
        <w:rPr>
          <w:rStyle w:val="FootnoteReference0"/>
        </w:rPr>
        <w:footnoteRef/>
      </w:r>
      <w:r w:rsidRPr="00A31D5B">
        <w:rPr>
          <w:lang w:val="fr-BE"/>
        </w:rPr>
        <w:tab/>
        <w:t xml:space="preserve">SME Relief Package (europa.eu). </w:t>
      </w:r>
      <w:r w:rsidRPr="0021120E">
        <w:t>See also annex 3A to this report SME relief package policy tracker.</w:t>
      </w:r>
    </w:p>
  </w:footnote>
  <w:footnote w:id="7">
    <w:p w14:paraId="7BCAA536" w14:textId="77777777" w:rsidR="00895671" w:rsidRPr="0021120E" w:rsidRDefault="00895671" w:rsidP="00895671">
      <w:pPr>
        <w:pStyle w:val="FootnoteText"/>
        <w:rPr>
          <w:lang w:val="en-IE"/>
        </w:rPr>
      </w:pPr>
      <w:r w:rsidRPr="00DD17E0">
        <w:rPr>
          <w:rStyle w:val="FootnoteReference0"/>
        </w:rPr>
        <w:footnoteRef/>
      </w:r>
      <w:r>
        <w:tab/>
      </w:r>
      <w:r w:rsidRPr="0021120E">
        <w:t>SMEs are defined as companies with under 250 employees, combined with an annual turnover up to 50 million euro or a balance sheet total up to 43 million - Recommendation 2003/361/EC - https://single-market-economy.ec.europa.eu/smes/sme-definition_en</w:t>
      </w:r>
    </w:p>
  </w:footnote>
  <w:footnote w:id="8">
    <w:p w14:paraId="28310F6A" w14:textId="77777777" w:rsidR="00895671" w:rsidRDefault="00895671" w:rsidP="00895671">
      <w:pPr>
        <w:pStyle w:val="FootnoteText"/>
        <w:rPr>
          <w:lang w:val="en-IE"/>
        </w:rPr>
      </w:pPr>
      <w:r w:rsidRPr="00DD17E0">
        <w:rPr>
          <w:rStyle w:val="FootnoteReference0"/>
        </w:rPr>
        <w:footnoteRef/>
      </w:r>
      <w:r>
        <w:tab/>
      </w:r>
      <w:r w:rsidRPr="0021120E">
        <w:t>Study to map, measure and portray the EU mid-cap landscape - https://op.europa.eu/en/publication-detail/-/publication/ad5fdad5-6a33-11ed-b14f-01aa75ed71a1/language-en/format-PDF/source-277396461</w:t>
      </w:r>
    </w:p>
  </w:footnote>
  <w:footnote w:id="9">
    <w:p w14:paraId="7D2926A7" w14:textId="77777777" w:rsidR="00895671" w:rsidRPr="00BE7981" w:rsidRDefault="00895671" w:rsidP="00895671">
      <w:pPr>
        <w:pStyle w:val="FootnoteText"/>
        <w:rPr>
          <w:lang w:val="en-IE"/>
        </w:rPr>
      </w:pPr>
      <w:r w:rsidRPr="00DD17E0">
        <w:rPr>
          <w:rStyle w:val="FootnoteReference0"/>
        </w:rPr>
        <w:footnoteRef/>
      </w:r>
      <w:r>
        <w:tab/>
      </w:r>
      <w:r w:rsidRPr="00BE7981">
        <w:t>https://www.esri.ie/system/files/publications/BKMNEXT429.pdf</w:t>
      </w:r>
    </w:p>
  </w:footnote>
  <w:footnote w:id="10">
    <w:p w14:paraId="2EBCCA02" w14:textId="77777777" w:rsidR="00895671" w:rsidRPr="00DB770C" w:rsidRDefault="00895671" w:rsidP="00895671">
      <w:pPr>
        <w:pStyle w:val="FootnoteText"/>
      </w:pPr>
      <w:r w:rsidRPr="00DD17E0">
        <w:rPr>
          <w:rStyle w:val="FootnoteReference0"/>
        </w:rPr>
        <w:footnoteRef/>
      </w:r>
      <w:r>
        <w:tab/>
      </w:r>
      <w:r w:rsidRPr="00DB770C">
        <w:t>Directive 2014/65/EU of the European Parliament and of the Council of 15 May 2014 on markets in financial instruments and amending Directive 2002/92/EC and Directive 2011/61/EU (recast) (OJ L 173, 12.6.2014, p. 349, ELI: http://data.europa.eu/eli/dir/2014/65/oj.)</w:t>
      </w:r>
    </w:p>
  </w:footnote>
  <w:footnote w:id="11">
    <w:p w14:paraId="1B9E7397" w14:textId="77777777" w:rsidR="00895671" w:rsidRPr="00DB770C" w:rsidRDefault="00895671" w:rsidP="00895671">
      <w:pPr>
        <w:pStyle w:val="FootnoteText"/>
        <w:rPr>
          <w:lang w:val="en-IE"/>
        </w:rPr>
      </w:pPr>
      <w:r>
        <w:rPr>
          <w:rStyle w:val="FootnoteReference0"/>
        </w:rPr>
        <w:footnoteRef/>
      </w:r>
      <w:r>
        <w:tab/>
      </w:r>
      <w:r>
        <w:rPr>
          <w:rFonts w:eastAsia="Calibri"/>
        </w:rPr>
        <w:t xml:space="preserve">Directive (EU) 2022/2557 of the European Parliament and of the Council of 14 December 2022 on the resilience of critical entities and repealing Council Directive 2008/114/EC (OJ L 333, 27.12.2022, p. 164, ELI: </w:t>
      </w:r>
      <w:hyperlink r:id="rId3" w:history="1">
        <w:r>
          <w:rPr>
            <w:rStyle w:val="Hyperlink"/>
            <w:rFonts w:eastAsia="Calibri"/>
          </w:rPr>
          <w:t>http://data.europa.eu/eli/dir/2022/2557/oj</w:t>
        </w:r>
      </w:hyperlink>
      <w:r>
        <w:rPr>
          <w:rFonts w:eastAsia="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604C"/>
    <w:multiLevelType w:val="hybridMultilevel"/>
    <w:tmpl w:val="3E2439A4"/>
    <w:lvl w:ilvl="0" w:tplc="C8C2322C">
      <w:start w:val="1"/>
      <w:numFmt w:val="decimal"/>
      <w:lvlText w:val="%1."/>
      <w:lvlJc w:val="left"/>
      <w:pPr>
        <w:ind w:left="1440" w:hanging="360"/>
      </w:pPr>
    </w:lvl>
    <w:lvl w:ilvl="1" w:tplc="3B30F4F6">
      <w:start w:val="1"/>
      <w:numFmt w:val="decimal"/>
      <w:lvlText w:val="%2."/>
      <w:lvlJc w:val="left"/>
      <w:pPr>
        <w:ind w:left="1440" w:hanging="360"/>
      </w:pPr>
    </w:lvl>
    <w:lvl w:ilvl="2" w:tplc="3C285530">
      <w:start w:val="1"/>
      <w:numFmt w:val="decimal"/>
      <w:lvlText w:val="%3."/>
      <w:lvlJc w:val="left"/>
      <w:pPr>
        <w:ind w:left="1440" w:hanging="360"/>
      </w:pPr>
    </w:lvl>
    <w:lvl w:ilvl="3" w:tplc="71568610">
      <w:start w:val="1"/>
      <w:numFmt w:val="decimal"/>
      <w:lvlText w:val="%4."/>
      <w:lvlJc w:val="left"/>
      <w:pPr>
        <w:ind w:left="1440" w:hanging="360"/>
      </w:pPr>
    </w:lvl>
    <w:lvl w:ilvl="4" w:tplc="91CCB680">
      <w:start w:val="1"/>
      <w:numFmt w:val="decimal"/>
      <w:lvlText w:val="%5."/>
      <w:lvlJc w:val="left"/>
      <w:pPr>
        <w:ind w:left="1440" w:hanging="360"/>
      </w:pPr>
    </w:lvl>
    <w:lvl w:ilvl="5" w:tplc="00200CF2">
      <w:start w:val="1"/>
      <w:numFmt w:val="decimal"/>
      <w:lvlText w:val="%6."/>
      <w:lvlJc w:val="left"/>
      <w:pPr>
        <w:ind w:left="1440" w:hanging="360"/>
      </w:pPr>
    </w:lvl>
    <w:lvl w:ilvl="6" w:tplc="1C7E7D44">
      <w:start w:val="1"/>
      <w:numFmt w:val="decimal"/>
      <w:lvlText w:val="%7."/>
      <w:lvlJc w:val="left"/>
      <w:pPr>
        <w:ind w:left="1440" w:hanging="360"/>
      </w:pPr>
    </w:lvl>
    <w:lvl w:ilvl="7" w:tplc="2014047C">
      <w:start w:val="1"/>
      <w:numFmt w:val="decimal"/>
      <w:lvlText w:val="%8."/>
      <w:lvlJc w:val="left"/>
      <w:pPr>
        <w:ind w:left="1440" w:hanging="360"/>
      </w:pPr>
    </w:lvl>
    <w:lvl w:ilvl="8" w:tplc="7286ECBA">
      <w:start w:val="1"/>
      <w:numFmt w:val="decimal"/>
      <w:lvlText w:val="%9."/>
      <w:lvlJc w:val="left"/>
      <w:pPr>
        <w:ind w:left="1440" w:hanging="360"/>
      </w:pPr>
    </w:lvl>
  </w:abstractNum>
  <w:abstractNum w:abstractNumId="1" w15:restartNumberingAfterBreak="0">
    <w:nsid w:val="13DB7D3A"/>
    <w:multiLevelType w:val="hybridMultilevel"/>
    <w:tmpl w:val="BB7E7C52"/>
    <w:lvl w:ilvl="0" w:tplc="C50C01E4">
      <w:start w:val="1"/>
      <w:numFmt w:val="decimal"/>
      <w:lvlText w:val="%1."/>
      <w:lvlJc w:val="left"/>
      <w:pPr>
        <w:ind w:left="1440" w:hanging="360"/>
      </w:pPr>
    </w:lvl>
    <w:lvl w:ilvl="1" w:tplc="DA745296">
      <w:start w:val="1"/>
      <w:numFmt w:val="decimal"/>
      <w:lvlText w:val="%2."/>
      <w:lvlJc w:val="left"/>
      <w:pPr>
        <w:ind w:left="1440" w:hanging="360"/>
      </w:pPr>
    </w:lvl>
    <w:lvl w:ilvl="2" w:tplc="DF382966">
      <w:start w:val="1"/>
      <w:numFmt w:val="decimal"/>
      <w:lvlText w:val="%3."/>
      <w:lvlJc w:val="left"/>
      <w:pPr>
        <w:ind w:left="1440" w:hanging="360"/>
      </w:pPr>
    </w:lvl>
    <w:lvl w:ilvl="3" w:tplc="8272C4E8">
      <w:start w:val="1"/>
      <w:numFmt w:val="decimal"/>
      <w:lvlText w:val="%4."/>
      <w:lvlJc w:val="left"/>
      <w:pPr>
        <w:ind w:left="1440" w:hanging="360"/>
      </w:pPr>
    </w:lvl>
    <w:lvl w:ilvl="4" w:tplc="7B52912A">
      <w:start w:val="1"/>
      <w:numFmt w:val="decimal"/>
      <w:lvlText w:val="%5."/>
      <w:lvlJc w:val="left"/>
      <w:pPr>
        <w:ind w:left="1440" w:hanging="360"/>
      </w:pPr>
    </w:lvl>
    <w:lvl w:ilvl="5" w:tplc="7EECC3BC">
      <w:start w:val="1"/>
      <w:numFmt w:val="decimal"/>
      <w:lvlText w:val="%6."/>
      <w:lvlJc w:val="left"/>
      <w:pPr>
        <w:ind w:left="1440" w:hanging="360"/>
      </w:pPr>
    </w:lvl>
    <w:lvl w:ilvl="6" w:tplc="743A5B90">
      <w:start w:val="1"/>
      <w:numFmt w:val="decimal"/>
      <w:lvlText w:val="%7."/>
      <w:lvlJc w:val="left"/>
      <w:pPr>
        <w:ind w:left="1440" w:hanging="360"/>
      </w:pPr>
    </w:lvl>
    <w:lvl w:ilvl="7" w:tplc="1788FA12">
      <w:start w:val="1"/>
      <w:numFmt w:val="decimal"/>
      <w:lvlText w:val="%8."/>
      <w:lvlJc w:val="left"/>
      <w:pPr>
        <w:ind w:left="1440" w:hanging="360"/>
      </w:pPr>
    </w:lvl>
    <w:lvl w:ilvl="8" w:tplc="31DAC4BE">
      <w:start w:val="1"/>
      <w:numFmt w:val="decimal"/>
      <w:lvlText w:val="%9."/>
      <w:lvlJc w:val="left"/>
      <w:pPr>
        <w:ind w:left="1440" w:hanging="360"/>
      </w:pPr>
    </w:lvl>
  </w:abstractNum>
  <w:abstractNum w:abstractNumId="2" w15:restartNumberingAfterBreak="0">
    <w:nsid w:val="24DE110C"/>
    <w:multiLevelType w:val="hybridMultilevel"/>
    <w:tmpl w:val="64324B56"/>
    <w:lvl w:ilvl="0" w:tplc="B1AE1774">
      <w:start w:val="1"/>
      <w:numFmt w:val="decimal"/>
      <w:lvlText w:val="%1."/>
      <w:lvlJc w:val="left"/>
      <w:pPr>
        <w:ind w:left="1440" w:hanging="360"/>
      </w:pPr>
    </w:lvl>
    <w:lvl w:ilvl="1" w:tplc="0C465084">
      <w:start w:val="1"/>
      <w:numFmt w:val="decimal"/>
      <w:lvlText w:val="%2."/>
      <w:lvlJc w:val="left"/>
      <w:pPr>
        <w:ind w:left="1440" w:hanging="360"/>
      </w:pPr>
    </w:lvl>
    <w:lvl w:ilvl="2" w:tplc="691CD8DE">
      <w:start w:val="1"/>
      <w:numFmt w:val="decimal"/>
      <w:lvlText w:val="%3."/>
      <w:lvlJc w:val="left"/>
      <w:pPr>
        <w:ind w:left="1440" w:hanging="360"/>
      </w:pPr>
    </w:lvl>
    <w:lvl w:ilvl="3" w:tplc="5764FCD8">
      <w:start w:val="1"/>
      <w:numFmt w:val="decimal"/>
      <w:lvlText w:val="%4."/>
      <w:lvlJc w:val="left"/>
      <w:pPr>
        <w:ind w:left="1440" w:hanging="360"/>
      </w:pPr>
    </w:lvl>
    <w:lvl w:ilvl="4" w:tplc="B256FE44">
      <w:start w:val="1"/>
      <w:numFmt w:val="decimal"/>
      <w:lvlText w:val="%5."/>
      <w:lvlJc w:val="left"/>
      <w:pPr>
        <w:ind w:left="1440" w:hanging="360"/>
      </w:pPr>
    </w:lvl>
    <w:lvl w:ilvl="5" w:tplc="364C8946">
      <w:start w:val="1"/>
      <w:numFmt w:val="decimal"/>
      <w:lvlText w:val="%6."/>
      <w:lvlJc w:val="left"/>
      <w:pPr>
        <w:ind w:left="1440" w:hanging="360"/>
      </w:pPr>
    </w:lvl>
    <w:lvl w:ilvl="6" w:tplc="A77CA932">
      <w:start w:val="1"/>
      <w:numFmt w:val="decimal"/>
      <w:lvlText w:val="%7."/>
      <w:lvlJc w:val="left"/>
      <w:pPr>
        <w:ind w:left="1440" w:hanging="360"/>
      </w:pPr>
    </w:lvl>
    <w:lvl w:ilvl="7" w:tplc="816A3816">
      <w:start w:val="1"/>
      <w:numFmt w:val="decimal"/>
      <w:lvlText w:val="%8."/>
      <w:lvlJc w:val="left"/>
      <w:pPr>
        <w:ind w:left="1440" w:hanging="360"/>
      </w:pPr>
    </w:lvl>
    <w:lvl w:ilvl="8" w:tplc="138A0AA2">
      <w:start w:val="1"/>
      <w:numFmt w:val="decimal"/>
      <w:lvlText w:val="%9."/>
      <w:lvlJc w:val="left"/>
      <w:pPr>
        <w:ind w:left="1440" w:hanging="360"/>
      </w:pPr>
    </w:lvl>
  </w:abstractNum>
  <w:abstractNum w:abstractNumId="3" w15:restartNumberingAfterBreak="0">
    <w:nsid w:val="2FB14701"/>
    <w:multiLevelType w:val="hybridMultilevel"/>
    <w:tmpl w:val="7ADE1BC0"/>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4F72208A"/>
    <w:multiLevelType w:val="hybridMultilevel"/>
    <w:tmpl w:val="2A0A2DBA"/>
    <w:lvl w:ilvl="0" w:tplc="B400094E">
      <w:start w:val="1"/>
      <w:numFmt w:val="decimal"/>
      <w:lvlText w:val="%1."/>
      <w:lvlJc w:val="left"/>
      <w:pPr>
        <w:ind w:left="1440" w:hanging="360"/>
      </w:pPr>
    </w:lvl>
    <w:lvl w:ilvl="1" w:tplc="78720EB8">
      <w:start w:val="1"/>
      <w:numFmt w:val="decimal"/>
      <w:lvlText w:val="%2."/>
      <w:lvlJc w:val="left"/>
      <w:pPr>
        <w:ind w:left="1440" w:hanging="360"/>
      </w:pPr>
    </w:lvl>
    <w:lvl w:ilvl="2" w:tplc="0F48C19C">
      <w:start w:val="1"/>
      <w:numFmt w:val="decimal"/>
      <w:lvlText w:val="%3."/>
      <w:lvlJc w:val="left"/>
      <w:pPr>
        <w:ind w:left="1440" w:hanging="360"/>
      </w:pPr>
    </w:lvl>
    <w:lvl w:ilvl="3" w:tplc="FFE2487A">
      <w:start w:val="1"/>
      <w:numFmt w:val="decimal"/>
      <w:lvlText w:val="%4."/>
      <w:lvlJc w:val="left"/>
      <w:pPr>
        <w:ind w:left="1440" w:hanging="360"/>
      </w:pPr>
    </w:lvl>
    <w:lvl w:ilvl="4" w:tplc="BF3CDDA0">
      <w:start w:val="1"/>
      <w:numFmt w:val="decimal"/>
      <w:lvlText w:val="%5."/>
      <w:lvlJc w:val="left"/>
      <w:pPr>
        <w:ind w:left="1440" w:hanging="360"/>
      </w:pPr>
    </w:lvl>
    <w:lvl w:ilvl="5" w:tplc="ED1CF026">
      <w:start w:val="1"/>
      <w:numFmt w:val="decimal"/>
      <w:lvlText w:val="%6."/>
      <w:lvlJc w:val="left"/>
      <w:pPr>
        <w:ind w:left="1440" w:hanging="360"/>
      </w:pPr>
    </w:lvl>
    <w:lvl w:ilvl="6" w:tplc="85A23328">
      <w:start w:val="1"/>
      <w:numFmt w:val="decimal"/>
      <w:lvlText w:val="%7."/>
      <w:lvlJc w:val="left"/>
      <w:pPr>
        <w:ind w:left="1440" w:hanging="360"/>
      </w:pPr>
    </w:lvl>
    <w:lvl w:ilvl="7" w:tplc="F3CEC01C">
      <w:start w:val="1"/>
      <w:numFmt w:val="decimal"/>
      <w:lvlText w:val="%8."/>
      <w:lvlJc w:val="left"/>
      <w:pPr>
        <w:ind w:left="1440" w:hanging="360"/>
      </w:pPr>
    </w:lvl>
    <w:lvl w:ilvl="8" w:tplc="A154B728">
      <w:start w:val="1"/>
      <w:numFmt w:val="decimal"/>
      <w:lvlText w:val="%9."/>
      <w:lvlJc w:val="left"/>
      <w:pPr>
        <w:ind w:left="1440" w:hanging="360"/>
      </w:pPr>
    </w:lvl>
  </w:abstractNum>
  <w:abstractNum w:abstractNumId="5" w15:restartNumberingAfterBreak="0">
    <w:nsid w:val="53F945A4"/>
    <w:multiLevelType w:val="hybridMultilevel"/>
    <w:tmpl w:val="DBB43B80"/>
    <w:lvl w:ilvl="0" w:tplc="017E7918">
      <w:start w:val="1"/>
      <w:numFmt w:val="decimal"/>
      <w:lvlText w:val="%1."/>
      <w:lvlJc w:val="left"/>
      <w:pPr>
        <w:ind w:left="1440" w:hanging="360"/>
      </w:pPr>
    </w:lvl>
    <w:lvl w:ilvl="1" w:tplc="122EC662">
      <w:start w:val="1"/>
      <w:numFmt w:val="decimal"/>
      <w:lvlText w:val="%2."/>
      <w:lvlJc w:val="left"/>
      <w:pPr>
        <w:ind w:left="1440" w:hanging="360"/>
      </w:pPr>
    </w:lvl>
    <w:lvl w:ilvl="2" w:tplc="1A3CD9A0">
      <w:start w:val="1"/>
      <w:numFmt w:val="decimal"/>
      <w:lvlText w:val="%3."/>
      <w:lvlJc w:val="left"/>
      <w:pPr>
        <w:ind w:left="1440" w:hanging="360"/>
      </w:pPr>
    </w:lvl>
    <w:lvl w:ilvl="3" w:tplc="54E43216">
      <w:start w:val="1"/>
      <w:numFmt w:val="decimal"/>
      <w:lvlText w:val="%4."/>
      <w:lvlJc w:val="left"/>
      <w:pPr>
        <w:ind w:left="1440" w:hanging="360"/>
      </w:pPr>
    </w:lvl>
    <w:lvl w:ilvl="4" w:tplc="D4A2E276">
      <w:start w:val="1"/>
      <w:numFmt w:val="decimal"/>
      <w:lvlText w:val="%5."/>
      <w:lvlJc w:val="left"/>
      <w:pPr>
        <w:ind w:left="1440" w:hanging="360"/>
      </w:pPr>
    </w:lvl>
    <w:lvl w:ilvl="5" w:tplc="66E28BE4">
      <w:start w:val="1"/>
      <w:numFmt w:val="decimal"/>
      <w:lvlText w:val="%6."/>
      <w:lvlJc w:val="left"/>
      <w:pPr>
        <w:ind w:left="1440" w:hanging="360"/>
      </w:pPr>
    </w:lvl>
    <w:lvl w:ilvl="6" w:tplc="118A230C">
      <w:start w:val="1"/>
      <w:numFmt w:val="decimal"/>
      <w:lvlText w:val="%7."/>
      <w:lvlJc w:val="left"/>
      <w:pPr>
        <w:ind w:left="1440" w:hanging="360"/>
      </w:pPr>
    </w:lvl>
    <w:lvl w:ilvl="7" w:tplc="F4482C10">
      <w:start w:val="1"/>
      <w:numFmt w:val="decimal"/>
      <w:lvlText w:val="%8."/>
      <w:lvlJc w:val="left"/>
      <w:pPr>
        <w:ind w:left="1440" w:hanging="360"/>
      </w:pPr>
    </w:lvl>
    <w:lvl w:ilvl="8" w:tplc="DE08869E">
      <w:start w:val="1"/>
      <w:numFmt w:val="decimal"/>
      <w:lvlText w:val="%9."/>
      <w:lvlJc w:val="left"/>
      <w:pPr>
        <w:ind w:left="1440" w:hanging="360"/>
      </w:pPr>
    </w:lvl>
  </w:abstractNum>
  <w:num w:numId="1" w16cid:durableId="356278758">
    <w:abstractNumId w:val="4"/>
  </w:num>
  <w:num w:numId="2" w16cid:durableId="625238130">
    <w:abstractNumId w:val="2"/>
  </w:num>
  <w:num w:numId="3" w16cid:durableId="655887268">
    <w:abstractNumId w:val="1"/>
  </w:num>
  <w:num w:numId="4" w16cid:durableId="630788424">
    <w:abstractNumId w:val="0"/>
  </w:num>
  <w:num w:numId="5" w16cid:durableId="1937517060">
    <w:abstractNumId w:val="5"/>
  </w:num>
  <w:num w:numId="6" w16cid:durableId="948125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671"/>
    <w:rsid w:val="00011D2D"/>
    <w:rsid w:val="00017603"/>
    <w:rsid w:val="000A027A"/>
    <w:rsid w:val="000A1ABC"/>
    <w:rsid w:val="00101498"/>
    <w:rsid w:val="001123BB"/>
    <w:rsid w:val="001438F8"/>
    <w:rsid w:val="001635E4"/>
    <w:rsid w:val="0017089B"/>
    <w:rsid w:val="001A75FB"/>
    <w:rsid w:val="001F6C98"/>
    <w:rsid w:val="00203728"/>
    <w:rsid w:val="002919E2"/>
    <w:rsid w:val="002A00A3"/>
    <w:rsid w:val="002E3DE2"/>
    <w:rsid w:val="002F05AD"/>
    <w:rsid w:val="00331E66"/>
    <w:rsid w:val="00333509"/>
    <w:rsid w:val="00335B6F"/>
    <w:rsid w:val="003367A0"/>
    <w:rsid w:val="003455B3"/>
    <w:rsid w:val="00372E39"/>
    <w:rsid w:val="003D2743"/>
    <w:rsid w:val="0042442C"/>
    <w:rsid w:val="00440ACB"/>
    <w:rsid w:val="00547569"/>
    <w:rsid w:val="0057073E"/>
    <w:rsid w:val="005762E3"/>
    <w:rsid w:val="005F2A15"/>
    <w:rsid w:val="00610235"/>
    <w:rsid w:val="00622C37"/>
    <w:rsid w:val="006B342D"/>
    <w:rsid w:val="006D1C36"/>
    <w:rsid w:val="006D3696"/>
    <w:rsid w:val="00713939"/>
    <w:rsid w:val="00737DAC"/>
    <w:rsid w:val="00742551"/>
    <w:rsid w:val="00744E0F"/>
    <w:rsid w:val="00755E08"/>
    <w:rsid w:val="00773905"/>
    <w:rsid w:val="007821D1"/>
    <w:rsid w:val="007D0518"/>
    <w:rsid w:val="007F677A"/>
    <w:rsid w:val="008237D6"/>
    <w:rsid w:val="008262ED"/>
    <w:rsid w:val="00841EBC"/>
    <w:rsid w:val="00845A1B"/>
    <w:rsid w:val="00857D3A"/>
    <w:rsid w:val="00873909"/>
    <w:rsid w:val="008765BE"/>
    <w:rsid w:val="00895671"/>
    <w:rsid w:val="00900803"/>
    <w:rsid w:val="009A58C3"/>
    <w:rsid w:val="009A7071"/>
    <w:rsid w:val="009F07CE"/>
    <w:rsid w:val="009F7E27"/>
    <w:rsid w:val="00A619CE"/>
    <w:rsid w:val="00A957CA"/>
    <w:rsid w:val="00AA099C"/>
    <w:rsid w:val="00AA576B"/>
    <w:rsid w:val="00AB4124"/>
    <w:rsid w:val="00AE0DF8"/>
    <w:rsid w:val="00AE64DB"/>
    <w:rsid w:val="00B00266"/>
    <w:rsid w:val="00B5407D"/>
    <w:rsid w:val="00BE6459"/>
    <w:rsid w:val="00D12037"/>
    <w:rsid w:val="00D24A48"/>
    <w:rsid w:val="00D8672C"/>
    <w:rsid w:val="00D968A8"/>
    <w:rsid w:val="00E03E46"/>
    <w:rsid w:val="00E25201"/>
    <w:rsid w:val="00ED022D"/>
    <w:rsid w:val="00F0625B"/>
    <w:rsid w:val="00F754A1"/>
    <w:rsid w:val="00F91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44200998"/>
  <w15:chartTrackingRefBased/>
  <w15:docId w15:val="{7A0772D6-3EC0-4453-9575-B830C8A04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2E3"/>
    <w:pPr>
      <w:jc w:val="both"/>
    </w:pPr>
    <w:rPr>
      <w:rFonts w:ascii="Times New Roman" w:hAnsi="Times New Roman"/>
      <w:sz w:val="24"/>
      <w:szCs w:val="24"/>
    </w:rPr>
  </w:style>
  <w:style w:type="paragraph" w:styleId="Heading1">
    <w:name w:val="heading 1"/>
    <w:basedOn w:val="Normal"/>
    <w:next w:val="Normal"/>
    <w:link w:val="Heading1Char"/>
    <w:uiPriority w:val="9"/>
    <w:qFormat/>
    <w:rsid w:val="005762E3"/>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semiHidden/>
    <w:unhideWhenUsed/>
    <w:qFormat/>
    <w:rsid w:val="005762E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62E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62E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62E3"/>
    <w:pPr>
      <w:spacing w:before="240" w:after="60"/>
      <w:outlineLvl w:val="6"/>
    </w:pPr>
  </w:style>
  <w:style w:type="paragraph" w:styleId="Heading8">
    <w:name w:val="heading 8"/>
    <w:basedOn w:val="Normal"/>
    <w:next w:val="Normal"/>
    <w:link w:val="Heading8Char"/>
    <w:uiPriority w:val="9"/>
    <w:semiHidden/>
    <w:unhideWhenUsed/>
    <w:qFormat/>
    <w:rsid w:val="005762E3"/>
    <w:pPr>
      <w:spacing w:before="240" w:after="60"/>
      <w:outlineLvl w:val="7"/>
    </w:pPr>
    <w:rPr>
      <w:i/>
      <w:iCs/>
    </w:rPr>
  </w:style>
  <w:style w:type="paragraph" w:styleId="Heading9">
    <w:name w:val="heading 9"/>
    <w:basedOn w:val="Normal"/>
    <w:next w:val="Normal"/>
    <w:link w:val="Heading9Char"/>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2E3"/>
    <w:rPr>
      <w:rFonts w:ascii="Arial" w:eastAsiaTheme="majorEastAsia" w:hAnsi="Arial" w:cs="Arial"/>
      <w:b/>
      <w:bCs/>
      <w:kern w:val="32"/>
      <w:sz w:val="32"/>
      <w:szCs w:val="32"/>
    </w:rPr>
  </w:style>
  <w:style w:type="character" w:customStyle="1" w:styleId="Heading2Char">
    <w:name w:val="Heading 2 Char"/>
    <w:basedOn w:val="DefaultParagraphFont"/>
    <w:link w:val="Heading2"/>
    <w:uiPriority w:val="9"/>
    <w:semiHidden/>
    <w:rsid w:val="005762E3"/>
    <w:rPr>
      <w:rFonts w:ascii="Arial" w:eastAsiaTheme="majorEastAsia" w:hAnsi="Arial" w:cs="Arial"/>
      <w:b/>
      <w:bCs/>
      <w:i/>
      <w:iCs/>
      <w:sz w:val="28"/>
      <w:szCs w:val="28"/>
    </w:rPr>
  </w:style>
  <w:style w:type="character" w:customStyle="1" w:styleId="Heading3Char">
    <w:name w:val="Heading 3 Char"/>
    <w:basedOn w:val="DefaultParagraphFont"/>
    <w:link w:val="Heading3"/>
    <w:uiPriority w:val="9"/>
    <w:semiHidden/>
    <w:rsid w:val="005762E3"/>
    <w:rPr>
      <w:rFonts w:ascii="Arial" w:eastAsiaTheme="majorEastAsia" w:hAnsi="Arial" w:cs="Arial"/>
      <w:b/>
      <w:bCs/>
      <w:sz w:val="26"/>
      <w:szCs w:val="26"/>
    </w:rPr>
  </w:style>
  <w:style w:type="character" w:customStyle="1" w:styleId="Heading4Char">
    <w:name w:val="Heading 4 Char"/>
    <w:basedOn w:val="DefaultParagraphFont"/>
    <w:link w:val="Heading4"/>
    <w:uiPriority w:val="9"/>
    <w:semiHidden/>
    <w:rsid w:val="005762E3"/>
    <w:rPr>
      <w:b/>
      <w:bCs/>
      <w:sz w:val="28"/>
      <w:szCs w:val="28"/>
    </w:rPr>
  </w:style>
  <w:style w:type="character" w:customStyle="1" w:styleId="Heading5Char">
    <w:name w:val="Heading 5 Char"/>
    <w:basedOn w:val="DefaultParagraphFont"/>
    <w:link w:val="Heading5"/>
    <w:uiPriority w:val="9"/>
    <w:semiHidden/>
    <w:rsid w:val="005762E3"/>
    <w:rPr>
      <w:b/>
      <w:bCs/>
      <w:i/>
      <w:iCs/>
      <w:sz w:val="26"/>
      <w:szCs w:val="26"/>
    </w:rPr>
  </w:style>
  <w:style w:type="character" w:customStyle="1" w:styleId="Heading6Char">
    <w:name w:val="Heading 6 Char"/>
    <w:basedOn w:val="DefaultParagraphFont"/>
    <w:link w:val="Heading6"/>
    <w:uiPriority w:val="9"/>
    <w:semiHidden/>
    <w:rsid w:val="005762E3"/>
    <w:rPr>
      <w:b/>
      <w:bCs/>
    </w:rPr>
  </w:style>
  <w:style w:type="character" w:customStyle="1" w:styleId="Heading7Char">
    <w:name w:val="Heading 7 Char"/>
    <w:basedOn w:val="DefaultParagraphFont"/>
    <w:link w:val="Heading7"/>
    <w:uiPriority w:val="9"/>
    <w:semiHidden/>
    <w:rsid w:val="005762E3"/>
    <w:rPr>
      <w:sz w:val="24"/>
      <w:szCs w:val="24"/>
    </w:rPr>
  </w:style>
  <w:style w:type="character" w:customStyle="1" w:styleId="Heading8Char">
    <w:name w:val="Heading 8 Char"/>
    <w:basedOn w:val="DefaultParagraphFont"/>
    <w:link w:val="Heading8"/>
    <w:uiPriority w:val="9"/>
    <w:semiHidden/>
    <w:rsid w:val="005762E3"/>
    <w:rPr>
      <w:i/>
      <w:iCs/>
      <w:sz w:val="24"/>
      <w:szCs w:val="24"/>
    </w:rPr>
  </w:style>
  <w:style w:type="character" w:customStyle="1" w:styleId="Heading9Char">
    <w:name w:val="Heading 9 Char"/>
    <w:basedOn w:val="DefaultParagraphFont"/>
    <w:link w:val="Heading9"/>
    <w:uiPriority w:val="9"/>
    <w:semiHidden/>
    <w:rsid w:val="005762E3"/>
    <w:rPr>
      <w:rFonts w:asciiTheme="majorHAnsi" w:eastAsiaTheme="majorEastAsia" w:hAnsiTheme="majorHAnsi"/>
    </w:rPr>
  </w:style>
  <w:style w:type="paragraph" w:styleId="Title">
    <w:name w:val="Title"/>
    <w:basedOn w:val="Normal"/>
    <w:next w:val="Normal"/>
    <w:link w:val="TitleChar"/>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uiPriority w:val="10"/>
    <w:rsid w:val="005762E3"/>
    <w:rPr>
      <w:rFonts w:ascii="Arial" w:eastAsiaTheme="majorEastAsia" w:hAnsi="Arial" w:cs="Arial"/>
      <w:b/>
      <w:bCs/>
      <w:kern w:val="28"/>
      <w:sz w:val="32"/>
      <w:szCs w:val="32"/>
    </w:rPr>
  </w:style>
  <w:style w:type="paragraph" w:styleId="Subtitle">
    <w:name w:val="Subtitle"/>
    <w:basedOn w:val="Normal"/>
    <w:next w:val="Normal"/>
    <w:link w:val="SubtitleChar"/>
    <w:uiPriority w:val="11"/>
    <w:qFormat/>
    <w:rsid w:val="005762E3"/>
    <w:pPr>
      <w:spacing w:after="60"/>
      <w:jc w:val="center"/>
      <w:outlineLvl w:val="1"/>
    </w:pPr>
    <w:rPr>
      <w:rFonts w:ascii="Arial" w:eastAsiaTheme="majorEastAsia" w:hAnsi="Arial" w:cs="Arial"/>
    </w:rPr>
  </w:style>
  <w:style w:type="character" w:customStyle="1" w:styleId="SubtitleChar">
    <w:name w:val="Subtitle Char"/>
    <w:basedOn w:val="DefaultParagraphFont"/>
    <w:link w:val="Subtitle"/>
    <w:uiPriority w:val="11"/>
    <w:rsid w:val="005762E3"/>
    <w:rPr>
      <w:rFonts w:ascii="Arial" w:eastAsiaTheme="majorEastAsia" w:hAnsi="Arial" w:cs="Arial"/>
      <w:sz w:val="24"/>
      <w:szCs w:val="24"/>
    </w:rPr>
  </w:style>
  <w:style w:type="character" w:styleId="Strong">
    <w:name w:val="Strong"/>
    <w:basedOn w:val="DefaultParagraphFont"/>
    <w:uiPriority w:val="22"/>
    <w:qFormat/>
    <w:rsid w:val="005762E3"/>
    <w:rPr>
      <w:b/>
      <w:bCs/>
    </w:rPr>
  </w:style>
  <w:style w:type="character" w:styleId="Emphasis">
    <w:name w:val="Emphasis"/>
    <w:basedOn w:val="DefaultParagraphFont"/>
    <w:uiPriority w:val="20"/>
    <w:qFormat/>
    <w:rsid w:val="005762E3"/>
    <w:rPr>
      <w:rFonts w:asciiTheme="minorHAnsi" w:hAnsiTheme="minorHAnsi"/>
      <w:b/>
      <w:i/>
      <w:iCs/>
    </w:rPr>
  </w:style>
  <w:style w:type="paragraph" w:styleId="NoSpacing">
    <w:name w:val="No Spacing"/>
    <w:basedOn w:val="Normal"/>
    <w:uiPriority w:val="1"/>
    <w:qFormat/>
    <w:rsid w:val="005762E3"/>
    <w:rPr>
      <w:szCs w:val="32"/>
    </w:rPr>
  </w:style>
  <w:style w:type="paragraph" w:styleId="ListParagraph">
    <w:name w:val="List Paragraph"/>
    <w:basedOn w:val="Normal"/>
    <w:uiPriority w:val="34"/>
    <w:qFormat/>
    <w:rsid w:val="005762E3"/>
    <w:pPr>
      <w:ind w:left="720"/>
      <w:contextualSpacing/>
    </w:pPr>
  </w:style>
  <w:style w:type="paragraph" w:styleId="Quote">
    <w:name w:val="Quote"/>
    <w:basedOn w:val="Normal"/>
    <w:next w:val="Normal"/>
    <w:link w:val="QuoteChar"/>
    <w:uiPriority w:val="29"/>
    <w:qFormat/>
    <w:rsid w:val="005762E3"/>
    <w:rPr>
      <w:i/>
    </w:rPr>
  </w:style>
  <w:style w:type="character" w:customStyle="1" w:styleId="QuoteChar">
    <w:name w:val="Quote Char"/>
    <w:basedOn w:val="DefaultParagraphFont"/>
    <w:link w:val="Quote"/>
    <w:uiPriority w:val="29"/>
    <w:rsid w:val="005762E3"/>
    <w:rPr>
      <w:i/>
      <w:sz w:val="24"/>
      <w:szCs w:val="24"/>
    </w:rPr>
  </w:style>
  <w:style w:type="paragraph" w:styleId="IntenseQuote">
    <w:name w:val="Intense Quote"/>
    <w:basedOn w:val="Normal"/>
    <w:next w:val="Normal"/>
    <w:link w:val="IntenseQuoteChar"/>
    <w:uiPriority w:val="30"/>
    <w:qFormat/>
    <w:rsid w:val="005762E3"/>
    <w:pPr>
      <w:ind w:left="720" w:right="720"/>
    </w:pPr>
    <w:rPr>
      <w:b/>
      <w:i/>
      <w:szCs w:val="22"/>
    </w:rPr>
  </w:style>
  <w:style w:type="character" w:customStyle="1" w:styleId="IntenseQuoteChar">
    <w:name w:val="Intense Quote Char"/>
    <w:basedOn w:val="DefaultParagraphFont"/>
    <w:link w:val="IntenseQuote"/>
    <w:uiPriority w:val="30"/>
    <w:rsid w:val="005762E3"/>
    <w:rPr>
      <w:b/>
      <w:i/>
      <w:sz w:val="24"/>
    </w:rPr>
  </w:style>
  <w:style w:type="character" w:styleId="SubtleEmphasis">
    <w:name w:val="Subtle Emphasis"/>
    <w:uiPriority w:val="19"/>
    <w:qFormat/>
    <w:rsid w:val="005762E3"/>
    <w:rPr>
      <w:i/>
      <w:color w:val="5A5A5A" w:themeColor="text1" w:themeTint="A5"/>
    </w:rPr>
  </w:style>
  <w:style w:type="character" w:styleId="IntenseEmphasis">
    <w:name w:val="Intense Emphasis"/>
    <w:basedOn w:val="DefaultParagraphFont"/>
    <w:uiPriority w:val="21"/>
    <w:qFormat/>
    <w:rsid w:val="005762E3"/>
    <w:rPr>
      <w:b/>
      <w:i/>
      <w:sz w:val="24"/>
      <w:szCs w:val="24"/>
      <w:u w:val="single"/>
    </w:rPr>
  </w:style>
  <w:style w:type="character" w:styleId="SubtleReference">
    <w:name w:val="Subtle Reference"/>
    <w:basedOn w:val="DefaultParagraphFont"/>
    <w:uiPriority w:val="31"/>
    <w:qFormat/>
    <w:rsid w:val="005762E3"/>
    <w:rPr>
      <w:sz w:val="24"/>
      <w:szCs w:val="24"/>
      <w:u w:val="single"/>
    </w:rPr>
  </w:style>
  <w:style w:type="character" w:styleId="IntenseReference">
    <w:name w:val="Intense Reference"/>
    <w:basedOn w:val="DefaultParagraphFont"/>
    <w:uiPriority w:val="32"/>
    <w:qFormat/>
    <w:rsid w:val="005762E3"/>
    <w:rPr>
      <w:b/>
      <w:sz w:val="24"/>
      <w:u w:val="single"/>
    </w:rPr>
  </w:style>
  <w:style w:type="character" w:styleId="BookTitle">
    <w:name w:val="Book Title"/>
    <w:basedOn w:val="DefaultParagraphFont"/>
    <w:uiPriority w:val="33"/>
    <w:qFormat/>
    <w:rsid w:val="005762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62E3"/>
    <w:pPr>
      <w:outlineLvl w:val="9"/>
    </w:pPr>
  </w:style>
  <w:style w:type="character" w:styleId="Hyperlink">
    <w:name w:val="Hyperlink"/>
    <w:uiPriority w:val="99"/>
    <w:rsid w:val="00895671"/>
    <w:rPr>
      <w:color w:val="0000FF"/>
      <w:u w:val="single"/>
    </w:rPr>
  </w:style>
  <w:style w:type="character" w:styleId="CommentReference">
    <w:name w:val="annotation reference"/>
    <w:rsid w:val="00895671"/>
    <w:rPr>
      <w:rFonts w:cs="Times New Roman"/>
      <w:sz w:val="16"/>
      <w:szCs w:val="16"/>
    </w:rPr>
  </w:style>
  <w:style w:type="paragraph" w:styleId="CommentText">
    <w:name w:val="annotation text"/>
    <w:basedOn w:val="Normal"/>
    <w:link w:val="CommentTextChar"/>
    <w:rsid w:val="00895671"/>
    <w:pPr>
      <w:spacing w:before="120" w:after="120"/>
    </w:pPr>
    <w:rPr>
      <w:rFonts w:eastAsia="Times New Roman"/>
      <w:kern w:val="0"/>
      <w:sz w:val="20"/>
      <w:szCs w:val="20"/>
      <w:lang w:val="fr-FR" w:eastAsia="en-GB"/>
      <w14:ligatures w14:val="none"/>
    </w:rPr>
  </w:style>
  <w:style w:type="character" w:customStyle="1" w:styleId="CommentTextChar">
    <w:name w:val="Comment Text Char"/>
    <w:basedOn w:val="DefaultParagraphFont"/>
    <w:link w:val="CommentText"/>
    <w:rsid w:val="00895671"/>
    <w:rPr>
      <w:rFonts w:ascii="Times New Roman" w:eastAsia="Times New Roman" w:hAnsi="Times New Roman"/>
      <w:kern w:val="0"/>
      <w:sz w:val="20"/>
      <w:szCs w:val="20"/>
      <w:lang w:val="fr-FR" w:eastAsia="en-GB"/>
      <w14:ligatures w14:val="none"/>
    </w:rPr>
  </w:style>
  <w:style w:type="character" w:customStyle="1" w:styleId="normaltextrun">
    <w:name w:val="normaltextrun"/>
    <w:basedOn w:val="DefaultParagraphFont"/>
    <w:rsid w:val="00895671"/>
  </w:style>
  <w:style w:type="character" w:customStyle="1" w:styleId="footnotereference">
    <w:name w:val="footnotereference"/>
    <w:basedOn w:val="DefaultParagraphFont"/>
    <w:rsid w:val="00895671"/>
  </w:style>
  <w:style w:type="paragraph" w:customStyle="1" w:styleId="CharCharChar1">
    <w:name w:val="Char Char Char1"/>
    <w:basedOn w:val="Normal"/>
    <w:link w:val="FootnoteReference0"/>
    <w:uiPriority w:val="99"/>
    <w:rsid w:val="00895671"/>
    <w:pPr>
      <w:spacing w:after="160" w:line="240" w:lineRule="exact"/>
    </w:pPr>
    <w:rPr>
      <w:rFonts w:asciiTheme="minorHAnsi" w:hAnsiTheme="minorHAnsi" w:cstheme="minorBidi"/>
      <w:kern w:val="0"/>
      <w:sz w:val="22"/>
      <w:szCs w:val="22"/>
      <w:vertAlign w:val="superscript"/>
      <w:lang w:val="en-US"/>
      <w14:ligatures w14:val="none"/>
    </w:rPr>
  </w:style>
  <w:style w:type="character" w:styleId="FootnoteReference0">
    <w:name w:val="footnote reference"/>
    <w:basedOn w:val="DefaultParagraphFont"/>
    <w:link w:val="CharCharChar1"/>
    <w:uiPriority w:val="99"/>
    <w:unhideWhenUsed/>
    <w:rsid w:val="00895671"/>
    <w:rPr>
      <w:rFonts w:cstheme="minorBidi"/>
      <w:kern w:val="0"/>
      <w:vertAlign w:val="superscript"/>
      <w:lang w:val="en-US"/>
      <w14:ligatures w14:val="none"/>
    </w:rPr>
  </w:style>
  <w:style w:type="paragraph" w:styleId="FootnoteText">
    <w:name w:val="footnote text"/>
    <w:basedOn w:val="Normal"/>
    <w:link w:val="FootnoteTextChar"/>
    <w:uiPriority w:val="99"/>
    <w:semiHidden/>
    <w:unhideWhenUsed/>
    <w:rsid w:val="00895671"/>
    <w:pPr>
      <w:ind w:left="720" w:hanging="720"/>
    </w:pPr>
    <w:rPr>
      <w:kern w:val="0"/>
      <w:sz w:val="20"/>
      <w:szCs w:val="20"/>
      <w14:ligatures w14:val="none"/>
    </w:rPr>
  </w:style>
  <w:style w:type="character" w:customStyle="1" w:styleId="FootnoteTextChar">
    <w:name w:val="Footnote Text Char"/>
    <w:basedOn w:val="DefaultParagraphFont"/>
    <w:link w:val="FootnoteText"/>
    <w:uiPriority w:val="99"/>
    <w:semiHidden/>
    <w:rsid w:val="00895671"/>
    <w:rPr>
      <w:rFonts w:ascii="Times New Roman" w:hAnsi="Times New Roman"/>
      <w:kern w:val="0"/>
      <w:sz w:val="20"/>
      <w:szCs w:val="20"/>
      <w14:ligatures w14:val="none"/>
    </w:rPr>
  </w:style>
  <w:style w:type="paragraph" w:customStyle="1" w:styleId="Text1">
    <w:name w:val="Text 1"/>
    <w:basedOn w:val="Normal"/>
    <w:rsid w:val="00895671"/>
    <w:pPr>
      <w:spacing w:before="120" w:after="120"/>
      <w:ind w:left="850"/>
    </w:pPr>
    <w:rPr>
      <w:kern w:val="0"/>
      <w:szCs w:val="22"/>
      <w14:ligatures w14:val="none"/>
    </w:rPr>
  </w:style>
  <w:style w:type="paragraph" w:customStyle="1" w:styleId="Point0">
    <w:name w:val="Point 0"/>
    <w:basedOn w:val="Normal"/>
    <w:rsid w:val="00895671"/>
    <w:pPr>
      <w:spacing w:before="120" w:after="120"/>
      <w:ind w:left="850" w:hanging="850"/>
    </w:pPr>
    <w:rPr>
      <w:kern w:val="0"/>
      <w:szCs w:val="22"/>
      <w14:ligatures w14:val="none"/>
    </w:rPr>
  </w:style>
  <w:style w:type="paragraph" w:customStyle="1" w:styleId="Point1">
    <w:name w:val="Point 1"/>
    <w:basedOn w:val="Normal"/>
    <w:rsid w:val="00895671"/>
    <w:pPr>
      <w:spacing w:before="120" w:after="120"/>
      <w:ind w:left="1417" w:hanging="567"/>
    </w:pPr>
    <w:rPr>
      <w:kern w:val="0"/>
      <w:szCs w:val="22"/>
      <w14:ligatures w14:val="none"/>
    </w:rPr>
  </w:style>
  <w:style w:type="paragraph" w:customStyle="1" w:styleId="Fait">
    <w:name w:val="Fait à"/>
    <w:basedOn w:val="Normal"/>
    <w:next w:val="Institutionquisigne"/>
    <w:rsid w:val="00895671"/>
    <w:pPr>
      <w:keepNext/>
      <w:spacing w:before="120"/>
    </w:pPr>
    <w:rPr>
      <w:kern w:val="0"/>
      <w:szCs w:val="22"/>
      <w14:ligatures w14:val="none"/>
    </w:rPr>
  </w:style>
  <w:style w:type="paragraph" w:customStyle="1" w:styleId="Formuledadoption">
    <w:name w:val="Formule d'adoption"/>
    <w:basedOn w:val="Normal"/>
    <w:next w:val="Titrearticle"/>
    <w:rsid w:val="00895671"/>
    <w:pPr>
      <w:keepNext/>
      <w:spacing w:before="120" w:after="120"/>
    </w:pPr>
    <w:rPr>
      <w:kern w:val="0"/>
      <w:szCs w:val="22"/>
      <w14:ligatures w14:val="none"/>
    </w:rPr>
  </w:style>
  <w:style w:type="paragraph" w:customStyle="1" w:styleId="Institutionquiagit">
    <w:name w:val="Institution qui agit"/>
    <w:basedOn w:val="Normal"/>
    <w:next w:val="Normal"/>
    <w:rsid w:val="00895671"/>
    <w:pPr>
      <w:keepNext/>
      <w:spacing w:before="600" w:after="120"/>
    </w:pPr>
    <w:rPr>
      <w:kern w:val="0"/>
      <w:szCs w:val="22"/>
      <w14:ligatures w14:val="none"/>
    </w:rPr>
  </w:style>
  <w:style w:type="paragraph" w:customStyle="1" w:styleId="Institutionquisigne">
    <w:name w:val="Institution qui signe"/>
    <w:basedOn w:val="Normal"/>
    <w:next w:val="Normal"/>
    <w:rsid w:val="00895671"/>
    <w:pPr>
      <w:keepNext/>
      <w:tabs>
        <w:tab w:val="left" w:pos="4252"/>
      </w:tabs>
      <w:spacing w:before="720"/>
    </w:pPr>
    <w:rPr>
      <w:i/>
      <w:kern w:val="0"/>
      <w:szCs w:val="22"/>
      <w14:ligatures w14:val="none"/>
    </w:rPr>
  </w:style>
  <w:style w:type="paragraph" w:customStyle="1" w:styleId="ManualConsidrant">
    <w:name w:val="Manual Considérant"/>
    <w:basedOn w:val="Normal"/>
    <w:rsid w:val="00895671"/>
    <w:pPr>
      <w:spacing w:before="120" w:after="120"/>
      <w:ind w:left="709" w:hanging="709"/>
    </w:pPr>
    <w:rPr>
      <w:kern w:val="0"/>
      <w:szCs w:val="22"/>
      <w14:ligatures w14:val="none"/>
    </w:rPr>
  </w:style>
  <w:style w:type="paragraph" w:customStyle="1" w:styleId="Titrearticle">
    <w:name w:val="Titre article"/>
    <w:basedOn w:val="Normal"/>
    <w:next w:val="Normal"/>
    <w:rsid w:val="00895671"/>
    <w:pPr>
      <w:keepNext/>
      <w:spacing w:before="360" w:after="120"/>
      <w:jc w:val="center"/>
    </w:pPr>
    <w:rPr>
      <w:i/>
      <w:kern w:val="0"/>
      <w:szCs w:val="22"/>
      <w14:ligatures w14:val="none"/>
    </w:rPr>
  </w:style>
  <w:style w:type="paragraph" w:customStyle="1" w:styleId="Titreobjet">
    <w:name w:val="Titre objet"/>
    <w:basedOn w:val="Normal"/>
    <w:next w:val="Normal"/>
    <w:rsid w:val="00895671"/>
    <w:pPr>
      <w:spacing w:before="360" w:after="360"/>
      <w:jc w:val="center"/>
    </w:pPr>
    <w:rPr>
      <w:b/>
      <w:kern w:val="0"/>
      <w:szCs w:val="22"/>
      <w14:ligatures w14:val="none"/>
    </w:rPr>
  </w:style>
  <w:style w:type="paragraph" w:customStyle="1" w:styleId="Typedudocument">
    <w:name w:val="Type du document"/>
    <w:basedOn w:val="Normal"/>
    <w:next w:val="Titreobjet"/>
    <w:rsid w:val="00895671"/>
    <w:pPr>
      <w:spacing w:before="360"/>
      <w:jc w:val="center"/>
    </w:pPr>
    <w:rPr>
      <w:b/>
      <w:kern w:val="0"/>
      <w:szCs w:val="22"/>
      <w14:ligatures w14:val="none"/>
    </w:rPr>
  </w:style>
  <w:style w:type="paragraph" w:customStyle="1" w:styleId="paragraph">
    <w:name w:val="paragraph"/>
    <w:basedOn w:val="Normal"/>
    <w:rsid w:val="00895671"/>
    <w:pPr>
      <w:spacing w:before="100" w:beforeAutospacing="1" w:after="100" w:afterAutospacing="1"/>
      <w:jc w:val="left"/>
    </w:pPr>
    <w:rPr>
      <w:rFonts w:eastAsia="Times New Roman"/>
      <w:kern w:val="0"/>
      <w:lang w:eastAsia="en-GB"/>
      <w14:ligatures w14:val="none"/>
    </w:rPr>
  </w:style>
  <w:style w:type="character" w:customStyle="1" w:styleId="HideTWBExt">
    <w:name w:val="HideTWBExt"/>
    <w:rsid w:val="00895671"/>
    <w:rPr>
      <w:rFonts w:ascii="Arial" w:hAnsi="Arial"/>
      <w:vanish/>
      <w:color w:val="000080"/>
      <w:sz w:val="20"/>
    </w:rPr>
  </w:style>
  <w:style w:type="paragraph" w:customStyle="1" w:styleId="NormalBold">
    <w:name w:val="NormalBold"/>
    <w:basedOn w:val="Normal"/>
    <w:rsid w:val="00895671"/>
    <w:pPr>
      <w:jc w:val="left"/>
    </w:pPr>
    <w:rPr>
      <w:rFonts w:eastAsia="Times New Roman"/>
      <w:b/>
      <w:kern w:val="0"/>
      <w14:ligatures w14:val="none"/>
    </w:rPr>
  </w:style>
  <w:style w:type="paragraph" w:customStyle="1" w:styleId="Normal6a">
    <w:name w:val="Normal6a"/>
    <w:basedOn w:val="Normal"/>
    <w:rsid w:val="00895671"/>
    <w:pPr>
      <w:spacing w:after="120"/>
      <w:jc w:val="left"/>
    </w:pPr>
    <w:rPr>
      <w:rFonts w:eastAsia="Times New Roman"/>
      <w:kern w:val="0"/>
      <w14:ligatures w14:val="none"/>
    </w:rPr>
  </w:style>
  <w:style w:type="paragraph" w:customStyle="1" w:styleId="AmColumnHeading">
    <w:name w:val="AmColumnHeading"/>
    <w:basedOn w:val="Normal"/>
    <w:rsid w:val="00895671"/>
    <w:pPr>
      <w:spacing w:after="240"/>
      <w:jc w:val="center"/>
    </w:pPr>
    <w:rPr>
      <w:rFonts w:eastAsia="Times New Roman"/>
      <w:i/>
      <w:kern w:val="0"/>
      <w14:ligatures w14:val="none"/>
    </w:rPr>
  </w:style>
  <w:style w:type="paragraph" w:customStyle="1" w:styleId="AmNumberTabs">
    <w:name w:val="AmNumberTabs"/>
    <w:basedOn w:val="Normal"/>
    <w:rsid w:val="00895671"/>
    <w:pPr>
      <w:tabs>
        <w:tab w:val="left" w:pos="878"/>
        <w:tab w:val="left" w:pos="936"/>
        <w:tab w:val="left" w:pos="1020"/>
        <w:tab w:val="left" w:pos="1076"/>
        <w:tab w:val="left" w:pos="1134"/>
        <w:tab w:val="left" w:pos="1190"/>
        <w:tab w:val="left" w:pos="1246"/>
        <w:tab w:val="left" w:pos="1304"/>
        <w:tab w:val="left" w:pos="1360"/>
        <w:tab w:val="left" w:pos="1418"/>
        <w:tab w:val="left" w:pos="1474"/>
        <w:tab w:val="left" w:pos="1530"/>
        <w:tab w:val="left" w:pos="1588"/>
        <w:tab w:val="left" w:pos="1644"/>
        <w:tab w:val="left" w:pos="1700"/>
        <w:tab w:val="left" w:pos="1758"/>
        <w:tab w:val="left" w:pos="1814"/>
        <w:tab w:val="left" w:pos="1870"/>
        <w:tab w:val="left" w:pos="2070"/>
        <w:tab w:val="left" w:pos="2126"/>
        <w:tab w:val="left" w:pos="3374"/>
        <w:tab w:val="left" w:pos="3430"/>
      </w:tabs>
      <w:spacing w:before="240"/>
      <w:jc w:val="left"/>
    </w:pPr>
    <w:rPr>
      <w:rFonts w:eastAsia="Times New Roman"/>
      <w:b/>
      <w:kern w:val="0"/>
      <w14:ligatures w14:val="none"/>
    </w:rPr>
  </w:style>
  <w:style w:type="character" w:customStyle="1" w:styleId="HideTWBInt">
    <w:name w:val="HideTWBInt"/>
    <w:rsid w:val="00895671"/>
    <w:rPr>
      <w:rFonts w:ascii="Arial" w:eastAsia="Arial" w:hAnsi="Arial" w:cs="Arial"/>
      <w:vanish/>
      <w:color w:val="808080"/>
      <w:sz w:val="20"/>
    </w:rPr>
  </w:style>
  <w:style w:type="paragraph" w:customStyle="1" w:styleId="AmOrLang">
    <w:name w:val="AmOrLang"/>
    <w:basedOn w:val="Normal"/>
    <w:rsid w:val="00895671"/>
    <w:pPr>
      <w:spacing w:before="240" w:after="240"/>
      <w:jc w:val="right"/>
    </w:pPr>
    <w:rPr>
      <w:rFonts w:eastAsia="Times New Roman"/>
      <w:kern w:val="0"/>
      <w14:ligatures w14:val="none"/>
    </w:rPr>
  </w:style>
  <w:style w:type="paragraph" w:styleId="Header">
    <w:name w:val="header"/>
    <w:basedOn w:val="Normal"/>
    <w:link w:val="HeaderChar"/>
    <w:uiPriority w:val="99"/>
    <w:unhideWhenUsed/>
    <w:rsid w:val="00713939"/>
    <w:pPr>
      <w:tabs>
        <w:tab w:val="center" w:pos="4513"/>
        <w:tab w:val="right" w:pos="9026"/>
      </w:tabs>
    </w:pPr>
  </w:style>
  <w:style w:type="character" w:customStyle="1" w:styleId="HeaderChar">
    <w:name w:val="Header Char"/>
    <w:basedOn w:val="DefaultParagraphFont"/>
    <w:link w:val="Header"/>
    <w:uiPriority w:val="99"/>
    <w:rsid w:val="00713939"/>
    <w:rPr>
      <w:rFonts w:ascii="Times New Roman" w:hAnsi="Times New Roman"/>
      <w:sz w:val="24"/>
      <w:szCs w:val="24"/>
    </w:rPr>
  </w:style>
  <w:style w:type="paragraph" w:styleId="Footer">
    <w:name w:val="footer"/>
    <w:basedOn w:val="Normal"/>
    <w:link w:val="FooterChar"/>
    <w:uiPriority w:val="99"/>
    <w:unhideWhenUsed/>
    <w:rsid w:val="00713939"/>
    <w:pPr>
      <w:tabs>
        <w:tab w:val="center" w:pos="4513"/>
        <w:tab w:val="right" w:pos="9026"/>
      </w:tabs>
    </w:pPr>
  </w:style>
  <w:style w:type="character" w:customStyle="1" w:styleId="FooterChar">
    <w:name w:val="Footer Char"/>
    <w:basedOn w:val="DefaultParagraphFont"/>
    <w:link w:val="Footer"/>
    <w:uiPriority w:val="99"/>
    <w:rsid w:val="00713939"/>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8262ED"/>
    <w:pPr>
      <w:spacing w:before="0" w:after="0"/>
    </w:pPr>
    <w:rPr>
      <w:rFonts w:eastAsiaTheme="minorHAnsi"/>
      <w:b/>
      <w:bCs/>
      <w:kern w:val="2"/>
      <w:lang w:val="en-GB" w:eastAsia="en-US"/>
      <w14:ligatures w14:val="standardContextual"/>
    </w:rPr>
  </w:style>
  <w:style w:type="character" w:customStyle="1" w:styleId="CommentSubjectChar">
    <w:name w:val="Comment Subject Char"/>
    <w:basedOn w:val="CommentTextChar"/>
    <w:link w:val="CommentSubject"/>
    <w:uiPriority w:val="99"/>
    <w:semiHidden/>
    <w:rsid w:val="008262ED"/>
    <w:rPr>
      <w:rFonts w:ascii="Times New Roman" w:eastAsia="Times New Roman" w:hAnsi="Times New Roman"/>
      <w:b/>
      <w:bCs/>
      <w:kern w:val="0"/>
      <w:sz w:val="20"/>
      <w:szCs w:val="20"/>
      <w:lang w:val="fr-FR" w:eastAsia="en-GB"/>
      <w14:ligatures w14:val="none"/>
    </w:rPr>
  </w:style>
  <w:style w:type="paragraph" w:styleId="Revision">
    <w:name w:val="Revision"/>
    <w:hidden/>
    <w:uiPriority w:val="99"/>
    <w:semiHidden/>
    <w:rsid w:val="00A619C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dir/2022/2557/oj" TargetMode="External"/><Relationship Id="rId2" Type="http://schemas.openxmlformats.org/officeDocument/2006/relationships/hyperlink" Target="https://eur-lex.europa.eu/legal-content/EN/TXT/?uri=CELEX:52023DC0168" TargetMode="External"/><Relationship Id="rId1" Type="http://schemas.openxmlformats.org/officeDocument/2006/relationships/hyperlink" Target="https://eur-lex.europa.eu/legal-content/EN/TXT/?uri=COM:2021:219:F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2301</Words>
  <Characters>13120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NENCHEV Georgi</dc:creator>
  <cp:keywords/>
  <dc:description/>
  <cp:lastModifiedBy>DITTHARD Juergen</cp:lastModifiedBy>
  <cp:revision>2</cp:revision>
  <cp:lastPrinted>2026-02-12T10:24:00Z</cp:lastPrinted>
  <dcterms:created xsi:type="dcterms:W3CDTF">2026-02-12T11:13:00Z</dcterms:created>
  <dcterms:modified xsi:type="dcterms:W3CDTF">2026-02-12T11:13:00Z</dcterms:modified>
</cp:coreProperties>
</file>