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644"/>
        <w:gridCol w:w="4645"/>
      </w:tblGrid>
      <w:tr w:rsidR="000D6A84" w:rsidRPr="00BE6306" w14:paraId="3610863D" w14:textId="77777777" w:rsidTr="006D78CA">
        <w:trPr>
          <w:cantSplit/>
        </w:trPr>
        <w:tc>
          <w:tcPr>
            <w:tcW w:w="4644" w:type="dxa"/>
          </w:tcPr>
          <w:p w14:paraId="418167B5" w14:textId="77777777" w:rsidR="000D6A84" w:rsidRPr="00BE6306" w:rsidRDefault="000D6A84" w:rsidP="001B33A4">
            <w:r w:rsidRPr="002A298F">
              <w:rPr>
                <w:noProof/>
                <w:lang w:val="en-US"/>
              </w:rPr>
              <w:drawing>
                <wp:inline distT="0" distB="0" distL="0" distR="0" wp14:anchorId="504E12B2" wp14:editId="5E3013CC">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14:paraId="1C7455E9" w14:textId="77777777" w:rsidR="000D6A84" w:rsidRPr="00BE6306" w:rsidRDefault="000D6A84" w:rsidP="001B33A4"/>
        </w:tc>
      </w:tr>
      <w:tr w:rsidR="00444A98" w:rsidRPr="00BE6306" w14:paraId="55E48AD3" w14:textId="77777777" w:rsidTr="006D78CA">
        <w:trPr>
          <w:cantSplit/>
        </w:trPr>
        <w:tc>
          <w:tcPr>
            <w:tcW w:w="9289" w:type="dxa"/>
            <w:gridSpan w:val="2"/>
          </w:tcPr>
          <w:p w14:paraId="32FAADA6" w14:textId="35FDDC73" w:rsidR="00444A98" w:rsidRPr="00BE6306" w:rsidRDefault="00C06F10" w:rsidP="003A043C">
            <w:pPr>
              <w:jc w:val="right"/>
              <w:rPr>
                <w:b/>
                <w:bCs/>
                <w:sz w:val="28"/>
              </w:rPr>
            </w:pPr>
            <w:r w:rsidRPr="00BE6306">
              <w:rPr>
                <w:b/>
                <w:bCs/>
                <w:sz w:val="28"/>
              </w:rPr>
              <w:t>COTER/VII-010</w:t>
            </w:r>
          </w:p>
        </w:tc>
      </w:tr>
      <w:tr w:rsidR="00444A98" w:rsidRPr="00BE6306" w14:paraId="38017C10" w14:textId="77777777" w:rsidTr="006D78CA">
        <w:tc>
          <w:tcPr>
            <w:tcW w:w="9289" w:type="dxa"/>
            <w:gridSpan w:val="2"/>
          </w:tcPr>
          <w:p w14:paraId="3BAEB278" w14:textId="3F53C2E3" w:rsidR="00444A98" w:rsidRPr="00BE6306" w:rsidRDefault="009C765A" w:rsidP="00213470">
            <w:pPr>
              <w:jc w:val="center"/>
              <w:rPr>
                <w:b/>
                <w:bCs/>
                <w:sz w:val="28"/>
              </w:rPr>
            </w:pPr>
            <w:r w:rsidRPr="00BE6306">
              <w:rPr>
                <w:b/>
                <w:bCs/>
                <w:sz w:val="28"/>
              </w:rPr>
              <w:t>171st plenary session, 6-7 May 2026</w:t>
            </w:r>
          </w:p>
        </w:tc>
      </w:tr>
    </w:tbl>
    <w:p w14:paraId="2C013CD1" w14:textId="4C363F40" w:rsidR="00444A98" w:rsidRPr="00BE6306" w:rsidRDefault="009A16C1" w:rsidP="003A043C">
      <w:r w:rsidRPr="002A298F">
        <w:rPr>
          <w:noProof/>
          <w:lang w:val="en-US"/>
        </w:rPr>
        <mc:AlternateContent>
          <mc:Choice Requires="wps">
            <w:drawing>
              <wp:anchor distT="0" distB="0" distL="114300" distR="114300" simplePos="0" relativeHeight="251655680" behindDoc="1" locked="0" layoutInCell="0" allowOverlap="1" wp14:anchorId="757470D8" wp14:editId="0F19F25A">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189D" w14:textId="77777777" w:rsidR="00444A98" w:rsidRPr="00B33430" w:rsidRDefault="00444A98">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70D8"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1D4F189D" w14:textId="77777777" w:rsidR="00444A98" w:rsidRPr="00B33430" w:rsidRDefault="00444A98">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14:paraId="4686F0F2" w14:textId="77777777" w:rsidR="00444A98" w:rsidRPr="00BE6306" w:rsidRDefault="00444A98" w:rsidP="003A043C"/>
    <w:p w14:paraId="41D657A5" w14:textId="77777777" w:rsidR="001B33A4" w:rsidRPr="00BE6306" w:rsidRDefault="00444A98" w:rsidP="003A043C">
      <w:pPr>
        <w:jc w:val="center"/>
        <w:rPr>
          <w:b/>
          <w:bCs/>
          <w:sz w:val="28"/>
        </w:rPr>
      </w:pPr>
      <w:r w:rsidRPr="00BE6306">
        <w:rPr>
          <w:b/>
          <w:bCs/>
          <w:sz w:val="28"/>
        </w:rPr>
        <w:t>DRAFT OPINION</w:t>
      </w:r>
    </w:p>
    <w:p w14:paraId="6187E322" w14:textId="77777777" w:rsidR="001B33A4" w:rsidRPr="00BE6306" w:rsidRDefault="001B33A4" w:rsidP="0061022C">
      <w:pPr>
        <w:jc w:val="center"/>
      </w:pPr>
    </w:p>
    <w:p w14:paraId="35217CF9" w14:textId="2B7AF504" w:rsidR="00444A98" w:rsidRPr="00BE6306" w:rsidRDefault="00C06F10" w:rsidP="00213470">
      <w:pPr>
        <w:jc w:val="center"/>
        <w:rPr>
          <w:sz w:val="28"/>
          <w:szCs w:val="28"/>
        </w:rPr>
      </w:pPr>
      <w:r w:rsidRPr="00BE6306">
        <w:rPr>
          <w:b/>
          <w:bCs/>
          <w:sz w:val="28"/>
          <w:szCs w:val="28"/>
        </w:rPr>
        <w:t>Performance Framework Regulation</w:t>
      </w:r>
    </w:p>
    <w:p w14:paraId="60C42C54" w14:textId="77777777" w:rsidR="00444A98" w:rsidRPr="00BE6306" w:rsidRDefault="00444A98" w:rsidP="003A043C">
      <w:pPr>
        <w:jc w:val="left"/>
      </w:pPr>
    </w:p>
    <w:p w14:paraId="60E5847B" w14:textId="77777777" w:rsidR="00444A98" w:rsidRPr="00BE6306" w:rsidRDefault="00444A98" w:rsidP="003A043C"/>
    <w:tbl>
      <w:tblPr>
        <w:tblW w:w="5000" w:type="pct"/>
        <w:tblLook w:val="0000" w:firstRow="0" w:lastRow="0" w:firstColumn="0" w:lastColumn="0" w:noHBand="0" w:noVBand="0"/>
      </w:tblPr>
      <w:tblGrid>
        <w:gridCol w:w="9073"/>
      </w:tblGrid>
      <w:tr w:rsidR="00444A98" w:rsidRPr="00BE6306" w14:paraId="5ECE4120" w14:textId="77777777" w:rsidTr="006D78CA">
        <w:tc>
          <w:tcPr>
            <w:tcW w:w="5000" w:type="pct"/>
          </w:tcPr>
          <w:p w14:paraId="60184716" w14:textId="77777777" w:rsidR="00444A98" w:rsidRPr="005F51C1" w:rsidRDefault="00444A98" w:rsidP="003A043C">
            <w:pPr>
              <w:jc w:val="center"/>
              <w:rPr>
                <w:lang w:val="it-IT"/>
              </w:rPr>
            </w:pPr>
            <w:r w:rsidRPr="005F51C1">
              <w:rPr>
                <w:lang w:val="it-IT"/>
              </w:rPr>
              <w:t>_____________</w:t>
            </w:r>
          </w:p>
          <w:p w14:paraId="1E6C001E" w14:textId="77777777" w:rsidR="00444A98" w:rsidRPr="005F51C1" w:rsidRDefault="00444A98" w:rsidP="003A043C">
            <w:pPr>
              <w:jc w:val="center"/>
              <w:rPr>
                <w:lang w:val="it-IT"/>
              </w:rPr>
            </w:pPr>
          </w:p>
          <w:p w14:paraId="7C033E28" w14:textId="07454EDF" w:rsidR="002D42A7" w:rsidRPr="005F51C1" w:rsidRDefault="00444A98" w:rsidP="003A043C">
            <w:pPr>
              <w:jc w:val="center"/>
              <w:rPr>
                <w:lang w:val="it-IT"/>
              </w:rPr>
            </w:pPr>
            <w:r w:rsidRPr="005F51C1">
              <w:rPr>
                <w:lang w:val="it-IT"/>
              </w:rPr>
              <w:t>Rapporteur:</w:t>
            </w:r>
            <w:r w:rsidRPr="005F51C1">
              <w:rPr>
                <w:b/>
                <w:bCs/>
                <w:lang w:val="it-IT"/>
              </w:rPr>
              <w:t xml:space="preserve"> </w:t>
            </w:r>
            <w:r w:rsidR="00C06F10" w:rsidRPr="005F51C1">
              <w:rPr>
                <w:b/>
                <w:bCs/>
                <w:lang w:val="it-IT"/>
              </w:rPr>
              <w:t xml:space="preserve">Luca </w:t>
            </w:r>
            <w:r w:rsidR="002D42A7" w:rsidRPr="005F51C1">
              <w:rPr>
                <w:b/>
                <w:bCs/>
                <w:lang w:val="it-IT"/>
              </w:rPr>
              <w:t>MENESINI</w:t>
            </w:r>
            <w:r w:rsidR="00C06F10" w:rsidRPr="005F51C1">
              <w:rPr>
                <w:b/>
                <w:bCs/>
                <w:lang w:val="it-IT"/>
              </w:rPr>
              <w:t xml:space="preserve"> (IT/PES)</w:t>
            </w:r>
          </w:p>
          <w:p w14:paraId="304D52AB" w14:textId="08EF734B" w:rsidR="00444A98" w:rsidRPr="005F51C1" w:rsidRDefault="00C06F10" w:rsidP="003A043C">
            <w:pPr>
              <w:jc w:val="center"/>
              <w:rPr>
                <w:b/>
                <w:bCs/>
                <w:lang w:val="it-IT"/>
              </w:rPr>
            </w:pPr>
            <w:r w:rsidRPr="005F51C1">
              <w:rPr>
                <w:lang w:val="it-IT"/>
              </w:rPr>
              <w:t>Provincial Councillor, Lucca Province Council</w:t>
            </w:r>
          </w:p>
          <w:p w14:paraId="216946CF" w14:textId="77777777" w:rsidR="00444A98" w:rsidRPr="00BE6306" w:rsidRDefault="00444A98" w:rsidP="00583866">
            <w:pPr>
              <w:jc w:val="center"/>
            </w:pPr>
            <w:r w:rsidRPr="00BE6306">
              <w:t>_____________</w:t>
            </w:r>
          </w:p>
        </w:tc>
      </w:tr>
      <w:tr w:rsidR="00C06F10" w:rsidRPr="00BE6306" w14:paraId="0AD579D8" w14:textId="77777777" w:rsidTr="006D78CA">
        <w:tc>
          <w:tcPr>
            <w:tcW w:w="5000" w:type="pct"/>
          </w:tcPr>
          <w:p w14:paraId="7E367939" w14:textId="77777777" w:rsidR="00C06F10" w:rsidRPr="002A298F" w:rsidRDefault="00C06F10" w:rsidP="003A043C">
            <w:pPr>
              <w:jc w:val="center"/>
            </w:pPr>
          </w:p>
        </w:tc>
      </w:tr>
    </w:tbl>
    <w:p w14:paraId="29A53EDF" w14:textId="77777777" w:rsidR="00444A98" w:rsidRPr="00BE6306" w:rsidRDefault="00444A98" w:rsidP="003A043C">
      <w:pPr>
        <w:jc w:val="left"/>
      </w:pPr>
    </w:p>
    <w:p w14:paraId="4369A71C" w14:textId="77777777" w:rsidR="00444A98" w:rsidRPr="00BE6306" w:rsidRDefault="00444A98" w:rsidP="003A043C">
      <w:pPr>
        <w:jc w:val="left"/>
      </w:pPr>
    </w:p>
    <w:p w14:paraId="473CBC8E" w14:textId="77777777" w:rsidR="00444A98" w:rsidRPr="00BE6306" w:rsidRDefault="00444A98" w:rsidP="003A043C">
      <w:pPr>
        <w:jc w:val="left"/>
      </w:pPr>
    </w:p>
    <w:p w14:paraId="001A7632" w14:textId="77777777" w:rsidR="00444A98" w:rsidRPr="00BE6306" w:rsidRDefault="00444A98" w:rsidP="003A043C">
      <w:pPr>
        <w:jc w:val="left"/>
      </w:pPr>
    </w:p>
    <w:p w14:paraId="12351124" w14:textId="77777777" w:rsidR="00444A98" w:rsidRPr="00BE6306" w:rsidRDefault="00444A98" w:rsidP="003A043C">
      <w:pPr>
        <w:jc w:val="left"/>
      </w:pPr>
    </w:p>
    <w:p w14:paraId="18DF55AB" w14:textId="77777777" w:rsidR="00444A98" w:rsidRPr="00BE6306" w:rsidRDefault="00444A98" w:rsidP="003A043C">
      <w:pPr>
        <w:jc w:val="left"/>
      </w:pPr>
    </w:p>
    <w:p w14:paraId="4AE63CD2" w14:textId="77777777" w:rsidR="00444A98" w:rsidRPr="00BE6306" w:rsidRDefault="00444A98" w:rsidP="003A043C">
      <w:pPr>
        <w:jc w:val="left"/>
      </w:pPr>
    </w:p>
    <w:p w14:paraId="7DB81D0F" w14:textId="1C84F3B0" w:rsidR="00444A98" w:rsidRPr="00BE6306" w:rsidRDefault="00E54B44" w:rsidP="003A043C">
      <w:pPr>
        <w:jc w:val="left"/>
      </w:pPr>
      <w:r w:rsidRPr="002A298F">
        <w:rPr>
          <w:noProof/>
          <w:lang w:val="en-US"/>
        </w:rPr>
        <w:drawing>
          <wp:anchor distT="0" distB="0" distL="114300" distR="114300" simplePos="0" relativeHeight="251658240" behindDoc="0" locked="0" layoutInCell="1" allowOverlap="1" wp14:anchorId="71731F1D" wp14:editId="7EE475D1">
            <wp:simplePos x="0" y="0"/>
            <wp:positionH relativeFrom="column">
              <wp:posOffset>-4445</wp:posOffset>
            </wp:positionH>
            <wp:positionV relativeFrom="page">
              <wp:posOffset>10198100</wp:posOffset>
            </wp:positionV>
            <wp:extent cx="5759450" cy="272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14:paraId="1B3FB386" w14:textId="77777777" w:rsidR="00444A98" w:rsidRPr="00BE6306" w:rsidRDefault="00444A98" w:rsidP="003A043C">
      <w:pPr>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BE6306" w14:paraId="50179DB3" w14:textId="77777777" w:rsidTr="006D78CA">
        <w:tc>
          <w:tcPr>
            <w:tcW w:w="9289" w:type="dxa"/>
            <w:tcBorders>
              <w:top w:val="single" w:sz="4" w:space="0" w:color="auto"/>
              <w:bottom w:val="single" w:sz="4" w:space="0" w:color="auto"/>
            </w:tcBorders>
          </w:tcPr>
          <w:p w14:paraId="34905DE3" w14:textId="77777777" w:rsidR="00542525" w:rsidRPr="00BE6306" w:rsidRDefault="00542525" w:rsidP="00542525">
            <w:pPr>
              <w:rPr>
                <w:b/>
                <w:bCs/>
              </w:rPr>
            </w:pPr>
            <w:r w:rsidRPr="00BE6306">
              <w:rPr>
                <w:b/>
                <w:bCs/>
                <w:u w:val="single"/>
              </w:rPr>
              <w:t>Deadline for tabling amendments</w:t>
            </w:r>
            <w:r w:rsidRPr="00BE6306">
              <w:rPr>
                <w:b/>
                <w:bCs/>
              </w:rPr>
              <w:t>:</w:t>
            </w:r>
          </w:p>
          <w:p w14:paraId="216E9626" w14:textId="77777777" w:rsidR="00542525" w:rsidRPr="00BE6306" w:rsidRDefault="00542525" w:rsidP="00542525">
            <w:pPr>
              <w:rPr>
                <w:b/>
                <w:bCs/>
              </w:rPr>
            </w:pPr>
          </w:p>
          <w:p w14:paraId="2A82EAA0" w14:textId="04F9DFF0" w:rsidR="00542525" w:rsidRPr="00BE6306" w:rsidRDefault="00542525" w:rsidP="00542525">
            <w:pPr>
              <w:rPr>
                <w:szCs w:val="24"/>
              </w:rPr>
            </w:pPr>
            <w:r w:rsidRPr="00BE6306">
              <w:rPr>
                <w:b/>
                <w:bCs/>
              </w:rPr>
              <w:t xml:space="preserve">15:00 </w:t>
            </w:r>
            <w:r w:rsidRPr="00BE6306">
              <w:t xml:space="preserve">(Brussels time) </w:t>
            </w:r>
            <w:r w:rsidRPr="00BE6306">
              <w:rPr>
                <w:b/>
                <w:bCs/>
              </w:rPr>
              <w:t xml:space="preserve">on </w:t>
            </w:r>
            <w:r w:rsidR="00B305E0" w:rsidRPr="00BE6306">
              <w:rPr>
                <w:b/>
                <w:bCs/>
              </w:rPr>
              <w:t>20</w:t>
            </w:r>
            <w:r w:rsidRPr="00BE6306">
              <w:rPr>
                <w:b/>
                <w:bCs/>
              </w:rPr>
              <w:t xml:space="preserve"> </w:t>
            </w:r>
            <w:r w:rsidR="00B305E0" w:rsidRPr="00BE6306">
              <w:rPr>
                <w:b/>
                <w:bCs/>
              </w:rPr>
              <w:t>April</w:t>
            </w:r>
            <w:r w:rsidRPr="00BE6306">
              <w:rPr>
                <w:b/>
                <w:bCs/>
              </w:rPr>
              <w:t xml:space="preserve"> 2026</w:t>
            </w:r>
            <w:r w:rsidRPr="00BE6306">
              <w:rPr>
                <w:bCs/>
              </w:rPr>
              <w:t>.</w:t>
            </w:r>
            <w:r w:rsidRPr="00BE6306">
              <w:t xml:space="preserve"> Amendments must be submitted using the online tool for tabling amendments (available through the Members’ Portal at </w:t>
            </w:r>
            <w:hyperlink r:id="rId13" w:history="1">
              <w:r w:rsidRPr="002A298F">
                <w:rPr>
                  <w:rStyle w:val="Hyperlink"/>
                  <w:rFonts w:eastAsiaTheme="majorEastAsia"/>
                </w:rPr>
                <w:t>https://memportal.cor.europa.eu/</w:t>
              </w:r>
            </w:hyperlink>
            <w:r w:rsidRPr="00BE6306">
              <w:rPr>
                <w:szCs w:val="24"/>
              </w:rPr>
              <w:t>).</w:t>
            </w:r>
          </w:p>
          <w:p w14:paraId="7B6FC627" w14:textId="77777777" w:rsidR="00542525" w:rsidRPr="00BE6306" w:rsidRDefault="00542525" w:rsidP="00542525">
            <w:pPr>
              <w:rPr>
                <w:i/>
                <w:iCs/>
              </w:rPr>
            </w:pPr>
          </w:p>
          <w:p w14:paraId="58166212" w14:textId="507CCD98" w:rsidR="00444A98" w:rsidRDefault="00542525" w:rsidP="00542525">
            <w:pPr>
              <w:rPr>
                <w:iCs/>
              </w:rPr>
            </w:pPr>
            <w:r w:rsidRPr="00BE6306">
              <w:rPr>
                <w:iCs/>
                <w:u w:val="single"/>
              </w:rPr>
              <w:t>Number of signatures required</w:t>
            </w:r>
            <w:r w:rsidRPr="00BE6306">
              <w:rPr>
                <w:iCs/>
              </w:rPr>
              <w:t>: 6</w:t>
            </w:r>
          </w:p>
          <w:p w14:paraId="75D6E4E2" w14:textId="2E824ED1" w:rsidR="007A359C" w:rsidRPr="00BE6306" w:rsidRDefault="007A359C" w:rsidP="00542525">
            <w:pPr>
              <w:rPr>
                <w:bCs/>
                <w:iCs/>
                <w:color w:val="000000"/>
              </w:rPr>
            </w:pPr>
          </w:p>
        </w:tc>
      </w:tr>
    </w:tbl>
    <w:p w14:paraId="3509AF93" w14:textId="4F5181B2" w:rsidR="000D6A84" w:rsidRPr="00BE6306" w:rsidRDefault="000D6A84" w:rsidP="000D6A84"/>
    <w:p w14:paraId="4FA1622F" w14:textId="5E5672DE" w:rsidR="003E1CB2" w:rsidRPr="00BE6306" w:rsidRDefault="003E1CB2" w:rsidP="000D6A84"/>
    <w:p w14:paraId="7D407F5C" w14:textId="77777777" w:rsidR="000D6A84" w:rsidRPr="00BE6306" w:rsidRDefault="000D6A84" w:rsidP="000D6A84">
      <w:pPr>
        <w:tabs>
          <w:tab w:val="left" w:pos="440"/>
        </w:tabs>
        <w:ind w:left="440" w:hanging="440"/>
        <w:sectPr w:rsidR="000D6A84" w:rsidRPr="00BE6306" w:rsidSect="005F51C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9289" w:type="dxa"/>
        <w:tblLayout w:type="fixed"/>
        <w:tblLook w:val="01E0" w:firstRow="1" w:lastRow="1" w:firstColumn="1" w:lastColumn="1" w:noHBand="0" w:noVBand="0"/>
      </w:tblPr>
      <w:tblGrid>
        <w:gridCol w:w="9289"/>
      </w:tblGrid>
      <w:tr w:rsidR="00444A98" w:rsidRPr="00BE6306" w14:paraId="3F111DF4" w14:textId="77777777" w:rsidTr="002E7D1D">
        <w:trPr>
          <w:trHeight w:val="12474"/>
        </w:trPr>
        <w:tc>
          <w:tcPr>
            <w:tcW w:w="9289" w:type="dxa"/>
            <w:vAlign w:val="bottom"/>
          </w:tcPr>
          <w:p w14:paraId="2E62E7E8" w14:textId="2C8EE509" w:rsidR="00444A98" w:rsidRPr="00BE6306" w:rsidRDefault="00444A98" w:rsidP="003A043C">
            <w:pPr>
              <w:rPr>
                <w:b/>
                <w:bCs/>
              </w:rPr>
            </w:pPr>
            <w:r w:rsidRPr="00BE6306">
              <w:rPr>
                <w:b/>
                <w:bCs/>
              </w:rPr>
              <w:lastRenderedPageBreak/>
              <w:t>Reference document</w:t>
            </w:r>
            <w:r w:rsidR="003F3966" w:rsidRPr="00BE6306">
              <w:rPr>
                <w:b/>
                <w:bCs/>
              </w:rPr>
              <w:t>(s)</w:t>
            </w:r>
            <w:r w:rsidR="00F96651" w:rsidRPr="00BE6306">
              <w:rPr>
                <w:b/>
                <w:bCs/>
              </w:rPr>
              <w:t>:</w:t>
            </w:r>
          </w:p>
          <w:p w14:paraId="3F2934CE" w14:textId="77777777" w:rsidR="008040A3" w:rsidRPr="00BE6306" w:rsidRDefault="008040A3" w:rsidP="008040A3">
            <w:pPr>
              <w:pStyle w:val="ListParagraph"/>
              <w:numPr>
                <w:ilvl w:val="0"/>
                <w:numId w:val="15"/>
              </w:numPr>
              <w:ind w:left="567" w:hanging="567"/>
            </w:pPr>
            <w:r w:rsidRPr="00BE6306">
              <w:t>Proposal for a Regulation of the European Parliament and of the Council establishing a budget expenditure tracking and performance framework and other horizontal rules for the Union programmes and activities</w:t>
            </w:r>
          </w:p>
          <w:p w14:paraId="2ADB99FB" w14:textId="19727573" w:rsidR="008040A3" w:rsidRPr="00BE6306" w:rsidRDefault="008040A3" w:rsidP="008040A3">
            <w:pPr>
              <w:pStyle w:val="ListParagraph"/>
              <w:ind w:left="567"/>
            </w:pPr>
            <w:r w:rsidRPr="00BE6306">
              <w:t>COM(2025) 545</w:t>
            </w:r>
            <w:r w:rsidR="00C568F6" w:rsidRPr="00BE6306">
              <w:t xml:space="preserve"> final</w:t>
            </w:r>
          </w:p>
          <w:p w14:paraId="45AEEF2D" w14:textId="77777777" w:rsidR="008040A3" w:rsidRPr="00BE6306" w:rsidRDefault="008040A3" w:rsidP="008040A3">
            <w:pPr>
              <w:pStyle w:val="ListParagraph"/>
              <w:ind w:left="567"/>
            </w:pPr>
          </w:p>
          <w:p w14:paraId="0159D120" w14:textId="53589EB4" w:rsidR="0085761C" w:rsidRPr="00BE6306" w:rsidRDefault="0085761C" w:rsidP="0085761C">
            <w:pPr>
              <w:pStyle w:val="ListParagraph"/>
              <w:numPr>
                <w:ilvl w:val="0"/>
                <w:numId w:val="15"/>
              </w:numPr>
              <w:ind w:left="567" w:hanging="567"/>
            </w:pPr>
            <w:r w:rsidRPr="00BE6306">
              <w:t xml:space="preserve">Commission Staff Working Document – Impact Assessment Report </w:t>
            </w:r>
            <w:r w:rsidR="00612E88" w:rsidRPr="00BE6306">
              <w:t>A</w:t>
            </w:r>
            <w:r w:rsidRPr="00BE6306">
              <w:t xml:space="preserve">ccompanying the document Proposal for a Regulation of the European Parliament and of the Council establishing a budget expenditure </w:t>
            </w:r>
            <w:r w:rsidR="00250A05" w:rsidRPr="00BE6306">
              <w:t xml:space="preserve">tracking </w:t>
            </w:r>
            <w:r w:rsidRPr="00BE6306">
              <w:t>and performance framework and other horizontal rules for</w:t>
            </w:r>
            <w:r w:rsidR="00BF68BC" w:rsidRPr="00BE6306">
              <w:t xml:space="preserve"> the</w:t>
            </w:r>
            <w:r w:rsidRPr="00BE6306">
              <w:t xml:space="preserve"> Union programmes and activities</w:t>
            </w:r>
          </w:p>
          <w:p w14:paraId="603AA280" w14:textId="313B0DE3" w:rsidR="007815E0" w:rsidRPr="00BE6306" w:rsidRDefault="0085761C" w:rsidP="0085761C">
            <w:pPr>
              <w:pStyle w:val="ListParagraph"/>
              <w:ind w:left="567"/>
            </w:pPr>
            <w:r w:rsidRPr="00BE6306">
              <w:t>SWD(2025) 590 final</w:t>
            </w:r>
          </w:p>
          <w:p w14:paraId="0367B858" w14:textId="77777777" w:rsidR="0085761C" w:rsidRPr="00BE6306" w:rsidRDefault="0085761C" w:rsidP="002A298F">
            <w:pPr>
              <w:pStyle w:val="ListParagraph"/>
              <w:ind w:left="567"/>
            </w:pPr>
          </w:p>
          <w:p w14:paraId="631A65A4" w14:textId="08175051" w:rsidR="008040A3" w:rsidRPr="00BE6306" w:rsidRDefault="008040A3" w:rsidP="008040A3">
            <w:pPr>
              <w:pStyle w:val="ListParagraph"/>
              <w:numPr>
                <w:ilvl w:val="0"/>
                <w:numId w:val="15"/>
              </w:numPr>
              <w:ind w:left="567" w:hanging="567"/>
            </w:pPr>
            <w:r w:rsidRPr="00BE6306">
              <w:t>Commission Staff Working Document</w:t>
            </w:r>
            <w:r w:rsidR="00C568F6" w:rsidRPr="00BE6306">
              <w:t xml:space="preserve"> –</w:t>
            </w:r>
            <w:r w:rsidRPr="00BE6306">
              <w:t xml:space="preserve"> Executive Summary of the Impact Assessment Report </w:t>
            </w:r>
            <w:r w:rsidR="00612E88" w:rsidRPr="00BE6306">
              <w:t>A</w:t>
            </w:r>
            <w:r w:rsidRPr="00BE6306">
              <w:t>ccompanying the document Proposal for a Regulation of the European Parliament and of the Council establishing a budget expenditure and performance framework and other horizontal rules for Union programmes and activities</w:t>
            </w:r>
          </w:p>
          <w:p w14:paraId="02EC2979" w14:textId="63068136" w:rsidR="002134C8" w:rsidRPr="00BE6306" w:rsidRDefault="008040A3" w:rsidP="008040A3">
            <w:pPr>
              <w:pStyle w:val="ListParagraph"/>
              <w:ind w:left="567"/>
            </w:pPr>
            <w:r w:rsidRPr="00BE6306">
              <w:t>SWD</w:t>
            </w:r>
            <w:r w:rsidR="00941C0C" w:rsidRPr="00BE6306">
              <w:t>(</w:t>
            </w:r>
            <w:r w:rsidRPr="00BE6306">
              <w:t>2025</w:t>
            </w:r>
            <w:r w:rsidR="00941C0C" w:rsidRPr="00BE6306">
              <w:t>)</w:t>
            </w:r>
            <w:r w:rsidR="00E00BC6" w:rsidRPr="00BE6306">
              <w:t xml:space="preserve"> </w:t>
            </w:r>
            <w:r w:rsidRPr="00BE6306">
              <w:t>591 final</w:t>
            </w:r>
          </w:p>
          <w:p w14:paraId="523E6763" w14:textId="77777777" w:rsidR="00444A98" w:rsidRPr="00BE6306" w:rsidRDefault="00444A98" w:rsidP="003A043C"/>
        </w:tc>
      </w:tr>
    </w:tbl>
    <w:p w14:paraId="6865A0ED" w14:textId="77777777" w:rsidR="002E7D1D" w:rsidRPr="00BE6306" w:rsidRDefault="002E7D1D" w:rsidP="003A043C">
      <w:pPr>
        <w:jc w:val="center"/>
        <w:rPr>
          <w:b/>
        </w:rPr>
      </w:pPr>
    </w:p>
    <w:p w14:paraId="0ACE3718" w14:textId="77777777" w:rsidR="002E7D1D" w:rsidRPr="00BE6306" w:rsidRDefault="002E7D1D">
      <w:pPr>
        <w:overflowPunct/>
        <w:autoSpaceDE/>
        <w:autoSpaceDN/>
        <w:adjustRightInd/>
        <w:spacing w:line="240" w:lineRule="auto"/>
        <w:jc w:val="left"/>
        <w:textAlignment w:val="auto"/>
        <w:rPr>
          <w:b/>
        </w:rPr>
      </w:pPr>
      <w:r w:rsidRPr="00BE6306">
        <w:rPr>
          <w:b/>
        </w:rPr>
        <w:br w:type="page"/>
      </w:r>
    </w:p>
    <w:p w14:paraId="184C0E07" w14:textId="59D27BE6" w:rsidR="00444A98" w:rsidRPr="00BE6306" w:rsidRDefault="00444A98" w:rsidP="003A043C">
      <w:pPr>
        <w:jc w:val="center"/>
      </w:pPr>
      <w:r w:rsidRPr="00BE6306">
        <w:rPr>
          <w:b/>
        </w:rPr>
        <w:lastRenderedPageBreak/>
        <w:t xml:space="preserve">Draft opinion of the </w:t>
      </w:r>
      <w:r w:rsidR="00AB0737" w:rsidRPr="00BE6306">
        <w:rPr>
          <w:b/>
        </w:rPr>
        <w:t>European Committee of the Regions</w:t>
      </w:r>
      <w:r w:rsidR="002E7D1D" w:rsidRPr="00BE6306">
        <w:rPr>
          <w:b/>
        </w:rPr>
        <w:t xml:space="preserve"> </w:t>
      </w:r>
      <w:r w:rsidRPr="00BE6306">
        <w:rPr>
          <w:b/>
        </w:rPr>
        <w:t xml:space="preserve">– </w:t>
      </w:r>
      <w:r w:rsidR="002E7D1D" w:rsidRPr="00BE6306">
        <w:rPr>
          <w:b/>
        </w:rPr>
        <w:t>Performance Framework Regulation</w:t>
      </w:r>
    </w:p>
    <w:p w14:paraId="38C2DA24" w14:textId="77777777" w:rsidR="00444A98" w:rsidRPr="00BE6306" w:rsidRDefault="00444A98"/>
    <w:p w14:paraId="15A6C374" w14:textId="77777777" w:rsidR="007E628F" w:rsidRPr="00BE6306" w:rsidRDefault="007E628F" w:rsidP="007E628F">
      <w:pPr>
        <w:numPr>
          <w:ilvl w:val="0"/>
          <w:numId w:val="13"/>
        </w:numPr>
        <w:ind w:left="567" w:hanging="567"/>
        <w:rPr>
          <w:b/>
          <w:bCs/>
        </w:rPr>
      </w:pPr>
      <w:r w:rsidRPr="00BE6306">
        <w:rPr>
          <w:b/>
          <w:bCs/>
        </w:rPr>
        <w:t>RECOMMENDATIONS</w:t>
      </w:r>
      <w:r w:rsidRPr="00BE6306">
        <w:t xml:space="preserve"> </w:t>
      </w:r>
      <w:r w:rsidRPr="00BE6306">
        <w:rPr>
          <w:b/>
          <w:bCs/>
        </w:rPr>
        <w:t>FOR AMENDMENTS</w:t>
      </w:r>
    </w:p>
    <w:p w14:paraId="39A504E5" w14:textId="77777777" w:rsidR="007E628F" w:rsidRPr="00BE6306" w:rsidRDefault="007E628F" w:rsidP="007E628F"/>
    <w:p w14:paraId="1CC1A4A8" w14:textId="77777777" w:rsidR="002A1139" w:rsidRPr="002A298F" w:rsidRDefault="002A1139" w:rsidP="002A1139">
      <w:pPr>
        <w:jc w:val="center"/>
        <w:rPr>
          <w:b/>
          <w:bCs/>
        </w:rPr>
      </w:pPr>
      <w:r w:rsidRPr="002A298F">
        <w:rPr>
          <w:b/>
          <w:bCs/>
        </w:rPr>
        <w:t>Amendment 1</w:t>
      </w:r>
    </w:p>
    <w:p w14:paraId="13D8A1DB" w14:textId="4BD6739C" w:rsidR="003451E3" w:rsidRPr="00BE6306" w:rsidRDefault="002A1139" w:rsidP="002A1139">
      <w:pPr>
        <w:jc w:val="center"/>
      </w:pPr>
      <w:r w:rsidRPr="00BE6306">
        <w:t>Proposal for a Regulation of the European Parliament and of the Council establishing a budget expenditure tracking and performance framework and other horizontal rules for the Union programmes and activities (COM(2025) 545 final)</w:t>
      </w:r>
    </w:p>
    <w:p w14:paraId="72B49CAA" w14:textId="593CE089" w:rsidR="003451E3" w:rsidRPr="005213CD" w:rsidRDefault="002A1139" w:rsidP="003451E3">
      <w:pPr>
        <w:jc w:val="center"/>
      </w:pPr>
      <w:r w:rsidRPr="00BE6306">
        <w:t xml:space="preserve">Amend </w:t>
      </w:r>
      <w:r w:rsidRPr="005213CD">
        <w:t>Recital 6</w:t>
      </w:r>
    </w:p>
    <w:p w14:paraId="6E5B145D" w14:textId="77777777" w:rsidR="002A1139" w:rsidRPr="005213CD" w:rsidRDefault="002A1139" w:rsidP="003451E3">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3451E3" w:rsidRPr="00BE6306" w14:paraId="7441BE22"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78C619EF" w14:textId="77777777" w:rsidR="003451E3" w:rsidRPr="00BE6306" w:rsidRDefault="003451E3" w:rsidP="000020A8">
            <w:pPr>
              <w:jc w:val="center"/>
              <w:rPr>
                <w:b/>
                <w:bCs/>
                <w:i/>
                <w:szCs w:val="22"/>
              </w:rPr>
            </w:pPr>
            <w:r w:rsidRPr="00BE6306">
              <w:rPr>
                <w:b/>
                <w:bCs/>
                <w:i/>
                <w:szCs w:val="22"/>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62DDDBAF" w14:textId="77777777" w:rsidR="003451E3" w:rsidRPr="00BE6306" w:rsidRDefault="003451E3" w:rsidP="000020A8">
            <w:pPr>
              <w:jc w:val="center"/>
              <w:rPr>
                <w:b/>
                <w:bCs/>
                <w:i/>
                <w:szCs w:val="22"/>
              </w:rPr>
            </w:pPr>
            <w:r w:rsidRPr="00BE6306">
              <w:rPr>
                <w:b/>
                <w:bCs/>
                <w:i/>
                <w:szCs w:val="22"/>
              </w:rPr>
              <w:t>Amendment</w:t>
            </w:r>
          </w:p>
        </w:tc>
      </w:tr>
      <w:tr w:rsidR="003451E3" w:rsidRPr="00BE6306" w14:paraId="7C0222B1"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19281E55" w14:textId="77777777" w:rsidR="003451E3" w:rsidRPr="00BE6306" w:rsidRDefault="003451E3" w:rsidP="000020A8">
            <w:pPr>
              <w:spacing w:before="40" w:after="40"/>
              <w:ind w:left="40" w:right="40"/>
              <w:rPr>
                <w:szCs w:val="22"/>
              </w:rPr>
            </w:pPr>
            <w:r w:rsidRPr="00BE6306">
              <w:rPr>
                <w:szCs w:val="22"/>
              </w:rPr>
              <w:t xml:space="preserve">As the economic, financial and societal costs linked to climate change and environmental degradation are growing, it is crucial to invest in decarbonisation, climate resilience, circular economy, water resilience and the natural environment. It is in particular essential to enhance the Union’s </w:t>
            </w:r>
            <w:r w:rsidRPr="00BE6306">
              <w:rPr>
                <w:b/>
                <w:bCs/>
                <w:i/>
                <w:szCs w:val="22"/>
              </w:rPr>
              <w:t>and</w:t>
            </w:r>
            <w:r w:rsidRPr="00BE6306">
              <w:rPr>
                <w:szCs w:val="22"/>
              </w:rPr>
              <w:t xml:space="preserve"> Member States’ capability to anticipate, prepare for, and respond to crises, disasters and impacts of climate change and extreme weather events, and to protect the investments under the EU budget. Deploying new innovative technologies and solutions boosting climate resilience will at the same time increase the competitive edge of the EU companies not only through their improved adaptive capacity and climate resilience but also due to new export opportunities.</w:t>
            </w:r>
          </w:p>
        </w:tc>
        <w:tc>
          <w:tcPr>
            <w:tcW w:w="2500" w:type="pct"/>
            <w:tcBorders>
              <w:top w:val="single" w:sz="4" w:space="0" w:color="auto"/>
              <w:left w:val="single" w:sz="4" w:space="0" w:color="auto"/>
              <w:bottom w:val="single" w:sz="4" w:space="0" w:color="auto"/>
              <w:right w:val="single" w:sz="4" w:space="0" w:color="auto"/>
            </w:tcBorders>
            <w:hideMark/>
          </w:tcPr>
          <w:p w14:paraId="33205FA6" w14:textId="77777777" w:rsidR="003451E3" w:rsidRPr="00BE6306" w:rsidRDefault="003451E3" w:rsidP="000020A8">
            <w:pPr>
              <w:spacing w:before="40" w:after="40"/>
              <w:ind w:left="40" w:right="40"/>
              <w:rPr>
                <w:szCs w:val="22"/>
              </w:rPr>
            </w:pPr>
            <w:r w:rsidRPr="00BE6306">
              <w:rPr>
                <w:szCs w:val="22"/>
              </w:rPr>
              <w:t>As the economic, financial and societal costs linked to climate change and environmental degradation are growing, it is crucial to invest in decarbonisation, climate resilience, circular economy, water resilience and the natural environment. It is in particular essential to enhance the Union’s</w:t>
            </w:r>
            <w:r w:rsidRPr="00BE6306">
              <w:rPr>
                <w:b/>
                <w:bCs/>
                <w:i/>
                <w:szCs w:val="22"/>
              </w:rPr>
              <w:t>, the</w:t>
            </w:r>
            <w:r w:rsidRPr="00BE6306">
              <w:rPr>
                <w:szCs w:val="22"/>
              </w:rPr>
              <w:t xml:space="preserve"> Member States’ </w:t>
            </w:r>
            <w:r w:rsidRPr="00BE6306">
              <w:rPr>
                <w:b/>
                <w:bCs/>
                <w:i/>
                <w:szCs w:val="22"/>
              </w:rPr>
              <w:t>and local and regional authorities</w:t>
            </w:r>
            <w:r w:rsidRPr="00BE6306">
              <w:rPr>
                <w:b/>
                <w:bCs/>
                <w:i/>
                <w:iCs/>
                <w:szCs w:val="22"/>
              </w:rPr>
              <w:t>’</w:t>
            </w:r>
            <w:r w:rsidRPr="00BE6306">
              <w:rPr>
                <w:szCs w:val="22"/>
              </w:rPr>
              <w:t xml:space="preserve"> capability to anticipate, prepare for,</w:t>
            </w:r>
            <w:r w:rsidRPr="00BE6306">
              <w:rPr>
                <w:b/>
                <w:bCs/>
                <w:i/>
                <w:szCs w:val="22"/>
              </w:rPr>
              <w:t xml:space="preserve"> adapt</w:t>
            </w:r>
            <w:r w:rsidRPr="00BE6306">
              <w:rPr>
                <w:szCs w:val="22"/>
              </w:rPr>
              <w:t xml:space="preserve"> and respond to crises, disasters and impacts of climate change and extreme weather events, and to protect the investments under the EU budget. Deploying new innovative technologies and solutions boosting climate resilience will at the same time increase the competitive edge of the EU companies not only through their improved adaptive capacity and climate resilience but also due to new export opportunities.</w:t>
            </w:r>
          </w:p>
        </w:tc>
      </w:tr>
    </w:tbl>
    <w:p w14:paraId="78F9D3C3" w14:textId="77777777" w:rsidR="003451E3" w:rsidRPr="00BE6306" w:rsidRDefault="003451E3" w:rsidP="003451E3">
      <w:pPr>
        <w:jc w:val="center"/>
      </w:pPr>
    </w:p>
    <w:tbl>
      <w:tblPr>
        <w:tblStyle w:val="TableGrid"/>
        <w:tblW w:w="5000" w:type="pct"/>
        <w:tblLook w:val="01E0" w:firstRow="1" w:lastRow="1" w:firstColumn="1" w:lastColumn="1" w:noHBand="0" w:noVBand="0"/>
      </w:tblPr>
      <w:tblGrid>
        <w:gridCol w:w="9063"/>
      </w:tblGrid>
      <w:tr w:rsidR="003451E3" w:rsidRPr="00BE6306" w14:paraId="17449DB2" w14:textId="77777777" w:rsidTr="000020A8">
        <w:tc>
          <w:tcPr>
            <w:tcW w:w="5000" w:type="pct"/>
          </w:tcPr>
          <w:p w14:paraId="233DDC99" w14:textId="77777777" w:rsidR="003451E3" w:rsidRPr="00BE6306" w:rsidRDefault="003451E3" w:rsidP="000020A8">
            <w:pPr>
              <w:jc w:val="center"/>
              <w:rPr>
                <w:i/>
              </w:rPr>
            </w:pPr>
            <w:r w:rsidRPr="00BE6306">
              <w:rPr>
                <w:b/>
                <w:bCs/>
                <w:i/>
              </w:rPr>
              <w:t>Reason</w:t>
            </w:r>
          </w:p>
        </w:tc>
      </w:tr>
      <w:tr w:rsidR="003451E3" w:rsidRPr="00BE6306" w14:paraId="610C3460" w14:textId="77777777" w:rsidTr="000020A8">
        <w:tc>
          <w:tcPr>
            <w:tcW w:w="5000" w:type="pct"/>
            <w:hideMark/>
          </w:tcPr>
          <w:p w14:paraId="3E626D69" w14:textId="315B54C1" w:rsidR="003451E3" w:rsidRPr="00BE6306" w:rsidRDefault="003451E3" w:rsidP="000020A8">
            <w:pPr>
              <w:spacing w:before="40" w:after="40"/>
              <w:ind w:left="40" w:right="40"/>
            </w:pPr>
            <w:r w:rsidRPr="00BE6306">
              <w:t>Local and regional authorities are responsible for a large share of the necessary action and investments to enhance resilience to</w:t>
            </w:r>
            <w:r w:rsidR="00007A4E" w:rsidRPr="00BE6306">
              <w:t xml:space="preserve"> induced</w:t>
            </w:r>
            <w:r w:rsidRPr="00BE6306">
              <w:t xml:space="preserve"> climate change and other natural disasters and long-term adaptation to climate change.</w:t>
            </w:r>
          </w:p>
        </w:tc>
      </w:tr>
    </w:tbl>
    <w:p w14:paraId="2C4241E9" w14:textId="77777777" w:rsidR="003451E3" w:rsidRPr="00BE6306" w:rsidRDefault="003451E3" w:rsidP="003451E3">
      <w:pPr>
        <w:sectPr w:rsidR="003451E3" w:rsidRPr="00BE6306" w:rsidSect="005F51C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pPr>
    </w:p>
    <w:p w14:paraId="71BF0925" w14:textId="4D13DFC4" w:rsidR="00073195" w:rsidRPr="00BE6306" w:rsidRDefault="00073195" w:rsidP="00073195">
      <w:pPr>
        <w:jc w:val="center"/>
        <w:rPr>
          <w:b/>
          <w:bCs/>
        </w:rPr>
      </w:pPr>
      <w:r w:rsidRPr="00BE6306">
        <w:rPr>
          <w:b/>
          <w:bCs/>
        </w:rPr>
        <w:lastRenderedPageBreak/>
        <w:t>Amendment 2</w:t>
      </w:r>
    </w:p>
    <w:p w14:paraId="48CED657" w14:textId="77777777" w:rsidR="00073195" w:rsidRPr="00BE6306" w:rsidRDefault="00073195" w:rsidP="00073195">
      <w:pPr>
        <w:jc w:val="center"/>
      </w:pPr>
      <w:r w:rsidRPr="00BE6306">
        <w:t>Proposal for a Regulation of the European Parliament and of the Council establishing a budget expenditure tracking and performance framework and other horizontal rules for the Union programmes and activities (COM(2025) 545 final)</w:t>
      </w:r>
    </w:p>
    <w:p w14:paraId="0FF9AD37" w14:textId="60072E34" w:rsidR="003451E3" w:rsidRPr="00BE6306" w:rsidRDefault="00073195" w:rsidP="00073195">
      <w:pPr>
        <w:jc w:val="center"/>
      </w:pPr>
      <w:r w:rsidRPr="00BE6306">
        <w:t>Amend Recital 12</w:t>
      </w:r>
    </w:p>
    <w:p w14:paraId="3B4B90F4" w14:textId="77777777" w:rsidR="00073195" w:rsidRPr="00BE6306" w:rsidRDefault="00073195" w:rsidP="00073195">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073195" w:rsidRPr="00BE6306" w14:paraId="737D0678"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1152A6A3" w14:textId="77777777" w:rsidR="00073195" w:rsidRPr="00BE6306" w:rsidRDefault="00073195" w:rsidP="000020A8">
            <w:pPr>
              <w:jc w:val="center"/>
              <w:rPr>
                <w:b/>
                <w:bCs/>
                <w:i/>
                <w:szCs w:val="22"/>
              </w:rPr>
            </w:pPr>
            <w:r w:rsidRPr="00BE6306">
              <w:rPr>
                <w:b/>
                <w:bCs/>
                <w:i/>
                <w:szCs w:val="22"/>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2ACF730A" w14:textId="77777777" w:rsidR="00073195" w:rsidRPr="00BE6306" w:rsidRDefault="00073195" w:rsidP="000020A8">
            <w:pPr>
              <w:jc w:val="center"/>
              <w:rPr>
                <w:b/>
                <w:bCs/>
                <w:i/>
                <w:szCs w:val="22"/>
              </w:rPr>
            </w:pPr>
            <w:r w:rsidRPr="00BE6306">
              <w:rPr>
                <w:b/>
                <w:bCs/>
                <w:i/>
                <w:szCs w:val="22"/>
              </w:rPr>
              <w:t>Amendment</w:t>
            </w:r>
          </w:p>
        </w:tc>
      </w:tr>
      <w:tr w:rsidR="00073195" w:rsidRPr="00BE6306" w14:paraId="504A8F79"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1E6E2082" w14:textId="77777777" w:rsidR="00073195" w:rsidRPr="00BE6306" w:rsidRDefault="00073195" w:rsidP="000020A8">
            <w:pPr>
              <w:spacing w:before="40" w:after="40"/>
              <w:ind w:left="40" w:right="40"/>
              <w:rPr>
                <w:szCs w:val="22"/>
              </w:rPr>
            </w:pPr>
            <w:r w:rsidRPr="00BE6306">
              <w:rPr>
                <w:szCs w:val="22"/>
              </w:rPr>
              <w:t xml:space="preserve">The economic, financial and social costs linked to climate change, natural hazards, health emergencies, technological accidents, evolving security threats, and other disruptions are growing. It is essential to enhance the Union’s </w:t>
            </w:r>
            <w:r w:rsidRPr="00BE6306">
              <w:rPr>
                <w:b/>
                <w:bCs/>
                <w:i/>
                <w:szCs w:val="22"/>
              </w:rPr>
              <w:t>and</w:t>
            </w:r>
            <w:r w:rsidRPr="00BE6306">
              <w:rPr>
                <w:szCs w:val="22"/>
              </w:rPr>
              <w:t xml:space="preserve"> Member States’ capability to anticipate, prepare for, and respond to crises disasters, and impacts of climate change, to protect the investments under the EU budget, as well as to reinforce internal security. Therefore, preparedness and climate resilience by design should ensure that relevant programmes and activities support reforms and investments that strengthen disaster risk and crises management, invest in climate resilience, enhance the resilience of vital societal functions, and build a more resilient, secure, and prepared societies, in line with the objectives of the EU Preparedness Union Strategy,[1] the ProtectEU Strategy[2] and the EU obligation under Article 5 of Regulation (EU) 2021/1119[3] (the ‘European Climate Law’) to reduce vulnerability to climate change.[1] Joint Communication on the European Preparedness Union Strategy, JOIN(2025) 130 final.[2] Communication on ProtectEU: a European Internal Security Strategy, COM(2025) 148 final.[3] Regulation (EU) 2021/1119 of the European Parliament and of the Council of 30 June 2021 establishing the framework for achieving climate neutrality (OJ L 243, 9.7.2021, p. 1).</w:t>
            </w:r>
          </w:p>
        </w:tc>
        <w:tc>
          <w:tcPr>
            <w:tcW w:w="2500" w:type="pct"/>
            <w:tcBorders>
              <w:top w:val="single" w:sz="4" w:space="0" w:color="auto"/>
              <w:left w:val="single" w:sz="4" w:space="0" w:color="auto"/>
              <w:bottom w:val="single" w:sz="4" w:space="0" w:color="auto"/>
              <w:right w:val="single" w:sz="4" w:space="0" w:color="auto"/>
            </w:tcBorders>
            <w:hideMark/>
          </w:tcPr>
          <w:p w14:paraId="01E1D8E6" w14:textId="1B5513BA" w:rsidR="00073195" w:rsidRPr="00BE6306" w:rsidRDefault="00073195" w:rsidP="000020A8">
            <w:pPr>
              <w:spacing w:before="40" w:after="40"/>
              <w:ind w:left="40" w:right="40"/>
              <w:rPr>
                <w:szCs w:val="22"/>
              </w:rPr>
            </w:pPr>
            <w:r w:rsidRPr="00BE6306">
              <w:rPr>
                <w:szCs w:val="22"/>
              </w:rPr>
              <w:t>The economic, financial</w:t>
            </w:r>
            <w:r w:rsidRPr="00BE6306">
              <w:rPr>
                <w:b/>
                <w:bCs/>
                <w:i/>
                <w:szCs w:val="22"/>
              </w:rPr>
              <w:t>, health</w:t>
            </w:r>
            <w:r w:rsidRPr="00BE6306">
              <w:rPr>
                <w:szCs w:val="22"/>
              </w:rPr>
              <w:t xml:space="preserve"> and social costs linked to climate change</w:t>
            </w:r>
            <w:r w:rsidRPr="00BE6306">
              <w:rPr>
                <w:b/>
                <w:bCs/>
                <w:i/>
                <w:szCs w:val="22"/>
              </w:rPr>
              <w:t>, biodiversity loss</w:t>
            </w:r>
            <w:r w:rsidRPr="00BE6306">
              <w:rPr>
                <w:szCs w:val="22"/>
              </w:rPr>
              <w:t>, natural hazards, health emergencies, technological accidents, evolving security threats, and other disruptions are growing. It is essential to enhance the Union’s</w:t>
            </w:r>
            <w:r w:rsidRPr="00BE6306">
              <w:rPr>
                <w:b/>
                <w:bCs/>
                <w:i/>
                <w:szCs w:val="22"/>
              </w:rPr>
              <w:t>, the</w:t>
            </w:r>
            <w:r w:rsidRPr="00BE6306">
              <w:rPr>
                <w:szCs w:val="22"/>
              </w:rPr>
              <w:t xml:space="preserve"> Member States’ </w:t>
            </w:r>
            <w:r w:rsidRPr="00BE6306">
              <w:rPr>
                <w:b/>
                <w:bCs/>
                <w:i/>
                <w:szCs w:val="22"/>
              </w:rPr>
              <w:t>and local and regional authorities</w:t>
            </w:r>
            <w:r w:rsidRPr="00BE6306">
              <w:rPr>
                <w:b/>
                <w:bCs/>
                <w:i/>
                <w:iCs/>
                <w:szCs w:val="22"/>
              </w:rPr>
              <w:t>’</w:t>
            </w:r>
            <w:r w:rsidRPr="00BE6306">
              <w:rPr>
                <w:szCs w:val="22"/>
              </w:rPr>
              <w:t xml:space="preserve"> capability to anticipate, prepare for, and respond to crises disasters, and </w:t>
            </w:r>
            <w:r w:rsidRPr="00BE6306">
              <w:rPr>
                <w:b/>
                <w:bCs/>
                <w:i/>
                <w:szCs w:val="22"/>
              </w:rPr>
              <w:t>adapt to the</w:t>
            </w:r>
            <w:r w:rsidRPr="00BE6306">
              <w:rPr>
                <w:szCs w:val="22"/>
              </w:rPr>
              <w:t xml:space="preserve"> impacts of climate change, to protect the investments under the EU budget</w:t>
            </w:r>
            <w:r w:rsidR="00CB5BFE" w:rsidRPr="002A298F">
              <w:rPr>
                <w:b/>
                <w:bCs/>
                <w:i/>
                <w:iCs/>
                <w:szCs w:val="22"/>
              </w:rPr>
              <w:t>,</w:t>
            </w:r>
            <w:r w:rsidRPr="00BE6306">
              <w:rPr>
                <w:szCs w:val="22"/>
              </w:rPr>
              <w:t xml:space="preserve"> </w:t>
            </w:r>
            <w:r w:rsidRPr="00BE6306">
              <w:rPr>
                <w:b/>
                <w:bCs/>
                <w:i/>
                <w:szCs w:val="22"/>
              </w:rPr>
              <w:t xml:space="preserve">including the </w:t>
            </w:r>
            <w:r w:rsidRPr="00BE6306">
              <w:rPr>
                <w:b/>
                <w:bCs/>
                <w:i/>
                <w:iCs/>
                <w:szCs w:val="22"/>
              </w:rPr>
              <w:t>‘</w:t>
            </w:r>
            <w:r w:rsidRPr="00BE6306">
              <w:rPr>
                <w:b/>
                <w:bCs/>
                <w:i/>
                <w:szCs w:val="22"/>
              </w:rPr>
              <w:t>build back better</w:t>
            </w:r>
            <w:r w:rsidRPr="00BE6306">
              <w:rPr>
                <w:b/>
                <w:bCs/>
                <w:i/>
                <w:iCs/>
                <w:szCs w:val="22"/>
              </w:rPr>
              <w:t>’</w:t>
            </w:r>
            <w:r w:rsidRPr="005213CD">
              <w:rPr>
                <w:b/>
                <w:bCs/>
                <w:i/>
                <w:szCs w:val="22"/>
              </w:rPr>
              <w:t xml:space="preserve"> and </w:t>
            </w:r>
            <w:r w:rsidRPr="00BE6306">
              <w:rPr>
                <w:b/>
                <w:bCs/>
                <w:i/>
                <w:iCs/>
                <w:szCs w:val="22"/>
              </w:rPr>
              <w:t>‘</w:t>
            </w:r>
            <w:r w:rsidRPr="00BE6306">
              <w:rPr>
                <w:b/>
                <w:bCs/>
                <w:i/>
                <w:szCs w:val="22"/>
              </w:rPr>
              <w:t>resilience by design</w:t>
            </w:r>
            <w:r w:rsidRPr="00BE6306">
              <w:rPr>
                <w:b/>
                <w:bCs/>
                <w:i/>
                <w:iCs/>
                <w:szCs w:val="22"/>
              </w:rPr>
              <w:t>’</w:t>
            </w:r>
            <w:r w:rsidRPr="00BE6306">
              <w:rPr>
                <w:b/>
                <w:bCs/>
                <w:i/>
                <w:szCs w:val="22"/>
              </w:rPr>
              <w:t xml:space="preserve"> principles</w:t>
            </w:r>
            <w:r w:rsidRPr="00BE6306">
              <w:rPr>
                <w:szCs w:val="22"/>
              </w:rPr>
              <w:t>, as well as to reinforce internal security. Therefore, preparedness and climate resilience by design should ensure that relevant programmes and activities support reforms and investments that strengthen disaster risk and crises management, invest in climate resilience, enhance the resilience of vital societal functions, and build a more resilient, secure, and prepared societies, in line with the objectives of the EU Preparedness Union Strategy,[1] the ProtectEU Strategy[2] and the EU obligation under Article 5 of Regulation (EU) 2021/1119[3] (the ‘European Climate Law’) to reduce vulnerability to climate change.[1] Joint Communication on the European Preparedness Union Strategy, JOIN(2025) 130 final.[2] Communication on ProtectEU: a European Internal Security Strategy, COM(2025) 148 final.[3] Regulation (EU) 2021/1119 of the European Parliament and of the Council of 30 June 2021 establishing the framework for achieving climate neutrality (OJ L 243, 9.7.2021, p. 1).</w:t>
            </w:r>
          </w:p>
        </w:tc>
      </w:tr>
    </w:tbl>
    <w:p w14:paraId="576EFD55" w14:textId="77777777" w:rsidR="00073195" w:rsidRPr="00BE6306" w:rsidRDefault="00073195" w:rsidP="00073195">
      <w:pPr>
        <w:jc w:val="center"/>
      </w:pPr>
    </w:p>
    <w:tbl>
      <w:tblPr>
        <w:tblStyle w:val="TableGrid"/>
        <w:tblW w:w="5000" w:type="pct"/>
        <w:tblLook w:val="01E0" w:firstRow="1" w:lastRow="1" w:firstColumn="1" w:lastColumn="1" w:noHBand="0" w:noVBand="0"/>
      </w:tblPr>
      <w:tblGrid>
        <w:gridCol w:w="9063"/>
      </w:tblGrid>
      <w:tr w:rsidR="00073195" w:rsidRPr="00BE6306" w14:paraId="1D3D5E22" w14:textId="77777777" w:rsidTr="000020A8">
        <w:tc>
          <w:tcPr>
            <w:tcW w:w="5000" w:type="pct"/>
          </w:tcPr>
          <w:p w14:paraId="57F997B2" w14:textId="77777777" w:rsidR="00073195" w:rsidRPr="00BE6306" w:rsidRDefault="00073195" w:rsidP="000020A8">
            <w:pPr>
              <w:jc w:val="center"/>
              <w:rPr>
                <w:i/>
              </w:rPr>
            </w:pPr>
            <w:r w:rsidRPr="00BE6306">
              <w:rPr>
                <w:b/>
                <w:bCs/>
                <w:i/>
              </w:rPr>
              <w:t>Reason</w:t>
            </w:r>
          </w:p>
        </w:tc>
      </w:tr>
      <w:tr w:rsidR="00073195" w:rsidRPr="00BE6306" w14:paraId="7DE0BB13" w14:textId="77777777" w:rsidTr="000020A8">
        <w:tc>
          <w:tcPr>
            <w:tcW w:w="5000" w:type="pct"/>
            <w:hideMark/>
          </w:tcPr>
          <w:p w14:paraId="5651095B" w14:textId="29E28822" w:rsidR="00073195" w:rsidRPr="00BE6306" w:rsidRDefault="00073195" w:rsidP="000020A8">
            <w:pPr>
              <w:spacing w:before="40" w:after="40"/>
              <w:ind w:left="40" w:right="40"/>
            </w:pPr>
            <w:r w:rsidRPr="00BE6306">
              <w:lastRenderedPageBreak/>
              <w:t>The impact of environmental degradation and climate change on human health and biodiversity loss are key challenges facing the EU, its Member States and their local and regional authorities</w:t>
            </w:r>
            <w:r w:rsidR="00CB5BFE" w:rsidRPr="00BE6306">
              <w:t>,</w:t>
            </w:r>
            <w:r w:rsidRPr="00BE6306">
              <w:t xml:space="preserve"> which are responsible for a large share of the necessary action and investments to enhance resilience.</w:t>
            </w:r>
          </w:p>
        </w:tc>
      </w:tr>
    </w:tbl>
    <w:p w14:paraId="047E3811" w14:textId="77777777" w:rsidR="00073195" w:rsidRPr="00BE6306" w:rsidRDefault="00073195" w:rsidP="00073195">
      <w:pPr>
        <w:jc w:val="center"/>
      </w:pPr>
    </w:p>
    <w:p w14:paraId="43A3C6DE" w14:textId="524ADB0C" w:rsidR="00E047C8" w:rsidRPr="00BE6306" w:rsidRDefault="00E047C8" w:rsidP="00E047C8">
      <w:pPr>
        <w:jc w:val="center"/>
        <w:rPr>
          <w:b/>
          <w:bCs/>
        </w:rPr>
      </w:pPr>
      <w:r w:rsidRPr="00BE6306">
        <w:rPr>
          <w:b/>
          <w:bCs/>
        </w:rPr>
        <w:t>Amendment 3</w:t>
      </w:r>
    </w:p>
    <w:p w14:paraId="7D11158D" w14:textId="77777777" w:rsidR="00E047C8" w:rsidRPr="00BE6306" w:rsidRDefault="00E047C8" w:rsidP="00E047C8">
      <w:pPr>
        <w:jc w:val="center"/>
      </w:pPr>
      <w:r w:rsidRPr="00BE6306">
        <w:t>Proposal for a Regulation of the European Parliament and of the Council establishing a budget expenditure tracking and performance framework and other horizontal rules for the Union programmes and activities (COM(2025) 545 final)</w:t>
      </w:r>
    </w:p>
    <w:p w14:paraId="5D1B8DAD" w14:textId="6C93F099" w:rsidR="00E047C8" w:rsidRPr="00BE6306" w:rsidRDefault="00E047C8" w:rsidP="00E047C8">
      <w:pPr>
        <w:jc w:val="center"/>
        <w:rPr>
          <w:b/>
        </w:rPr>
      </w:pPr>
      <w:r w:rsidRPr="00BE6306">
        <w:t>Add Recital 13</w:t>
      </w:r>
    </w:p>
    <w:p w14:paraId="414F0D5A" w14:textId="77777777" w:rsidR="00E047C8" w:rsidRPr="00BE6306" w:rsidRDefault="00E047C8" w:rsidP="00073195">
      <w:pPr>
        <w:jc w:val="center"/>
        <w:rPr>
          <w:b/>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047C8" w:rsidRPr="00BE6306" w14:paraId="014C741B"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1FD6803B" w14:textId="77777777" w:rsidR="00E047C8" w:rsidRPr="00BE6306" w:rsidRDefault="00E047C8" w:rsidP="000020A8"/>
        </w:tc>
        <w:tc>
          <w:tcPr>
            <w:tcW w:w="2500" w:type="pct"/>
            <w:tcBorders>
              <w:top w:val="single" w:sz="4" w:space="0" w:color="auto"/>
              <w:left w:val="single" w:sz="4" w:space="0" w:color="auto"/>
              <w:bottom w:val="single" w:sz="4" w:space="0" w:color="auto"/>
              <w:right w:val="single" w:sz="4" w:space="0" w:color="auto"/>
            </w:tcBorders>
            <w:hideMark/>
          </w:tcPr>
          <w:p w14:paraId="030210D5" w14:textId="77777777" w:rsidR="00E047C8" w:rsidRPr="00BE6306" w:rsidRDefault="00E047C8" w:rsidP="000020A8">
            <w:pPr>
              <w:spacing w:before="40" w:after="40"/>
              <w:ind w:left="40" w:right="40"/>
              <w:rPr>
                <w:szCs w:val="22"/>
              </w:rPr>
            </w:pPr>
            <w:r w:rsidRPr="00BE6306">
              <w:rPr>
                <w:b/>
                <w:i/>
              </w:rPr>
              <w:t>Taking into account Articles 174 and 349 TFEU and the European Parliament’s Omarjee resolution, the performance monitoring framework should recognise the specific constraints of island (structural additional costs, logistical difficulties, small domestic markets), outermost and mountain regions. The framework should provide for these specific circumstances to be incorporated into the design and assessment of the performance indicators, and for the regional and local authorities concerned to be involved in the relevant monitoring and reporting mechanisms, in order to ensure that EU funds are used more efficiently and fairly in these areas.</w:t>
            </w:r>
          </w:p>
        </w:tc>
      </w:tr>
    </w:tbl>
    <w:p w14:paraId="6D0ED02D" w14:textId="77777777" w:rsidR="00E047C8" w:rsidRPr="00BE6306" w:rsidRDefault="00E047C8" w:rsidP="00E047C8">
      <w:pPr>
        <w:jc w:val="center"/>
      </w:pPr>
    </w:p>
    <w:tbl>
      <w:tblPr>
        <w:tblStyle w:val="TableGrid"/>
        <w:tblW w:w="5000" w:type="pct"/>
        <w:tblLook w:val="01E0" w:firstRow="1" w:lastRow="1" w:firstColumn="1" w:lastColumn="1" w:noHBand="0" w:noVBand="0"/>
      </w:tblPr>
      <w:tblGrid>
        <w:gridCol w:w="9063"/>
      </w:tblGrid>
      <w:tr w:rsidR="00E047C8" w:rsidRPr="00BE6306" w14:paraId="2017AAFA" w14:textId="77777777" w:rsidTr="000020A8">
        <w:tc>
          <w:tcPr>
            <w:tcW w:w="5000" w:type="pct"/>
          </w:tcPr>
          <w:p w14:paraId="6C55512A" w14:textId="77777777" w:rsidR="00E047C8" w:rsidRPr="00BE6306" w:rsidRDefault="00E047C8" w:rsidP="000020A8">
            <w:pPr>
              <w:jc w:val="center"/>
              <w:rPr>
                <w:i/>
              </w:rPr>
            </w:pPr>
            <w:r w:rsidRPr="00BE6306">
              <w:rPr>
                <w:b/>
                <w:i/>
              </w:rPr>
              <w:t>Reason</w:t>
            </w:r>
          </w:p>
        </w:tc>
      </w:tr>
      <w:tr w:rsidR="00E047C8" w:rsidRPr="00BE6306" w14:paraId="702DEB12" w14:textId="77777777" w:rsidTr="000020A8">
        <w:tc>
          <w:tcPr>
            <w:tcW w:w="5000" w:type="pct"/>
            <w:hideMark/>
          </w:tcPr>
          <w:p w14:paraId="4706EFE4" w14:textId="77777777" w:rsidR="00E047C8" w:rsidRPr="00BE6306" w:rsidRDefault="00E047C8" w:rsidP="000020A8">
            <w:pPr>
              <w:spacing w:before="40" w:after="40"/>
              <w:ind w:left="40" w:right="40"/>
            </w:pPr>
            <w:r w:rsidRPr="00BE6306">
              <w:t>In line with Articles 174 and 349 TFEU and the Omarjee resolution, this amendment aims to adapt the performance framework to the structural constraints of island, outermost and mountain regions in order to ensure that the indicators are fair and that the assessments are properly place-based.</w:t>
            </w:r>
          </w:p>
        </w:tc>
      </w:tr>
    </w:tbl>
    <w:p w14:paraId="6A8120C9" w14:textId="77777777" w:rsidR="00E047C8" w:rsidRPr="00BE6306" w:rsidRDefault="00E047C8" w:rsidP="00073195">
      <w:pPr>
        <w:jc w:val="center"/>
        <w:rPr>
          <w:b/>
        </w:rPr>
      </w:pPr>
    </w:p>
    <w:p w14:paraId="51A0F2AF" w14:textId="09D8D7C5" w:rsidR="00687932" w:rsidRPr="00BE6306" w:rsidRDefault="00687932" w:rsidP="00687932">
      <w:pPr>
        <w:jc w:val="center"/>
        <w:rPr>
          <w:b/>
          <w:bCs/>
        </w:rPr>
      </w:pPr>
      <w:r w:rsidRPr="00BE6306">
        <w:rPr>
          <w:b/>
        </w:rPr>
        <w:t>Amendment 4</w:t>
      </w:r>
    </w:p>
    <w:p w14:paraId="268AFA1E" w14:textId="77777777" w:rsidR="00687932" w:rsidRPr="00BE6306" w:rsidRDefault="00687932" w:rsidP="00687932">
      <w:pPr>
        <w:jc w:val="center"/>
      </w:pPr>
      <w:r w:rsidRPr="00BE6306">
        <w:t>Proposal for a Regulation of the European Parliament and of the Council establishing a budget expenditure tracking and performance framework and other horizontal rules for the Union programmes and activities (COM(2025) 545 final)</w:t>
      </w:r>
    </w:p>
    <w:p w14:paraId="5DB1A9F2" w14:textId="2DA7330F" w:rsidR="00687932" w:rsidRPr="00BE6306" w:rsidRDefault="00687932" w:rsidP="00687932">
      <w:pPr>
        <w:jc w:val="center"/>
        <w:rPr>
          <w:b/>
        </w:rPr>
      </w:pPr>
      <w:r w:rsidRPr="00BE6306">
        <w:t>Amend Article 4(1) and 4(2)</w:t>
      </w:r>
    </w:p>
    <w:p w14:paraId="1670442C" w14:textId="77777777" w:rsidR="00687932" w:rsidRPr="00BE6306" w:rsidRDefault="00687932" w:rsidP="00073195">
      <w:pPr>
        <w:jc w:val="center"/>
        <w:rPr>
          <w:b/>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687932" w:rsidRPr="00BE6306" w14:paraId="7DC685E6"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68262B1B" w14:textId="77777777" w:rsidR="00687932" w:rsidRPr="00BE6306" w:rsidRDefault="00687932" w:rsidP="000020A8">
            <w:pPr>
              <w:jc w:val="center"/>
              <w:rPr>
                <w:b/>
                <w:bCs/>
                <w:i/>
                <w:szCs w:val="22"/>
              </w:rPr>
            </w:pPr>
            <w:r w:rsidRPr="00BE6306">
              <w:rPr>
                <w:b/>
                <w:bCs/>
                <w:i/>
                <w:szCs w:val="22"/>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1B50973B" w14:textId="77777777" w:rsidR="00687932" w:rsidRPr="00BE6306" w:rsidRDefault="00687932" w:rsidP="000020A8">
            <w:pPr>
              <w:jc w:val="center"/>
              <w:rPr>
                <w:b/>
                <w:bCs/>
                <w:i/>
                <w:szCs w:val="22"/>
              </w:rPr>
            </w:pPr>
            <w:r w:rsidRPr="00BE6306">
              <w:rPr>
                <w:b/>
                <w:bCs/>
                <w:i/>
                <w:szCs w:val="22"/>
              </w:rPr>
              <w:t>Amendment</w:t>
            </w:r>
          </w:p>
        </w:tc>
      </w:tr>
      <w:tr w:rsidR="00687932" w:rsidRPr="00BE6306" w14:paraId="25B52198" w14:textId="77777777" w:rsidTr="000020A8">
        <w:tc>
          <w:tcPr>
            <w:tcW w:w="2500" w:type="pct"/>
            <w:tcBorders>
              <w:top w:val="single" w:sz="4" w:space="0" w:color="auto"/>
              <w:left w:val="single" w:sz="4" w:space="0" w:color="auto"/>
              <w:bottom w:val="single" w:sz="4" w:space="0" w:color="auto"/>
              <w:right w:val="single" w:sz="4" w:space="0" w:color="auto"/>
            </w:tcBorders>
            <w:hideMark/>
          </w:tcPr>
          <w:p w14:paraId="440BD618" w14:textId="77777777" w:rsidR="00687932" w:rsidRPr="00BE6306" w:rsidRDefault="00687932" w:rsidP="000020A8">
            <w:pPr>
              <w:spacing w:before="40" w:after="40"/>
              <w:ind w:left="40" w:right="40"/>
              <w:rPr>
                <w:szCs w:val="22"/>
              </w:rPr>
            </w:pPr>
            <w:r w:rsidRPr="00BE6306">
              <w:rPr>
                <w:szCs w:val="22"/>
              </w:rPr>
              <w:t>Climate and biodiversity</w:t>
            </w:r>
          </w:p>
          <w:p w14:paraId="15213535" w14:textId="77777777" w:rsidR="00687932" w:rsidRPr="00BE6306" w:rsidRDefault="00687932" w:rsidP="000020A8">
            <w:pPr>
              <w:spacing w:before="40" w:after="40"/>
              <w:ind w:left="40" w:right="40"/>
              <w:rPr>
                <w:szCs w:val="22"/>
              </w:rPr>
            </w:pPr>
            <w:r w:rsidRPr="00BE6306">
              <w:rPr>
                <w:szCs w:val="22"/>
              </w:rPr>
              <w:t xml:space="preserve">1. The contribution from the budget to climate and biodiversity shall be monitored by means of the budget expenditure tracking and </w:t>
            </w:r>
            <w:r w:rsidRPr="00BE6306">
              <w:rPr>
                <w:szCs w:val="22"/>
              </w:rPr>
              <w:lastRenderedPageBreak/>
              <w:t>performance framework laid down in Article 8, including by means of EU coefficients.</w:t>
            </w:r>
          </w:p>
          <w:p w14:paraId="3602E79B" w14:textId="77777777" w:rsidR="00687932" w:rsidRPr="00BE6306" w:rsidRDefault="00687932" w:rsidP="000020A8">
            <w:pPr>
              <w:spacing w:before="40" w:after="40"/>
              <w:ind w:left="40" w:right="40"/>
              <w:rPr>
                <w:szCs w:val="22"/>
              </w:rPr>
            </w:pPr>
            <w:r w:rsidRPr="00BE6306">
              <w:rPr>
                <w:szCs w:val="22"/>
              </w:rPr>
              <w:t xml:space="preserve">2. Programmes and activities shall be implemented with a view to achieving an overall spending target of at least 35% of the total amount of the budget on </w:t>
            </w:r>
            <w:r w:rsidRPr="00BE6306">
              <w:rPr>
                <w:b/>
                <w:bCs/>
                <w:i/>
                <w:szCs w:val="22"/>
              </w:rPr>
              <w:t>climate action and environmental</w:t>
            </w:r>
            <w:r w:rsidRPr="00BE6306">
              <w:rPr>
                <w:szCs w:val="22"/>
              </w:rPr>
              <w:t xml:space="preserve"> objectives (‘climate and environment spending target’) over the entire 2028-2034 multiannual financial framework, calculated by using the highest coefficient amongst climate mitigation, climate adaptation and resilience, and </w:t>
            </w:r>
            <w:r w:rsidRPr="00BE6306">
              <w:rPr>
                <w:b/>
                <w:bCs/>
                <w:i/>
                <w:szCs w:val="22"/>
              </w:rPr>
              <w:t>environment</w:t>
            </w:r>
            <w:r w:rsidRPr="00BE6306">
              <w:rPr>
                <w:szCs w:val="22"/>
              </w:rPr>
              <w:t xml:space="preserve"> of the framework referred to in paragraph 1</w:t>
            </w:r>
            <w:r w:rsidRPr="00BE6306">
              <w:rPr>
                <w:b/>
                <w:bCs/>
                <w:i/>
                <w:szCs w:val="22"/>
              </w:rPr>
              <w:t>. Defence and security spending shall be excluded from the basis for the calculation of the climate and environment spending target</w:t>
            </w:r>
            <w:r w:rsidRPr="00BE6306">
              <w:rPr>
                <w:szCs w:val="22"/>
              </w:rPr>
              <w:t>.</w:t>
            </w:r>
          </w:p>
        </w:tc>
        <w:tc>
          <w:tcPr>
            <w:tcW w:w="2500" w:type="pct"/>
            <w:tcBorders>
              <w:top w:val="single" w:sz="4" w:space="0" w:color="auto"/>
              <w:left w:val="single" w:sz="4" w:space="0" w:color="auto"/>
              <w:bottom w:val="single" w:sz="4" w:space="0" w:color="auto"/>
              <w:right w:val="single" w:sz="4" w:space="0" w:color="auto"/>
            </w:tcBorders>
            <w:hideMark/>
          </w:tcPr>
          <w:p w14:paraId="287BE560" w14:textId="77777777" w:rsidR="00687932" w:rsidRPr="00BE6306" w:rsidRDefault="00687932" w:rsidP="000020A8">
            <w:pPr>
              <w:spacing w:before="40" w:after="40"/>
              <w:ind w:left="40" w:right="40"/>
              <w:rPr>
                <w:szCs w:val="22"/>
              </w:rPr>
            </w:pPr>
            <w:r w:rsidRPr="00BE6306">
              <w:rPr>
                <w:szCs w:val="22"/>
              </w:rPr>
              <w:lastRenderedPageBreak/>
              <w:t>Climate and biodiversity</w:t>
            </w:r>
          </w:p>
          <w:p w14:paraId="341B52F7" w14:textId="17CF2F95" w:rsidR="00687932" w:rsidRPr="00BE6306" w:rsidRDefault="00687932" w:rsidP="000020A8">
            <w:pPr>
              <w:spacing w:before="40" w:after="40"/>
              <w:ind w:left="40" w:right="40"/>
              <w:rPr>
                <w:szCs w:val="22"/>
              </w:rPr>
            </w:pPr>
            <w:r w:rsidRPr="00BE6306">
              <w:rPr>
                <w:szCs w:val="22"/>
              </w:rPr>
              <w:t xml:space="preserve">1. The contribution from the budget to </w:t>
            </w:r>
            <w:r w:rsidRPr="00BE6306">
              <w:rPr>
                <w:b/>
                <w:bCs/>
                <w:i/>
                <w:szCs w:val="22"/>
              </w:rPr>
              <w:t>mitigation of and adaptation to</w:t>
            </w:r>
            <w:r w:rsidRPr="00BE6306">
              <w:rPr>
                <w:szCs w:val="22"/>
              </w:rPr>
              <w:t xml:space="preserve"> climate </w:t>
            </w:r>
            <w:r w:rsidRPr="00BE6306">
              <w:rPr>
                <w:b/>
                <w:bCs/>
                <w:i/>
                <w:szCs w:val="22"/>
              </w:rPr>
              <w:t>change, to protecting</w:t>
            </w:r>
            <w:r w:rsidRPr="00BE6306">
              <w:rPr>
                <w:szCs w:val="22"/>
              </w:rPr>
              <w:t xml:space="preserve"> and </w:t>
            </w:r>
            <w:r w:rsidRPr="00BE6306">
              <w:rPr>
                <w:b/>
                <w:bCs/>
                <w:i/>
                <w:szCs w:val="22"/>
              </w:rPr>
              <w:t>restoring</w:t>
            </w:r>
            <w:r w:rsidRPr="00BE6306">
              <w:rPr>
                <w:szCs w:val="22"/>
              </w:rPr>
              <w:t xml:space="preserve"> biodiversity </w:t>
            </w:r>
            <w:r w:rsidRPr="00BE6306">
              <w:rPr>
                <w:b/>
                <w:bCs/>
                <w:i/>
                <w:szCs w:val="22"/>
              </w:rPr>
              <w:t>and achieving the Union</w:t>
            </w:r>
            <w:r w:rsidRPr="00BE6306">
              <w:rPr>
                <w:b/>
                <w:bCs/>
                <w:i/>
                <w:iCs/>
                <w:szCs w:val="22"/>
              </w:rPr>
              <w:t>’</w:t>
            </w:r>
            <w:r w:rsidRPr="00BE6306">
              <w:rPr>
                <w:b/>
                <w:bCs/>
                <w:i/>
                <w:szCs w:val="22"/>
              </w:rPr>
              <w:t xml:space="preserve">s environmental </w:t>
            </w:r>
            <w:r w:rsidRPr="00BE6306">
              <w:rPr>
                <w:b/>
                <w:bCs/>
                <w:i/>
                <w:szCs w:val="22"/>
              </w:rPr>
              <w:lastRenderedPageBreak/>
              <w:t>objectives</w:t>
            </w:r>
            <w:r w:rsidRPr="00BE6306">
              <w:rPr>
                <w:szCs w:val="22"/>
              </w:rPr>
              <w:t xml:space="preserve"> shall be monitored by means of the budget expenditure tracking and performance framework laid down in Article 8, including by means of EU coefficients.</w:t>
            </w:r>
          </w:p>
          <w:p w14:paraId="174AA553" w14:textId="77777777" w:rsidR="00687932" w:rsidRPr="00BE6306" w:rsidRDefault="00687932" w:rsidP="000020A8">
            <w:pPr>
              <w:spacing w:before="40" w:after="40"/>
              <w:ind w:left="40" w:right="40"/>
              <w:rPr>
                <w:szCs w:val="22"/>
              </w:rPr>
            </w:pPr>
            <w:r w:rsidRPr="00BE6306">
              <w:rPr>
                <w:szCs w:val="22"/>
              </w:rPr>
              <w:t xml:space="preserve">2. Programmes and activities shall be implemented with a view to achieving an overall spending target of at least 35% of the total amount of the budget on </w:t>
            </w:r>
            <w:r w:rsidRPr="00BE6306">
              <w:rPr>
                <w:b/>
                <w:bCs/>
                <w:i/>
                <w:szCs w:val="22"/>
              </w:rPr>
              <w:t>the</w:t>
            </w:r>
            <w:r w:rsidRPr="00BE6306">
              <w:rPr>
                <w:szCs w:val="22"/>
              </w:rPr>
              <w:t xml:space="preserve"> objectives </w:t>
            </w:r>
            <w:r w:rsidRPr="00BE6306">
              <w:rPr>
                <w:b/>
                <w:bCs/>
                <w:i/>
                <w:szCs w:val="22"/>
              </w:rPr>
              <w:t>described in paragraph 1</w:t>
            </w:r>
            <w:r w:rsidRPr="00BE6306">
              <w:rPr>
                <w:szCs w:val="22"/>
              </w:rPr>
              <w:t xml:space="preserve"> (‘climate and environment spending target’) over the entire 2028-2034 multiannual financial framework, calculated by using the highest coefficient amongst climate mitigation, climate adaptation and resilience,</w:t>
            </w:r>
            <w:r w:rsidRPr="00BE6306">
              <w:rPr>
                <w:b/>
                <w:bCs/>
                <w:i/>
                <w:szCs w:val="22"/>
              </w:rPr>
              <w:t xml:space="preserve"> biodiversity protection</w:t>
            </w:r>
            <w:r w:rsidRPr="00BE6306">
              <w:rPr>
                <w:szCs w:val="22"/>
              </w:rPr>
              <w:t xml:space="preserve"> and </w:t>
            </w:r>
            <w:r w:rsidRPr="00BE6306">
              <w:rPr>
                <w:b/>
                <w:bCs/>
                <w:i/>
                <w:szCs w:val="22"/>
              </w:rPr>
              <w:t>restoration, circular economy and environmental action</w:t>
            </w:r>
            <w:r w:rsidRPr="00BE6306">
              <w:rPr>
                <w:szCs w:val="22"/>
              </w:rPr>
              <w:t xml:space="preserve"> of the framework referred to in paragraph 1.</w:t>
            </w:r>
          </w:p>
        </w:tc>
      </w:tr>
    </w:tbl>
    <w:p w14:paraId="30D67FCA" w14:textId="77777777" w:rsidR="00687932" w:rsidRPr="00BE6306" w:rsidRDefault="00687932" w:rsidP="00687932">
      <w:pPr>
        <w:jc w:val="center"/>
      </w:pPr>
    </w:p>
    <w:tbl>
      <w:tblPr>
        <w:tblStyle w:val="TableGrid"/>
        <w:tblW w:w="5000" w:type="pct"/>
        <w:tblLook w:val="01E0" w:firstRow="1" w:lastRow="1" w:firstColumn="1" w:lastColumn="1" w:noHBand="0" w:noVBand="0"/>
      </w:tblPr>
      <w:tblGrid>
        <w:gridCol w:w="9063"/>
      </w:tblGrid>
      <w:tr w:rsidR="00687932" w:rsidRPr="00BE6306" w14:paraId="52199DD3" w14:textId="77777777" w:rsidTr="000020A8">
        <w:tc>
          <w:tcPr>
            <w:tcW w:w="5000" w:type="pct"/>
          </w:tcPr>
          <w:p w14:paraId="2FF12B5F" w14:textId="77777777" w:rsidR="00687932" w:rsidRPr="00BE6306" w:rsidRDefault="00687932" w:rsidP="000020A8">
            <w:pPr>
              <w:jc w:val="center"/>
              <w:rPr>
                <w:i/>
              </w:rPr>
            </w:pPr>
            <w:r w:rsidRPr="00BE6306">
              <w:rPr>
                <w:b/>
                <w:bCs/>
                <w:i/>
              </w:rPr>
              <w:t>Reason</w:t>
            </w:r>
          </w:p>
        </w:tc>
      </w:tr>
      <w:tr w:rsidR="00687932" w:rsidRPr="00BE6306" w14:paraId="14AF80DF" w14:textId="77777777" w:rsidTr="000020A8">
        <w:tc>
          <w:tcPr>
            <w:tcW w:w="5000" w:type="pct"/>
            <w:hideMark/>
          </w:tcPr>
          <w:p w14:paraId="3BC877FA" w14:textId="5E2DF611" w:rsidR="00687932" w:rsidRPr="00BE6306" w:rsidRDefault="00687932" w:rsidP="000020A8">
            <w:pPr>
              <w:spacing w:before="40" w:after="40"/>
              <w:ind w:left="40" w:right="40"/>
            </w:pPr>
            <w:r w:rsidRPr="00BE6306">
              <w:t>The impact of environmental degradation and climate change on human health and biodiversity loss are key challenges facing the EU, its Member States and their local and regional authorities</w:t>
            </w:r>
            <w:r w:rsidR="00516B3D" w:rsidRPr="00BE6306">
              <w:t>,</w:t>
            </w:r>
            <w:r w:rsidRPr="00BE6306">
              <w:t xml:space="preserve"> which are responsible for a large share of the necessary action and investments to enhance resilience.</w:t>
            </w:r>
          </w:p>
        </w:tc>
      </w:tr>
    </w:tbl>
    <w:p w14:paraId="149E1872" w14:textId="77777777" w:rsidR="00687932" w:rsidRPr="00BE6306" w:rsidRDefault="00687932" w:rsidP="00073195">
      <w:pPr>
        <w:jc w:val="center"/>
        <w:rPr>
          <w:b/>
        </w:rPr>
      </w:pPr>
    </w:p>
    <w:p w14:paraId="4403E0FD" w14:textId="026114D7" w:rsidR="008C7833" w:rsidRPr="00BE6306" w:rsidRDefault="008C7833" w:rsidP="008C7833">
      <w:pPr>
        <w:jc w:val="center"/>
        <w:rPr>
          <w:b/>
          <w:bCs/>
        </w:rPr>
      </w:pPr>
      <w:r w:rsidRPr="00BE6306">
        <w:rPr>
          <w:b/>
        </w:rPr>
        <w:t xml:space="preserve">Amendment </w:t>
      </w:r>
      <w:r w:rsidR="008621F6" w:rsidRPr="00BE6306">
        <w:rPr>
          <w:b/>
        </w:rPr>
        <w:t>5</w:t>
      </w:r>
    </w:p>
    <w:p w14:paraId="63DB1A75" w14:textId="77ACF9B8" w:rsidR="008C7833" w:rsidRPr="005213CD" w:rsidRDefault="0091460A" w:rsidP="008C7833">
      <w:pPr>
        <w:jc w:val="center"/>
      </w:pPr>
      <w:r w:rsidRPr="005213CD">
        <w:t>Proposal for a Regulation of the European Parliament and of the Council establishing a budget expenditure tracking and performance framework and other horizontal rules for the Union programmes and activities (COM(2025) 545</w:t>
      </w:r>
      <w:r w:rsidR="00C568F6" w:rsidRPr="005213CD">
        <w:t xml:space="preserve"> final</w:t>
      </w:r>
      <w:r w:rsidRPr="005213CD">
        <w:t>)</w:t>
      </w:r>
    </w:p>
    <w:p w14:paraId="6792E9EC" w14:textId="66D524A6" w:rsidR="008C7833" w:rsidRPr="00BE6306" w:rsidRDefault="007238E1" w:rsidP="008C7833">
      <w:pPr>
        <w:keepNext/>
        <w:jc w:val="center"/>
      </w:pPr>
      <w:r w:rsidRPr="00BE6306">
        <w:t xml:space="preserve">Amend </w:t>
      </w:r>
      <w:r w:rsidR="008C7833" w:rsidRPr="00BE6306">
        <w:t>Article 5</w:t>
      </w:r>
    </w:p>
    <w:p w14:paraId="0A24E066" w14:textId="77777777" w:rsidR="008C7833" w:rsidRPr="00BE6306" w:rsidRDefault="008C7833" w:rsidP="008C7833"/>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8C7833" w:rsidRPr="00BE6306" w14:paraId="2E955CD0" w14:textId="77777777" w:rsidTr="00391078">
        <w:tc>
          <w:tcPr>
            <w:tcW w:w="4643" w:type="dxa"/>
          </w:tcPr>
          <w:p w14:paraId="43C15E7B" w14:textId="77777777" w:rsidR="008C7833" w:rsidRPr="00BE6306" w:rsidRDefault="008C7833" w:rsidP="00391078">
            <w:pPr>
              <w:jc w:val="center"/>
              <w:rPr>
                <w:b/>
                <w:i/>
              </w:rPr>
            </w:pPr>
            <w:r w:rsidRPr="00BE6306">
              <w:rPr>
                <w:b/>
                <w:i/>
              </w:rPr>
              <w:t>Text proposed by the European Commission</w:t>
            </w:r>
          </w:p>
        </w:tc>
        <w:tc>
          <w:tcPr>
            <w:tcW w:w="4646" w:type="dxa"/>
          </w:tcPr>
          <w:p w14:paraId="6C525BB7" w14:textId="77777777" w:rsidR="008C7833" w:rsidRPr="00BE6306" w:rsidRDefault="008C7833" w:rsidP="00391078">
            <w:pPr>
              <w:jc w:val="center"/>
              <w:rPr>
                <w:b/>
                <w:i/>
              </w:rPr>
            </w:pPr>
            <w:r w:rsidRPr="00BE6306">
              <w:rPr>
                <w:b/>
                <w:i/>
              </w:rPr>
              <w:t>CoR amendment</w:t>
            </w:r>
          </w:p>
        </w:tc>
      </w:tr>
      <w:tr w:rsidR="008C7833" w:rsidRPr="00BE6306" w14:paraId="55C96819" w14:textId="77777777" w:rsidTr="00391078">
        <w:tc>
          <w:tcPr>
            <w:tcW w:w="4643" w:type="dxa"/>
          </w:tcPr>
          <w:p w14:paraId="33166F9B" w14:textId="2E96A61B" w:rsidR="008C7833" w:rsidRPr="00BE6306" w:rsidRDefault="008C7833" w:rsidP="00391078">
            <w:pPr>
              <w:rPr>
                <w:bCs/>
                <w:iCs/>
              </w:rPr>
            </w:pPr>
            <w:r w:rsidRPr="00BE6306">
              <w:rPr>
                <w:bCs/>
                <w:iCs/>
              </w:rPr>
              <w:t>1.</w:t>
            </w:r>
            <w:r w:rsidR="00CE473D" w:rsidRPr="00BE6306">
              <w:rPr>
                <w:bCs/>
                <w:iCs/>
              </w:rPr>
              <w:tab/>
            </w:r>
            <w:r w:rsidRPr="00BE6306">
              <w:rPr>
                <w:bCs/>
                <w:iCs/>
              </w:rPr>
              <w:t>A streamlined application of</w:t>
            </w:r>
            <w:r w:rsidR="009853E2" w:rsidRPr="00BE6306">
              <w:rPr>
                <w:bCs/>
                <w:iCs/>
              </w:rPr>
              <w:t xml:space="preserve"> </w:t>
            </w:r>
            <w:r w:rsidRPr="00BE6306">
              <w:rPr>
                <w:bCs/>
                <w:iCs/>
              </w:rPr>
              <w:t>the ‘do no significant harm’ principle as referred to in Article 33(2), point (d), of Regulation (EU, Euratom) 2024/2509,</w:t>
            </w:r>
            <w:r w:rsidR="009853E2" w:rsidRPr="00BE6306">
              <w:rPr>
                <w:bCs/>
                <w:iCs/>
              </w:rPr>
              <w:t xml:space="preserve"> </w:t>
            </w:r>
            <w:r w:rsidRPr="00BE6306">
              <w:rPr>
                <w:bCs/>
                <w:iCs/>
              </w:rPr>
              <w:t>shall be facilitated by a single</w:t>
            </w:r>
            <w:r w:rsidR="009853E2" w:rsidRPr="00BE6306">
              <w:rPr>
                <w:bCs/>
                <w:iCs/>
              </w:rPr>
              <w:t xml:space="preserve"> </w:t>
            </w:r>
            <w:r w:rsidRPr="00BE6306">
              <w:rPr>
                <w:bCs/>
                <w:iCs/>
              </w:rPr>
              <w:t>and simple</w:t>
            </w:r>
            <w:r w:rsidR="009853E2" w:rsidRPr="00BE6306">
              <w:rPr>
                <w:bCs/>
                <w:iCs/>
              </w:rPr>
              <w:t xml:space="preserve"> </w:t>
            </w:r>
            <w:r w:rsidRPr="00BE6306">
              <w:rPr>
                <w:bCs/>
                <w:iCs/>
              </w:rPr>
              <w:t>guidance (‘do no significant harm guidance’).</w:t>
            </w:r>
          </w:p>
          <w:p w14:paraId="7EC45131" w14:textId="77777777" w:rsidR="008C7833" w:rsidRPr="00BE6306" w:rsidRDefault="008C7833" w:rsidP="00391078">
            <w:pPr>
              <w:pStyle w:val="ListParagraph"/>
              <w:rPr>
                <w:bCs/>
                <w:iCs/>
              </w:rPr>
            </w:pPr>
          </w:p>
          <w:p w14:paraId="4C6BB45E" w14:textId="2C615D86" w:rsidR="008C7833" w:rsidRPr="00BE6306" w:rsidRDefault="008C7833" w:rsidP="00391078">
            <w:pPr>
              <w:rPr>
                <w:b/>
                <w:i/>
              </w:rPr>
            </w:pPr>
            <w:r w:rsidRPr="00BE6306">
              <w:rPr>
                <w:bCs/>
                <w:iCs/>
              </w:rPr>
              <w:t>2.</w:t>
            </w:r>
            <w:r w:rsidR="00CE473D" w:rsidRPr="00BE6306">
              <w:rPr>
                <w:bCs/>
                <w:iCs/>
              </w:rPr>
              <w:tab/>
            </w:r>
            <w:r w:rsidRPr="00BE6306">
              <w:rPr>
                <w:bCs/>
                <w:iCs/>
              </w:rPr>
              <w:t>The</w:t>
            </w:r>
            <w:r w:rsidR="009853E2" w:rsidRPr="00BE6306">
              <w:rPr>
                <w:bCs/>
                <w:iCs/>
              </w:rPr>
              <w:t xml:space="preserve"> </w:t>
            </w:r>
            <w:r w:rsidRPr="00BE6306">
              <w:rPr>
                <w:bCs/>
                <w:iCs/>
              </w:rPr>
              <w:t>guidance referred to in paragraph 1 shall set out general principles and</w:t>
            </w:r>
            <w:r w:rsidR="009853E2" w:rsidRPr="00BE6306">
              <w:rPr>
                <w:bCs/>
                <w:iCs/>
              </w:rPr>
              <w:t xml:space="preserve"> </w:t>
            </w:r>
            <w:r w:rsidRPr="00BE6306">
              <w:rPr>
                <w:bCs/>
                <w:iCs/>
              </w:rPr>
              <w:t>criteria and,</w:t>
            </w:r>
            <w:r w:rsidR="009853E2" w:rsidRPr="00BE6306">
              <w:rPr>
                <w:bCs/>
                <w:iCs/>
              </w:rPr>
              <w:t xml:space="preserve"> </w:t>
            </w:r>
            <w:r w:rsidRPr="00BE6306">
              <w:rPr>
                <w:bCs/>
                <w:iCs/>
              </w:rPr>
              <w:t>where necessary,</w:t>
            </w:r>
            <w:r w:rsidR="009853E2" w:rsidRPr="00BE6306">
              <w:rPr>
                <w:bCs/>
                <w:iCs/>
              </w:rPr>
              <w:t xml:space="preserve"> </w:t>
            </w:r>
            <w:r w:rsidRPr="00BE6306">
              <w:rPr>
                <w:bCs/>
                <w:iCs/>
              </w:rPr>
              <w:t>specific</w:t>
            </w:r>
            <w:r w:rsidR="009853E2" w:rsidRPr="00BE6306">
              <w:rPr>
                <w:bCs/>
                <w:iCs/>
              </w:rPr>
              <w:t xml:space="preserve"> </w:t>
            </w:r>
            <w:r w:rsidRPr="00BE6306">
              <w:rPr>
                <w:bCs/>
                <w:iCs/>
              </w:rPr>
              <w:t>criteria</w:t>
            </w:r>
            <w:r w:rsidR="009853E2" w:rsidRPr="00BE6306">
              <w:rPr>
                <w:bCs/>
                <w:iCs/>
              </w:rPr>
              <w:t xml:space="preserve"> </w:t>
            </w:r>
            <w:r w:rsidRPr="00BE6306">
              <w:rPr>
                <w:bCs/>
                <w:iCs/>
              </w:rPr>
              <w:t>at the level of</w:t>
            </w:r>
            <w:r w:rsidR="009853E2" w:rsidRPr="00BE6306">
              <w:rPr>
                <w:bCs/>
                <w:iCs/>
              </w:rPr>
              <w:t xml:space="preserve">  </w:t>
            </w:r>
            <w:r w:rsidRPr="00BE6306">
              <w:rPr>
                <w:bCs/>
                <w:iCs/>
              </w:rPr>
              <w:t xml:space="preserve">relevant policy areas. </w:t>
            </w:r>
          </w:p>
          <w:p w14:paraId="5AF365D2" w14:textId="77777777" w:rsidR="008C7833" w:rsidRPr="00BE6306" w:rsidRDefault="008C7833" w:rsidP="00391078">
            <w:pPr>
              <w:rPr>
                <w:bCs/>
                <w:iCs/>
              </w:rPr>
            </w:pPr>
          </w:p>
          <w:p w14:paraId="469603CD" w14:textId="1A2E05FF" w:rsidR="008C7833" w:rsidRPr="00BE6306" w:rsidRDefault="008C7833" w:rsidP="00391078">
            <w:pPr>
              <w:rPr>
                <w:bCs/>
                <w:iCs/>
              </w:rPr>
            </w:pPr>
            <w:r w:rsidRPr="00BE6306">
              <w:rPr>
                <w:bCs/>
                <w:iCs/>
              </w:rPr>
              <w:t xml:space="preserve">It shall distinguish, in particular, between policy areas or activities that are always deemed to be in line with the do no significant harm principle, and </w:t>
            </w:r>
            <w:r w:rsidRPr="00BE6306">
              <w:rPr>
                <w:bCs/>
                <w:iCs/>
              </w:rPr>
              <w:lastRenderedPageBreak/>
              <w:t>policy areas or activities that are considered to do significant harm to one or several environmental objectives and can therefore not be financed from the EU budget.</w:t>
            </w:r>
          </w:p>
          <w:p w14:paraId="7B7914E4" w14:textId="77777777" w:rsidR="009F7368" w:rsidRPr="00BE6306" w:rsidRDefault="009F7368" w:rsidP="009F7368">
            <w:r w:rsidRPr="00BE6306">
              <w:t xml:space="preserve">The guidance by the Commission shall take into account the need to achieve the set objectives of the relevant programmes or instruments in line with the Union’s policy priorities, the need to avoid duplication with requirements under existing EU legislation, the high levels of protection to human health </w:t>
            </w:r>
            <w:r w:rsidRPr="002A298F">
              <w:rPr>
                <w:b/>
                <w:bCs/>
                <w:i/>
                <w:iCs/>
              </w:rPr>
              <w:t>and</w:t>
            </w:r>
            <w:r w:rsidRPr="00BE6306">
              <w:t xml:space="preserve"> the environment provided by existing EU legislation, the administrative and reporting burden on authorities and beneficiaries, and the principle of proportionality.</w:t>
            </w:r>
          </w:p>
          <w:p w14:paraId="6F2364FD" w14:textId="77777777" w:rsidR="009F7368" w:rsidRPr="00BE6306" w:rsidRDefault="009F7368" w:rsidP="009F7368">
            <w:r w:rsidRPr="005213CD">
              <w:t>Proportionality shall be ensured notably by taking into account the size of an activity, its climate and environmental impacts, and the territorial characteristics of the regions where the activities take place or the fact that they may take place in third countries.</w:t>
            </w:r>
          </w:p>
          <w:p w14:paraId="3BE628FC" w14:textId="77777777" w:rsidR="009F7368" w:rsidRPr="00BE6306" w:rsidRDefault="009F7368" w:rsidP="009F7368">
            <w:r w:rsidRPr="00BE6306">
              <w:t xml:space="preserve">3. The guidance referred to in paragraph 1 shall also </w:t>
            </w:r>
            <w:r w:rsidRPr="002A298F">
              <w:rPr>
                <w:b/>
                <w:bCs/>
                <w:i/>
                <w:iCs/>
              </w:rPr>
              <w:t>identify</w:t>
            </w:r>
            <w:r w:rsidRPr="00BE6306">
              <w:t xml:space="preserve"> cases where the application of the do no significant harm principle may not be feasible or </w:t>
            </w:r>
            <w:r w:rsidRPr="002A298F">
              <w:rPr>
                <w:b/>
                <w:bCs/>
                <w:i/>
                <w:iCs/>
              </w:rPr>
              <w:t>appropriate</w:t>
            </w:r>
            <w:r w:rsidRPr="00BE6306">
              <w:t xml:space="preserve">, such as crisis situations, including emergencies </w:t>
            </w:r>
            <w:r w:rsidRPr="002A298F">
              <w:rPr>
                <w:b/>
                <w:bCs/>
                <w:i/>
                <w:iCs/>
              </w:rPr>
              <w:t>arising from natural catastrophes</w:t>
            </w:r>
            <w:r w:rsidRPr="00BE6306">
              <w:t>, or other reasons of overriding public interest.</w:t>
            </w:r>
          </w:p>
          <w:p w14:paraId="041CB980" w14:textId="07BF14C1" w:rsidR="008C7833" w:rsidRPr="00BE6306" w:rsidRDefault="009F7368" w:rsidP="009F7368">
            <w:r w:rsidRPr="002A298F">
              <w:rPr>
                <w:b/>
                <w:bCs/>
                <w:i/>
                <w:iCs/>
              </w:rPr>
              <w:t>In this respect, it shall notably be considered that it is not feasible or appropriate</w:t>
            </w:r>
            <w:r w:rsidRPr="00BE6306">
              <w:t xml:space="preserve"> to </w:t>
            </w:r>
            <w:r w:rsidRPr="002A298F">
              <w:rPr>
                <w:b/>
                <w:bCs/>
                <w:i/>
                <w:iCs/>
              </w:rPr>
              <w:t>apply</w:t>
            </w:r>
            <w:r w:rsidRPr="00BE6306">
              <w:t xml:space="preserve"> the do no significant harm principle in </w:t>
            </w:r>
            <w:r w:rsidRPr="002A298F">
              <w:rPr>
                <w:b/>
                <w:bCs/>
                <w:i/>
                <w:iCs/>
              </w:rPr>
              <w:t>relation to defence</w:t>
            </w:r>
            <w:r w:rsidRPr="00BE6306">
              <w:t xml:space="preserve"> and </w:t>
            </w:r>
            <w:r w:rsidRPr="002A298F">
              <w:rPr>
                <w:b/>
                <w:bCs/>
                <w:i/>
                <w:iCs/>
              </w:rPr>
              <w:t>security activities</w:t>
            </w:r>
            <w:r w:rsidRPr="00BE6306">
              <w:t>.</w:t>
            </w:r>
          </w:p>
        </w:tc>
        <w:tc>
          <w:tcPr>
            <w:tcW w:w="4646" w:type="dxa"/>
          </w:tcPr>
          <w:p w14:paraId="5D0517CC" w14:textId="12BCD39D" w:rsidR="008C7833" w:rsidRPr="00BE6306" w:rsidRDefault="008C7833" w:rsidP="00391078">
            <w:pPr>
              <w:rPr>
                <w:bCs/>
                <w:iCs/>
              </w:rPr>
            </w:pPr>
            <w:r w:rsidRPr="005213CD">
              <w:rPr>
                <w:bCs/>
                <w:iCs/>
              </w:rPr>
              <w:lastRenderedPageBreak/>
              <w:t>1.</w:t>
            </w:r>
            <w:r w:rsidR="00CE473D" w:rsidRPr="00BE6306">
              <w:rPr>
                <w:bCs/>
                <w:iCs/>
              </w:rPr>
              <w:tab/>
            </w:r>
            <w:r w:rsidRPr="00BE6306">
              <w:rPr>
                <w:bCs/>
                <w:iCs/>
              </w:rPr>
              <w:t>A streamlined application of</w:t>
            </w:r>
            <w:r w:rsidR="009853E2" w:rsidRPr="00BE6306">
              <w:rPr>
                <w:bCs/>
                <w:iCs/>
              </w:rPr>
              <w:t xml:space="preserve"> </w:t>
            </w:r>
            <w:r w:rsidRPr="00BE6306">
              <w:rPr>
                <w:bCs/>
                <w:iCs/>
              </w:rPr>
              <w:t>the ‘do no significant harm’ principle as referred to in Article 33(2), point (d), of Regulation (EU, Euratom) 2024/2509,</w:t>
            </w:r>
            <w:r w:rsidR="009853E2" w:rsidRPr="00BE6306">
              <w:rPr>
                <w:bCs/>
                <w:iCs/>
              </w:rPr>
              <w:t xml:space="preserve"> </w:t>
            </w:r>
            <w:r w:rsidRPr="00BE6306">
              <w:rPr>
                <w:bCs/>
                <w:iCs/>
              </w:rPr>
              <w:t>shall be facilitated by a single</w:t>
            </w:r>
            <w:r w:rsidR="009853E2" w:rsidRPr="00BE6306">
              <w:rPr>
                <w:bCs/>
                <w:iCs/>
              </w:rPr>
              <w:t xml:space="preserve"> </w:t>
            </w:r>
            <w:r w:rsidRPr="00BE6306">
              <w:rPr>
                <w:bCs/>
                <w:iCs/>
              </w:rPr>
              <w:t>and simple</w:t>
            </w:r>
            <w:r w:rsidR="009853E2" w:rsidRPr="00BE6306">
              <w:rPr>
                <w:bCs/>
                <w:iCs/>
              </w:rPr>
              <w:t xml:space="preserve"> </w:t>
            </w:r>
            <w:r w:rsidRPr="00BE6306">
              <w:rPr>
                <w:bCs/>
                <w:iCs/>
              </w:rPr>
              <w:t>guidance (‘do no significant harm guidance’).</w:t>
            </w:r>
          </w:p>
          <w:p w14:paraId="276EE512" w14:textId="77777777" w:rsidR="008C7833" w:rsidRPr="00BE6306" w:rsidRDefault="008C7833" w:rsidP="00391078">
            <w:pPr>
              <w:pStyle w:val="ListParagraph"/>
              <w:rPr>
                <w:bCs/>
                <w:iCs/>
              </w:rPr>
            </w:pPr>
          </w:p>
          <w:p w14:paraId="6456B5F5" w14:textId="710EDE36" w:rsidR="008C7833" w:rsidRPr="00BE6306" w:rsidRDefault="008C7833" w:rsidP="00391078">
            <w:pPr>
              <w:rPr>
                <w:bCs/>
                <w:iCs/>
                <w:color w:val="EE0000"/>
              </w:rPr>
            </w:pPr>
            <w:r w:rsidRPr="00BE6306">
              <w:rPr>
                <w:bCs/>
                <w:iCs/>
              </w:rPr>
              <w:t>2.</w:t>
            </w:r>
            <w:r w:rsidR="00CE473D" w:rsidRPr="00BE6306">
              <w:rPr>
                <w:bCs/>
                <w:iCs/>
              </w:rPr>
              <w:tab/>
            </w:r>
            <w:r w:rsidRPr="00BE6306">
              <w:rPr>
                <w:bCs/>
                <w:iCs/>
              </w:rPr>
              <w:t>The</w:t>
            </w:r>
            <w:r w:rsidR="009853E2" w:rsidRPr="00BE6306">
              <w:rPr>
                <w:bCs/>
                <w:iCs/>
              </w:rPr>
              <w:t xml:space="preserve"> </w:t>
            </w:r>
            <w:r w:rsidRPr="00BE6306">
              <w:rPr>
                <w:bCs/>
                <w:iCs/>
              </w:rPr>
              <w:t>guidance referred to in paragraph 1 shall set out general principles and</w:t>
            </w:r>
            <w:r w:rsidR="009853E2" w:rsidRPr="00BE6306">
              <w:rPr>
                <w:bCs/>
                <w:iCs/>
              </w:rPr>
              <w:t xml:space="preserve"> </w:t>
            </w:r>
            <w:r w:rsidRPr="00BE6306">
              <w:rPr>
                <w:bCs/>
                <w:iCs/>
              </w:rPr>
              <w:t>criteria and,</w:t>
            </w:r>
            <w:r w:rsidR="009853E2" w:rsidRPr="00BE6306">
              <w:rPr>
                <w:bCs/>
                <w:iCs/>
              </w:rPr>
              <w:t xml:space="preserve"> </w:t>
            </w:r>
            <w:r w:rsidRPr="00BE6306">
              <w:rPr>
                <w:bCs/>
                <w:iCs/>
              </w:rPr>
              <w:t>where necessary,</w:t>
            </w:r>
            <w:r w:rsidR="009853E2" w:rsidRPr="00BE6306">
              <w:rPr>
                <w:bCs/>
                <w:iCs/>
              </w:rPr>
              <w:t xml:space="preserve"> </w:t>
            </w:r>
            <w:r w:rsidRPr="00BE6306">
              <w:rPr>
                <w:bCs/>
                <w:iCs/>
              </w:rPr>
              <w:t>specific</w:t>
            </w:r>
            <w:r w:rsidR="009853E2" w:rsidRPr="00BE6306">
              <w:rPr>
                <w:bCs/>
                <w:iCs/>
              </w:rPr>
              <w:t xml:space="preserve"> </w:t>
            </w:r>
            <w:r w:rsidRPr="00BE6306">
              <w:rPr>
                <w:bCs/>
                <w:iCs/>
              </w:rPr>
              <w:t>criteria</w:t>
            </w:r>
            <w:r w:rsidR="009853E2" w:rsidRPr="00BE6306">
              <w:rPr>
                <w:bCs/>
                <w:iCs/>
              </w:rPr>
              <w:t xml:space="preserve"> </w:t>
            </w:r>
            <w:r w:rsidRPr="00BE6306">
              <w:rPr>
                <w:bCs/>
                <w:iCs/>
              </w:rPr>
              <w:t>at the level of</w:t>
            </w:r>
            <w:r w:rsidR="009853E2" w:rsidRPr="00BE6306">
              <w:rPr>
                <w:bCs/>
                <w:iCs/>
              </w:rPr>
              <w:t xml:space="preserve"> </w:t>
            </w:r>
            <w:r w:rsidRPr="00BE6306">
              <w:rPr>
                <w:bCs/>
                <w:iCs/>
              </w:rPr>
              <w:t xml:space="preserve">relevant policy areas. </w:t>
            </w:r>
            <w:r w:rsidR="005E5317" w:rsidRPr="00BE6306">
              <w:rPr>
                <w:b/>
                <w:i/>
              </w:rPr>
              <w:t>It</w:t>
            </w:r>
            <w:r w:rsidR="00705CC3" w:rsidRPr="00BE6306">
              <w:rPr>
                <w:b/>
                <w:i/>
              </w:rPr>
              <w:t xml:space="preserve"> </w:t>
            </w:r>
            <w:r w:rsidRPr="00BE6306">
              <w:rPr>
                <w:b/>
                <w:i/>
              </w:rPr>
              <w:t xml:space="preserve">shall be issued by the Commission </w:t>
            </w:r>
            <w:r w:rsidR="008621F6" w:rsidRPr="00BE6306">
              <w:rPr>
                <w:b/>
                <w:i/>
              </w:rPr>
              <w:t>at least six months prior to the entry into force of this regulation</w:t>
            </w:r>
            <w:r w:rsidR="008621F6" w:rsidRPr="00BE6306" w:rsidDel="008621F6">
              <w:rPr>
                <w:b/>
                <w:i/>
              </w:rPr>
              <w:t xml:space="preserve"> </w:t>
            </w:r>
            <w:r w:rsidRPr="00BE6306">
              <w:rPr>
                <w:b/>
                <w:i/>
              </w:rPr>
              <w:t>to ensure its smooth and timely interpretation and implementation</w:t>
            </w:r>
            <w:r w:rsidR="009853E2" w:rsidRPr="00BE6306">
              <w:rPr>
                <w:b/>
                <w:i/>
              </w:rPr>
              <w:t>.</w:t>
            </w:r>
          </w:p>
          <w:p w14:paraId="6D8F70B6" w14:textId="77777777" w:rsidR="008C7833" w:rsidRPr="00BE6306" w:rsidRDefault="008C7833" w:rsidP="00391078">
            <w:pPr>
              <w:rPr>
                <w:bCs/>
                <w:iCs/>
              </w:rPr>
            </w:pPr>
          </w:p>
          <w:p w14:paraId="3EE0305E" w14:textId="72A420B0" w:rsidR="008C7833" w:rsidRPr="00BE6306" w:rsidRDefault="008C7833" w:rsidP="008F1771">
            <w:pPr>
              <w:rPr>
                <w:bCs/>
                <w:iCs/>
              </w:rPr>
            </w:pPr>
            <w:r w:rsidRPr="00BE6306">
              <w:rPr>
                <w:bCs/>
                <w:iCs/>
              </w:rPr>
              <w:lastRenderedPageBreak/>
              <w:t>It shall distinguish, in particular, between policy areas or activities that are always deemed to be in line with the do no significant harm principle, and policy areas or activities that are considered to do significant harm to one or several environmental</w:t>
            </w:r>
            <w:r w:rsidR="003C44A6" w:rsidRPr="00BE6306">
              <w:t xml:space="preserve"> </w:t>
            </w:r>
            <w:r w:rsidR="003C44A6" w:rsidRPr="002A298F">
              <w:rPr>
                <w:b/>
                <w:i/>
              </w:rPr>
              <w:t>or climate</w:t>
            </w:r>
            <w:r w:rsidRPr="00BE6306">
              <w:rPr>
                <w:bCs/>
                <w:iCs/>
              </w:rPr>
              <w:t xml:space="preserve"> objectives and can therefore not be financed from the EU budget.</w:t>
            </w:r>
          </w:p>
          <w:p w14:paraId="570C61DB" w14:textId="77777777" w:rsidR="009F7368" w:rsidRPr="00BE6306" w:rsidRDefault="009F7368" w:rsidP="009F7368">
            <w:pPr>
              <w:rPr>
                <w:bCs/>
                <w:iCs/>
              </w:rPr>
            </w:pPr>
            <w:r w:rsidRPr="005213CD">
              <w:rPr>
                <w:bCs/>
                <w:iCs/>
              </w:rPr>
              <w:t>The guidance by the Commission shall take into account the need to achieve the set objectives of the relevant programmes or instruments in line with the Union’s policy priorities, the need to avoid duplication with requirements under existing EU legislation, the high levels of protection to human health</w:t>
            </w:r>
            <w:r w:rsidRPr="002A298F">
              <w:rPr>
                <w:b/>
                <w:i/>
              </w:rPr>
              <w:t>,</w:t>
            </w:r>
            <w:r w:rsidRPr="00BE6306">
              <w:rPr>
                <w:bCs/>
                <w:iCs/>
              </w:rPr>
              <w:t xml:space="preserve"> the environment </w:t>
            </w:r>
            <w:r w:rsidRPr="002A298F">
              <w:rPr>
                <w:b/>
                <w:i/>
              </w:rPr>
              <w:t>and climate</w:t>
            </w:r>
            <w:r w:rsidRPr="00BE6306">
              <w:rPr>
                <w:bCs/>
                <w:iCs/>
              </w:rPr>
              <w:t xml:space="preserve"> provided by existing EU legislation, the administrative and reporting burden on authorities and beneficiaries, and the principle of proportionality.</w:t>
            </w:r>
          </w:p>
          <w:p w14:paraId="1112E6E7" w14:textId="77777777" w:rsidR="009F7368" w:rsidRPr="00BE6306" w:rsidRDefault="009F7368" w:rsidP="009F7368">
            <w:pPr>
              <w:rPr>
                <w:bCs/>
                <w:iCs/>
              </w:rPr>
            </w:pPr>
            <w:r w:rsidRPr="005213CD">
              <w:rPr>
                <w:bCs/>
                <w:iCs/>
              </w:rPr>
              <w:t>Proportionality shall be ensured notably by taking into account the size of an activity, its climate and environmental impacts, and the territorial characteristics of the regions where the activities take place or the fact that they may take place in third countries.</w:t>
            </w:r>
          </w:p>
          <w:p w14:paraId="1D30E551" w14:textId="5CFDEF57" w:rsidR="009F7368" w:rsidRPr="00BE6306" w:rsidRDefault="009F7368" w:rsidP="009F7368">
            <w:pPr>
              <w:rPr>
                <w:bCs/>
                <w:iCs/>
              </w:rPr>
            </w:pPr>
            <w:r w:rsidRPr="00BE6306">
              <w:rPr>
                <w:bCs/>
                <w:iCs/>
              </w:rPr>
              <w:t xml:space="preserve">3. The guidance referred to in paragraph 1 shall also </w:t>
            </w:r>
            <w:r w:rsidRPr="002A298F">
              <w:rPr>
                <w:b/>
                <w:bCs/>
                <w:i/>
                <w:iCs/>
              </w:rPr>
              <w:t>narrowly define</w:t>
            </w:r>
            <w:r w:rsidRPr="00BE6306">
              <w:rPr>
                <w:bCs/>
                <w:iCs/>
              </w:rPr>
              <w:t xml:space="preserve"> cases where the application of the do no significant harm principle may not be feasible </w:t>
            </w:r>
            <w:r w:rsidRPr="002A298F">
              <w:rPr>
                <w:b/>
                <w:bCs/>
                <w:i/>
                <w:iCs/>
              </w:rPr>
              <w:t>or</w:t>
            </w:r>
            <w:r w:rsidR="00332E9B" w:rsidRPr="00BE6306">
              <w:rPr>
                <w:b/>
                <w:bCs/>
                <w:i/>
                <w:iCs/>
              </w:rPr>
              <w:t xml:space="preserve"> may be</w:t>
            </w:r>
            <w:r w:rsidRPr="002A298F">
              <w:rPr>
                <w:b/>
                <w:bCs/>
                <w:i/>
                <w:iCs/>
              </w:rPr>
              <w:t xml:space="preserve"> temporarily</w:t>
            </w:r>
            <w:r w:rsidRPr="00BE6306">
              <w:rPr>
                <w:bCs/>
                <w:iCs/>
              </w:rPr>
              <w:t xml:space="preserve"> or </w:t>
            </w:r>
            <w:r w:rsidRPr="002A298F">
              <w:rPr>
                <w:b/>
                <w:bCs/>
                <w:i/>
                <w:iCs/>
              </w:rPr>
              <w:t>permanently</w:t>
            </w:r>
            <w:r w:rsidRPr="00BE6306">
              <w:rPr>
                <w:bCs/>
                <w:iCs/>
              </w:rPr>
              <w:t xml:space="preserve"> </w:t>
            </w:r>
            <w:r w:rsidR="00332E9B" w:rsidRPr="002A298F">
              <w:rPr>
                <w:b/>
                <w:i/>
              </w:rPr>
              <w:t>in</w:t>
            </w:r>
            <w:r w:rsidRPr="002A298F">
              <w:rPr>
                <w:b/>
                <w:i/>
              </w:rPr>
              <w:t>appropriate</w:t>
            </w:r>
            <w:r w:rsidRPr="00BE6306">
              <w:rPr>
                <w:bCs/>
                <w:iCs/>
              </w:rPr>
              <w:t>, such as crisis situations, including emergencies, or other reasons of overriding public interest</w:t>
            </w:r>
            <w:r w:rsidR="00332E9B" w:rsidRPr="002A298F">
              <w:rPr>
                <w:b/>
                <w:i/>
              </w:rPr>
              <w:t>,</w:t>
            </w:r>
            <w:r w:rsidRPr="00BE6306">
              <w:rPr>
                <w:bCs/>
                <w:iCs/>
              </w:rPr>
              <w:t xml:space="preserve"> </w:t>
            </w:r>
            <w:r w:rsidRPr="002A298F">
              <w:rPr>
                <w:b/>
                <w:bCs/>
                <w:i/>
                <w:iCs/>
              </w:rPr>
              <w:t>such as defence or security considerations</w:t>
            </w:r>
            <w:r w:rsidRPr="00BE6306">
              <w:rPr>
                <w:bCs/>
                <w:iCs/>
              </w:rPr>
              <w:t>.</w:t>
            </w:r>
          </w:p>
          <w:p w14:paraId="6C42B291" w14:textId="14D3CF8C" w:rsidR="009F7368" w:rsidRPr="00BE6306" w:rsidRDefault="009F7368" w:rsidP="009F7368">
            <w:pPr>
              <w:rPr>
                <w:bCs/>
                <w:iCs/>
              </w:rPr>
            </w:pPr>
            <w:r w:rsidRPr="002A298F">
              <w:rPr>
                <w:b/>
                <w:i/>
              </w:rPr>
              <w:t>4.</w:t>
            </w:r>
            <w:r w:rsidRPr="00BE6306">
              <w:rPr>
                <w:bCs/>
                <w:iCs/>
              </w:rPr>
              <w:t xml:space="preserve"> </w:t>
            </w:r>
            <w:r w:rsidRPr="002A298F">
              <w:rPr>
                <w:b/>
                <w:i/>
              </w:rPr>
              <w:t>The guidance referred</w:t>
            </w:r>
            <w:r w:rsidRPr="00BE6306">
              <w:rPr>
                <w:bCs/>
                <w:iCs/>
              </w:rPr>
              <w:t xml:space="preserve"> to </w:t>
            </w:r>
            <w:r w:rsidRPr="002A298F">
              <w:rPr>
                <w:b/>
                <w:i/>
              </w:rPr>
              <w:t xml:space="preserve">in paragraph 1 should also set out the meaning of the ‘resilience by design’ and the ‘build-back-better’ principles in relation to </w:t>
            </w:r>
            <w:r w:rsidRPr="00BE6306">
              <w:rPr>
                <w:bCs/>
                <w:iCs/>
              </w:rPr>
              <w:t xml:space="preserve">the </w:t>
            </w:r>
            <w:r w:rsidRPr="002A298F">
              <w:rPr>
                <w:b/>
                <w:i/>
              </w:rPr>
              <w:t>‘</w:t>
            </w:r>
            <w:r w:rsidRPr="00BE6306">
              <w:rPr>
                <w:bCs/>
                <w:iCs/>
              </w:rPr>
              <w:t>do no significant harm</w:t>
            </w:r>
            <w:r w:rsidRPr="002A298F">
              <w:rPr>
                <w:b/>
                <w:i/>
              </w:rPr>
              <w:t>’</w:t>
            </w:r>
            <w:r w:rsidRPr="00BE6306">
              <w:rPr>
                <w:bCs/>
                <w:iCs/>
              </w:rPr>
              <w:t xml:space="preserve"> principle in </w:t>
            </w:r>
            <w:r w:rsidRPr="002A298F">
              <w:rPr>
                <w:b/>
                <w:i/>
              </w:rPr>
              <w:t>support of environmental</w:t>
            </w:r>
            <w:r w:rsidRPr="00BE6306">
              <w:rPr>
                <w:bCs/>
                <w:iCs/>
              </w:rPr>
              <w:t xml:space="preserve"> and </w:t>
            </w:r>
            <w:r w:rsidRPr="002A298F">
              <w:rPr>
                <w:b/>
                <w:i/>
              </w:rPr>
              <w:t>climate objectives</w:t>
            </w:r>
            <w:r w:rsidRPr="00BE6306">
              <w:rPr>
                <w:bCs/>
                <w:iCs/>
              </w:rPr>
              <w:t>.</w:t>
            </w:r>
          </w:p>
        </w:tc>
      </w:tr>
    </w:tbl>
    <w:p w14:paraId="2AAB7800" w14:textId="77777777" w:rsidR="008C7833" w:rsidRPr="00BE6306" w:rsidRDefault="008C7833" w:rsidP="008C783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8C7833" w:rsidRPr="00BE6306" w14:paraId="75BD487E" w14:textId="77777777" w:rsidTr="00391078">
        <w:tc>
          <w:tcPr>
            <w:tcW w:w="9289" w:type="dxa"/>
          </w:tcPr>
          <w:p w14:paraId="0F276794" w14:textId="77777777" w:rsidR="008C7833" w:rsidRPr="00BE6306" w:rsidRDefault="008C7833" w:rsidP="00391078">
            <w:pPr>
              <w:keepNext/>
              <w:jc w:val="center"/>
              <w:rPr>
                <w:b/>
                <w:bCs/>
                <w:i/>
              </w:rPr>
            </w:pPr>
            <w:r w:rsidRPr="00BE6306">
              <w:rPr>
                <w:b/>
                <w:i/>
              </w:rPr>
              <w:t>Reason</w:t>
            </w:r>
          </w:p>
        </w:tc>
      </w:tr>
      <w:tr w:rsidR="008C7833" w:rsidRPr="00BE6306" w14:paraId="17408106" w14:textId="77777777" w:rsidTr="00391078">
        <w:tc>
          <w:tcPr>
            <w:tcW w:w="9289" w:type="dxa"/>
          </w:tcPr>
          <w:p w14:paraId="7992FEA9" w14:textId="24F387C1" w:rsidR="008C7833" w:rsidRPr="00BE6306" w:rsidRDefault="00050D76" w:rsidP="00391078">
            <w:pPr>
              <w:keepNext/>
            </w:pPr>
            <w:r w:rsidRPr="00BE6306">
              <w:t>The ‘guidance’ on the application of the ‘do-no-significant-harm’ principle is of key importance to local and regional authorities. It needs to ensure that key environmental and climate objectives are promoted, that exceptions are clearly defined to avoid a general weakening of the principle and that related principles such as ‘resilience by design’ and ‘build back better’ are integrated into the EU framework.</w:t>
            </w:r>
          </w:p>
        </w:tc>
      </w:tr>
    </w:tbl>
    <w:p w14:paraId="70F70182" w14:textId="77777777" w:rsidR="00CA70DD" w:rsidRPr="00BE6306" w:rsidRDefault="00CA70DD" w:rsidP="007E628F"/>
    <w:p w14:paraId="2C7AC07C" w14:textId="77777777" w:rsidR="002D42A7" w:rsidRPr="00BE6306" w:rsidRDefault="002D42A7" w:rsidP="005F2D14">
      <w:pPr>
        <w:jc w:val="center"/>
        <w:rPr>
          <w:b/>
        </w:rPr>
      </w:pPr>
    </w:p>
    <w:p w14:paraId="5613B89A" w14:textId="2DABCFC1" w:rsidR="005F2D14" w:rsidRPr="00BE6306" w:rsidRDefault="005F2D14" w:rsidP="005F2D14">
      <w:pPr>
        <w:jc w:val="center"/>
        <w:rPr>
          <w:b/>
          <w:bCs/>
        </w:rPr>
      </w:pPr>
      <w:r w:rsidRPr="00BE6306">
        <w:rPr>
          <w:b/>
        </w:rPr>
        <w:lastRenderedPageBreak/>
        <w:t xml:space="preserve">Amendment </w:t>
      </w:r>
      <w:r w:rsidR="002B199C" w:rsidRPr="00BE6306">
        <w:rPr>
          <w:b/>
        </w:rPr>
        <w:t>6</w:t>
      </w:r>
    </w:p>
    <w:p w14:paraId="39C554DD" w14:textId="5FA330A8" w:rsidR="0091460A" w:rsidRPr="00BE6306" w:rsidRDefault="0091460A" w:rsidP="005F2D14">
      <w:pPr>
        <w:keepNext/>
        <w:jc w:val="center"/>
      </w:pPr>
      <w:r w:rsidRPr="00BE6306">
        <w:t>Proposal for a Regulation of the European Parliament and of the Council establishing a budget expenditure tracking and performance framework and other horizontal rules for the Union programmes and activities (COM(2025) 545</w:t>
      </w:r>
      <w:r w:rsidR="00CE473D" w:rsidRPr="00BE6306">
        <w:t xml:space="preserve"> final</w:t>
      </w:r>
      <w:r w:rsidRPr="00BE6306">
        <w:t>)</w:t>
      </w:r>
    </w:p>
    <w:p w14:paraId="4D9DD059" w14:textId="1FFB63F8" w:rsidR="005F2D14" w:rsidRPr="00BE6306" w:rsidRDefault="005F2D14" w:rsidP="005F2D14">
      <w:pPr>
        <w:keepNext/>
        <w:jc w:val="center"/>
      </w:pPr>
      <w:r w:rsidRPr="00BE6306">
        <w:t xml:space="preserve">New </w:t>
      </w:r>
      <w:r w:rsidR="0091460A" w:rsidRPr="00BE6306">
        <w:t>A</w:t>
      </w:r>
      <w:r w:rsidRPr="00BE6306">
        <w:t>rticle 7a</w:t>
      </w:r>
    </w:p>
    <w:p w14:paraId="3A4ECF75" w14:textId="77777777" w:rsidR="005F2D14" w:rsidRPr="00BE6306" w:rsidRDefault="005F2D14" w:rsidP="005F2D14"/>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F2D14" w:rsidRPr="00BE6306" w14:paraId="14ED45E7" w14:textId="77777777" w:rsidTr="001304BC">
        <w:tc>
          <w:tcPr>
            <w:tcW w:w="4643" w:type="dxa"/>
          </w:tcPr>
          <w:p w14:paraId="7C798F45" w14:textId="77777777" w:rsidR="005F2D14" w:rsidRPr="00BE6306" w:rsidRDefault="005F2D14" w:rsidP="001304BC">
            <w:pPr>
              <w:jc w:val="center"/>
              <w:rPr>
                <w:b/>
                <w:i/>
              </w:rPr>
            </w:pPr>
            <w:r w:rsidRPr="00BE6306">
              <w:rPr>
                <w:b/>
                <w:i/>
              </w:rPr>
              <w:t>Text proposed by the European Commission</w:t>
            </w:r>
          </w:p>
        </w:tc>
        <w:tc>
          <w:tcPr>
            <w:tcW w:w="4646" w:type="dxa"/>
          </w:tcPr>
          <w:p w14:paraId="5E7A4D1D" w14:textId="77777777" w:rsidR="005F2D14" w:rsidRPr="00BE6306" w:rsidRDefault="005F2D14" w:rsidP="001304BC">
            <w:pPr>
              <w:jc w:val="center"/>
              <w:rPr>
                <w:b/>
                <w:i/>
              </w:rPr>
            </w:pPr>
            <w:r w:rsidRPr="00BE6306">
              <w:rPr>
                <w:b/>
                <w:i/>
              </w:rPr>
              <w:t>CoR amendment</w:t>
            </w:r>
          </w:p>
        </w:tc>
      </w:tr>
      <w:tr w:rsidR="005F2D14" w:rsidRPr="00BE6306" w14:paraId="29184B81" w14:textId="77777777" w:rsidTr="001304BC">
        <w:tc>
          <w:tcPr>
            <w:tcW w:w="4643" w:type="dxa"/>
          </w:tcPr>
          <w:p w14:paraId="6D9F65C3" w14:textId="77777777" w:rsidR="005F2D14" w:rsidRPr="00BE6306" w:rsidRDefault="005F2D14" w:rsidP="001304BC"/>
        </w:tc>
        <w:tc>
          <w:tcPr>
            <w:tcW w:w="4646" w:type="dxa"/>
          </w:tcPr>
          <w:p w14:paraId="149BE651" w14:textId="697524E3" w:rsidR="00795A5D" w:rsidRPr="00BE6306" w:rsidRDefault="005F2D14" w:rsidP="00795A5D">
            <w:pPr>
              <w:rPr>
                <w:b/>
                <w:bCs/>
                <w:i/>
                <w:iCs/>
                <w:szCs w:val="22"/>
              </w:rPr>
            </w:pPr>
            <w:r w:rsidRPr="00BE6306">
              <w:rPr>
                <w:b/>
                <w:bCs/>
                <w:i/>
                <w:iCs/>
                <w:szCs w:val="22"/>
              </w:rPr>
              <w:t>All</w:t>
            </w:r>
            <w:r w:rsidR="003400A0" w:rsidRPr="00BE6306">
              <w:rPr>
                <w:b/>
                <w:bCs/>
                <w:i/>
                <w:iCs/>
                <w:szCs w:val="22"/>
              </w:rPr>
              <w:t xml:space="preserve"> </w:t>
            </w:r>
            <w:r w:rsidR="00795A5D" w:rsidRPr="00BE6306">
              <w:rPr>
                <w:b/>
                <w:bCs/>
                <w:i/>
                <w:iCs/>
                <w:szCs w:val="22"/>
              </w:rPr>
              <w:t xml:space="preserve">programmes </w:t>
            </w:r>
            <w:r w:rsidRPr="00BE6306">
              <w:rPr>
                <w:b/>
                <w:bCs/>
                <w:i/>
                <w:iCs/>
                <w:szCs w:val="22"/>
              </w:rPr>
              <w:t xml:space="preserve">shall, where appropriate, pay due attention to any adverse effects on territorial cohesion, pursuant to </w:t>
            </w:r>
            <w:r w:rsidR="009853E2" w:rsidRPr="00BE6306">
              <w:rPr>
                <w:b/>
                <w:bCs/>
                <w:i/>
                <w:iCs/>
                <w:szCs w:val="22"/>
              </w:rPr>
              <w:t>A</w:t>
            </w:r>
            <w:r w:rsidRPr="00BE6306">
              <w:rPr>
                <w:b/>
                <w:bCs/>
                <w:i/>
                <w:iCs/>
                <w:szCs w:val="22"/>
              </w:rPr>
              <w:t>rticle 174 TFEU</w:t>
            </w:r>
            <w:r w:rsidR="00864034" w:rsidRPr="00BE6306">
              <w:rPr>
                <w:b/>
                <w:bCs/>
                <w:i/>
                <w:iCs/>
                <w:szCs w:val="22"/>
              </w:rPr>
              <w:t>,</w:t>
            </w:r>
            <w:r w:rsidR="00795A5D" w:rsidRPr="00BE6306">
              <w:rPr>
                <w:b/>
                <w:bCs/>
                <w:i/>
                <w:iCs/>
                <w:szCs w:val="22"/>
              </w:rPr>
              <w:t xml:space="preserve"> and ensure that</w:t>
            </w:r>
            <w:r w:rsidR="003C483C" w:rsidRPr="00BE6306">
              <w:rPr>
                <w:b/>
                <w:bCs/>
                <w:i/>
                <w:iCs/>
                <w:szCs w:val="22"/>
              </w:rPr>
              <w:t xml:space="preserve"> </w:t>
            </w:r>
            <w:r w:rsidR="00795A5D" w:rsidRPr="00BE6306">
              <w:rPr>
                <w:b/>
                <w:bCs/>
                <w:i/>
                <w:iCs/>
                <w:szCs w:val="22"/>
              </w:rPr>
              <w:t xml:space="preserve">no action hamper the regional convergence process or contribute to regional disparities, within a country and the European Union, in accordance </w:t>
            </w:r>
            <w:r w:rsidR="00D65089" w:rsidRPr="00BE6306">
              <w:rPr>
                <w:b/>
                <w:bCs/>
                <w:i/>
                <w:iCs/>
                <w:szCs w:val="22"/>
              </w:rPr>
              <w:t>with</w:t>
            </w:r>
            <w:r w:rsidR="00795A5D" w:rsidRPr="00BE6306">
              <w:rPr>
                <w:b/>
                <w:bCs/>
                <w:i/>
                <w:iCs/>
                <w:szCs w:val="22"/>
              </w:rPr>
              <w:t xml:space="preserve"> the do no harm to cohesion principle.</w:t>
            </w:r>
          </w:p>
          <w:p w14:paraId="5858FC54" w14:textId="77777777" w:rsidR="005F2D14" w:rsidRPr="00BE6306" w:rsidRDefault="005F2D14" w:rsidP="001304BC">
            <w:pPr>
              <w:rPr>
                <w:b/>
                <w:bCs/>
                <w:i/>
                <w:iCs/>
                <w:szCs w:val="22"/>
              </w:rPr>
            </w:pPr>
          </w:p>
          <w:p w14:paraId="68D50891" w14:textId="700F4D38" w:rsidR="005F2D14" w:rsidRPr="00BE6306" w:rsidRDefault="005F2D14" w:rsidP="001304BC">
            <w:pPr>
              <w:rPr>
                <w:b/>
                <w:bCs/>
                <w:i/>
                <w:iCs/>
                <w:color w:val="000000" w:themeColor="text1"/>
                <w:szCs w:val="22"/>
              </w:rPr>
            </w:pPr>
            <w:r w:rsidRPr="00BE6306">
              <w:rPr>
                <w:b/>
                <w:bCs/>
                <w:i/>
                <w:iCs/>
                <w:szCs w:val="22"/>
              </w:rPr>
              <w:t>For this purpose, each</w:t>
            </w:r>
            <w:r w:rsidR="00642C75" w:rsidRPr="00BE6306">
              <w:rPr>
                <w:b/>
                <w:bCs/>
                <w:i/>
                <w:iCs/>
                <w:szCs w:val="22"/>
              </w:rPr>
              <w:t xml:space="preserve"> direct/indirect management</w:t>
            </w:r>
            <w:r w:rsidRPr="00BE6306">
              <w:rPr>
                <w:b/>
                <w:bCs/>
                <w:i/>
                <w:iCs/>
                <w:szCs w:val="22"/>
              </w:rPr>
              <w:t xml:space="preserve"> programme </w:t>
            </w:r>
            <w:r w:rsidR="00744920" w:rsidRPr="00BE6306">
              <w:rPr>
                <w:b/>
                <w:bCs/>
                <w:i/>
                <w:iCs/>
                <w:szCs w:val="22"/>
              </w:rPr>
              <w:t xml:space="preserve">and each national and regional partnership </w:t>
            </w:r>
            <w:r w:rsidR="00642C75" w:rsidRPr="00BE6306">
              <w:rPr>
                <w:b/>
                <w:bCs/>
                <w:i/>
                <w:iCs/>
                <w:szCs w:val="22"/>
              </w:rPr>
              <w:t xml:space="preserve">plan </w:t>
            </w:r>
            <w:r w:rsidRPr="00BE6306">
              <w:rPr>
                <w:b/>
                <w:bCs/>
                <w:i/>
                <w:iCs/>
                <w:szCs w:val="22"/>
              </w:rPr>
              <w:t xml:space="preserve">shall </w:t>
            </w:r>
            <w:r w:rsidR="00864034" w:rsidRPr="00BE6306">
              <w:rPr>
                <w:b/>
                <w:bCs/>
                <w:i/>
                <w:iCs/>
                <w:szCs w:val="22"/>
              </w:rPr>
              <w:t>set out how it upholds</w:t>
            </w:r>
            <w:r w:rsidRPr="00BE6306">
              <w:rPr>
                <w:b/>
                <w:bCs/>
                <w:i/>
                <w:iCs/>
                <w:szCs w:val="22"/>
              </w:rPr>
              <w:t xml:space="preserve"> </w:t>
            </w:r>
            <w:r w:rsidR="00C5671C" w:rsidRPr="00BE6306">
              <w:rPr>
                <w:b/>
                <w:bCs/>
                <w:i/>
                <w:iCs/>
                <w:szCs w:val="22"/>
              </w:rPr>
              <w:t>the</w:t>
            </w:r>
            <w:r w:rsidRPr="00BE6306">
              <w:rPr>
                <w:b/>
                <w:bCs/>
                <w:i/>
                <w:iCs/>
                <w:szCs w:val="22"/>
              </w:rPr>
              <w:t xml:space="preserve"> do no harm to cohesion principle,</w:t>
            </w:r>
            <w:r w:rsidR="00A8052E" w:rsidRPr="00BE6306">
              <w:rPr>
                <w:b/>
                <w:bCs/>
                <w:i/>
                <w:iCs/>
                <w:szCs w:val="22"/>
              </w:rPr>
              <w:t xml:space="preserve"> or </w:t>
            </w:r>
            <w:r w:rsidR="00AE7A6B" w:rsidRPr="00BE6306">
              <w:rPr>
                <w:b/>
                <w:bCs/>
                <w:i/>
                <w:iCs/>
                <w:szCs w:val="22"/>
              </w:rPr>
              <w:t>provide a duly reasoned explanation where compliance is not possible</w:t>
            </w:r>
            <w:r w:rsidR="00A8052E" w:rsidRPr="00BE6306">
              <w:rPr>
                <w:b/>
                <w:bCs/>
                <w:i/>
                <w:iCs/>
                <w:szCs w:val="22"/>
              </w:rPr>
              <w:t>,</w:t>
            </w:r>
            <w:r w:rsidRPr="00BE6306">
              <w:rPr>
                <w:b/>
                <w:bCs/>
                <w:i/>
                <w:iCs/>
                <w:szCs w:val="22"/>
              </w:rPr>
              <w:t xml:space="preserve"> in accordance with a </w:t>
            </w:r>
            <w:r w:rsidRPr="00BE6306">
              <w:rPr>
                <w:b/>
                <w:bCs/>
                <w:i/>
                <w:iCs/>
                <w:color w:val="000000" w:themeColor="text1"/>
                <w:szCs w:val="22"/>
              </w:rPr>
              <w:t>‘comply or explain’ rule.</w:t>
            </w:r>
          </w:p>
          <w:p w14:paraId="6F3AC626" w14:textId="77777777" w:rsidR="003400A0" w:rsidRPr="00BE6306" w:rsidRDefault="003400A0" w:rsidP="001304BC">
            <w:pPr>
              <w:rPr>
                <w:b/>
                <w:bCs/>
                <w:i/>
                <w:iCs/>
                <w:color w:val="000000" w:themeColor="text1"/>
                <w:szCs w:val="22"/>
              </w:rPr>
            </w:pPr>
          </w:p>
          <w:p w14:paraId="2FD91C98" w14:textId="6738AA2B" w:rsidR="003D7C1C" w:rsidRPr="00BE6306" w:rsidRDefault="00A8052E" w:rsidP="001304BC">
            <w:pPr>
              <w:rPr>
                <w:b/>
                <w:bCs/>
                <w:i/>
                <w:iCs/>
                <w:color w:val="000000" w:themeColor="text1"/>
                <w:szCs w:val="22"/>
              </w:rPr>
            </w:pPr>
            <w:r w:rsidRPr="00BE6306">
              <w:rPr>
                <w:b/>
                <w:bCs/>
                <w:i/>
                <w:iCs/>
                <w:color w:val="000000" w:themeColor="text1"/>
                <w:szCs w:val="22"/>
              </w:rPr>
              <w:t>Compliance with the principle</w:t>
            </w:r>
            <w:r w:rsidR="00795A5D" w:rsidRPr="00BE6306">
              <w:rPr>
                <w:b/>
                <w:bCs/>
                <w:i/>
                <w:iCs/>
                <w:color w:val="000000" w:themeColor="text1"/>
                <w:szCs w:val="22"/>
              </w:rPr>
              <w:t xml:space="preserve"> sh</w:t>
            </w:r>
            <w:r w:rsidR="00C36C53" w:rsidRPr="00BE6306">
              <w:rPr>
                <w:b/>
                <w:bCs/>
                <w:i/>
                <w:iCs/>
                <w:color w:val="000000" w:themeColor="text1"/>
                <w:szCs w:val="22"/>
              </w:rPr>
              <w:t>all</w:t>
            </w:r>
            <w:r w:rsidR="00795A5D" w:rsidRPr="00BE6306">
              <w:rPr>
                <w:b/>
                <w:bCs/>
                <w:i/>
                <w:iCs/>
                <w:color w:val="000000" w:themeColor="text1"/>
                <w:szCs w:val="22"/>
              </w:rPr>
              <w:t xml:space="preserve"> </w:t>
            </w:r>
            <w:r w:rsidR="00D90D21" w:rsidRPr="00BE6306">
              <w:rPr>
                <w:b/>
                <w:bCs/>
                <w:i/>
                <w:iCs/>
                <w:color w:val="000000" w:themeColor="text1"/>
                <w:szCs w:val="22"/>
              </w:rPr>
              <w:t>at the very least</w:t>
            </w:r>
            <w:r w:rsidR="00470AE7" w:rsidRPr="00BE6306">
              <w:rPr>
                <w:b/>
                <w:bCs/>
                <w:i/>
                <w:iCs/>
                <w:color w:val="000000" w:themeColor="text1"/>
                <w:szCs w:val="22"/>
              </w:rPr>
              <w:t xml:space="preserve"> </w:t>
            </w:r>
            <w:r w:rsidR="00150DAF" w:rsidRPr="00BE6306">
              <w:rPr>
                <w:b/>
                <w:bCs/>
                <w:i/>
                <w:iCs/>
                <w:color w:val="000000" w:themeColor="text1"/>
                <w:szCs w:val="22"/>
              </w:rPr>
              <w:t>comprise the following elements</w:t>
            </w:r>
            <w:r w:rsidR="00E4164D" w:rsidRPr="00BE6306">
              <w:rPr>
                <w:b/>
                <w:bCs/>
                <w:i/>
                <w:iCs/>
                <w:color w:val="000000" w:themeColor="text1"/>
                <w:szCs w:val="22"/>
              </w:rPr>
              <w:t>:</w:t>
            </w:r>
            <w:r w:rsidR="00470AE7" w:rsidRPr="00BE6306">
              <w:rPr>
                <w:b/>
                <w:bCs/>
                <w:i/>
                <w:iCs/>
                <w:color w:val="000000" w:themeColor="text1"/>
                <w:szCs w:val="22"/>
              </w:rPr>
              <w:t xml:space="preserve"> </w:t>
            </w:r>
          </w:p>
          <w:p w14:paraId="258D701E" w14:textId="77777777" w:rsidR="00470AE7" w:rsidRPr="00BE6306" w:rsidRDefault="00470AE7" w:rsidP="001304BC">
            <w:pPr>
              <w:rPr>
                <w:b/>
                <w:bCs/>
                <w:i/>
                <w:iCs/>
                <w:color w:val="000000" w:themeColor="text1"/>
                <w:szCs w:val="22"/>
              </w:rPr>
            </w:pPr>
          </w:p>
          <w:p w14:paraId="1C567333" w14:textId="77777777" w:rsidR="00C5671C" w:rsidRPr="00BE6306" w:rsidRDefault="00C5671C" w:rsidP="00E4164D">
            <w:pPr>
              <w:pStyle w:val="ListParagraph"/>
              <w:numPr>
                <w:ilvl w:val="0"/>
                <w:numId w:val="16"/>
              </w:numPr>
              <w:rPr>
                <w:b/>
                <w:bCs/>
                <w:i/>
                <w:iCs/>
                <w:color w:val="000000" w:themeColor="text1"/>
                <w:szCs w:val="22"/>
              </w:rPr>
            </w:pPr>
            <w:r w:rsidRPr="00BE6306">
              <w:rPr>
                <w:b/>
                <w:bCs/>
                <w:i/>
                <w:iCs/>
                <w:color w:val="000000" w:themeColor="text1"/>
                <w:szCs w:val="22"/>
              </w:rPr>
              <w:t>a mandatory section in the programme or plan explaining how the principle is applied, comprising a territorial cohesion screening and proportionality statement, the mitigation and adjustment measures to be adopted in the event of deviation from the principle, and evidence of the governance and partnership arrangements applied for the implementation of the principle;</w:t>
            </w:r>
          </w:p>
          <w:p w14:paraId="167EC1C4" w14:textId="034C8D0E" w:rsidR="005E0D1C" w:rsidRPr="00BE6306" w:rsidRDefault="00642C75" w:rsidP="00E4164D">
            <w:pPr>
              <w:pStyle w:val="ListParagraph"/>
              <w:numPr>
                <w:ilvl w:val="0"/>
                <w:numId w:val="16"/>
              </w:numPr>
              <w:rPr>
                <w:b/>
                <w:bCs/>
                <w:i/>
                <w:iCs/>
                <w:color w:val="000000" w:themeColor="text1"/>
                <w:szCs w:val="22"/>
              </w:rPr>
            </w:pPr>
            <w:r w:rsidRPr="00BE6306">
              <w:rPr>
                <w:b/>
                <w:bCs/>
                <w:i/>
                <w:iCs/>
                <w:color w:val="000000" w:themeColor="text1"/>
                <w:szCs w:val="22"/>
              </w:rPr>
              <w:t>stakeholder consultations explicitly cover</w:t>
            </w:r>
            <w:r w:rsidR="00C5671C" w:rsidRPr="00BE6306">
              <w:rPr>
                <w:b/>
                <w:bCs/>
                <w:i/>
                <w:iCs/>
                <w:color w:val="000000" w:themeColor="text1"/>
                <w:szCs w:val="22"/>
              </w:rPr>
              <w:t>ing</w:t>
            </w:r>
            <w:r w:rsidRPr="00BE6306">
              <w:rPr>
                <w:b/>
                <w:bCs/>
                <w:i/>
                <w:iCs/>
                <w:color w:val="000000" w:themeColor="text1"/>
                <w:szCs w:val="22"/>
              </w:rPr>
              <w:t xml:space="preserve"> territorial cohesion aspects</w:t>
            </w:r>
            <w:r w:rsidR="006E1590" w:rsidRPr="00BE6306">
              <w:rPr>
                <w:b/>
                <w:bCs/>
                <w:i/>
                <w:iCs/>
                <w:color w:val="000000" w:themeColor="text1"/>
                <w:szCs w:val="22"/>
              </w:rPr>
              <w:t>;</w:t>
            </w:r>
          </w:p>
          <w:p w14:paraId="79F2EEFC" w14:textId="0C71499E" w:rsidR="00C3657B" w:rsidRPr="00BE6306" w:rsidRDefault="00D64044" w:rsidP="00E4164D">
            <w:pPr>
              <w:pStyle w:val="ListParagraph"/>
              <w:numPr>
                <w:ilvl w:val="0"/>
                <w:numId w:val="16"/>
              </w:numPr>
              <w:rPr>
                <w:b/>
                <w:bCs/>
                <w:i/>
                <w:iCs/>
                <w:color w:val="000000" w:themeColor="text1"/>
                <w:szCs w:val="22"/>
              </w:rPr>
            </w:pPr>
            <w:r w:rsidRPr="00BE6306">
              <w:rPr>
                <w:b/>
                <w:bCs/>
                <w:i/>
                <w:iCs/>
                <w:color w:val="000000" w:themeColor="text1"/>
                <w:szCs w:val="22"/>
              </w:rPr>
              <w:t>mandatory territorial impact assessment to evaluate the potential territorial impacts</w:t>
            </w:r>
            <w:r w:rsidR="006E1590" w:rsidRPr="00BE6306">
              <w:rPr>
                <w:b/>
                <w:bCs/>
                <w:i/>
                <w:iCs/>
                <w:color w:val="000000" w:themeColor="text1"/>
                <w:szCs w:val="22"/>
              </w:rPr>
              <w:t xml:space="preserve">; </w:t>
            </w:r>
          </w:p>
          <w:p w14:paraId="4FB68BA6" w14:textId="22684C14" w:rsidR="005F2D14" w:rsidRPr="00BE6306" w:rsidRDefault="005F2D14" w:rsidP="001304BC">
            <w:pPr>
              <w:rPr>
                <w:b/>
                <w:bCs/>
                <w:i/>
                <w:iCs/>
                <w:szCs w:val="22"/>
              </w:rPr>
            </w:pPr>
            <w:r w:rsidRPr="00BE6306">
              <w:rPr>
                <w:b/>
                <w:bCs/>
                <w:i/>
                <w:iCs/>
                <w:color w:val="000000" w:themeColor="text1"/>
                <w:szCs w:val="22"/>
              </w:rPr>
              <w:br/>
            </w:r>
            <w:r w:rsidR="002749F9" w:rsidRPr="00BE6306">
              <w:rPr>
                <w:b/>
                <w:bCs/>
                <w:i/>
                <w:iCs/>
                <w:color w:val="000000" w:themeColor="text1"/>
                <w:szCs w:val="22"/>
              </w:rPr>
              <w:t xml:space="preserve">The Commission shall issue technical guidance specifying the modalities for the fulfilment of the </w:t>
            </w:r>
            <w:r w:rsidR="002749F9" w:rsidRPr="00BE6306">
              <w:rPr>
                <w:b/>
                <w:bCs/>
                <w:i/>
                <w:iCs/>
                <w:color w:val="000000" w:themeColor="text1"/>
                <w:szCs w:val="22"/>
              </w:rPr>
              <w:lastRenderedPageBreak/>
              <w:t>aforementioned requirements, in order to ensure a harmonised approach</w:t>
            </w:r>
            <w:r w:rsidR="00C5671C" w:rsidRPr="00BE6306">
              <w:rPr>
                <w:b/>
                <w:bCs/>
                <w:i/>
                <w:iCs/>
                <w:color w:val="000000" w:themeColor="text1"/>
                <w:szCs w:val="22"/>
              </w:rPr>
              <w:t>.</w:t>
            </w:r>
          </w:p>
        </w:tc>
      </w:tr>
    </w:tbl>
    <w:p w14:paraId="2415526E" w14:textId="77777777" w:rsidR="005F2D14" w:rsidRPr="00BE6306" w:rsidRDefault="005F2D14" w:rsidP="005F2D14"/>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F2D14" w:rsidRPr="00BE6306" w14:paraId="0DD30301" w14:textId="77777777" w:rsidTr="001304BC">
        <w:tc>
          <w:tcPr>
            <w:tcW w:w="9289" w:type="dxa"/>
          </w:tcPr>
          <w:p w14:paraId="61081323" w14:textId="77777777" w:rsidR="005F2D14" w:rsidRPr="00BE6306" w:rsidRDefault="005F2D14" w:rsidP="0061022C">
            <w:pPr>
              <w:keepNext/>
              <w:jc w:val="center"/>
              <w:rPr>
                <w:b/>
                <w:bCs/>
                <w:i/>
              </w:rPr>
            </w:pPr>
            <w:r w:rsidRPr="00BE6306">
              <w:rPr>
                <w:b/>
                <w:i/>
              </w:rPr>
              <w:t>Reason</w:t>
            </w:r>
          </w:p>
        </w:tc>
      </w:tr>
      <w:tr w:rsidR="005F2D14" w:rsidRPr="00BE6306" w14:paraId="38C41056" w14:textId="77777777" w:rsidTr="001304BC">
        <w:tc>
          <w:tcPr>
            <w:tcW w:w="9289" w:type="dxa"/>
          </w:tcPr>
          <w:p w14:paraId="7326F64E" w14:textId="194F1615" w:rsidR="005F2D14" w:rsidRPr="00BE6306" w:rsidRDefault="005F2D14" w:rsidP="001304BC">
            <w:r w:rsidRPr="00BE6306">
              <w:t xml:space="preserve">Setting out a </w:t>
            </w:r>
            <w:r w:rsidR="00CA70DD" w:rsidRPr="00BE6306">
              <w:t>ՙ</w:t>
            </w:r>
            <w:r w:rsidRPr="00BE6306">
              <w:t>do no harm to cohesion</w:t>
            </w:r>
            <w:r w:rsidR="00CA70DD" w:rsidRPr="00BE6306">
              <w:t>՚</w:t>
            </w:r>
            <w:r w:rsidRPr="00BE6306">
              <w:t xml:space="preserve"> horizontal principle ensures that programmes systematically assess, prevent and mitigate unintended territorial effects, thereby safeguarding the Union’s commitment to territorial cohesion under Article 174 TFEU</w:t>
            </w:r>
          </w:p>
        </w:tc>
      </w:tr>
    </w:tbl>
    <w:p w14:paraId="46EF1501" w14:textId="77777777" w:rsidR="005F3E53" w:rsidRPr="00BE6306" w:rsidRDefault="005F3E53" w:rsidP="005F2D14"/>
    <w:p w14:paraId="7D0C7350" w14:textId="334DF462" w:rsidR="005F3E53" w:rsidRPr="00BE6306" w:rsidRDefault="005F3E53" w:rsidP="000E291B">
      <w:pPr>
        <w:keepNext/>
        <w:jc w:val="center"/>
        <w:rPr>
          <w:b/>
          <w:bCs/>
          <w:color w:val="000000" w:themeColor="text1"/>
        </w:rPr>
      </w:pPr>
      <w:r w:rsidRPr="00BE6306">
        <w:rPr>
          <w:b/>
          <w:bCs/>
          <w:color w:val="000000" w:themeColor="text1"/>
        </w:rPr>
        <w:t xml:space="preserve">Amendment </w:t>
      </w:r>
      <w:r w:rsidR="002B199C" w:rsidRPr="00BE6306">
        <w:rPr>
          <w:b/>
          <w:bCs/>
          <w:color w:val="000000" w:themeColor="text1"/>
        </w:rPr>
        <w:t>7</w:t>
      </w:r>
    </w:p>
    <w:p w14:paraId="61B0CBC2" w14:textId="0E961022" w:rsidR="005F3E53" w:rsidRPr="00BE6306" w:rsidRDefault="005F3E53">
      <w:pPr>
        <w:keepNext/>
        <w:jc w:val="center"/>
        <w:rPr>
          <w:color w:val="000000" w:themeColor="text1"/>
        </w:rPr>
      </w:pPr>
      <w:r w:rsidRPr="00BE6306">
        <w:rPr>
          <w:color w:val="000000" w:themeColor="text1"/>
        </w:rPr>
        <w:t>Proposal for a Regulation of the European Parliament and of the Council establishing a budget expenditure tracking and performance framework and other horizontal rules for the Union programmes and activities (COM(2025) 545</w:t>
      </w:r>
      <w:r w:rsidR="00CE473D" w:rsidRPr="00BE6306">
        <w:rPr>
          <w:color w:val="000000" w:themeColor="text1"/>
        </w:rPr>
        <w:t xml:space="preserve"> final</w:t>
      </w:r>
      <w:r w:rsidRPr="00BE6306">
        <w:rPr>
          <w:color w:val="000000" w:themeColor="text1"/>
        </w:rPr>
        <w:t>)</w:t>
      </w:r>
    </w:p>
    <w:p w14:paraId="5685A984" w14:textId="77777777" w:rsidR="005F3E53" w:rsidRPr="00BE6306" w:rsidRDefault="005F3E53">
      <w:pPr>
        <w:keepNext/>
        <w:jc w:val="center"/>
        <w:rPr>
          <w:color w:val="000000" w:themeColor="text1"/>
        </w:rPr>
      </w:pPr>
      <w:r w:rsidRPr="00BE6306">
        <w:rPr>
          <w:color w:val="000000" w:themeColor="text1"/>
        </w:rPr>
        <w:t>New Article 7b</w:t>
      </w:r>
    </w:p>
    <w:p w14:paraId="60C51733" w14:textId="77777777" w:rsidR="005F3E53" w:rsidRPr="00BE6306" w:rsidRDefault="005F3E53" w:rsidP="005F3E53">
      <w:pPr>
        <w:keepNext/>
        <w:jc w:val="center"/>
        <w:rPr>
          <w:color w:val="000000" w:themeColor="text1"/>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3"/>
        <w:gridCol w:w="4646"/>
      </w:tblGrid>
      <w:tr w:rsidR="0091460A" w:rsidRPr="00BE6306" w14:paraId="16EE91F9" w14:textId="77777777" w:rsidTr="00391078">
        <w:tc>
          <w:tcPr>
            <w:tcW w:w="4643" w:type="dxa"/>
            <w:tcBorders>
              <w:top w:val="single" w:sz="6" w:space="0" w:color="auto"/>
              <w:left w:val="single" w:sz="6" w:space="0" w:color="auto"/>
              <w:bottom w:val="single" w:sz="6" w:space="0" w:color="auto"/>
              <w:right w:val="single" w:sz="6" w:space="0" w:color="auto"/>
            </w:tcBorders>
            <w:hideMark/>
          </w:tcPr>
          <w:p w14:paraId="0417EF19" w14:textId="77777777" w:rsidR="005F3E53" w:rsidRPr="00BE6306" w:rsidRDefault="005F3E53" w:rsidP="00391078">
            <w:pPr>
              <w:keepNext/>
              <w:jc w:val="center"/>
              <w:rPr>
                <w:b/>
                <w:i/>
                <w:color w:val="000000" w:themeColor="text1"/>
              </w:rPr>
            </w:pPr>
            <w:r w:rsidRPr="00BE6306">
              <w:rPr>
                <w:b/>
                <w:bCs/>
                <w:i/>
                <w:iCs/>
                <w:color w:val="000000" w:themeColor="text1"/>
              </w:rPr>
              <w:t xml:space="preserve">Text proposed by the Commission </w:t>
            </w:r>
          </w:p>
        </w:tc>
        <w:tc>
          <w:tcPr>
            <w:tcW w:w="4646" w:type="dxa"/>
            <w:tcBorders>
              <w:top w:val="single" w:sz="6" w:space="0" w:color="auto"/>
              <w:left w:val="single" w:sz="6" w:space="0" w:color="auto"/>
              <w:bottom w:val="single" w:sz="6" w:space="0" w:color="auto"/>
              <w:right w:val="single" w:sz="6" w:space="0" w:color="auto"/>
            </w:tcBorders>
            <w:hideMark/>
          </w:tcPr>
          <w:p w14:paraId="253C5751" w14:textId="77777777" w:rsidR="005F3E53" w:rsidRPr="00BE6306" w:rsidRDefault="005F3E53" w:rsidP="00391078">
            <w:pPr>
              <w:keepNext/>
              <w:jc w:val="center"/>
              <w:rPr>
                <w:b/>
                <w:i/>
                <w:color w:val="000000" w:themeColor="text1"/>
              </w:rPr>
            </w:pPr>
            <w:r w:rsidRPr="00BE6306">
              <w:rPr>
                <w:b/>
                <w:bCs/>
                <w:i/>
                <w:iCs/>
                <w:color w:val="000000" w:themeColor="text1"/>
              </w:rPr>
              <w:t>CoR amendment</w:t>
            </w:r>
          </w:p>
        </w:tc>
      </w:tr>
      <w:tr w:rsidR="005F3E53" w:rsidRPr="00BE6306" w14:paraId="668F1636" w14:textId="77777777" w:rsidTr="00391078">
        <w:tc>
          <w:tcPr>
            <w:tcW w:w="4643" w:type="dxa"/>
            <w:tcBorders>
              <w:top w:val="single" w:sz="6" w:space="0" w:color="auto"/>
              <w:left w:val="single" w:sz="6" w:space="0" w:color="auto"/>
              <w:bottom w:val="single" w:sz="6" w:space="0" w:color="auto"/>
              <w:right w:val="single" w:sz="6" w:space="0" w:color="auto"/>
            </w:tcBorders>
          </w:tcPr>
          <w:p w14:paraId="5962C53D" w14:textId="77777777" w:rsidR="005F3E53" w:rsidRPr="00BE6306" w:rsidRDefault="005F3E53" w:rsidP="00391078">
            <w:pPr>
              <w:rPr>
                <w:color w:val="000000" w:themeColor="text1"/>
              </w:rPr>
            </w:pPr>
          </w:p>
          <w:p w14:paraId="3D358F73" w14:textId="77777777" w:rsidR="005F3E53" w:rsidRPr="00BE6306" w:rsidRDefault="005F3E53" w:rsidP="00391078">
            <w:pPr>
              <w:rPr>
                <w:color w:val="000000" w:themeColor="text1"/>
              </w:rPr>
            </w:pPr>
          </w:p>
        </w:tc>
        <w:tc>
          <w:tcPr>
            <w:tcW w:w="4646" w:type="dxa"/>
            <w:tcBorders>
              <w:top w:val="single" w:sz="6" w:space="0" w:color="auto"/>
              <w:left w:val="single" w:sz="6" w:space="0" w:color="auto"/>
              <w:bottom w:val="single" w:sz="6" w:space="0" w:color="auto"/>
              <w:right w:val="single" w:sz="6" w:space="0" w:color="auto"/>
            </w:tcBorders>
            <w:hideMark/>
          </w:tcPr>
          <w:p w14:paraId="4ACD03E5" w14:textId="77777777" w:rsidR="005F3E53" w:rsidRPr="00BE6306" w:rsidRDefault="005F3E53" w:rsidP="00391078">
            <w:pPr>
              <w:rPr>
                <w:b/>
                <w:bCs/>
                <w:i/>
                <w:iCs/>
                <w:color w:val="000000" w:themeColor="text1"/>
              </w:rPr>
            </w:pPr>
            <w:r w:rsidRPr="00BE6306">
              <w:rPr>
                <w:b/>
                <w:bCs/>
                <w:i/>
                <w:iCs/>
                <w:color w:val="000000" w:themeColor="text1"/>
              </w:rPr>
              <w:t>Partnership principle and multilevel governance</w:t>
            </w:r>
          </w:p>
          <w:p w14:paraId="2D5F77C4" w14:textId="77777777" w:rsidR="0091460A" w:rsidRPr="00BE6306" w:rsidRDefault="0091460A" w:rsidP="00391078">
            <w:pPr>
              <w:rPr>
                <w:b/>
                <w:bCs/>
                <w:i/>
                <w:iCs/>
                <w:color w:val="000000" w:themeColor="text1"/>
              </w:rPr>
            </w:pPr>
          </w:p>
          <w:p w14:paraId="361B4F38" w14:textId="77777777" w:rsidR="005F3E53" w:rsidRPr="00BE6306" w:rsidRDefault="005F3E53" w:rsidP="00391078">
            <w:pPr>
              <w:rPr>
                <w:b/>
                <w:bCs/>
                <w:i/>
                <w:iCs/>
                <w:color w:val="000000" w:themeColor="text1"/>
              </w:rPr>
            </w:pPr>
            <w:r w:rsidRPr="002A298F">
              <w:rPr>
                <w:b/>
                <w:bCs/>
                <w:i/>
                <w:iCs/>
                <w:color w:val="000000" w:themeColor="text1"/>
                <w:szCs w:val="22"/>
              </w:rPr>
              <w:t>1.</w:t>
            </w:r>
            <w:r w:rsidRPr="002A298F">
              <w:rPr>
                <w:b/>
                <w:bCs/>
                <w:i/>
                <w:iCs/>
                <w:color w:val="000000" w:themeColor="text1"/>
                <w:szCs w:val="22"/>
              </w:rPr>
              <w:tab/>
            </w:r>
            <w:r w:rsidRPr="00BE6306">
              <w:rPr>
                <w:b/>
                <w:bCs/>
                <w:i/>
                <w:iCs/>
                <w:color w:val="000000" w:themeColor="text1"/>
              </w:rPr>
              <w:t>For programmes and activities financed by the EU budget, the Commission, Member States, subnational authorities and, where applicable, third countries and implementing partners shall ensure the application of the partnership principle and multilevel governance</w:t>
            </w:r>
            <w:r w:rsidRPr="005213CD">
              <w:rPr>
                <w:b/>
                <w:bCs/>
                <w:i/>
                <w:iCs/>
                <w:color w:val="000000" w:themeColor="text1"/>
              </w:rPr>
              <w:t>, in accordance with the sector-specific rules.</w:t>
            </w:r>
          </w:p>
          <w:p w14:paraId="3607133E" w14:textId="77777777" w:rsidR="0091460A" w:rsidRPr="00BE6306" w:rsidRDefault="0091460A" w:rsidP="00391078">
            <w:pPr>
              <w:rPr>
                <w:b/>
                <w:bCs/>
                <w:i/>
                <w:iCs/>
                <w:color w:val="000000" w:themeColor="text1"/>
              </w:rPr>
            </w:pPr>
          </w:p>
          <w:p w14:paraId="50BAE7D1" w14:textId="77777777" w:rsidR="005F3E53" w:rsidRPr="005213CD" w:rsidRDefault="005F3E53" w:rsidP="00391078">
            <w:pPr>
              <w:rPr>
                <w:b/>
                <w:bCs/>
                <w:i/>
                <w:iCs/>
                <w:color w:val="000000" w:themeColor="text1"/>
              </w:rPr>
            </w:pPr>
            <w:r w:rsidRPr="002A298F">
              <w:rPr>
                <w:b/>
                <w:bCs/>
                <w:i/>
                <w:iCs/>
                <w:color w:val="000000" w:themeColor="text1"/>
                <w:szCs w:val="22"/>
              </w:rPr>
              <w:t>2.</w:t>
            </w:r>
            <w:r w:rsidRPr="002A298F">
              <w:rPr>
                <w:b/>
                <w:bCs/>
                <w:i/>
                <w:iCs/>
                <w:color w:val="000000" w:themeColor="text1"/>
                <w:szCs w:val="22"/>
              </w:rPr>
              <w:tab/>
            </w:r>
            <w:r w:rsidRPr="00BE6306">
              <w:rPr>
                <w:b/>
                <w:bCs/>
                <w:i/>
                <w:iCs/>
                <w:color w:val="000000" w:themeColor="text1"/>
              </w:rPr>
              <w:t>Where the design, implementation, monitoring or evaluation of a programme or activity has a territorial dimension or is expected to involve delivery at national, regional or local level, it shall be desig</w:t>
            </w:r>
            <w:r w:rsidRPr="005213CD">
              <w:rPr>
                <w:b/>
                <w:bCs/>
                <w:i/>
                <w:iCs/>
                <w:color w:val="000000" w:themeColor="text1"/>
              </w:rPr>
              <w:t>ned, implemented, monitored and evaluated in partnership with the relevant partners in a timely and meaningful manner. Those partners shall, as appropriate, include at least:</w:t>
            </w:r>
          </w:p>
          <w:p w14:paraId="2D5C19EA" w14:textId="77777777" w:rsidR="005F3E53" w:rsidRPr="00BE6306" w:rsidRDefault="005F3E53" w:rsidP="00391078">
            <w:pPr>
              <w:rPr>
                <w:b/>
                <w:bCs/>
                <w:i/>
                <w:iCs/>
                <w:color w:val="000000" w:themeColor="text1"/>
              </w:rPr>
            </w:pPr>
            <w:r w:rsidRPr="00BE6306">
              <w:rPr>
                <w:b/>
                <w:bCs/>
                <w:i/>
                <w:iCs/>
                <w:color w:val="000000" w:themeColor="text1"/>
              </w:rPr>
              <w:t>(a) competent national, and subnational authorities;</w:t>
            </w:r>
          </w:p>
          <w:p w14:paraId="415AE972" w14:textId="77777777" w:rsidR="005F3E53" w:rsidRPr="00BE6306" w:rsidRDefault="005F3E53" w:rsidP="00391078">
            <w:pPr>
              <w:rPr>
                <w:b/>
                <w:bCs/>
                <w:i/>
                <w:iCs/>
                <w:color w:val="000000" w:themeColor="text1"/>
              </w:rPr>
            </w:pPr>
            <w:r w:rsidRPr="00BE6306">
              <w:rPr>
                <w:b/>
                <w:bCs/>
                <w:i/>
                <w:iCs/>
                <w:color w:val="000000" w:themeColor="text1"/>
              </w:rPr>
              <w:t>(b) economic and social partners; and</w:t>
            </w:r>
          </w:p>
          <w:p w14:paraId="57BA802C" w14:textId="77777777" w:rsidR="005F3E53" w:rsidRPr="00BE6306" w:rsidRDefault="005F3E53" w:rsidP="00391078">
            <w:pPr>
              <w:rPr>
                <w:b/>
                <w:bCs/>
                <w:i/>
                <w:iCs/>
                <w:color w:val="000000" w:themeColor="text1"/>
              </w:rPr>
            </w:pPr>
            <w:r w:rsidRPr="00BE6306">
              <w:rPr>
                <w:b/>
                <w:bCs/>
                <w:i/>
                <w:iCs/>
                <w:color w:val="000000" w:themeColor="text1"/>
              </w:rPr>
              <w:t>(c) relevant civil society organisations.</w:t>
            </w:r>
          </w:p>
          <w:p w14:paraId="3038A7C5" w14:textId="77777777" w:rsidR="0091460A" w:rsidRPr="00BE6306" w:rsidRDefault="0091460A" w:rsidP="00391078">
            <w:pPr>
              <w:rPr>
                <w:b/>
                <w:bCs/>
                <w:i/>
                <w:iCs/>
                <w:color w:val="000000" w:themeColor="text1"/>
              </w:rPr>
            </w:pPr>
          </w:p>
          <w:p w14:paraId="28D3F5F2" w14:textId="77777777" w:rsidR="005F3E53" w:rsidRPr="005213CD" w:rsidRDefault="005F3E53" w:rsidP="00391078">
            <w:pPr>
              <w:rPr>
                <w:color w:val="000000" w:themeColor="text1"/>
              </w:rPr>
            </w:pPr>
            <w:r w:rsidRPr="002A298F">
              <w:rPr>
                <w:b/>
                <w:bCs/>
                <w:i/>
                <w:iCs/>
                <w:color w:val="000000" w:themeColor="text1"/>
                <w:szCs w:val="22"/>
              </w:rPr>
              <w:t>3.</w:t>
            </w:r>
            <w:r w:rsidRPr="002A298F">
              <w:rPr>
                <w:b/>
                <w:bCs/>
                <w:i/>
                <w:iCs/>
                <w:color w:val="000000" w:themeColor="text1"/>
                <w:szCs w:val="22"/>
              </w:rPr>
              <w:tab/>
            </w:r>
            <w:r w:rsidRPr="00BE6306">
              <w:rPr>
                <w:b/>
                <w:bCs/>
                <w:i/>
                <w:iCs/>
                <w:color w:val="000000" w:themeColor="text1"/>
              </w:rPr>
              <w:t>The arrangements to apply paragraphs 1 and 2 shall be proportionate to the size, nature and management mode of the programme or activity, and shall avoid duplication of obligations already set out in sector-specific rules.</w:t>
            </w:r>
          </w:p>
        </w:tc>
      </w:tr>
    </w:tbl>
    <w:p w14:paraId="1A53F288" w14:textId="77777777" w:rsidR="005F3E53" w:rsidRPr="00BE6306" w:rsidRDefault="005F3E53" w:rsidP="005F3E53">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9"/>
      </w:tblGrid>
      <w:tr w:rsidR="0091460A" w:rsidRPr="00BE6306" w14:paraId="1416E642" w14:textId="77777777" w:rsidTr="00391078">
        <w:trPr>
          <w:trHeight w:val="35"/>
        </w:trPr>
        <w:tc>
          <w:tcPr>
            <w:tcW w:w="9289" w:type="dxa"/>
            <w:tcBorders>
              <w:top w:val="single" w:sz="6" w:space="0" w:color="auto"/>
              <w:left w:val="single" w:sz="6" w:space="0" w:color="auto"/>
              <w:bottom w:val="single" w:sz="6" w:space="0" w:color="auto"/>
              <w:right w:val="single" w:sz="6" w:space="0" w:color="auto"/>
            </w:tcBorders>
            <w:hideMark/>
          </w:tcPr>
          <w:p w14:paraId="218C07E0" w14:textId="77777777" w:rsidR="005F3E53" w:rsidRPr="00BE6306" w:rsidRDefault="005F3E53" w:rsidP="00391078">
            <w:pPr>
              <w:keepNext/>
              <w:jc w:val="center"/>
              <w:rPr>
                <w:b/>
                <w:bCs/>
                <w:i/>
                <w:color w:val="000000" w:themeColor="text1"/>
              </w:rPr>
            </w:pPr>
            <w:r w:rsidRPr="00BE6306">
              <w:rPr>
                <w:b/>
                <w:bCs/>
                <w:i/>
                <w:color w:val="000000" w:themeColor="text1"/>
              </w:rPr>
              <w:t>Reason</w:t>
            </w:r>
          </w:p>
        </w:tc>
      </w:tr>
      <w:tr w:rsidR="0091460A" w:rsidRPr="00BE6306" w14:paraId="15155E59" w14:textId="77777777" w:rsidTr="00391078">
        <w:tc>
          <w:tcPr>
            <w:tcW w:w="9289" w:type="dxa"/>
            <w:tcBorders>
              <w:top w:val="single" w:sz="6" w:space="0" w:color="auto"/>
              <w:left w:val="single" w:sz="6" w:space="0" w:color="auto"/>
              <w:bottom w:val="single" w:sz="6" w:space="0" w:color="auto"/>
              <w:right w:val="single" w:sz="6" w:space="0" w:color="auto"/>
            </w:tcBorders>
            <w:hideMark/>
          </w:tcPr>
          <w:p w14:paraId="4D8C2933" w14:textId="77777777" w:rsidR="005F3E53" w:rsidRPr="00BE6306" w:rsidRDefault="005F3E53" w:rsidP="00391078">
            <w:pPr>
              <w:rPr>
                <w:color w:val="000000" w:themeColor="text1"/>
              </w:rPr>
            </w:pPr>
            <w:r w:rsidRPr="00BE6306">
              <w:rPr>
                <w:color w:val="000000" w:themeColor="text1"/>
              </w:rPr>
              <w:t>Include the partnership principle and multilevel governance as a horizontal principle.</w:t>
            </w:r>
          </w:p>
        </w:tc>
      </w:tr>
    </w:tbl>
    <w:p w14:paraId="519A3D1F" w14:textId="77777777" w:rsidR="005F3E53" w:rsidRPr="00BE6306" w:rsidRDefault="005F3E53" w:rsidP="005F2D14">
      <w:pPr>
        <w:rPr>
          <w:color w:val="000000" w:themeColor="text1"/>
        </w:rPr>
      </w:pPr>
    </w:p>
    <w:p w14:paraId="6B3B7702" w14:textId="50A52233" w:rsidR="005F2D14" w:rsidRPr="00BE6306" w:rsidRDefault="005F2D14" w:rsidP="005F2D14">
      <w:pPr>
        <w:jc w:val="center"/>
        <w:rPr>
          <w:b/>
          <w:bCs/>
        </w:rPr>
      </w:pPr>
      <w:r w:rsidRPr="00BE6306">
        <w:rPr>
          <w:b/>
        </w:rPr>
        <w:t xml:space="preserve">Amendment </w:t>
      </w:r>
      <w:r w:rsidR="002B199C" w:rsidRPr="00BE6306">
        <w:rPr>
          <w:b/>
        </w:rPr>
        <w:t>8</w:t>
      </w:r>
    </w:p>
    <w:p w14:paraId="635179C4" w14:textId="13C70334" w:rsidR="005F2D14" w:rsidRPr="00BE6306" w:rsidRDefault="0091460A" w:rsidP="005F2D14">
      <w:pPr>
        <w:jc w:val="center"/>
      </w:pPr>
      <w:r w:rsidRPr="00BE6306">
        <w:t>Proposal for a Regulation of the European Parliament and of the Council establishing a budget expenditure tracking and performance framework and other horizontal rules for the Union programmes and activities (COM(2025) 545</w:t>
      </w:r>
      <w:r w:rsidR="00CE473D" w:rsidRPr="00BE6306">
        <w:t xml:space="preserve"> final</w:t>
      </w:r>
      <w:r w:rsidRPr="00BE6306">
        <w:t xml:space="preserve">) </w:t>
      </w:r>
    </w:p>
    <w:p w14:paraId="47B93FBA" w14:textId="0BB3DE87" w:rsidR="005F2D14" w:rsidRPr="00BE6306" w:rsidRDefault="007238E1" w:rsidP="005F2D14">
      <w:pPr>
        <w:keepNext/>
        <w:jc w:val="center"/>
      </w:pPr>
      <w:r w:rsidRPr="00BE6306">
        <w:t>Amend A</w:t>
      </w:r>
      <w:r w:rsidR="005F2D14" w:rsidRPr="00BE6306">
        <w:t>rticle 10</w:t>
      </w:r>
    </w:p>
    <w:p w14:paraId="28CE8F26" w14:textId="77777777" w:rsidR="005F2D14" w:rsidRPr="00BE6306" w:rsidRDefault="005F2D14" w:rsidP="005F2D14"/>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F2D14" w:rsidRPr="00BE6306" w14:paraId="1B2FDDC4" w14:textId="77777777" w:rsidTr="001304BC">
        <w:tc>
          <w:tcPr>
            <w:tcW w:w="4643" w:type="dxa"/>
          </w:tcPr>
          <w:p w14:paraId="175670B6" w14:textId="77777777" w:rsidR="005F2D14" w:rsidRPr="00BE6306" w:rsidRDefault="005F2D14" w:rsidP="001304BC">
            <w:pPr>
              <w:jc w:val="center"/>
              <w:rPr>
                <w:b/>
                <w:i/>
              </w:rPr>
            </w:pPr>
            <w:r w:rsidRPr="00BE6306">
              <w:rPr>
                <w:b/>
                <w:i/>
              </w:rPr>
              <w:t>Text proposed by the European Commission</w:t>
            </w:r>
          </w:p>
        </w:tc>
        <w:tc>
          <w:tcPr>
            <w:tcW w:w="4646" w:type="dxa"/>
          </w:tcPr>
          <w:p w14:paraId="6A2EA9AA" w14:textId="77777777" w:rsidR="005F2D14" w:rsidRPr="00BE6306" w:rsidRDefault="005F2D14" w:rsidP="001304BC">
            <w:pPr>
              <w:jc w:val="center"/>
              <w:rPr>
                <w:b/>
                <w:i/>
              </w:rPr>
            </w:pPr>
            <w:r w:rsidRPr="00BE6306">
              <w:rPr>
                <w:b/>
                <w:i/>
              </w:rPr>
              <w:t>CoR amendment</w:t>
            </w:r>
          </w:p>
        </w:tc>
      </w:tr>
      <w:tr w:rsidR="005F2D14" w:rsidRPr="00BE6306" w14:paraId="77B7DA31" w14:textId="77777777" w:rsidTr="001304BC">
        <w:tc>
          <w:tcPr>
            <w:tcW w:w="4643" w:type="dxa"/>
          </w:tcPr>
          <w:p w14:paraId="165B571C" w14:textId="21F6CCE4" w:rsidR="005F2D14" w:rsidRPr="00BE6306" w:rsidRDefault="005F2D14" w:rsidP="001304BC">
            <w:r w:rsidRPr="00BE6306">
              <w:t>1.</w:t>
            </w:r>
            <w:r w:rsidR="00CE473D" w:rsidRPr="00BE6306">
              <w:tab/>
            </w:r>
            <w:r w:rsidRPr="00BE6306">
              <w:t xml:space="preserve">The Commission shall carry out evaluations in accordance with Article 34(3) of Regulation (EU, Euratom) 2024/2059 to examine the effectiveness, efficiency, relevance, coherence </w:t>
            </w:r>
            <w:r w:rsidRPr="00BE6306">
              <w:rPr>
                <w:b/>
                <w:bCs/>
                <w:i/>
                <w:iCs/>
              </w:rPr>
              <w:t>and</w:t>
            </w:r>
            <w:r w:rsidRPr="00BE6306">
              <w:t xml:space="preserve"> Union added value of each programme or activity.</w:t>
            </w:r>
            <w:r w:rsidR="009853E2" w:rsidRPr="00BE6306">
              <w:t xml:space="preserve"> </w:t>
            </w:r>
            <w:r w:rsidRPr="00BE6306">
              <w:t>In relation to the common agricultural policy, such</w:t>
            </w:r>
            <w:r w:rsidR="009853E2" w:rsidRPr="00BE6306">
              <w:t xml:space="preserve"> </w:t>
            </w:r>
            <w:r w:rsidRPr="00BE6306">
              <w:t>evaluations</w:t>
            </w:r>
            <w:r w:rsidR="009853E2" w:rsidRPr="00BE6306">
              <w:t xml:space="preserve"> </w:t>
            </w:r>
            <w:r w:rsidRPr="00BE6306">
              <w:t>shall also cover measures</w:t>
            </w:r>
            <w:r w:rsidR="009853E2" w:rsidRPr="00BE6306">
              <w:t xml:space="preserve"> </w:t>
            </w:r>
            <w:r w:rsidRPr="00BE6306">
              <w:t>implemented in accordance with</w:t>
            </w:r>
            <w:r w:rsidR="009853E2" w:rsidRPr="00BE6306">
              <w:t xml:space="preserve"> </w:t>
            </w:r>
            <w:r w:rsidRPr="00BE6306">
              <w:t>Regulation (EU) No 1308/2013.</w:t>
            </w:r>
            <w:r w:rsidR="009853E2" w:rsidRPr="00BE6306">
              <w:t xml:space="preserve"> </w:t>
            </w:r>
          </w:p>
          <w:p w14:paraId="49299BC5" w14:textId="77777777" w:rsidR="005F2D14" w:rsidRPr="00BE6306" w:rsidRDefault="005F2D14" w:rsidP="001304BC">
            <w:r w:rsidRPr="00BE6306">
              <w:t xml:space="preserve"> </w:t>
            </w:r>
          </w:p>
          <w:p w14:paraId="5C49C329" w14:textId="181CCDE0" w:rsidR="005F2D14" w:rsidRPr="00BE6306" w:rsidRDefault="005F2D14" w:rsidP="001304BC">
            <w:r w:rsidRPr="00BE6306">
              <w:t>2.</w:t>
            </w:r>
            <w:r w:rsidR="00CE473D" w:rsidRPr="00BE6306">
              <w:tab/>
            </w:r>
            <w:r w:rsidRPr="00BE6306">
              <w:t>The Commission shall publish an implementation report for each programme or activity no later than four years after the start of its implementation.</w:t>
            </w:r>
          </w:p>
          <w:p w14:paraId="14D0D9A2" w14:textId="77777777" w:rsidR="005F2D14" w:rsidRPr="00BE6306" w:rsidRDefault="005F2D14" w:rsidP="001304BC"/>
          <w:p w14:paraId="2B39D83F" w14:textId="141F08EB" w:rsidR="005F2D14" w:rsidRPr="00BE6306" w:rsidRDefault="005F2D14" w:rsidP="001304BC">
            <w:r w:rsidRPr="00BE6306">
              <w:t>3.</w:t>
            </w:r>
            <w:r w:rsidR="00CE473D" w:rsidRPr="00BE6306">
              <w:tab/>
            </w:r>
            <w:r w:rsidRPr="00BE6306">
              <w:t>The Commission shall carry out a retrospective evaluation to assess the performance of the programme or activity at the latest three years after the end of the programming period of each programme</w:t>
            </w:r>
            <w:r w:rsidR="009853E2" w:rsidRPr="00BE6306">
              <w:t xml:space="preserve"> </w:t>
            </w:r>
            <w:r w:rsidRPr="00BE6306">
              <w:t>or activity.</w:t>
            </w:r>
          </w:p>
          <w:p w14:paraId="6529ABCC" w14:textId="77777777" w:rsidR="005F2D14" w:rsidRPr="00BE6306" w:rsidRDefault="005F2D14" w:rsidP="001304BC"/>
        </w:tc>
        <w:tc>
          <w:tcPr>
            <w:tcW w:w="4646" w:type="dxa"/>
          </w:tcPr>
          <w:p w14:paraId="0AB092D2" w14:textId="418D37FB" w:rsidR="005F2D14" w:rsidRPr="00BE6306" w:rsidRDefault="005F2D14" w:rsidP="001304BC">
            <w:r w:rsidRPr="00BE6306">
              <w:t>1.</w:t>
            </w:r>
            <w:r w:rsidR="00CE473D" w:rsidRPr="00BE6306">
              <w:tab/>
            </w:r>
            <w:r w:rsidRPr="00BE6306">
              <w:t>The Commission shall carry out evaluations in accordance with Article 34(3) of Regulation (EU, Euratom) 2024/2059 to examine the effectiveness, efficiency, relevance, coherence</w:t>
            </w:r>
            <w:r w:rsidRPr="00BE6306">
              <w:rPr>
                <w:b/>
                <w:bCs/>
                <w:i/>
                <w:iCs/>
              </w:rPr>
              <w:t>,</w:t>
            </w:r>
            <w:r w:rsidRPr="00BE6306">
              <w:t xml:space="preserve"> Union added value</w:t>
            </w:r>
            <w:r w:rsidRPr="00BE6306">
              <w:rPr>
                <w:b/>
                <w:bCs/>
                <w:i/>
                <w:iCs/>
              </w:rPr>
              <w:t>, and territorial effects</w:t>
            </w:r>
            <w:r w:rsidRPr="00BE6306">
              <w:t xml:space="preserve"> of each programme or activity.</w:t>
            </w:r>
            <w:r w:rsidR="009853E2" w:rsidRPr="00BE6306">
              <w:t xml:space="preserve"> </w:t>
            </w:r>
            <w:r w:rsidRPr="00BE6306">
              <w:t>In relation to the common agricultural policy, such</w:t>
            </w:r>
            <w:r w:rsidR="009853E2" w:rsidRPr="00BE6306">
              <w:t xml:space="preserve"> </w:t>
            </w:r>
            <w:r w:rsidRPr="00BE6306">
              <w:t>evaluations</w:t>
            </w:r>
            <w:r w:rsidR="009853E2" w:rsidRPr="00BE6306">
              <w:t xml:space="preserve"> </w:t>
            </w:r>
            <w:r w:rsidRPr="00BE6306">
              <w:t>shall also cover measures</w:t>
            </w:r>
            <w:r w:rsidR="009853E2" w:rsidRPr="00BE6306">
              <w:t xml:space="preserve"> </w:t>
            </w:r>
            <w:r w:rsidRPr="00BE6306">
              <w:t>implemented in accordance with</w:t>
            </w:r>
            <w:r w:rsidR="009853E2" w:rsidRPr="00BE6306">
              <w:t xml:space="preserve"> </w:t>
            </w:r>
            <w:r w:rsidRPr="00BE6306">
              <w:t>Regulation (EU) No 1308/2013.</w:t>
            </w:r>
            <w:r w:rsidR="009853E2" w:rsidRPr="00BE6306">
              <w:t xml:space="preserve"> </w:t>
            </w:r>
          </w:p>
          <w:p w14:paraId="32FD305F" w14:textId="77777777" w:rsidR="005F2D14" w:rsidRPr="00BE6306" w:rsidRDefault="005F2D14" w:rsidP="001304BC">
            <w:r w:rsidRPr="00BE6306">
              <w:t xml:space="preserve"> </w:t>
            </w:r>
          </w:p>
          <w:p w14:paraId="36357B30" w14:textId="372A2FF0" w:rsidR="005F2D14" w:rsidRPr="00BE6306" w:rsidRDefault="005F2D14" w:rsidP="001304BC">
            <w:r w:rsidRPr="00BE6306">
              <w:t>2.</w:t>
            </w:r>
            <w:r w:rsidR="00CE473D" w:rsidRPr="00BE6306">
              <w:tab/>
            </w:r>
            <w:r w:rsidRPr="00BE6306">
              <w:t>The Commission shall publish an implementation report for each programme or activity no later than four years after the start of its implementation.</w:t>
            </w:r>
          </w:p>
          <w:p w14:paraId="3CC3AFA3" w14:textId="77777777" w:rsidR="005F2D14" w:rsidRPr="00BE6306" w:rsidRDefault="005F2D14" w:rsidP="001304BC"/>
          <w:p w14:paraId="3A35D9D4" w14:textId="61A97FCF" w:rsidR="005F2D14" w:rsidRPr="00BE6306" w:rsidRDefault="005F2D14" w:rsidP="001304BC">
            <w:r w:rsidRPr="00BE6306">
              <w:t>3.</w:t>
            </w:r>
            <w:r w:rsidR="00CE473D" w:rsidRPr="00BE6306">
              <w:tab/>
            </w:r>
            <w:r w:rsidRPr="00BE6306">
              <w:t>The Commission shall carry out a retrospective evaluation to assess the performance of the programme or activity at the latest three years after the end of the programming period of each programme</w:t>
            </w:r>
            <w:r w:rsidR="009853E2" w:rsidRPr="00BE6306">
              <w:t xml:space="preserve"> </w:t>
            </w:r>
            <w:r w:rsidRPr="00BE6306">
              <w:t>or activity.</w:t>
            </w:r>
          </w:p>
          <w:p w14:paraId="1F9B17D0" w14:textId="77777777" w:rsidR="005F2D14" w:rsidRPr="00BE6306" w:rsidRDefault="005F2D14" w:rsidP="001304BC">
            <w:pPr>
              <w:rPr>
                <w:bCs/>
                <w:iCs/>
                <w:color w:val="000000" w:themeColor="text1"/>
              </w:rPr>
            </w:pPr>
          </w:p>
          <w:p w14:paraId="3EF27D25" w14:textId="3567BAF0" w:rsidR="000D1806" w:rsidRPr="00BE6306" w:rsidRDefault="000D1806" w:rsidP="0091460A">
            <w:pPr>
              <w:rPr>
                <w:bCs/>
                <w:iCs/>
              </w:rPr>
            </w:pPr>
            <w:r w:rsidRPr="002A298F">
              <w:rPr>
                <w:b/>
                <w:bCs/>
                <w:i/>
                <w:iCs/>
                <w:color w:val="000000" w:themeColor="text1"/>
              </w:rPr>
              <w:t>4.</w:t>
            </w:r>
            <w:r w:rsidRPr="00BE6306">
              <w:rPr>
                <w:b/>
                <w:bCs/>
                <w:i/>
                <w:iCs/>
                <w:color w:val="000000" w:themeColor="text1"/>
              </w:rPr>
              <w:tab/>
            </w:r>
            <w:r w:rsidRPr="002A298F">
              <w:rPr>
                <w:b/>
                <w:bCs/>
                <w:i/>
                <w:iCs/>
                <w:color w:val="000000" w:themeColor="text1"/>
              </w:rPr>
              <w:t>The Commission shall publish the outcomes of the evaluations and implementation report referred to in paragraphs 1, 2 and 3 on the website</w:t>
            </w:r>
            <w:r w:rsidRPr="00BE6306">
              <w:rPr>
                <w:bCs/>
                <w:iCs/>
                <w:color w:val="000000" w:themeColor="text1"/>
              </w:rPr>
              <w:t xml:space="preserve"> </w:t>
            </w:r>
            <w:r w:rsidRPr="002A298F">
              <w:rPr>
                <w:b/>
                <w:bCs/>
                <w:i/>
                <w:iCs/>
                <w:color w:val="000000" w:themeColor="text1"/>
              </w:rPr>
              <w:t xml:space="preserve">referred to in Article 12(1) and shall communicate the outcomes of the evaluations and implementation report referred to in paragraphs 1, 2 and 3, together with its observations on those evaluations and implementation report, to the European Parliament, to the Council, to the European Economic and Social Committee and to the </w:t>
            </w:r>
            <w:r w:rsidR="00A71CFF" w:rsidRPr="002A298F">
              <w:rPr>
                <w:b/>
                <w:bCs/>
                <w:i/>
                <w:iCs/>
                <w:color w:val="000000" w:themeColor="text1"/>
              </w:rPr>
              <w:t xml:space="preserve">European </w:t>
            </w:r>
            <w:r w:rsidRPr="002A298F">
              <w:rPr>
                <w:b/>
                <w:bCs/>
                <w:i/>
                <w:iCs/>
                <w:color w:val="000000" w:themeColor="text1"/>
              </w:rPr>
              <w:t>Committee of the Regions.</w:t>
            </w:r>
          </w:p>
        </w:tc>
      </w:tr>
    </w:tbl>
    <w:p w14:paraId="633A7D43" w14:textId="77777777" w:rsidR="005F2D14" w:rsidRPr="00BE6306" w:rsidRDefault="005F2D14" w:rsidP="005F2D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F2D14" w:rsidRPr="00BE6306" w14:paraId="37AD331E" w14:textId="77777777" w:rsidTr="001304BC">
        <w:tc>
          <w:tcPr>
            <w:tcW w:w="9289" w:type="dxa"/>
          </w:tcPr>
          <w:p w14:paraId="55E47018" w14:textId="77777777" w:rsidR="005F2D14" w:rsidRPr="00BE6306" w:rsidRDefault="005F2D14" w:rsidP="001304BC">
            <w:pPr>
              <w:keepNext/>
              <w:jc w:val="center"/>
              <w:rPr>
                <w:b/>
                <w:bCs/>
                <w:i/>
              </w:rPr>
            </w:pPr>
            <w:r w:rsidRPr="00BE6306">
              <w:rPr>
                <w:b/>
                <w:i/>
              </w:rPr>
              <w:lastRenderedPageBreak/>
              <w:t>Reason</w:t>
            </w:r>
          </w:p>
        </w:tc>
      </w:tr>
      <w:tr w:rsidR="005F2D14" w:rsidRPr="00BE6306" w14:paraId="25C2ABFD" w14:textId="77777777" w:rsidTr="001304BC">
        <w:tc>
          <w:tcPr>
            <w:tcW w:w="9289" w:type="dxa"/>
          </w:tcPr>
          <w:p w14:paraId="0A8EDD0B" w14:textId="648A63BC" w:rsidR="005F2D14" w:rsidRPr="00BE6306" w:rsidRDefault="005F2D14" w:rsidP="001304BC">
            <w:pPr>
              <w:keepNext/>
            </w:pPr>
            <w:r w:rsidRPr="00BE6306">
              <w:t>The increased flexibility and centralisation of shared-management funds under the NRPPs underscore the need for additional evaluation of their territorial effects</w:t>
            </w:r>
            <w:r w:rsidR="00212170" w:rsidRPr="00BE6306">
              <w:t xml:space="preserve"> and for </w:t>
            </w:r>
            <w:r w:rsidR="00FD3599" w:rsidRPr="00BE6306">
              <w:t xml:space="preserve">enhanced </w:t>
            </w:r>
            <w:r w:rsidR="00212170" w:rsidRPr="00BE6306">
              <w:t xml:space="preserve">publicity of the </w:t>
            </w:r>
            <w:r w:rsidR="00FD3599" w:rsidRPr="00BE6306">
              <w:t>outcome</w:t>
            </w:r>
            <w:r w:rsidR="008A5604" w:rsidRPr="00BE6306">
              <w:t>s of such</w:t>
            </w:r>
            <w:r w:rsidR="00FD3599" w:rsidRPr="00BE6306">
              <w:t xml:space="preserve"> eva</w:t>
            </w:r>
            <w:r w:rsidR="008A5604" w:rsidRPr="00BE6306">
              <w:t>l</w:t>
            </w:r>
            <w:r w:rsidR="00FD3599" w:rsidRPr="00BE6306">
              <w:t>uation</w:t>
            </w:r>
            <w:r w:rsidR="008A5604" w:rsidRPr="00BE6306">
              <w:t>s</w:t>
            </w:r>
            <w:r w:rsidRPr="00BE6306">
              <w:t>.</w:t>
            </w:r>
          </w:p>
        </w:tc>
      </w:tr>
    </w:tbl>
    <w:p w14:paraId="029653CF" w14:textId="77777777" w:rsidR="00C5671C" w:rsidRPr="00BE6306" w:rsidRDefault="00C5671C" w:rsidP="005F2D14"/>
    <w:p w14:paraId="60A3B182" w14:textId="6A1DED1F" w:rsidR="005F2D14" w:rsidRPr="00BE6306" w:rsidRDefault="005F2D14" w:rsidP="005F2D14">
      <w:pPr>
        <w:jc w:val="center"/>
        <w:rPr>
          <w:b/>
          <w:bCs/>
          <w:color w:val="000000" w:themeColor="text1"/>
        </w:rPr>
      </w:pPr>
      <w:r w:rsidRPr="00BE6306">
        <w:rPr>
          <w:b/>
          <w:color w:val="000000" w:themeColor="text1"/>
        </w:rPr>
        <w:t xml:space="preserve">Amendment </w:t>
      </w:r>
      <w:r w:rsidR="002B199C" w:rsidRPr="00BE6306">
        <w:rPr>
          <w:b/>
          <w:color w:val="000000" w:themeColor="text1"/>
        </w:rPr>
        <w:t>9</w:t>
      </w:r>
    </w:p>
    <w:p w14:paraId="02DDB600" w14:textId="301BBD16" w:rsidR="005F2D14" w:rsidRPr="00BE6306" w:rsidRDefault="0091460A" w:rsidP="005F2D14">
      <w:pPr>
        <w:jc w:val="center"/>
        <w:rPr>
          <w:color w:val="000000" w:themeColor="text1"/>
        </w:rPr>
      </w:pPr>
      <w:r w:rsidRPr="00BE6306">
        <w:rPr>
          <w:color w:val="000000" w:themeColor="text1"/>
        </w:rPr>
        <w:t>Proposal for a Regulation of the European Parliament and of the Council establishing a budget expenditure tracking and performance framework and other horizontal rules for the Union programmes and activities (COM(2025) 545</w:t>
      </w:r>
      <w:r w:rsidR="00CE473D" w:rsidRPr="00BE6306">
        <w:rPr>
          <w:color w:val="000000" w:themeColor="text1"/>
        </w:rPr>
        <w:t xml:space="preserve"> final</w:t>
      </w:r>
      <w:r w:rsidRPr="00BE6306">
        <w:rPr>
          <w:color w:val="000000" w:themeColor="text1"/>
        </w:rPr>
        <w:t xml:space="preserve">) </w:t>
      </w:r>
    </w:p>
    <w:p w14:paraId="0E9BD573" w14:textId="77EEF3F3" w:rsidR="005F2D14" w:rsidRPr="00BE6306" w:rsidRDefault="007238E1" w:rsidP="005F2D14">
      <w:pPr>
        <w:keepNext/>
        <w:jc w:val="center"/>
        <w:rPr>
          <w:color w:val="000000" w:themeColor="text1"/>
        </w:rPr>
      </w:pPr>
      <w:r w:rsidRPr="00BE6306">
        <w:rPr>
          <w:color w:val="000000" w:themeColor="text1"/>
        </w:rPr>
        <w:t>Amend A</w:t>
      </w:r>
      <w:r w:rsidR="005F2D14" w:rsidRPr="00BE6306">
        <w:rPr>
          <w:color w:val="000000" w:themeColor="text1"/>
        </w:rPr>
        <w:t>rticle 11</w:t>
      </w:r>
    </w:p>
    <w:p w14:paraId="0B586025" w14:textId="77777777" w:rsidR="005F2D14" w:rsidRPr="00BE6306" w:rsidRDefault="005F2D14" w:rsidP="005F2D14">
      <w:pPr>
        <w:rPr>
          <w:color w:val="000000" w:themeColor="text1"/>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CB1D59" w:rsidRPr="00BE6306" w14:paraId="38CFFC4A" w14:textId="77777777" w:rsidTr="001304BC">
        <w:tc>
          <w:tcPr>
            <w:tcW w:w="4643" w:type="dxa"/>
          </w:tcPr>
          <w:p w14:paraId="586D1ADF" w14:textId="77777777" w:rsidR="005F2D14" w:rsidRPr="00BE6306" w:rsidRDefault="005F2D14" w:rsidP="001304BC">
            <w:pPr>
              <w:jc w:val="center"/>
              <w:rPr>
                <w:b/>
                <w:i/>
                <w:color w:val="000000" w:themeColor="text1"/>
              </w:rPr>
            </w:pPr>
            <w:r w:rsidRPr="00BE6306">
              <w:rPr>
                <w:b/>
                <w:i/>
                <w:color w:val="000000" w:themeColor="text1"/>
              </w:rPr>
              <w:t>Text proposed by the European Commission</w:t>
            </w:r>
          </w:p>
        </w:tc>
        <w:tc>
          <w:tcPr>
            <w:tcW w:w="4646" w:type="dxa"/>
          </w:tcPr>
          <w:p w14:paraId="6CACB606" w14:textId="77777777" w:rsidR="005F2D14" w:rsidRPr="00BE6306" w:rsidRDefault="005F2D14" w:rsidP="001304BC">
            <w:pPr>
              <w:jc w:val="center"/>
              <w:rPr>
                <w:b/>
                <w:i/>
                <w:color w:val="000000" w:themeColor="text1"/>
              </w:rPr>
            </w:pPr>
            <w:r w:rsidRPr="00BE6306">
              <w:rPr>
                <w:b/>
                <w:i/>
                <w:color w:val="000000" w:themeColor="text1"/>
              </w:rPr>
              <w:t>CoR amendment</w:t>
            </w:r>
          </w:p>
        </w:tc>
      </w:tr>
      <w:tr w:rsidR="005F2D14" w:rsidRPr="00BE6306" w14:paraId="34847582" w14:textId="77777777" w:rsidTr="001304BC">
        <w:tc>
          <w:tcPr>
            <w:tcW w:w="4643" w:type="dxa"/>
          </w:tcPr>
          <w:p w14:paraId="150ACA7B" w14:textId="77777777" w:rsidR="006819D8" w:rsidRPr="002A298F" w:rsidRDefault="006819D8" w:rsidP="006819D8">
            <w:pPr>
              <w:rPr>
                <w:iCs/>
                <w:color w:val="000000" w:themeColor="text1"/>
              </w:rPr>
            </w:pPr>
            <w:r w:rsidRPr="002A298F">
              <w:rPr>
                <w:iCs/>
                <w:color w:val="000000" w:themeColor="text1"/>
              </w:rPr>
              <w:t>Evaluations by the Member States under shared management</w:t>
            </w:r>
          </w:p>
          <w:p w14:paraId="5A0693E5" w14:textId="77777777" w:rsidR="006819D8" w:rsidRPr="002A298F" w:rsidRDefault="006819D8" w:rsidP="006819D8">
            <w:pPr>
              <w:rPr>
                <w:color w:val="000000" w:themeColor="text1"/>
              </w:rPr>
            </w:pPr>
            <w:r w:rsidRPr="002A298F">
              <w:rPr>
                <w:color w:val="000000" w:themeColor="text1"/>
              </w:rPr>
              <w:t>1.</w:t>
            </w:r>
            <w:r w:rsidRPr="002A298F">
              <w:rPr>
                <w:color w:val="000000" w:themeColor="text1"/>
              </w:rPr>
              <w:tab/>
              <w:t xml:space="preserve">For Union budget implemented under shared management, Member States shall carry out evaluations related to criteria such as effectiveness, efficiency, relevance </w:t>
            </w:r>
            <w:r w:rsidRPr="002A298F">
              <w:rPr>
                <w:b/>
                <w:bCs/>
                <w:i/>
                <w:iCs/>
                <w:color w:val="000000" w:themeColor="text1"/>
              </w:rPr>
              <w:t>and</w:t>
            </w:r>
            <w:r w:rsidRPr="002A298F">
              <w:rPr>
                <w:color w:val="000000" w:themeColor="text1"/>
              </w:rPr>
              <w:t xml:space="preserve"> coherence, with the aim of improving the quality of the design and implementation of the measures and to identify bottlenecks and ways to speed up their implementation. Evaluations may also cover other relevant criteria, such as inclusiveness, visibility and European added value. </w:t>
            </w:r>
          </w:p>
          <w:p w14:paraId="49648F68" w14:textId="77777777" w:rsidR="006819D8" w:rsidRPr="002A298F" w:rsidRDefault="006819D8" w:rsidP="006819D8">
            <w:pPr>
              <w:rPr>
                <w:color w:val="000000" w:themeColor="text1"/>
              </w:rPr>
            </w:pPr>
            <w:r w:rsidRPr="002A298F">
              <w:rPr>
                <w:color w:val="000000" w:themeColor="text1"/>
              </w:rPr>
              <w:t>2.</w:t>
            </w:r>
            <w:r w:rsidRPr="002A298F">
              <w:rPr>
                <w:color w:val="000000" w:themeColor="text1"/>
              </w:rPr>
              <w:tab/>
              <w:t xml:space="preserve">Member States shall carry out evaluations to assess the impact of measures implemented in shared management by means of quantitative techniques, including counterfactual approaches and findings from experimental design, where appropriate, at the latest two years after the end of the programming period. </w:t>
            </w:r>
          </w:p>
          <w:p w14:paraId="31DE731B" w14:textId="77777777" w:rsidR="006819D8" w:rsidRPr="002A298F" w:rsidRDefault="006819D8" w:rsidP="006819D8">
            <w:pPr>
              <w:rPr>
                <w:color w:val="000000" w:themeColor="text1"/>
              </w:rPr>
            </w:pPr>
            <w:r w:rsidRPr="002A298F">
              <w:rPr>
                <w:color w:val="000000" w:themeColor="text1"/>
              </w:rPr>
              <w:t>3.</w:t>
            </w:r>
            <w:r w:rsidRPr="002A298F">
              <w:rPr>
                <w:color w:val="000000" w:themeColor="text1"/>
              </w:rPr>
              <w:tab/>
              <w:t>Member States shall carry out at least one interim evaluation covering the entirety of their plans no later than three years after the start of their implementation.</w:t>
            </w:r>
          </w:p>
          <w:p w14:paraId="3DF2A2FB" w14:textId="77777777" w:rsidR="006819D8" w:rsidRPr="002A298F" w:rsidRDefault="006819D8" w:rsidP="006819D8">
            <w:pPr>
              <w:rPr>
                <w:color w:val="000000" w:themeColor="text1"/>
              </w:rPr>
            </w:pPr>
            <w:r w:rsidRPr="002A298F">
              <w:rPr>
                <w:color w:val="000000" w:themeColor="text1"/>
              </w:rPr>
              <w:t>4.</w:t>
            </w:r>
            <w:r w:rsidRPr="002A298F">
              <w:rPr>
                <w:color w:val="000000" w:themeColor="text1"/>
              </w:rPr>
              <w:tab/>
              <w:t>Member States shall draw up an evaluation roadmap and shall submit it to the relevant monitoring committee and the Commission no later than one year after the approval of their plans.</w:t>
            </w:r>
          </w:p>
          <w:p w14:paraId="20635EA9" w14:textId="77777777" w:rsidR="006819D8" w:rsidRPr="002A298F" w:rsidRDefault="006819D8" w:rsidP="006819D8">
            <w:pPr>
              <w:rPr>
                <w:color w:val="000000" w:themeColor="text1"/>
              </w:rPr>
            </w:pPr>
            <w:r w:rsidRPr="002A298F">
              <w:rPr>
                <w:color w:val="000000" w:themeColor="text1"/>
              </w:rPr>
              <w:t>5.</w:t>
            </w:r>
            <w:r w:rsidRPr="002A298F">
              <w:rPr>
                <w:color w:val="000000" w:themeColor="text1"/>
              </w:rPr>
              <w:tab/>
              <w:t xml:space="preserve">Member States shall entrust evaluations to functionally independent experts. </w:t>
            </w:r>
          </w:p>
          <w:p w14:paraId="1F334D51" w14:textId="77777777" w:rsidR="006819D8" w:rsidRPr="002A298F" w:rsidRDefault="006819D8" w:rsidP="006819D8">
            <w:pPr>
              <w:rPr>
                <w:color w:val="000000" w:themeColor="text1"/>
              </w:rPr>
            </w:pPr>
            <w:r w:rsidRPr="002A298F">
              <w:rPr>
                <w:color w:val="000000" w:themeColor="text1"/>
              </w:rPr>
              <w:t>6.</w:t>
            </w:r>
            <w:r w:rsidRPr="002A298F">
              <w:rPr>
                <w:color w:val="000000" w:themeColor="text1"/>
              </w:rPr>
              <w:tab/>
              <w:t>Member States shall ensure that the necessary procedures are set up to produce and collect the data necessary for evaluations.</w:t>
            </w:r>
          </w:p>
          <w:p w14:paraId="1E0E8351" w14:textId="0E29E0B0" w:rsidR="005F2D14" w:rsidRPr="00BE6306" w:rsidRDefault="006819D8" w:rsidP="006819D8">
            <w:pPr>
              <w:rPr>
                <w:color w:val="000000" w:themeColor="text1"/>
              </w:rPr>
            </w:pPr>
            <w:r w:rsidRPr="002A298F">
              <w:rPr>
                <w:color w:val="000000" w:themeColor="text1"/>
              </w:rPr>
              <w:lastRenderedPageBreak/>
              <w:t>7.</w:t>
            </w:r>
            <w:r w:rsidRPr="002A298F">
              <w:rPr>
                <w:color w:val="000000" w:themeColor="text1"/>
              </w:rPr>
              <w:tab/>
              <w:t>All evaluations shall be published on the website referred to in Article 12(1).</w:t>
            </w:r>
          </w:p>
        </w:tc>
        <w:tc>
          <w:tcPr>
            <w:tcW w:w="4646" w:type="dxa"/>
          </w:tcPr>
          <w:p w14:paraId="2E3B8858" w14:textId="11528102" w:rsidR="00CB1D59" w:rsidRPr="002A298F" w:rsidRDefault="009879A2" w:rsidP="009879A2">
            <w:pPr>
              <w:rPr>
                <w:bCs/>
                <w:iCs/>
                <w:color w:val="000000" w:themeColor="text1"/>
              </w:rPr>
            </w:pPr>
            <w:r w:rsidRPr="002A298F">
              <w:rPr>
                <w:bCs/>
                <w:iCs/>
                <w:color w:val="000000" w:themeColor="text1"/>
              </w:rPr>
              <w:lastRenderedPageBreak/>
              <w:t xml:space="preserve">Evaluations by the Member States </w:t>
            </w:r>
            <w:r w:rsidRPr="002A298F">
              <w:rPr>
                <w:b/>
                <w:bCs/>
                <w:i/>
                <w:iCs/>
                <w:color w:val="000000" w:themeColor="text1"/>
              </w:rPr>
              <w:t>and subnational authorities</w:t>
            </w:r>
            <w:r w:rsidRPr="002A298F">
              <w:rPr>
                <w:bCs/>
                <w:iCs/>
                <w:color w:val="000000" w:themeColor="text1"/>
              </w:rPr>
              <w:t xml:space="preserve"> under shared management</w:t>
            </w:r>
          </w:p>
          <w:p w14:paraId="62A95BCA" w14:textId="047E1840" w:rsidR="009879A2" w:rsidRPr="002A298F" w:rsidRDefault="009879A2" w:rsidP="009879A2">
            <w:pPr>
              <w:rPr>
                <w:bCs/>
                <w:iCs/>
                <w:color w:val="000000" w:themeColor="text1"/>
              </w:rPr>
            </w:pPr>
            <w:r w:rsidRPr="002A298F">
              <w:rPr>
                <w:bCs/>
                <w:iCs/>
                <w:color w:val="000000" w:themeColor="text1"/>
              </w:rPr>
              <w:t>1.</w:t>
            </w:r>
            <w:r w:rsidRPr="002A298F">
              <w:rPr>
                <w:bCs/>
                <w:iCs/>
                <w:color w:val="000000" w:themeColor="text1"/>
              </w:rPr>
              <w:tab/>
              <w:t xml:space="preserve">For Union budget implemented under shared management, Member States </w:t>
            </w:r>
            <w:r w:rsidRPr="002A298F">
              <w:rPr>
                <w:b/>
                <w:bCs/>
                <w:i/>
                <w:iCs/>
                <w:color w:val="000000" w:themeColor="text1"/>
              </w:rPr>
              <w:t>and relevant subnational authorities</w:t>
            </w:r>
            <w:r w:rsidRPr="002A298F">
              <w:rPr>
                <w:bCs/>
                <w:iCs/>
                <w:color w:val="000000" w:themeColor="text1"/>
              </w:rPr>
              <w:t xml:space="preserve"> shall carry out </w:t>
            </w:r>
            <w:r w:rsidR="00D71B7F" w:rsidRPr="002A298F">
              <w:rPr>
                <w:b/>
                <w:i/>
                <w:color w:val="000000" w:themeColor="text1"/>
              </w:rPr>
              <w:t>a multilevel governance assessment and</w:t>
            </w:r>
            <w:r w:rsidR="00D71B7F" w:rsidRPr="002A298F">
              <w:rPr>
                <w:bCs/>
                <w:iCs/>
                <w:color w:val="000000" w:themeColor="text1"/>
              </w:rPr>
              <w:t xml:space="preserve"> </w:t>
            </w:r>
            <w:r w:rsidRPr="002A298F">
              <w:rPr>
                <w:bCs/>
                <w:iCs/>
                <w:color w:val="000000" w:themeColor="text1"/>
              </w:rPr>
              <w:t>evaluations related to criteria such as effectiveness, efficiency, relevance</w:t>
            </w:r>
            <w:r w:rsidR="00D71B7F" w:rsidRPr="002A298F">
              <w:rPr>
                <w:b/>
                <w:i/>
                <w:color w:val="000000" w:themeColor="text1"/>
              </w:rPr>
              <w:t>,</w:t>
            </w:r>
            <w:r w:rsidR="00D71B7F" w:rsidRPr="002A298F">
              <w:rPr>
                <w:bCs/>
                <w:iCs/>
                <w:color w:val="000000" w:themeColor="text1"/>
              </w:rPr>
              <w:t xml:space="preserve"> </w:t>
            </w:r>
            <w:r w:rsidRPr="002A298F">
              <w:rPr>
                <w:bCs/>
                <w:iCs/>
                <w:color w:val="000000" w:themeColor="text1"/>
              </w:rPr>
              <w:t>coherence</w:t>
            </w:r>
            <w:r w:rsidR="005311ED" w:rsidRPr="002A298F">
              <w:rPr>
                <w:bCs/>
                <w:iCs/>
                <w:color w:val="000000" w:themeColor="text1"/>
              </w:rPr>
              <w:t xml:space="preserve"> </w:t>
            </w:r>
            <w:r w:rsidR="005311ED" w:rsidRPr="00BE6306">
              <w:rPr>
                <w:b/>
                <w:i/>
                <w:color w:val="000000" w:themeColor="text1"/>
              </w:rPr>
              <w:t>and territorial cohesion</w:t>
            </w:r>
            <w:r w:rsidRPr="002A298F">
              <w:rPr>
                <w:bCs/>
                <w:iCs/>
                <w:color w:val="000000" w:themeColor="text1"/>
              </w:rPr>
              <w:t xml:space="preserve">, with the aim of improving the quality of the design and implementation of the measures and to identify bottlenecks and ways to speed up their implementation. Evaluations may also cover other relevant criteria, such as inclusiveness, visibility and European added value. </w:t>
            </w:r>
          </w:p>
          <w:p w14:paraId="16333438" w14:textId="77777777" w:rsidR="009879A2" w:rsidRPr="002A298F" w:rsidRDefault="009879A2" w:rsidP="009879A2">
            <w:pPr>
              <w:rPr>
                <w:bCs/>
                <w:iCs/>
                <w:color w:val="000000" w:themeColor="text1"/>
              </w:rPr>
            </w:pPr>
            <w:r w:rsidRPr="002A298F">
              <w:rPr>
                <w:bCs/>
                <w:iCs/>
                <w:color w:val="000000" w:themeColor="text1"/>
              </w:rPr>
              <w:t>2.</w:t>
            </w:r>
            <w:r w:rsidRPr="002A298F">
              <w:rPr>
                <w:bCs/>
                <w:iCs/>
                <w:color w:val="000000" w:themeColor="text1"/>
              </w:rPr>
              <w:tab/>
              <w:t>Member States</w:t>
            </w:r>
            <w:r w:rsidRPr="002A298F">
              <w:rPr>
                <w:b/>
                <w:bCs/>
                <w:i/>
                <w:iCs/>
                <w:color w:val="000000" w:themeColor="text1"/>
              </w:rPr>
              <w:t xml:space="preserve"> and relevant subnational authorities</w:t>
            </w:r>
            <w:r w:rsidRPr="002A298F">
              <w:rPr>
                <w:bCs/>
                <w:iCs/>
                <w:color w:val="000000" w:themeColor="text1"/>
              </w:rPr>
              <w:t xml:space="preserve"> shall carry out evaluations to assess the impact of measures implemented in shared management by means of quantitative techniques, including counterfactual approaches and findings from experimental design, where appropriate, at the latest two years after the end of the programming period. </w:t>
            </w:r>
          </w:p>
          <w:p w14:paraId="45670808" w14:textId="77777777" w:rsidR="009879A2" w:rsidRPr="002A298F" w:rsidRDefault="009879A2" w:rsidP="009879A2">
            <w:pPr>
              <w:rPr>
                <w:bCs/>
                <w:iCs/>
                <w:color w:val="000000" w:themeColor="text1"/>
              </w:rPr>
            </w:pPr>
            <w:r w:rsidRPr="002A298F">
              <w:rPr>
                <w:bCs/>
                <w:iCs/>
                <w:color w:val="000000" w:themeColor="text1"/>
              </w:rPr>
              <w:t>3.</w:t>
            </w:r>
            <w:r w:rsidRPr="002A298F">
              <w:rPr>
                <w:bCs/>
                <w:iCs/>
                <w:color w:val="000000" w:themeColor="text1"/>
              </w:rPr>
              <w:tab/>
              <w:t>Member States</w:t>
            </w:r>
            <w:r w:rsidRPr="002A298F">
              <w:rPr>
                <w:b/>
                <w:bCs/>
                <w:i/>
                <w:iCs/>
                <w:color w:val="000000" w:themeColor="text1"/>
              </w:rPr>
              <w:t xml:space="preserve"> and relevant subnational authorities</w:t>
            </w:r>
            <w:r w:rsidRPr="002A298F">
              <w:rPr>
                <w:bCs/>
                <w:iCs/>
                <w:color w:val="000000" w:themeColor="text1"/>
              </w:rPr>
              <w:t xml:space="preserve"> shall carry out at least one interim evaluation covering the entirety of their plans no later than three years after the start of their implementation.</w:t>
            </w:r>
          </w:p>
          <w:p w14:paraId="1CAC03E2" w14:textId="77777777" w:rsidR="009879A2" w:rsidRPr="002A298F" w:rsidRDefault="009879A2" w:rsidP="009879A2">
            <w:pPr>
              <w:rPr>
                <w:bCs/>
                <w:iCs/>
                <w:color w:val="000000" w:themeColor="text1"/>
              </w:rPr>
            </w:pPr>
            <w:r w:rsidRPr="002A298F">
              <w:rPr>
                <w:bCs/>
                <w:iCs/>
                <w:color w:val="000000" w:themeColor="text1"/>
              </w:rPr>
              <w:t>4.</w:t>
            </w:r>
            <w:r w:rsidRPr="002A298F">
              <w:rPr>
                <w:bCs/>
                <w:iCs/>
                <w:color w:val="000000" w:themeColor="text1"/>
              </w:rPr>
              <w:tab/>
              <w:t>Member States</w:t>
            </w:r>
            <w:r w:rsidRPr="002A298F">
              <w:rPr>
                <w:b/>
                <w:bCs/>
                <w:i/>
                <w:iCs/>
                <w:color w:val="000000" w:themeColor="text1"/>
              </w:rPr>
              <w:t xml:space="preserve"> and relevant subnational authorities</w:t>
            </w:r>
            <w:r w:rsidRPr="002A298F">
              <w:rPr>
                <w:bCs/>
                <w:iCs/>
                <w:color w:val="000000" w:themeColor="text1"/>
              </w:rPr>
              <w:t xml:space="preserve"> shall draw up an evaluation roadmap and shall submit it to the relevant monitoring committee and the Commission no later than one year after the approval of their plans.</w:t>
            </w:r>
          </w:p>
          <w:p w14:paraId="0E1DBAF0" w14:textId="77777777" w:rsidR="009879A2" w:rsidRPr="002A298F" w:rsidRDefault="009879A2" w:rsidP="009879A2">
            <w:pPr>
              <w:rPr>
                <w:bCs/>
                <w:iCs/>
                <w:color w:val="000000" w:themeColor="text1"/>
              </w:rPr>
            </w:pPr>
            <w:r w:rsidRPr="002A298F">
              <w:rPr>
                <w:bCs/>
                <w:iCs/>
                <w:color w:val="000000" w:themeColor="text1"/>
              </w:rPr>
              <w:lastRenderedPageBreak/>
              <w:t>5.</w:t>
            </w:r>
            <w:r w:rsidRPr="002A298F">
              <w:rPr>
                <w:bCs/>
                <w:iCs/>
                <w:color w:val="000000" w:themeColor="text1"/>
              </w:rPr>
              <w:tab/>
              <w:t>Member States</w:t>
            </w:r>
            <w:r w:rsidRPr="002A298F">
              <w:rPr>
                <w:b/>
                <w:bCs/>
                <w:i/>
                <w:iCs/>
                <w:color w:val="000000" w:themeColor="text1"/>
              </w:rPr>
              <w:t xml:space="preserve"> and relevant subnational authorities</w:t>
            </w:r>
            <w:r w:rsidRPr="002A298F">
              <w:rPr>
                <w:bCs/>
                <w:iCs/>
                <w:color w:val="000000" w:themeColor="text1"/>
              </w:rPr>
              <w:t xml:space="preserve"> shall entrust evaluations to functionally independent experts. </w:t>
            </w:r>
          </w:p>
          <w:p w14:paraId="259947C1" w14:textId="77777777" w:rsidR="009879A2" w:rsidRPr="002A298F" w:rsidRDefault="009879A2" w:rsidP="009879A2">
            <w:pPr>
              <w:rPr>
                <w:bCs/>
                <w:iCs/>
                <w:color w:val="000000" w:themeColor="text1"/>
              </w:rPr>
            </w:pPr>
            <w:r w:rsidRPr="002A298F">
              <w:rPr>
                <w:bCs/>
                <w:iCs/>
                <w:color w:val="000000" w:themeColor="text1"/>
              </w:rPr>
              <w:t>6.</w:t>
            </w:r>
            <w:r w:rsidRPr="002A298F">
              <w:rPr>
                <w:bCs/>
                <w:iCs/>
                <w:color w:val="000000" w:themeColor="text1"/>
              </w:rPr>
              <w:tab/>
              <w:t>Member States</w:t>
            </w:r>
            <w:r w:rsidRPr="002A298F">
              <w:rPr>
                <w:b/>
                <w:bCs/>
                <w:i/>
                <w:iCs/>
                <w:color w:val="000000" w:themeColor="text1"/>
              </w:rPr>
              <w:t xml:space="preserve"> and relevant subnational authorities</w:t>
            </w:r>
            <w:r w:rsidRPr="002A298F">
              <w:rPr>
                <w:bCs/>
                <w:iCs/>
                <w:color w:val="000000" w:themeColor="text1"/>
              </w:rPr>
              <w:t xml:space="preserve"> shall ensure that the necessary procedures are set up to produce and collect the data necessary for evaluations.</w:t>
            </w:r>
          </w:p>
          <w:p w14:paraId="2DD08B80" w14:textId="11611360" w:rsidR="005F2D14" w:rsidRPr="00BE6306" w:rsidRDefault="009879A2" w:rsidP="001304BC">
            <w:pPr>
              <w:rPr>
                <w:bCs/>
                <w:iCs/>
                <w:color w:val="000000" w:themeColor="text1"/>
              </w:rPr>
            </w:pPr>
            <w:r w:rsidRPr="002A298F">
              <w:rPr>
                <w:bCs/>
                <w:iCs/>
                <w:color w:val="000000" w:themeColor="text1"/>
              </w:rPr>
              <w:t>7.</w:t>
            </w:r>
            <w:r w:rsidRPr="002A298F">
              <w:rPr>
                <w:bCs/>
                <w:iCs/>
                <w:color w:val="000000" w:themeColor="text1"/>
              </w:rPr>
              <w:tab/>
              <w:t>All evaluations shall be published on the website referred to in Article 12(1).</w:t>
            </w:r>
          </w:p>
        </w:tc>
      </w:tr>
    </w:tbl>
    <w:p w14:paraId="589CC50E" w14:textId="77777777" w:rsidR="005F2D14" w:rsidRPr="00BE6306" w:rsidRDefault="005F2D14" w:rsidP="005F2D14">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CB1D59" w:rsidRPr="00BE6306" w14:paraId="7642480A" w14:textId="77777777" w:rsidTr="001304BC">
        <w:tc>
          <w:tcPr>
            <w:tcW w:w="9289" w:type="dxa"/>
          </w:tcPr>
          <w:p w14:paraId="11409935" w14:textId="77777777" w:rsidR="005F2D14" w:rsidRPr="00BE6306" w:rsidRDefault="005F2D14" w:rsidP="001304BC">
            <w:pPr>
              <w:keepNext/>
              <w:jc w:val="center"/>
              <w:rPr>
                <w:b/>
                <w:bCs/>
                <w:i/>
                <w:color w:val="000000" w:themeColor="text1"/>
              </w:rPr>
            </w:pPr>
            <w:r w:rsidRPr="00BE6306">
              <w:rPr>
                <w:b/>
                <w:i/>
                <w:color w:val="000000" w:themeColor="text1"/>
              </w:rPr>
              <w:t>Reason</w:t>
            </w:r>
          </w:p>
        </w:tc>
      </w:tr>
      <w:tr w:rsidR="006F7816" w:rsidRPr="00BE6306" w14:paraId="1480F0E5" w14:textId="77777777" w:rsidTr="001304BC">
        <w:tc>
          <w:tcPr>
            <w:tcW w:w="9289" w:type="dxa"/>
          </w:tcPr>
          <w:p w14:paraId="67D293E7" w14:textId="1655D669" w:rsidR="005F2D14" w:rsidRPr="00BE6306" w:rsidRDefault="001C3920" w:rsidP="001304BC">
            <w:pPr>
              <w:keepNext/>
              <w:rPr>
                <w:color w:val="000000" w:themeColor="text1"/>
              </w:rPr>
            </w:pPr>
            <w:r w:rsidRPr="00BE6306">
              <w:rPr>
                <w:color w:val="000000" w:themeColor="text1"/>
              </w:rPr>
              <w:t xml:space="preserve">The scope of </w:t>
            </w:r>
            <w:r w:rsidR="00CB1D59" w:rsidRPr="00BE6306">
              <w:rPr>
                <w:color w:val="000000" w:themeColor="text1"/>
              </w:rPr>
              <w:t>NRPPs</w:t>
            </w:r>
            <w:r w:rsidR="006F7816" w:rsidRPr="00BE6306">
              <w:rPr>
                <w:color w:val="000000" w:themeColor="text1"/>
              </w:rPr>
              <w:t>, as reflected in their title,</w:t>
            </w:r>
            <w:r w:rsidRPr="00BE6306">
              <w:rPr>
                <w:color w:val="000000" w:themeColor="text1"/>
              </w:rPr>
              <w:t xml:space="preserve"> requires subnational authorities to</w:t>
            </w:r>
            <w:r w:rsidR="00CB1D59" w:rsidRPr="00BE6306">
              <w:rPr>
                <w:color w:val="000000" w:themeColor="text1"/>
              </w:rPr>
              <w:t xml:space="preserve"> be</w:t>
            </w:r>
            <w:r w:rsidRPr="00BE6306">
              <w:rPr>
                <w:color w:val="000000" w:themeColor="text1"/>
              </w:rPr>
              <w:t xml:space="preserve"> involved in</w:t>
            </w:r>
            <w:r w:rsidR="009D0F4D" w:rsidRPr="00BE6306">
              <w:rPr>
                <w:color w:val="000000" w:themeColor="text1"/>
              </w:rPr>
              <w:t xml:space="preserve"> key functions related to evaluation.</w:t>
            </w:r>
            <w:r w:rsidRPr="00BE6306">
              <w:rPr>
                <w:color w:val="000000" w:themeColor="text1"/>
              </w:rPr>
              <w:t xml:space="preserve"> </w:t>
            </w:r>
            <w:r w:rsidR="005F2D14" w:rsidRPr="00BE6306">
              <w:rPr>
                <w:color w:val="000000" w:themeColor="text1"/>
              </w:rPr>
              <w:t>The increased flexibility and centralisation of shared-management funds under the NRPPs underscore the need for additional evaluation of their territorial effects and compliance with article 174 TFEU</w:t>
            </w:r>
            <w:r w:rsidRPr="00BE6306">
              <w:rPr>
                <w:color w:val="000000" w:themeColor="text1"/>
              </w:rPr>
              <w:t xml:space="preserve">. </w:t>
            </w:r>
          </w:p>
        </w:tc>
      </w:tr>
    </w:tbl>
    <w:p w14:paraId="31A62ADA" w14:textId="77777777" w:rsidR="005F2D14" w:rsidRPr="00BE6306" w:rsidRDefault="005F2D14" w:rsidP="005F2D14">
      <w:pPr>
        <w:rPr>
          <w:color w:val="000000" w:themeColor="text1"/>
        </w:rPr>
      </w:pPr>
    </w:p>
    <w:p w14:paraId="7CB9D37C" w14:textId="191E9C00" w:rsidR="005F2D14" w:rsidRPr="00BE6306" w:rsidRDefault="005F2D14" w:rsidP="005F2D14">
      <w:pPr>
        <w:jc w:val="center"/>
        <w:rPr>
          <w:b/>
          <w:bCs/>
        </w:rPr>
      </w:pPr>
      <w:r w:rsidRPr="00BE6306">
        <w:rPr>
          <w:b/>
        </w:rPr>
        <w:t xml:space="preserve">Amendment </w:t>
      </w:r>
      <w:r w:rsidR="002B199C" w:rsidRPr="00BE6306">
        <w:rPr>
          <w:b/>
        </w:rPr>
        <w:t>10</w:t>
      </w:r>
    </w:p>
    <w:p w14:paraId="7FF33BF2" w14:textId="75ECA290" w:rsidR="005F2D14" w:rsidRPr="00BE6306" w:rsidRDefault="00CB1D59" w:rsidP="005F2D14">
      <w:pPr>
        <w:jc w:val="center"/>
      </w:pPr>
      <w:r w:rsidRPr="00BE6306">
        <w:t>Proposal for a Regulation of the European Parliament and of the Council establishing a budget expenditure tracking and performance framework and other horizontal rules for the Union programmes and activities (COM(2025) 545</w:t>
      </w:r>
      <w:r w:rsidR="00CE473D" w:rsidRPr="00BE6306">
        <w:t xml:space="preserve"> final</w:t>
      </w:r>
      <w:r w:rsidRPr="00BE6306">
        <w:t xml:space="preserve">) </w:t>
      </w:r>
    </w:p>
    <w:p w14:paraId="314FB584" w14:textId="7C660125" w:rsidR="005F2D14" w:rsidRPr="00BE6306" w:rsidRDefault="007238E1" w:rsidP="005F2D14">
      <w:pPr>
        <w:keepNext/>
        <w:jc w:val="center"/>
      </w:pPr>
      <w:r w:rsidRPr="00BE6306">
        <w:t xml:space="preserve">Amend </w:t>
      </w:r>
      <w:r w:rsidR="005F2D14" w:rsidRPr="00BE6306">
        <w:t>Article 12</w:t>
      </w:r>
    </w:p>
    <w:p w14:paraId="59F35381" w14:textId="77777777" w:rsidR="005F2D14" w:rsidRPr="00BE6306" w:rsidRDefault="005F2D14" w:rsidP="005F2D14"/>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F2D14" w:rsidRPr="00BE6306" w14:paraId="0D9DD834" w14:textId="77777777" w:rsidTr="001304BC">
        <w:tc>
          <w:tcPr>
            <w:tcW w:w="4643" w:type="dxa"/>
          </w:tcPr>
          <w:p w14:paraId="66D771CC" w14:textId="77777777" w:rsidR="005F2D14" w:rsidRPr="00BE6306" w:rsidRDefault="005F2D14" w:rsidP="001304BC">
            <w:pPr>
              <w:jc w:val="center"/>
              <w:rPr>
                <w:b/>
                <w:i/>
              </w:rPr>
            </w:pPr>
            <w:r w:rsidRPr="00BE6306">
              <w:rPr>
                <w:b/>
                <w:i/>
              </w:rPr>
              <w:t>Text proposed by the European Commission</w:t>
            </w:r>
          </w:p>
        </w:tc>
        <w:tc>
          <w:tcPr>
            <w:tcW w:w="4646" w:type="dxa"/>
          </w:tcPr>
          <w:p w14:paraId="72359B90" w14:textId="77777777" w:rsidR="005F2D14" w:rsidRPr="00BE6306" w:rsidRDefault="005F2D14" w:rsidP="001304BC">
            <w:pPr>
              <w:jc w:val="center"/>
              <w:rPr>
                <w:b/>
                <w:i/>
              </w:rPr>
            </w:pPr>
            <w:r w:rsidRPr="00BE6306">
              <w:rPr>
                <w:b/>
                <w:i/>
              </w:rPr>
              <w:t>CoR amendment</w:t>
            </w:r>
          </w:p>
        </w:tc>
      </w:tr>
      <w:tr w:rsidR="005F2D14" w:rsidRPr="00BE6306" w14:paraId="24D656CA" w14:textId="77777777" w:rsidTr="001304BC">
        <w:tc>
          <w:tcPr>
            <w:tcW w:w="4643" w:type="dxa"/>
          </w:tcPr>
          <w:p w14:paraId="7B7C0426" w14:textId="3E990A0E" w:rsidR="005F2D14" w:rsidRPr="00BE6306" w:rsidRDefault="005F2D14" w:rsidP="001304BC">
            <w:r w:rsidRPr="00BE6306">
              <w:t>2.</w:t>
            </w:r>
            <w:r w:rsidR="00CE473D" w:rsidRPr="00BE6306">
              <w:tab/>
            </w:r>
            <w:r w:rsidRPr="00BE6306">
              <w:t>With regard to the function referred to in paragraph 1, point (a), of this Article, the Single Gateway shall contain, as appropriate, information on the following elements:</w:t>
            </w:r>
          </w:p>
          <w:p w14:paraId="5FB82E06" w14:textId="482870DB" w:rsidR="005F2D14" w:rsidRPr="00BE6306" w:rsidRDefault="005F2D14" w:rsidP="001304BC">
            <w:r w:rsidRPr="00BE6306">
              <w:t>(a)</w:t>
            </w:r>
            <w:r w:rsidR="00CE473D" w:rsidRPr="00BE6306">
              <w:tab/>
            </w:r>
            <w:r w:rsidRPr="00BE6306">
              <w:t>information on the activities financed by the budget, including on the progress of the financial implementation and performance, broken down by programme and by chapter of a plan by a Member State where relevant;</w:t>
            </w:r>
          </w:p>
          <w:p w14:paraId="37CA7EB6" w14:textId="415CCB07" w:rsidR="005F2D14" w:rsidRPr="00BE6306" w:rsidRDefault="005F2D14" w:rsidP="001304BC">
            <w:r w:rsidRPr="00BE6306">
              <w:t>(b)</w:t>
            </w:r>
            <w:r w:rsidR="00CE473D" w:rsidRPr="00BE6306">
              <w:tab/>
            </w:r>
            <w:r w:rsidRPr="00BE6306">
              <w:t>information on aggregated performance broken down by programme and intervention field, using the relevant performance indicators referred to in Article 8(1),</w:t>
            </w:r>
            <w:r w:rsidR="009853E2" w:rsidRPr="00BE6306">
              <w:t xml:space="preserve"> </w:t>
            </w:r>
            <w:r w:rsidRPr="00BE6306">
              <w:t>first subparagraph,</w:t>
            </w:r>
            <w:r w:rsidR="009853E2" w:rsidRPr="00BE6306">
              <w:t xml:space="preserve"> </w:t>
            </w:r>
            <w:r w:rsidRPr="00BE6306">
              <w:t>point (c), of this Regulation;</w:t>
            </w:r>
          </w:p>
          <w:p w14:paraId="6E6BE07C" w14:textId="468B0358" w:rsidR="005F2D14" w:rsidRPr="00BE6306" w:rsidRDefault="005F2D14" w:rsidP="001304BC">
            <w:r w:rsidRPr="00BE6306">
              <w:t>(c)</w:t>
            </w:r>
            <w:r w:rsidR="00CE473D" w:rsidRPr="00BE6306">
              <w:tab/>
            </w:r>
            <w:r w:rsidRPr="00BE6306">
              <w:t>information on contribution towards policies as referred to in Article 8(1),</w:t>
            </w:r>
            <w:r w:rsidR="009853E2" w:rsidRPr="00BE6306">
              <w:t xml:space="preserve"> </w:t>
            </w:r>
            <w:r w:rsidRPr="00BE6306">
              <w:t>first subparagraph,</w:t>
            </w:r>
            <w:r w:rsidR="009853E2" w:rsidRPr="00BE6306">
              <w:t xml:space="preserve"> </w:t>
            </w:r>
            <w:r w:rsidRPr="00BE6306">
              <w:t>point (b), of this Regulation broken down by programme;</w:t>
            </w:r>
          </w:p>
          <w:p w14:paraId="3B8FE31E" w14:textId="451CB544" w:rsidR="005F2D14" w:rsidRPr="00BE6306" w:rsidRDefault="005F2D14" w:rsidP="001304BC">
            <w:r w:rsidRPr="00BE6306">
              <w:t>(d)</w:t>
            </w:r>
            <w:r w:rsidR="00CE473D" w:rsidRPr="00BE6306">
              <w:tab/>
            </w:r>
            <w:r w:rsidRPr="00BE6306">
              <w:t>operations financed by the budget;</w:t>
            </w:r>
          </w:p>
          <w:p w14:paraId="1A08C94C" w14:textId="6CD6BA6D" w:rsidR="005F2D14" w:rsidRPr="00BE6306" w:rsidRDefault="005F2D14" w:rsidP="001304BC">
            <w:r w:rsidRPr="00BE6306">
              <w:t>(e)</w:t>
            </w:r>
            <w:r w:rsidR="00CE473D" w:rsidRPr="00BE6306">
              <w:tab/>
            </w:r>
            <w:r w:rsidRPr="00BE6306">
              <w:t>for activities implemented directly by the Commission, the level of subscription, in particular, for</w:t>
            </w:r>
            <w:r w:rsidR="009853E2" w:rsidRPr="00BE6306">
              <w:t xml:space="preserve"> </w:t>
            </w:r>
            <w:r w:rsidRPr="00BE6306">
              <w:t>each call for proposals,</w:t>
            </w:r>
            <w:r w:rsidR="009853E2" w:rsidRPr="00BE6306">
              <w:t xml:space="preserve"> </w:t>
            </w:r>
            <w:r w:rsidRPr="00BE6306">
              <w:t xml:space="preserve">the number </w:t>
            </w:r>
            <w:r w:rsidRPr="00BE6306">
              <w:lastRenderedPageBreak/>
              <w:t>of proposals,</w:t>
            </w:r>
            <w:r w:rsidR="009853E2" w:rsidRPr="00BE6306">
              <w:t xml:space="preserve"> </w:t>
            </w:r>
            <w:r w:rsidRPr="00BE6306">
              <w:t>their average score</w:t>
            </w:r>
            <w:r w:rsidR="009853E2" w:rsidRPr="00BE6306">
              <w:t xml:space="preserve"> </w:t>
            </w:r>
            <w:r w:rsidRPr="00BE6306">
              <w:t>and</w:t>
            </w:r>
            <w:r w:rsidR="009853E2" w:rsidRPr="00BE6306">
              <w:t xml:space="preserve"> </w:t>
            </w:r>
            <w:r w:rsidRPr="00BE6306">
              <w:t>the share of proposals above and below quality thresholds;</w:t>
            </w:r>
          </w:p>
          <w:p w14:paraId="5E1F2274" w14:textId="2C55AC3B" w:rsidR="005F2D14" w:rsidRPr="00BE6306" w:rsidRDefault="005F2D14" w:rsidP="001304BC">
            <w:r w:rsidRPr="00BE6306">
              <w:t>(f)information referred to in Article 41(3),</w:t>
            </w:r>
            <w:r w:rsidR="009853E2" w:rsidRPr="00BE6306">
              <w:t xml:space="preserve"> </w:t>
            </w:r>
            <w:r w:rsidRPr="00BE6306">
              <w:t>first subparagraph,</w:t>
            </w:r>
            <w:r w:rsidR="009853E2" w:rsidRPr="00BE6306">
              <w:t xml:space="preserve"> </w:t>
            </w:r>
            <w:r w:rsidRPr="00BE6306">
              <w:t>point (h)</w:t>
            </w:r>
            <w:r w:rsidR="009853E2" w:rsidRPr="00BE6306">
              <w:t xml:space="preserve"> </w:t>
            </w:r>
            <w:r w:rsidRPr="00BE6306">
              <w:t>and Article 253(1), point (e),</w:t>
            </w:r>
            <w:r w:rsidR="009853E2" w:rsidRPr="00BE6306">
              <w:t xml:space="preserve"> </w:t>
            </w:r>
            <w:r w:rsidRPr="00BE6306">
              <w:t>of Regulation (EU, Euratom) 2024/2509.</w:t>
            </w:r>
          </w:p>
          <w:p w14:paraId="6B799EAB" w14:textId="2DFF842C" w:rsidR="005F2D14" w:rsidRPr="00BE6306" w:rsidRDefault="005F2D14" w:rsidP="001304BC">
            <w:r w:rsidRPr="00BE6306">
              <w:t>3.</w:t>
            </w:r>
            <w:r w:rsidR="00CE473D" w:rsidRPr="00BE6306">
              <w:tab/>
            </w:r>
            <w:r w:rsidRPr="00BE6306">
              <w:t>With regard to the function referred to in paragraph 1, point (c), of this Article, the Single Gateway shall contain, regarding the operations financed through</w:t>
            </w:r>
            <w:r w:rsidR="009853E2" w:rsidRPr="00BE6306">
              <w:t xml:space="preserve"> </w:t>
            </w:r>
            <w:r w:rsidRPr="00BE6306">
              <w:t>plans by</w:t>
            </w:r>
            <w:r w:rsidR="009853E2" w:rsidRPr="00BE6306">
              <w:t xml:space="preserve"> </w:t>
            </w:r>
            <w:r w:rsidRPr="00BE6306">
              <w:t>Member States, the</w:t>
            </w:r>
            <w:r w:rsidR="009853E2" w:rsidRPr="00BE6306">
              <w:t xml:space="preserve"> </w:t>
            </w:r>
            <w:r w:rsidRPr="00BE6306">
              <w:t>information</w:t>
            </w:r>
            <w:r w:rsidR="009853E2" w:rsidRPr="00BE6306">
              <w:t xml:space="preserve"> </w:t>
            </w:r>
            <w:r w:rsidRPr="00BE6306">
              <w:t>referred to in Article</w:t>
            </w:r>
            <w:r w:rsidR="009853E2" w:rsidRPr="00BE6306">
              <w:t xml:space="preserve"> </w:t>
            </w:r>
            <w:r w:rsidRPr="00BE6306">
              <w:t>63, paragraph 1, point (e)</w:t>
            </w:r>
            <w:r w:rsidR="009853E2" w:rsidRPr="00BE6306">
              <w:t xml:space="preserve"> </w:t>
            </w:r>
            <w:r w:rsidRPr="00BE6306">
              <w:t>of</w:t>
            </w:r>
            <w:r w:rsidR="009853E2" w:rsidRPr="00BE6306">
              <w:t xml:space="preserve"> </w:t>
            </w:r>
            <w:r w:rsidRPr="00BE6306">
              <w:t>Regulation …/… [National and Regional Partnership Plans].</w:t>
            </w:r>
          </w:p>
          <w:p w14:paraId="33C900DB" w14:textId="77777777" w:rsidR="005F2D14" w:rsidRPr="00BE6306" w:rsidRDefault="005F2D14" w:rsidP="001304BC"/>
        </w:tc>
        <w:tc>
          <w:tcPr>
            <w:tcW w:w="4646" w:type="dxa"/>
          </w:tcPr>
          <w:p w14:paraId="4132996A" w14:textId="3E7E490D" w:rsidR="005F2D14" w:rsidRPr="00BE6306" w:rsidRDefault="005F2D14" w:rsidP="001304BC">
            <w:pPr>
              <w:rPr>
                <w:bCs/>
                <w:iCs/>
              </w:rPr>
            </w:pPr>
            <w:r w:rsidRPr="00BE6306">
              <w:rPr>
                <w:bCs/>
                <w:iCs/>
              </w:rPr>
              <w:lastRenderedPageBreak/>
              <w:t>2.</w:t>
            </w:r>
            <w:r w:rsidR="00CE473D" w:rsidRPr="00BE6306">
              <w:rPr>
                <w:bCs/>
                <w:iCs/>
              </w:rPr>
              <w:tab/>
            </w:r>
            <w:r w:rsidRPr="00BE6306">
              <w:rPr>
                <w:bCs/>
                <w:iCs/>
              </w:rPr>
              <w:t>With regard to the function referred to in paragraph 1, point (a), of this Article, the Single Gateway shall contain, as appropriate, information on the following elements:</w:t>
            </w:r>
          </w:p>
          <w:p w14:paraId="4D3458C4" w14:textId="3D9AB3D2" w:rsidR="005F2D14" w:rsidRPr="00BE6306" w:rsidRDefault="005F2D14" w:rsidP="001304BC">
            <w:pPr>
              <w:rPr>
                <w:bCs/>
                <w:iCs/>
              </w:rPr>
            </w:pPr>
            <w:r w:rsidRPr="00BE6306">
              <w:rPr>
                <w:bCs/>
                <w:iCs/>
              </w:rPr>
              <w:t>(a)</w:t>
            </w:r>
            <w:r w:rsidR="00CE473D" w:rsidRPr="00BE6306">
              <w:rPr>
                <w:bCs/>
                <w:iCs/>
              </w:rPr>
              <w:tab/>
            </w:r>
            <w:r w:rsidRPr="00BE6306">
              <w:rPr>
                <w:bCs/>
                <w:iCs/>
              </w:rPr>
              <w:t>information on the activities financed by the budget, including on the progress of the financial implementation and performance, broken down by programme and by chapter of a plan by a Member State where relevant;</w:t>
            </w:r>
          </w:p>
          <w:p w14:paraId="6C3E2833" w14:textId="660D7086" w:rsidR="005F2D14" w:rsidRPr="00BE6306" w:rsidRDefault="005F2D14" w:rsidP="001304BC">
            <w:pPr>
              <w:rPr>
                <w:bCs/>
                <w:iCs/>
              </w:rPr>
            </w:pPr>
            <w:r w:rsidRPr="00BE6306">
              <w:rPr>
                <w:bCs/>
                <w:iCs/>
              </w:rPr>
              <w:t>(b)</w:t>
            </w:r>
            <w:r w:rsidR="00CE473D" w:rsidRPr="00BE6306">
              <w:rPr>
                <w:bCs/>
                <w:iCs/>
              </w:rPr>
              <w:tab/>
            </w:r>
            <w:r w:rsidRPr="00BE6306">
              <w:rPr>
                <w:bCs/>
                <w:iCs/>
              </w:rPr>
              <w:t>information on aggregated performance broken down by programme and intervention field, using the relevant performance indicators referred to in Article 8(1),</w:t>
            </w:r>
            <w:r w:rsidR="009853E2" w:rsidRPr="00BE6306">
              <w:rPr>
                <w:bCs/>
                <w:iCs/>
              </w:rPr>
              <w:t xml:space="preserve"> </w:t>
            </w:r>
            <w:r w:rsidRPr="00BE6306">
              <w:rPr>
                <w:bCs/>
                <w:iCs/>
              </w:rPr>
              <w:t>first subparagraph,</w:t>
            </w:r>
            <w:r w:rsidR="009853E2" w:rsidRPr="00BE6306">
              <w:rPr>
                <w:bCs/>
                <w:iCs/>
              </w:rPr>
              <w:t xml:space="preserve"> </w:t>
            </w:r>
            <w:r w:rsidRPr="00BE6306">
              <w:rPr>
                <w:bCs/>
                <w:iCs/>
              </w:rPr>
              <w:t>point (c), of this Regulation;</w:t>
            </w:r>
          </w:p>
          <w:p w14:paraId="279913EE" w14:textId="7B1A4743" w:rsidR="005F2D14" w:rsidRPr="00BE6306" w:rsidRDefault="005F2D14" w:rsidP="001304BC">
            <w:pPr>
              <w:rPr>
                <w:bCs/>
                <w:iCs/>
              </w:rPr>
            </w:pPr>
            <w:r w:rsidRPr="00BE6306">
              <w:rPr>
                <w:bCs/>
                <w:iCs/>
              </w:rPr>
              <w:t>(c)</w:t>
            </w:r>
            <w:r w:rsidR="00CE473D" w:rsidRPr="00BE6306">
              <w:rPr>
                <w:bCs/>
                <w:iCs/>
              </w:rPr>
              <w:tab/>
            </w:r>
            <w:r w:rsidRPr="00BE6306">
              <w:rPr>
                <w:bCs/>
                <w:iCs/>
              </w:rPr>
              <w:t>information on contribution towards policies as referred to in Article 8(1),</w:t>
            </w:r>
            <w:r w:rsidR="009853E2" w:rsidRPr="00BE6306">
              <w:rPr>
                <w:bCs/>
                <w:iCs/>
              </w:rPr>
              <w:t xml:space="preserve"> </w:t>
            </w:r>
            <w:r w:rsidRPr="00BE6306">
              <w:rPr>
                <w:bCs/>
                <w:iCs/>
              </w:rPr>
              <w:t>first subparagraph,</w:t>
            </w:r>
            <w:r w:rsidR="009853E2" w:rsidRPr="00BE6306">
              <w:rPr>
                <w:bCs/>
                <w:iCs/>
              </w:rPr>
              <w:t xml:space="preserve"> </w:t>
            </w:r>
            <w:r w:rsidRPr="00BE6306">
              <w:rPr>
                <w:bCs/>
                <w:iCs/>
              </w:rPr>
              <w:t>point (b), of this Regulation broken down by programme;</w:t>
            </w:r>
          </w:p>
          <w:p w14:paraId="369E5E6A" w14:textId="56E73191" w:rsidR="005F2D14" w:rsidRPr="00BE6306" w:rsidRDefault="005F2D14" w:rsidP="001304BC">
            <w:pPr>
              <w:rPr>
                <w:bCs/>
                <w:iCs/>
              </w:rPr>
            </w:pPr>
            <w:r w:rsidRPr="00BE6306">
              <w:rPr>
                <w:bCs/>
                <w:iCs/>
              </w:rPr>
              <w:t>(d)</w:t>
            </w:r>
            <w:r w:rsidR="00CE473D" w:rsidRPr="00BE6306">
              <w:rPr>
                <w:bCs/>
                <w:iCs/>
              </w:rPr>
              <w:tab/>
            </w:r>
            <w:r w:rsidRPr="00BE6306">
              <w:rPr>
                <w:bCs/>
                <w:iCs/>
              </w:rPr>
              <w:t>operations financed by the budget;</w:t>
            </w:r>
          </w:p>
          <w:p w14:paraId="7498D0E3" w14:textId="34823E8D" w:rsidR="005F2D14" w:rsidRPr="00BE6306" w:rsidRDefault="005F2D14" w:rsidP="001304BC">
            <w:pPr>
              <w:rPr>
                <w:bCs/>
                <w:iCs/>
              </w:rPr>
            </w:pPr>
            <w:r w:rsidRPr="00BE6306">
              <w:rPr>
                <w:bCs/>
                <w:iCs/>
              </w:rPr>
              <w:t>(e)</w:t>
            </w:r>
            <w:r w:rsidR="00CE473D" w:rsidRPr="00BE6306">
              <w:rPr>
                <w:bCs/>
                <w:iCs/>
              </w:rPr>
              <w:tab/>
            </w:r>
            <w:r w:rsidRPr="00BE6306">
              <w:rPr>
                <w:bCs/>
                <w:iCs/>
              </w:rPr>
              <w:t>for activities implemented directly by the Commission, the level of subscription, in particular, for</w:t>
            </w:r>
            <w:r w:rsidR="009853E2" w:rsidRPr="00BE6306">
              <w:rPr>
                <w:bCs/>
                <w:iCs/>
              </w:rPr>
              <w:t xml:space="preserve"> </w:t>
            </w:r>
            <w:r w:rsidRPr="00BE6306">
              <w:rPr>
                <w:bCs/>
                <w:iCs/>
              </w:rPr>
              <w:t>each call for proposals,</w:t>
            </w:r>
            <w:r w:rsidR="009853E2" w:rsidRPr="00BE6306">
              <w:rPr>
                <w:bCs/>
                <w:iCs/>
              </w:rPr>
              <w:t xml:space="preserve"> </w:t>
            </w:r>
            <w:r w:rsidRPr="00BE6306">
              <w:rPr>
                <w:bCs/>
                <w:iCs/>
              </w:rPr>
              <w:t xml:space="preserve">the number </w:t>
            </w:r>
            <w:r w:rsidRPr="00BE6306">
              <w:rPr>
                <w:bCs/>
                <w:iCs/>
              </w:rPr>
              <w:lastRenderedPageBreak/>
              <w:t>of proposals,</w:t>
            </w:r>
            <w:r w:rsidR="009853E2" w:rsidRPr="00BE6306">
              <w:rPr>
                <w:bCs/>
                <w:iCs/>
              </w:rPr>
              <w:t xml:space="preserve"> </w:t>
            </w:r>
            <w:r w:rsidRPr="00BE6306">
              <w:rPr>
                <w:bCs/>
                <w:iCs/>
              </w:rPr>
              <w:t>their average score</w:t>
            </w:r>
            <w:r w:rsidR="009853E2" w:rsidRPr="00BE6306">
              <w:rPr>
                <w:bCs/>
                <w:iCs/>
              </w:rPr>
              <w:t xml:space="preserve"> </w:t>
            </w:r>
            <w:r w:rsidRPr="00BE6306">
              <w:rPr>
                <w:bCs/>
                <w:iCs/>
              </w:rPr>
              <w:t>and</w:t>
            </w:r>
            <w:r w:rsidR="009853E2" w:rsidRPr="00BE6306">
              <w:rPr>
                <w:bCs/>
                <w:iCs/>
              </w:rPr>
              <w:t xml:space="preserve"> </w:t>
            </w:r>
            <w:r w:rsidRPr="00BE6306">
              <w:rPr>
                <w:bCs/>
                <w:iCs/>
              </w:rPr>
              <w:t>the share of proposals above and below quality thresholds;</w:t>
            </w:r>
          </w:p>
          <w:p w14:paraId="25928024" w14:textId="31CF660C" w:rsidR="005F2D14" w:rsidRPr="00BE6306" w:rsidRDefault="005F2D14" w:rsidP="001304BC">
            <w:pPr>
              <w:rPr>
                <w:bCs/>
                <w:iCs/>
                <w:strike/>
              </w:rPr>
            </w:pPr>
            <w:r w:rsidRPr="00BE6306">
              <w:rPr>
                <w:bCs/>
                <w:iCs/>
              </w:rPr>
              <w:t>(f)information referred to in Article 41(3),</w:t>
            </w:r>
            <w:r w:rsidR="009853E2" w:rsidRPr="00BE6306">
              <w:rPr>
                <w:bCs/>
                <w:iCs/>
              </w:rPr>
              <w:t xml:space="preserve"> </w:t>
            </w:r>
            <w:r w:rsidRPr="00BE6306">
              <w:rPr>
                <w:bCs/>
                <w:iCs/>
              </w:rPr>
              <w:t>first subparagraph,</w:t>
            </w:r>
            <w:r w:rsidR="009853E2" w:rsidRPr="00BE6306">
              <w:rPr>
                <w:bCs/>
                <w:iCs/>
              </w:rPr>
              <w:t xml:space="preserve"> </w:t>
            </w:r>
            <w:r w:rsidRPr="00BE6306">
              <w:rPr>
                <w:bCs/>
                <w:iCs/>
              </w:rPr>
              <w:t>point (h)</w:t>
            </w:r>
            <w:r w:rsidR="009853E2" w:rsidRPr="00BE6306">
              <w:rPr>
                <w:bCs/>
                <w:iCs/>
              </w:rPr>
              <w:t xml:space="preserve"> </w:t>
            </w:r>
            <w:r w:rsidRPr="00BE6306">
              <w:rPr>
                <w:bCs/>
                <w:iCs/>
              </w:rPr>
              <w:t>and Article 253(1), point (e),</w:t>
            </w:r>
            <w:r w:rsidR="009853E2" w:rsidRPr="00BE6306">
              <w:rPr>
                <w:bCs/>
                <w:iCs/>
              </w:rPr>
              <w:t xml:space="preserve"> </w:t>
            </w:r>
            <w:r w:rsidRPr="00BE6306">
              <w:rPr>
                <w:bCs/>
                <w:iCs/>
              </w:rPr>
              <w:t>of Regulation (EU, Euratom) 2024/2509</w:t>
            </w:r>
            <w:r w:rsidR="00CE473D" w:rsidRPr="00BE6306">
              <w:rPr>
                <w:b/>
                <w:i/>
              </w:rPr>
              <w:t>;</w:t>
            </w:r>
          </w:p>
          <w:p w14:paraId="004A994F" w14:textId="5350F688" w:rsidR="005F2D14" w:rsidRPr="00BE6306" w:rsidRDefault="005F2D14" w:rsidP="001304BC">
            <w:pPr>
              <w:rPr>
                <w:b/>
                <w:i/>
              </w:rPr>
            </w:pPr>
            <w:r w:rsidRPr="00BE6306">
              <w:rPr>
                <w:b/>
                <w:i/>
              </w:rPr>
              <w:t>(</w:t>
            </w:r>
            <w:r w:rsidR="00B77F49" w:rsidRPr="00BE6306">
              <w:rPr>
                <w:b/>
                <w:i/>
              </w:rPr>
              <w:t>g</w:t>
            </w:r>
            <w:r w:rsidRPr="00BE6306">
              <w:rPr>
                <w:b/>
                <w:i/>
              </w:rPr>
              <w:t>)</w:t>
            </w:r>
            <w:r w:rsidR="00CE473D" w:rsidRPr="00BE6306">
              <w:rPr>
                <w:b/>
                <w:i/>
              </w:rPr>
              <w:tab/>
            </w:r>
            <w:r w:rsidRPr="00BE6306">
              <w:rPr>
                <w:b/>
                <w:i/>
              </w:rPr>
              <w:t>information on the aggregated distribution of resources, by Fund or programme, at NUTS2 (or NUTS3, where possible) level, including for</w:t>
            </w:r>
            <w:r w:rsidR="00B77F49" w:rsidRPr="00BE6306">
              <w:rPr>
                <w:b/>
                <w:i/>
              </w:rPr>
              <w:t xml:space="preserve"> shared,</w:t>
            </w:r>
            <w:r w:rsidRPr="00BE6306">
              <w:rPr>
                <w:b/>
                <w:i/>
              </w:rPr>
              <w:t xml:space="preserve"> direct and indirect management funds</w:t>
            </w:r>
            <w:r w:rsidR="00CE473D" w:rsidRPr="00BE6306">
              <w:rPr>
                <w:bCs/>
                <w:iCs/>
              </w:rPr>
              <w:t>.</w:t>
            </w:r>
          </w:p>
          <w:p w14:paraId="09B94D47" w14:textId="4597A778" w:rsidR="005F2D14" w:rsidRPr="00BE6306" w:rsidRDefault="005F2D14" w:rsidP="008F1771">
            <w:pPr>
              <w:rPr>
                <w:bCs/>
                <w:iCs/>
              </w:rPr>
            </w:pPr>
            <w:r w:rsidRPr="00BE6306">
              <w:rPr>
                <w:bCs/>
                <w:iCs/>
              </w:rPr>
              <w:t>3.</w:t>
            </w:r>
            <w:r w:rsidR="00CE473D" w:rsidRPr="00BE6306">
              <w:rPr>
                <w:bCs/>
                <w:iCs/>
              </w:rPr>
              <w:tab/>
            </w:r>
            <w:r w:rsidRPr="00BE6306">
              <w:rPr>
                <w:bCs/>
                <w:iCs/>
              </w:rPr>
              <w:t>With regard to the function referred to in paragraph 1, point (c), of this Article, the Single Gateway shall contain, regarding the operations financed through</w:t>
            </w:r>
            <w:r w:rsidR="009853E2" w:rsidRPr="00BE6306">
              <w:rPr>
                <w:bCs/>
                <w:iCs/>
              </w:rPr>
              <w:t xml:space="preserve"> </w:t>
            </w:r>
            <w:r w:rsidRPr="00BE6306">
              <w:rPr>
                <w:bCs/>
                <w:iCs/>
              </w:rPr>
              <w:t>plans by</w:t>
            </w:r>
            <w:r w:rsidR="009853E2" w:rsidRPr="00BE6306">
              <w:rPr>
                <w:bCs/>
                <w:iCs/>
              </w:rPr>
              <w:t xml:space="preserve"> </w:t>
            </w:r>
            <w:r w:rsidRPr="00BE6306">
              <w:rPr>
                <w:bCs/>
                <w:iCs/>
              </w:rPr>
              <w:t>Member States, the</w:t>
            </w:r>
            <w:r w:rsidR="009853E2" w:rsidRPr="00BE6306">
              <w:rPr>
                <w:bCs/>
                <w:iCs/>
              </w:rPr>
              <w:t xml:space="preserve"> </w:t>
            </w:r>
            <w:r w:rsidRPr="00BE6306">
              <w:rPr>
                <w:bCs/>
                <w:iCs/>
              </w:rPr>
              <w:t>information</w:t>
            </w:r>
            <w:r w:rsidR="009853E2" w:rsidRPr="00BE6306">
              <w:rPr>
                <w:bCs/>
                <w:iCs/>
              </w:rPr>
              <w:t xml:space="preserve"> </w:t>
            </w:r>
            <w:r w:rsidRPr="00BE6306">
              <w:rPr>
                <w:bCs/>
                <w:iCs/>
              </w:rPr>
              <w:t>referred to in Article</w:t>
            </w:r>
            <w:r w:rsidR="009853E2" w:rsidRPr="00BE6306">
              <w:rPr>
                <w:bCs/>
                <w:iCs/>
              </w:rPr>
              <w:t xml:space="preserve"> </w:t>
            </w:r>
            <w:r w:rsidRPr="00BE6306">
              <w:rPr>
                <w:bCs/>
                <w:iCs/>
              </w:rPr>
              <w:t>63, paragraph 1, point (e)</w:t>
            </w:r>
            <w:r w:rsidR="009853E2" w:rsidRPr="00BE6306">
              <w:rPr>
                <w:bCs/>
                <w:iCs/>
              </w:rPr>
              <w:t xml:space="preserve"> </w:t>
            </w:r>
            <w:r w:rsidRPr="00BE6306">
              <w:rPr>
                <w:bCs/>
                <w:iCs/>
              </w:rPr>
              <w:t>of</w:t>
            </w:r>
            <w:r w:rsidR="009853E2" w:rsidRPr="00BE6306">
              <w:rPr>
                <w:bCs/>
                <w:iCs/>
              </w:rPr>
              <w:t xml:space="preserve"> </w:t>
            </w:r>
            <w:r w:rsidRPr="00BE6306">
              <w:rPr>
                <w:bCs/>
                <w:iCs/>
              </w:rPr>
              <w:t>Regulation …/… [National and Regional Partnership Plans].</w:t>
            </w:r>
          </w:p>
        </w:tc>
      </w:tr>
    </w:tbl>
    <w:p w14:paraId="4DCC4D7D" w14:textId="77777777" w:rsidR="005F2D14" w:rsidRPr="00BE6306" w:rsidRDefault="005F2D14" w:rsidP="005F2D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F2D14" w:rsidRPr="00BE6306" w14:paraId="00E0F698" w14:textId="77777777" w:rsidTr="001304BC">
        <w:tc>
          <w:tcPr>
            <w:tcW w:w="9289" w:type="dxa"/>
          </w:tcPr>
          <w:p w14:paraId="31C5808A" w14:textId="77777777" w:rsidR="005F2D14" w:rsidRPr="00BE6306" w:rsidRDefault="005F2D14" w:rsidP="001304BC">
            <w:pPr>
              <w:keepNext/>
              <w:jc w:val="center"/>
              <w:rPr>
                <w:b/>
                <w:bCs/>
                <w:i/>
              </w:rPr>
            </w:pPr>
            <w:r w:rsidRPr="00BE6306">
              <w:rPr>
                <w:b/>
                <w:i/>
              </w:rPr>
              <w:t>Reason</w:t>
            </w:r>
          </w:p>
        </w:tc>
      </w:tr>
      <w:tr w:rsidR="005F2D14" w:rsidRPr="00BE6306" w14:paraId="095DADC0" w14:textId="77777777" w:rsidTr="001304BC">
        <w:tc>
          <w:tcPr>
            <w:tcW w:w="9289" w:type="dxa"/>
          </w:tcPr>
          <w:p w14:paraId="5160CB22" w14:textId="77777777" w:rsidR="005F2D14" w:rsidRPr="00BE6306" w:rsidRDefault="005F2D14" w:rsidP="001304BC">
            <w:pPr>
              <w:keepNext/>
            </w:pPr>
            <w:r w:rsidRPr="00BE6306">
              <w:t>Providing aggregated information on the territorial distribution of funds is critical to ensure more transparency and readability of the data.</w:t>
            </w:r>
          </w:p>
        </w:tc>
      </w:tr>
    </w:tbl>
    <w:p w14:paraId="206F1133" w14:textId="77777777" w:rsidR="00773921" w:rsidRPr="00BE6306" w:rsidRDefault="00773921" w:rsidP="00773921"/>
    <w:p w14:paraId="5FF388AC" w14:textId="46536864" w:rsidR="00773921" w:rsidRPr="00BE6306" w:rsidRDefault="00773921" w:rsidP="00773921">
      <w:pPr>
        <w:jc w:val="center"/>
        <w:rPr>
          <w:b/>
          <w:bCs/>
        </w:rPr>
      </w:pPr>
      <w:r w:rsidRPr="00BE6306">
        <w:rPr>
          <w:b/>
        </w:rPr>
        <w:t xml:space="preserve">Amendment </w:t>
      </w:r>
      <w:r w:rsidR="002B199C" w:rsidRPr="00BE6306">
        <w:rPr>
          <w:b/>
        </w:rPr>
        <w:t>11</w:t>
      </w:r>
    </w:p>
    <w:p w14:paraId="1CCF22B3" w14:textId="4D45B0B0" w:rsidR="00773921" w:rsidRPr="00BE6306" w:rsidRDefault="00CB1D59" w:rsidP="00773921">
      <w:pPr>
        <w:jc w:val="center"/>
      </w:pPr>
      <w:r w:rsidRPr="00BE6306">
        <w:t>Proposal for a Regulation of the European Parliament and of the Council</w:t>
      </w:r>
      <w:r w:rsidR="009853E2" w:rsidRPr="00BE6306">
        <w:t xml:space="preserve"> </w:t>
      </w:r>
      <w:r w:rsidRPr="00BE6306">
        <w:t>establishing</w:t>
      </w:r>
      <w:r w:rsidR="009853E2" w:rsidRPr="00BE6306">
        <w:t xml:space="preserve"> </w:t>
      </w:r>
      <w:r w:rsidRPr="00BE6306">
        <w:t>a budget expenditure tracking and performance framework and other horizontal rules for the Union programmes and activities (COM(2025) 545</w:t>
      </w:r>
      <w:r w:rsidR="00A258BE" w:rsidRPr="00BE6306">
        <w:t xml:space="preserve"> final</w:t>
      </w:r>
      <w:r w:rsidRPr="00BE6306">
        <w:t>)</w:t>
      </w:r>
    </w:p>
    <w:p w14:paraId="5172FC4D" w14:textId="67477E4A" w:rsidR="00773921" w:rsidRPr="00BE6306" w:rsidRDefault="007238E1" w:rsidP="00773921">
      <w:pPr>
        <w:keepNext/>
        <w:jc w:val="center"/>
        <w:rPr>
          <w:color w:val="000000" w:themeColor="text1"/>
        </w:rPr>
      </w:pPr>
      <w:r w:rsidRPr="00BE6306">
        <w:rPr>
          <w:color w:val="000000" w:themeColor="text1"/>
        </w:rPr>
        <w:t xml:space="preserve">Amend </w:t>
      </w:r>
      <w:r w:rsidR="00773921" w:rsidRPr="00BE6306">
        <w:rPr>
          <w:color w:val="000000" w:themeColor="text1"/>
        </w:rPr>
        <w:t>Article 14</w:t>
      </w:r>
    </w:p>
    <w:p w14:paraId="4345F68E" w14:textId="77777777" w:rsidR="00773921" w:rsidRPr="00BE6306" w:rsidRDefault="00773921" w:rsidP="00773921">
      <w:pPr>
        <w:rPr>
          <w:color w:val="000000" w:themeColor="text1"/>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C21B62" w:rsidRPr="00BE6306" w14:paraId="5B299CFC" w14:textId="77777777" w:rsidTr="00391078">
        <w:tc>
          <w:tcPr>
            <w:tcW w:w="4643" w:type="dxa"/>
          </w:tcPr>
          <w:p w14:paraId="6E108498" w14:textId="77777777" w:rsidR="00773921" w:rsidRPr="00BE6306" w:rsidRDefault="00773921" w:rsidP="00391078">
            <w:pPr>
              <w:jc w:val="center"/>
              <w:rPr>
                <w:b/>
                <w:i/>
                <w:color w:val="000000" w:themeColor="text1"/>
              </w:rPr>
            </w:pPr>
            <w:r w:rsidRPr="00BE6306">
              <w:rPr>
                <w:b/>
                <w:i/>
                <w:color w:val="000000" w:themeColor="text1"/>
              </w:rPr>
              <w:t>Text proposed by the European Commission</w:t>
            </w:r>
          </w:p>
        </w:tc>
        <w:tc>
          <w:tcPr>
            <w:tcW w:w="4646" w:type="dxa"/>
          </w:tcPr>
          <w:p w14:paraId="0ABBA159" w14:textId="77777777" w:rsidR="00773921" w:rsidRPr="00BE6306" w:rsidRDefault="00773921" w:rsidP="00391078">
            <w:pPr>
              <w:jc w:val="center"/>
              <w:rPr>
                <w:b/>
                <w:i/>
                <w:color w:val="000000" w:themeColor="text1"/>
              </w:rPr>
            </w:pPr>
            <w:r w:rsidRPr="00BE6306">
              <w:rPr>
                <w:b/>
                <w:i/>
                <w:color w:val="000000" w:themeColor="text1"/>
              </w:rPr>
              <w:t>CoR amendment</w:t>
            </w:r>
          </w:p>
        </w:tc>
      </w:tr>
      <w:tr w:rsidR="008F1771" w:rsidRPr="00BE6306" w14:paraId="0167A84B" w14:textId="77777777" w:rsidTr="00391078">
        <w:tc>
          <w:tcPr>
            <w:tcW w:w="4643" w:type="dxa"/>
          </w:tcPr>
          <w:p w14:paraId="426A320D" w14:textId="77777777" w:rsidR="004000B0" w:rsidRPr="002A298F" w:rsidRDefault="004000B0" w:rsidP="004000B0">
            <w:pPr>
              <w:rPr>
                <w:iCs/>
                <w:color w:val="000000" w:themeColor="text1"/>
              </w:rPr>
            </w:pPr>
            <w:r w:rsidRPr="002A298F">
              <w:rPr>
                <w:iCs/>
                <w:color w:val="000000" w:themeColor="text1"/>
              </w:rPr>
              <w:t>Implementation through plans by Member States – performance monitoring and reporting</w:t>
            </w:r>
          </w:p>
          <w:p w14:paraId="48A88FC9" w14:textId="77777777" w:rsidR="004000B0" w:rsidRPr="002A298F" w:rsidRDefault="004000B0" w:rsidP="004000B0">
            <w:pPr>
              <w:rPr>
                <w:iCs/>
                <w:color w:val="000000" w:themeColor="text1"/>
              </w:rPr>
            </w:pPr>
          </w:p>
          <w:p w14:paraId="7F0EFDFA" w14:textId="77777777" w:rsidR="004000B0" w:rsidRPr="002A298F" w:rsidRDefault="004000B0" w:rsidP="004000B0">
            <w:pPr>
              <w:rPr>
                <w:color w:val="000000" w:themeColor="text1"/>
              </w:rPr>
            </w:pPr>
            <w:r w:rsidRPr="002A298F">
              <w:rPr>
                <w:color w:val="000000" w:themeColor="text1"/>
              </w:rPr>
              <w:t>1.</w:t>
            </w:r>
            <w:r w:rsidRPr="002A298F">
              <w:rPr>
                <w:color w:val="000000" w:themeColor="text1"/>
              </w:rPr>
              <w:tab/>
              <w:t>Each Member State shall have in place a monitoring and reporting system to allow for the monitoring of performance and the automated transmission of information based on the relevant elements of the expenditure tracking and performance framework referred to in Article 8(1). The Member States shall make that information available to the Commissions in an interoperable way through the electronic data exchange system between the Member States and the Commission referred to in Annex XVI to Regulation …/… [National and Regional Partnership Plans – SFC 2028].</w:t>
            </w:r>
          </w:p>
          <w:p w14:paraId="00952CD7" w14:textId="05983279" w:rsidR="004000B0" w:rsidRPr="00BE6306" w:rsidRDefault="004000B0" w:rsidP="00391078">
            <w:pPr>
              <w:rPr>
                <w:color w:val="000000" w:themeColor="text1"/>
              </w:rPr>
            </w:pPr>
          </w:p>
          <w:p w14:paraId="66785E97" w14:textId="7F44131F" w:rsidR="00773921" w:rsidRPr="00BE6306" w:rsidRDefault="00773921" w:rsidP="00391078">
            <w:pPr>
              <w:rPr>
                <w:color w:val="000000" w:themeColor="text1"/>
              </w:rPr>
            </w:pPr>
            <w:r w:rsidRPr="005213CD">
              <w:rPr>
                <w:bCs/>
                <w:iCs/>
                <w:color w:val="000000" w:themeColor="text1"/>
              </w:rPr>
              <w:t>2.</w:t>
            </w:r>
            <w:r w:rsidR="00A258BE" w:rsidRPr="00BE6306">
              <w:rPr>
                <w:bCs/>
                <w:iCs/>
                <w:color w:val="000000" w:themeColor="text1"/>
              </w:rPr>
              <w:tab/>
            </w:r>
            <w:r w:rsidRPr="00BE6306">
              <w:rPr>
                <w:bCs/>
                <w:iCs/>
                <w:color w:val="000000" w:themeColor="text1"/>
              </w:rPr>
              <w:t>Each plan submitted by a Member State, and any amendment thereof, shall include for each measure</w:t>
            </w:r>
            <w:r w:rsidR="009853E2" w:rsidRPr="00BE6306">
              <w:rPr>
                <w:bCs/>
                <w:iCs/>
                <w:color w:val="000000" w:themeColor="text1"/>
              </w:rPr>
              <w:t xml:space="preserve"> </w:t>
            </w:r>
            <w:r w:rsidRPr="00BE6306">
              <w:rPr>
                <w:bCs/>
                <w:iCs/>
                <w:color w:val="000000" w:themeColor="text1"/>
              </w:rPr>
              <w:t>the</w:t>
            </w:r>
            <w:r w:rsidR="009853E2" w:rsidRPr="00BE6306">
              <w:rPr>
                <w:bCs/>
                <w:iCs/>
                <w:color w:val="000000" w:themeColor="text1"/>
              </w:rPr>
              <w:t xml:space="preserve"> </w:t>
            </w:r>
            <w:r w:rsidRPr="00BE6306">
              <w:rPr>
                <w:bCs/>
                <w:iCs/>
                <w:color w:val="000000" w:themeColor="text1"/>
              </w:rPr>
              <w:t>proposed assignment of at least one intervention field from</w:t>
            </w:r>
            <w:r w:rsidR="009853E2" w:rsidRPr="00BE6306">
              <w:rPr>
                <w:bCs/>
                <w:iCs/>
                <w:color w:val="000000" w:themeColor="text1"/>
              </w:rPr>
              <w:t xml:space="preserve"> </w:t>
            </w:r>
            <w:r w:rsidRPr="00BE6306">
              <w:rPr>
                <w:bCs/>
                <w:iCs/>
                <w:color w:val="000000" w:themeColor="text1"/>
              </w:rPr>
              <w:t>Annex I</w:t>
            </w:r>
            <w:r w:rsidR="009853E2" w:rsidRPr="00BE6306">
              <w:rPr>
                <w:bCs/>
                <w:iCs/>
                <w:color w:val="000000" w:themeColor="text1"/>
              </w:rPr>
              <w:t xml:space="preserve"> </w:t>
            </w:r>
            <w:r w:rsidRPr="00BE6306">
              <w:rPr>
                <w:bCs/>
                <w:iCs/>
                <w:color w:val="000000" w:themeColor="text1"/>
              </w:rPr>
              <w:t>and, for each intervention field assigned to</w:t>
            </w:r>
            <w:r w:rsidR="009853E2" w:rsidRPr="00BE6306">
              <w:rPr>
                <w:bCs/>
                <w:iCs/>
                <w:color w:val="000000" w:themeColor="text1"/>
              </w:rPr>
              <w:t xml:space="preserve"> </w:t>
            </w:r>
            <w:r w:rsidRPr="00BE6306">
              <w:rPr>
                <w:bCs/>
                <w:iCs/>
                <w:color w:val="000000" w:themeColor="text1"/>
              </w:rPr>
              <w:t>that measure,</w:t>
            </w:r>
            <w:r w:rsidR="009853E2" w:rsidRPr="00BE6306">
              <w:rPr>
                <w:bCs/>
                <w:iCs/>
                <w:color w:val="000000" w:themeColor="text1"/>
              </w:rPr>
              <w:t xml:space="preserve"> </w:t>
            </w:r>
            <w:r w:rsidRPr="00BE6306">
              <w:rPr>
                <w:bCs/>
                <w:iCs/>
                <w:color w:val="000000" w:themeColor="text1"/>
              </w:rPr>
              <w:t>the following performance indicators as appropriate,</w:t>
            </w:r>
            <w:r w:rsidR="009853E2" w:rsidRPr="00BE6306">
              <w:rPr>
                <w:bCs/>
                <w:iCs/>
                <w:color w:val="000000" w:themeColor="text1"/>
              </w:rPr>
              <w:t xml:space="preserve"> </w:t>
            </w:r>
            <w:r w:rsidRPr="00BE6306">
              <w:rPr>
                <w:bCs/>
                <w:iCs/>
                <w:color w:val="000000" w:themeColor="text1"/>
              </w:rPr>
              <w:t>which shall be subject to the agreement by the Commission:</w:t>
            </w:r>
          </w:p>
          <w:p w14:paraId="32D1A80A" w14:textId="678CD934" w:rsidR="00773921" w:rsidRPr="00BE6306" w:rsidRDefault="00773921" w:rsidP="00391078">
            <w:pPr>
              <w:rPr>
                <w:bCs/>
                <w:iCs/>
                <w:color w:val="000000" w:themeColor="text1"/>
              </w:rPr>
            </w:pPr>
            <w:r w:rsidRPr="00BE6306">
              <w:rPr>
                <w:bCs/>
                <w:iCs/>
                <w:color w:val="000000" w:themeColor="text1"/>
              </w:rPr>
              <w:t>(a)</w:t>
            </w:r>
            <w:r w:rsidR="00A258BE" w:rsidRPr="00BE6306">
              <w:rPr>
                <w:bCs/>
                <w:iCs/>
                <w:color w:val="000000" w:themeColor="text1"/>
              </w:rPr>
              <w:tab/>
            </w:r>
            <w:r w:rsidRPr="00BE6306">
              <w:rPr>
                <w:bCs/>
                <w:iCs/>
                <w:color w:val="000000" w:themeColor="text1"/>
              </w:rPr>
              <w:t>one output indicator defining the final milestone or target for that measure and selected from</w:t>
            </w:r>
            <w:r w:rsidR="009853E2" w:rsidRPr="00BE6306">
              <w:rPr>
                <w:bCs/>
                <w:iCs/>
                <w:color w:val="000000" w:themeColor="text1"/>
              </w:rPr>
              <w:t xml:space="preserve"> </w:t>
            </w:r>
            <w:r w:rsidRPr="00BE6306">
              <w:rPr>
                <w:bCs/>
                <w:iCs/>
                <w:color w:val="000000" w:themeColor="text1"/>
              </w:rPr>
              <w:t>Annex I</w:t>
            </w:r>
            <w:r w:rsidR="009853E2" w:rsidRPr="00BE6306">
              <w:rPr>
                <w:bCs/>
                <w:iCs/>
                <w:color w:val="000000" w:themeColor="text1"/>
              </w:rPr>
              <w:t xml:space="preserve"> </w:t>
            </w:r>
            <w:r w:rsidRPr="00BE6306">
              <w:rPr>
                <w:bCs/>
                <w:iCs/>
                <w:color w:val="000000" w:themeColor="text1"/>
              </w:rPr>
              <w:t>corresponding either to the</w:t>
            </w:r>
            <w:r w:rsidR="009853E2" w:rsidRPr="00BE6306">
              <w:rPr>
                <w:bCs/>
                <w:iCs/>
                <w:color w:val="000000" w:themeColor="text1"/>
              </w:rPr>
              <w:t xml:space="preserve"> </w:t>
            </w:r>
            <w:r w:rsidRPr="00BE6306">
              <w:rPr>
                <w:bCs/>
                <w:iCs/>
                <w:color w:val="000000" w:themeColor="text1"/>
              </w:rPr>
              <w:t>assigned</w:t>
            </w:r>
            <w:r w:rsidR="009853E2" w:rsidRPr="00BE6306">
              <w:rPr>
                <w:bCs/>
                <w:iCs/>
                <w:color w:val="000000" w:themeColor="text1"/>
              </w:rPr>
              <w:t xml:space="preserve"> </w:t>
            </w:r>
            <w:r w:rsidRPr="00BE6306">
              <w:rPr>
                <w:bCs/>
                <w:iCs/>
                <w:color w:val="000000" w:themeColor="text1"/>
              </w:rPr>
              <w:t>intervention field or, where appropriate, to a different intervention field, or</w:t>
            </w:r>
            <w:r w:rsidR="009853E2" w:rsidRPr="00BE6306">
              <w:rPr>
                <w:bCs/>
                <w:iCs/>
                <w:color w:val="000000" w:themeColor="text1"/>
              </w:rPr>
              <w:t xml:space="preserve"> </w:t>
            </w:r>
            <w:r w:rsidRPr="00BE6306">
              <w:rPr>
                <w:bCs/>
                <w:iCs/>
                <w:color w:val="000000" w:themeColor="text1"/>
              </w:rPr>
              <w:t>in duly justified cases and in agreement with the Commission an output indicator not included in</w:t>
            </w:r>
            <w:r w:rsidR="009853E2" w:rsidRPr="00BE6306">
              <w:rPr>
                <w:bCs/>
                <w:iCs/>
                <w:color w:val="000000" w:themeColor="text1"/>
              </w:rPr>
              <w:t xml:space="preserve"> </w:t>
            </w:r>
            <w:r w:rsidRPr="00BE6306">
              <w:rPr>
                <w:bCs/>
                <w:iCs/>
                <w:color w:val="000000" w:themeColor="text1"/>
              </w:rPr>
              <w:t>Annex I;</w:t>
            </w:r>
          </w:p>
          <w:p w14:paraId="302851AA" w14:textId="21758040" w:rsidR="00773921" w:rsidRPr="00BE6306" w:rsidRDefault="00773921" w:rsidP="00391078">
            <w:pPr>
              <w:rPr>
                <w:bCs/>
                <w:iCs/>
                <w:color w:val="000000" w:themeColor="text1"/>
              </w:rPr>
            </w:pPr>
            <w:r w:rsidRPr="00BE6306">
              <w:rPr>
                <w:bCs/>
                <w:iCs/>
                <w:color w:val="000000" w:themeColor="text1"/>
              </w:rPr>
              <w:t>(b)</w:t>
            </w:r>
            <w:r w:rsidR="00A258BE" w:rsidRPr="00BE6306">
              <w:rPr>
                <w:bCs/>
                <w:iCs/>
                <w:color w:val="000000" w:themeColor="text1"/>
              </w:rPr>
              <w:tab/>
            </w:r>
            <w:r w:rsidRPr="00BE6306">
              <w:rPr>
                <w:bCs/>
                <w:iCs/>
                <w:color w:val="000000" w:themeColor="text1"/>
              </w:rPr>
              <w:t>one or more result indicators corresponding to the intervention field of the measure as provided under</w:t>
            </w:r>
            <w:r w:rsidR="009853E2" w:rsidRPr="00BE6306">
              <w:rPr>
                <w:bCs/>
                <w:iCs/>
                <w:color w:val="000000" w:themeColor="text1"/>
              </w:rPr>
              <w:t xml:space="preserve"> </w:t>
            </w:r>
            <w:r w:rsidRPr="00BE6306">
              <w:rPr>
                <w:bCs/>
                <w:iCs/>
                <w:color w:val="000000" w:themeColor="text1"/>
              </w:rPr>
              <w:t>Annex I, if available.</w:t>
            </w:r>
          </w:p>
          <w:p w14:paraId="15D1ABEB" w14:textId="77777777" w:rsidR="00773921" w:rsidRPr="00BE6306" w:rsidRDefault="00773921" w:rsidP="00391078">
            <w:pPr>
              <w:rPr>
                <w:bCs/>
                <w:iCs/>
                <w:color w:val="000000" w:themeColor="text1"/>
              </w:rPr>
            </w:pPr>
            <w:r w:rsidRPr="00BE6306">
              <w:rPr>
                <w:bCs/>
                <w:iCs/>
                <w:color w:val="000000" w:themeColor="text1"/>
              </w:rPr>
              <w:t>No additional output indicators shall be defined other than the output indicator referred to in point (a).</w:t>
            </w:r>
          </w:p>
          <w:p w14:paraId="27BD22F3" w14:textId="77777777" w:rsidR="00773921" w:rsidRPr="00BE6306" w:rsidRDefault="00773921" w:rsidP="00391078">
            <w:pPr>
              <w:rPr>
                <w:bCs/>
                <w:iCs/>
                <w:color w:val="000000" w:themeColor="text1"/>
              </w:rPr>
            </w:pPr>
          </w:p>
          <w:p w14:paraId="1DF2902F" w14:textId="77777777" w:rsidR="00773921" w:rsidRPr="00BE6306" w:rsidRDefault="00773921" w:rsidP="00391078">
            <w:pPr>
              <w:rPr>
                <w:bCs/>
                <w:iCs/>
                <w:color w:val="000000" w:themeColor="text1"/>
              </w:rPr>
            </w:pPr>
            <w:r w:rsidRPr="00BE6306">
              <w:rPr>
                <w:bCs/>
                <w:iCs/>
                <w:color w:val="000000" w:themeColor="text1"/>
              </w:rPr>
              <w:t>Where ‘greenhouse gas emissions avoided’ is assigned as the result indicator, the Member State shall also assign a second result indicator, if available under the same intervention field.</w:t>
            </w:r>
          </w:p>
          <w:p w14:paraId="7D920E9F" w14:textId="77777777" w:rsidR="00773921" w:rsidRPr="00BE6306" w:rsidRDefault="00773921" w:rsidP="00391078">
            <w:pPr>
              <w:rPr>
                <w:bCs/>
                <w:iCs/>
                <w:color w:val="000000" w:themeColor="text1"/>
              </w:rPr>
            </w:pPr>
          </w:p>
          <w:p w14:paraId="6747E8C3" w14:textId="77777777" w:rsidR="00773921" w:rsidRPr="00BE6306" w:rsidRDefault="00773921" w:rsidP="00391078">
            <w:pPr>
              <w:rPr>
                <w:bCs/>
                <w:iCs/>
                <w:color w:val="000000" w:themeColor="text1"/>
              </w:rPr>
            </w:pPr>
            <w:r w:rsidRPr="00BE6306">
              <w:rPr>
                <w:bCs/>
                <w:iCs/>
                <w:color w:val="000000" w:themeColor="text1"/>
              </w:rPr>
              <w:t>Where the Member State has proposed an output indicator not included in Annex I to define a final milestone or target for that measure, and where Annex I does not provide any result indicator corresponding to the intervention field of the measure, the Member State shall either assign one result indicator from the result indicators corresponding to other intervention fields set out in Annex I, or exceptionally assign a result indicator not included in Annex I in agreement with the Commission.</w:t>
            </w:r>
          </w:p>
          <w:p w14:paraId="0BB555F2" w14:textId="77777777" w:rsidR="00CB1D59" w:rsidRPr="00BE6306" w:rsidRDefault="00CB1D59" w:rsidP="00391078">
            <w:pPr>
              <w:rPr>
                <w:bCs/>
                <w:iCs/>
                <w:color w:val="000000" w:themeColor="text1"/>
              </w:rPr>
            </w:pPr>
          </w:p>
          <w:p w14:paraId="58AA333D" w14:textId="12C01E79" w:rsidR="00CB1D59" w:rsidRPr="00BE6306" w:rsidRDefault="00CB1D59" w:rsidP="00CB1D59">
            <w:pPr>
              <w:rPr>
                <w:bCs/>
                <w:iCs/>
                <w:color w:val="000000" w:themeColor="text1"/>
              </w:rPr>
            </w:pPr>
            <w:r w:rsidRPr="002A298F">
              <w:rPr>
                <w:bCs/>
                <w:iCs/>
                <w:color w:val="000000" w:themeColor="text1"/>
              </w:rPr>
              <w:t>3.</w:t>
            </w:r>
            <w:r w:rsidRPr="00BE6306">
              <w:rPr>
                <w:bCs/>
                <w:iCs/>
                <w:color w:val="000000" w:themeColor="text1"/>
              </w:rPr>
              <w:tab/>
            </w:r>
            <w:r w:rsidRPr="002A298F">
              <w:rPr>
                <w:bCs/>
                <w:iCs/>
                <w:color w:val="000000" w:themeColor="text1"/>
              </w:rPr>
              <w:t>Each plan shall provide the baseline and an estimated value for the result indicator assigned to each measure</w:t>
            </w:r>
            <w:r w:rsidR="009853E2" w:rsidRPr="002A298F">
              <w:rPr>
                <w:bCs/>
                <w:iCs/>
                <w:color w:val="000000" w:themeColor="text1"/>
              </w:rPr>
              <w:t xml:space="preserve"> </w:t>
            </w:r>
            <w:r w:rsidRPr="002A298F">
              <w:rPr>
                <w:bCs/>
                <w:iCs/>
                <w:color w:val="000000" w:themeColor="text1"/>
              </w:rPr>
              <w:t>in accordance with</w:t>
            </w:r>
            <w:r w:rsidR="009853E2" w:rsidRPr="002A298F">
              <w:rPr>
                <w:bCs/>
                <w:iCs/>
                <w:color w:val="000000" w:themeColor="text1"/>
              </w:rPr>
              <w:t xml:space="preserve"> </w:t>
            </w:r>
            <w:r w:rsidRPr="002A298F">
              <w:rPr>
                <w:bCs/>
                <w:iCs/>
                <w:color w:val="000000" w:themeColor="text1"/>
              </w:rPr>
              <w:t xml:space="preserve">paragraph 2, including the expected year of achievement of that value. For area- and animal-based income support under the common agricultural policy, such an </w:t>
            </w:r>
            <w:r w:rsidRPr="002A298F">
              <w:rPr>
                <w:bCs/>
                <w:iCs/>
                <w:color w:val="000000" w:themeColor="text1"/>
              </w:rPr>
              <w:lastRenderedPageBreak/>
              <w:t>estimated value shall not be cumulative and shall correspond to the maximum value reached during the programming period.</w:t>
            </w:r>
            <w:r w:rsidR="009853E2" w:rsidRPr="002A298F">
              <w:rPr>
                <w:bCs/>
                <w:iCs/>
                <w:color w:val="000000" w:themeColor="text1"/>
              </w:rPr>
              <w:t xml:space="preserve"> </w:t>
            </w:r>
            <w:r w:rsidR="009853E2" w:rsidRPr="00BE6306">
              <w:rPr>
                <w:bCs/>
                <w:iCs/>
                <w:color w:val="000000" w:themeColor="text1"/>
              </w:rPr>
              <w:t xml:space="preserve"> </w:t>
            </w:r>
          </w:p>
          <w:p w14:paraId="147C8AD9" w14:textId="6D0AB7C8" w:rsidR="00CB1D59" w:rsidRPr="002A298F" w:rsidRDefault="00CB1D59" w:rsidP="00CB1D59">
            <w:pPr>
              <w:rPr>
                <w:bCs/>
                <w:iCs/>
                <w:color w:val="000000" w:themeColor="text1"/>
              </w:rPr>
            </w:pPr>
            <w:r w:rsidRPr="002A298F">
              <w:rPr>
                <w:bCs/>
                <w:iCs/>
                <w:color w:val="000000" w:themeColor="text1"/>
              </w:rPr>
              <w:t>The Member State may update this estimated value during the mid-term revision or any amendment of the plan.</w:t>
            </w:r>
          </w:p>
          <w:p w14:paraId="6241C57E" w14:textId="77777777" w:rsidR="00CB1D59" w:rsidRPr="00BE6306" w:rsidRDefault="00CB1D59" w:rsidP="00CB1D59">
            <w:pPr>
              <w:rPr>
                <w:bCs/>
                <w:iCs/>
                <w:color w:val="000000" w:themeColor="text1"/>
              </w:rPr>
            </w:pPr>
          </w:p>
          <w:p w14:paraId="08E75897" w14:textId="5CD593A9" w:rsidR="00CB1D59" w:rsidRPr="00BE6306" w:rsidRDefault="00CB1D59" w:rsidP="00CB1D59">
            <w:pPr>
              <w:rPr>
                <w:bCs/>
                <w:iCs/>
                <w:color w:val="000000" w:themeColor="text1"/>
              </w:rPr>
            </w:pPr>
            <w:r w:rsidRPr="002A298F">
              <w:rPr>
                <w:bCs/>
                <w:iCs/>
                <w:color w:val="000000" w:themeColor="text1"/>
              </w:rPr>
              <w:t>4.</w:t>
            </w:r>
            <w:r w:rsidRPr="00BE6306">
              <w:rPr>
                <w:bCs/>
                <w:iCs/>
                <w:color w:val="000000" w:themeColor="text1"/>
              </w:rPr>
              <w:tab/>
            </w:r>
            <w:r w:rsidRPr="002A298F">
              <w:rPr>
                <w:bCs/>
                <w:iCs/>
                <w:color w:val="000000" w:themeColor="text1"/>
              </w:rPr>
              <w:t>Each plan</w:t>
            </w:r>
            <w:r w:rsidR="009853E2" w:rsidRPr="002A298F">
              <w:rPr>
                <w:bCs/>
                <w:iCs/>
                <w:color w:val="000000" w:themeColor="text1"/>
              </w:rPr>
              <w:t xml:space="preserve"> </w:t>
            </w:r>
            <w:r w:rsidRPr="002A298F">
              <w:rPr>
                <w:bCs/>
                <w:iCs/>
                <w:color w:val="000000" w:themeColor="text1"/>
              </w:rPr>
              <w:t>submitted</w:t>
            </w:r>
            <w:r w:rsidR="009853E2" w:rsidRPr="002A298F">
              <w:rPr>
                <w:bCs/>
                <w:iCs/>
                <w:color w:val="000000" w:themeColor="text1"/>
              </w:rPr>
              <w:t xml:space="preserve"> </w:t>
            </w:r>
            <w:r w:rsidRPr="002A298F">
              <w:rPr>
                <w:bCs/>
                <w:iCs/>
                <w:color w:val="000000" w:themeColor="text1"/>
              </w:rPr>
              <w:t>by a Member State, and any amendment thereof, shall also include for each measure a proposed assignment of at least one territorial dimension code laid down in part 1 of Annex II and the NUTS2 location</w:t>
            </w:r>
            <w:r w:rsidR="009853E2" w:rsidRPr="002A298F">
              <w:rPr>
                <w:bCs/>
                <w:iCs/>
                <w:color w:val="000000" w:themeColor="text1"/>
              </w:rPr>
              <w:t xml:space="preserve"> </w:t>
            </w:r>
            <w:r w:rsidRPr="002A298F">
              <w:rPr>
                <w:bCs/>
                <w:iCs/>
                <w:color w:val="000000" w:themeColor="text1"/>
              </w:rPr>
              <w:t>pursuant to</w:t>
            </w:r>
            <w:r w:rsidR="009853E2" w:rsidRPr="002A298F">
              <w:rPr>
                <w:bCs/>
                <w:iCs/>
                <w:color w:val="000000" w:themeColor="text1"/>
              </w:rPr>
              <w:t xml:space="preserve"> </w:t>
            </w:r>
            <w:r w:rsidRPr="002A298F">
              <w:rPr>
                <w:bCs/>
                <w:iCs/>
                <w:color w:val="000000" w:themeColor="text1"/>
              </w:rPr>
              <w:t>part 4 of Annex II. When relevant and available, Member States shall also propose territorial dimension codes under part 2 and/or part 3 of Annex II.</w:t>
            </w:r>
          </w:p>
          <w:p w14:paraId="042AC66E" w14:textId="77777777" w:rsidR="00CB1D59" w:rsidRPr="00BE6306" w:rsidRDefault="00CB1D59" w:rsidP="00CB1D59">
            <w:pPr>
              <w:rPr>
                <w:bCs/>
                <w:iCs/>
                <w:color w:val="000000" w:themeColor="text1"/>
              </w:rPr>
            </w:pPr>
          </w:p>
          <w:p w14:paraId="2E3E3D59" w14:textId="77777777" w:rsidR="00CB1D59" w:rsidRPr="00BE6306" w:rsidRDefault="00CB1D59" w:rsidP="00CB1D59">
            <w:pPr>
              <w:rPr>
                <w:bCs/>
                <w:iCs/>
                <w:color w:val="000000" w:themeColor="text1"/>
              </w:rPr>
            </w:pPr>
            <w:r w:rsidRPr="002A298F">
              <w:rPr>
                <w:bCs/>
                <w:iCs/>
                <w:color w:val="000000" w:themeColor="text1"/>
              </w:rPr>
              <w:t>5.</w:t>
            </w:r>
            <w:r w:rsidRPr="00BE6306">
              <w:rPr>
                <w:bCs/>
                <w:iCs/>
                <w:color w:val="000000" w:themeColor="text1"/>
              </w:rPr>
              <w:tab/>
            </w:r>
            <w:r w:rsidRPr="002A298F">
              <w:rPr>
                <w:bCs/>
                <w:iCs/>
                <w:color w:val="000000" w:themeColor="text1"/>
              </w:rPr>
              <w:t>Member States shall make available to the Commission the information on the progress in the selected output indicator in accordance with Article 59, paragraph 1, point (a) of Regulation …/… [National and Regional Partnership Plans] and actual results of the measure against the estimated value of the result indicator assigned to that measure. The information on the result indicator shall be updated by 15 February of each year, until 2037.</w:t>
            </w:r>
          </w:p>
          <w:p w14:paraId="4CB97C8C" w14:textId="77777777" w:rsidR="00773921" w:rsidRPr="00BE6306" w:rsidRDefault="00773921" w:rsidP="00391078">
            <w:pPr>
              <w:rPr>
                <w:bCs/>
                <w:iCs/>
                <w:color w:val="000000" w:themeColor="text1"/>
              </w:rPr>
            </w:pPr>
          </w:p>
          <w:p w14:paraId="02EBDC6E" w14:textId="77777777" w:rsidR="00773921" w:rsidRPr="005213CD" w:rsidRDefault="00773921" w:rsidP="00391078">
            <w:pPr>
              <w:rPr>
                <w:bCs/>
                <w:iCs/>
                <w:color w:val="000000" w:themeColor="text1"/>
              </w:rPr>
            </w:pPr>
          </w:p>
          <w:p w14:paraId="2D742C12" w14:textId="77777777" w:rsidR="00773921" w:rsidRPr="005213CD" w:rsidRDefault="00773921" w:rsidP="00391078">
            <w:pPr>
              <w:rPr>
                <w:color w:val="000000" w:themeColor="text1"/>
              </w:rPr>
            </w:pPr>
          </w:p>
        </w:tc>
        <w:tc>
          <w:tcPr>
            <w:tcW w:w="4646" w:type="dxa"/>
          </w:tcPr>
          <w:p w14:paraId="3767CCA2" w14:textId="77777777" w:rsidR="00D829D3" w:rsidRPr="002A298F" w:rsidRDefault="00D829D3" w:rsidP="00D829D3">
            <w:pPr>
              <w:rPr>
                <w:bCs/>
                <w:iCs/>
                <w:color w:val="000000" w:themeColor="text1"/>
              </w:rPr>
            </w:pPr>
            <w:r w:rsidRPr="002A298F">
              <w:rPr>
                <w:bCs/>
                <w:iCs/>
                <w:color w:val="000000" w:themeColor="text1"/>
              </w:rPr>
              <w:lastRenderedPageBreak/>
              <w:t xml:space="preserve">Implementation through </w:t>
            </w:r>
            <w:r w:rsidRPr="002A298F">
              <w:rPr>
                <w:b/>
                <w:bCs/>
                <w:i/>
                <w:iCs/>
                <w:color w:val="000000" w:themeColor="text1"/>
              </w:rPr>
              <w:t>National and Regional Partnership Plans</w:t>
            </w:r>
            <w:r w:rsidRPr="002A298F">
              <w:rPr>
                <w:bCs/>
                <w:iCs/>
                <w:color w:val="000000" w:themeColor="text1"/>
              </w:rPr>
              <w:t xml:space="preserve"> by Member States </w:t>
            </w:r>
            <w:r w:rsidRPr="002A298F">
              <w:rPr>
                <w:b/>
                <w:bCs/>
                <w:i/>
                <w:iCs/>
                <w:color w:val="000000" w:themeColor="text1"/>
              </w:rPr>
              <w:t>and subnational authorities</w:t>
            </w:r>
            <w:r w:rsidRPr="002A298F">
              <w:rPr>
                <w:bCs/>
                <w:iCs/>
                <w:color w:val="000000" w:themeColor="text1"/>
              </w:rPr>
              <w:t xml:space="preserve"> – performance monitoring and reporting</w:t>
            </w:r>
          </w:p>
          <w:p w14:paraId="636D99FA" w14:textId="77777777" w:rsidR="00D829D3" w:rsidRPr="002A298F" w:rsidRDefault="00D829D3" w:rsidP="00D829D3">
            <w:pPr>
              <w:rPr>
                <w:bCs/>
                <w:iCs/>
                <w:color w:val="000000" w:themeColor="text1"/>
              </w:rPr>
            </w:pPr>
          </w:p>
          <w:p w14:paraId="24224190" w14:textId="77777777" w:rsidR="00D829D3" w:rsidRPr="002A298F" w:rsidRDefault="00D829D3" w:rsidP="00D829D3">
            <w:pPr>
              <w:rPr>
                <w:bCs/>
                <w:iCs/>
                <w:color w:val="000000" w:themeColor="text1"/>
              </w:rPr>
            </w:pPr>
            <w:r w:rsidRPr="002A298F">
              <w:rPr>
                <w:bCs/>
                <w:iCs/>
                <w:color w:val="000000" w:themeColor="text1"/>
              </w:rPr>
              <w:t>1.</w:t>
            </w:r>
            <w:r w:rsidRPr="002A298F">
              <w:rPr>
                <w:bCs/>
                <w:iCs/>
                <w:color w:val="000000" w:themeColor="text1"/>
              </w:rPr>
              <w:tab/>
              <w:t xml:space="preserve">Each Member State </w:t>
            </w:r>
            <w:r w:rsidRPr="002A298F">
              <w:rPr>
                <w:b/>
                <w:bCs/>
                <w:i/>
                <w:iCs/>
                <w:color w:val="000000" w:themeColor="text1"/>
              </w:rPr>
              <w:t>and relevant subnational authorities</w:t>
            </w:r>
            <w:r w:rsidRPr="002A298F">
              <w:rPr>
                <w:bCs/>
                <w:iCs/>
                <w:color w:val="000000" w:themeColor="text1"/>
              </w:rPr>
              <w:t xml:space="preserve"> shall have in place a monitoring and reporting system to allow for the monitoring of performance and the automated transmission of information based on the relevant elements of the expenditure tracking and performance framework referred to in Article 8(1). The Member States</w:t>
            </w:r>
            <w:r w:rsidRPr="002A298F">
              <w:rPr>
                <w:b/>
                <w:bCs/>
                <w:i/>
                <w:iCs/>
                <w:color w:val="000000" w:themeColor="text1"/>
              </w:rPr>
              <w:t xml:space="preserve"> and relevant subnational authorities</w:t>
            </w:r>
            <w:r w:rsidRPr="002A298F">
              <w:rPr>
                <w:bCs/>
                <w:iCs/>
                <w:color w:val="000000" w:themeColor="text1"/>
              </w:rPr>
              <w:t xml:space="preserve"> shall make that information available to the Commissions in an interoperable way through the electronic data exchange system </w:t>
            </w:r>
            <w:r w:rsidRPr="002A298F">
              <w:rPr>
                <w:bCs/>
                <w:iCs/>
                <w:color w:val="000000" w:themeColor="text1"/>
              </w:rPr>
              <w:lastRenderedPageBreak/>
              <w:t>between the Member States</w:t>
            </w:r>
            <w:r w:rsidRPr="002A298F">
              <w:rPr>
                <w:b/>
                <w:bCs/>
                <w:i/>
                <w:iCs/>
                <w:color w:val="000000" w:themeColor="text1"/>
              </w:rPr>
              <w:t xml:space="preserve"> and relevant subnational authorities</w:t>
            </w:r>
            <w:r w:rsidRPr="002A298F">
              <w:rPr>
                <w:bCs/>
                <w:iCs/>
                <w:color w:val="000000" w:themeColor="text1"/>
              </w:rPr>
              <w:t xml:space="preserve"> and the Commission referred to in Annex XVI to Regulation …/… [National and Regional Partnership Plans – SFC 2028].</w:t>
            </w:r>
          </w:p>
          <w:p w14:paraId="14BB131B" w14:textId="77777777" w:rsidR="00410338" w:rsidRPr="00BE6306" w:rsidRDefault="00410338" w:rsidP="00391078">
            <w:pPr>
              <w:rPr>
                <w:bCs/>
                <w:iCs/>
                <w:color w:val="000000" w:themeColor="text1"/>
              </w:rPr>
            </w:pPr>
          </w:p>
          <w:p w14:paraId="5CCB8CA6" w14:textId="2BB30C76" w:rsidR="00773921" w:rsidRPr="00BE6306" w:rsidRDefault="00773921" w:rsidP="00391078">
            <w:pPr>
              <w:rPr>
                <w:bCs/>
                <w:iCs/>
                <w:color w:val="000000" w:themeColor="text1"/>
              </w:rPr>
            </w:pPr>
            <w:r w:rsidRPr="005213CD">
              <w:rPr>
                <w:bCs/>
                <w:iCs/>
                <w:color w:val="000000" w:themeColor="text1"/>
              </w:rPr>
              <w:t>2.</w:t>
            </w:r>
            <w:r w:rsidR="00A258BE" w:rsidRPr="00BE6306">
              <w:rPr>
                <w:bCs/>
                <w:iCs/>
                <w:color w:val="000000" w:themeColor="text1"/>
              </w:rPr>
              <w:tab/>
            </w:r>
            <w:r w:rsidRPr="00BE6306">
              <w:rPr>
                <w:bCs/>
                <w:iCs/>
                <w:color w:val="000000" w:themeColor="text1"/>
              </w:rPr>
              <w:t>Each plan submitted by a Member State</w:t>
            </w:r>
            <w:r w:rsidR="002F4602" w:rsidRPr="00BE6306">
              <w:rPr>
                <w:bCs/>
                <w:iCs/>
                <w:color w:val="000000" w:themeColor="text1"/>
              </w:rPr>
              <w:t xml:space="preserve"> </w:t>
            </w:r>
            <w:r w:rsidR="002F4602" w:rsidRPr="00BE6306">
              <w:rPr>
                <w:b/>
                <w:i/>
                <w:color w:val="000000" w:themeColor="text1"/>
              </w:rPr>
              <w:t>and relevant subnational authorities</w:t>
            </w:r>
            <w:r w:rsidRPr="00BE6306">
              <w:rPr>
                <w:bCs/>
                <w:iCs/>
                <w:color w:val="000000" w:themeColor="text1"/>
              </w:rPr>
              <w:t>, and any amendment thereof, shall include for each measure</w:t>
            </w:r>
            <w:r w:rsidR="009853E2" w:rsidRPr="00BE6306">
              <w:rPr>
                <w:bCs/>
                <w:iCs/>
                <w:color w:val="000000" w:themeColor="text1"/>
              </w:rPr>
              <w:t xml:space="preserve"> </w:t>
            </w:r>
            <w:r w:rsidRPr="00BE6306">
              <w:rPr>
                <w:bCs/>
                <w:iCs/>
                <w:color w:val="000000" w:themeColor="text1"/>
              </w:rPr>
              <w:t>the</w:t>
            </w:r>
            <w:r w:rsidR="009853E2" w:rsidRPr="00BE6306">
              <w:rPr>
                <w:bCs/>
                <w:iCs/>
                <w:color w:val="000000" w:themeColor="text1"/>
              </w:rPr>
              <w:t xml:space="preserve"> </w:t>
            </w:r>
            <w:r w:rsidRPr="00BE6306">
              <w:rPr>
                <w:bCs/>
                <w:iCs/>
                <w:color w:val="000000" w:themeColor="text1"/>
              </w:rPr>
              <w:t>proposed assignment of at least one intervention field from</w:t>
            </w:r>
            <w:r w:rsidR="009853E2" w:rsidRPr="00BE6306">
              <w:rPr>
                <w:bCs/>
                <w:iCs/>
                <w:color w:val="000000" w:themeColor="text1"/>
              </w:rPr>
              <w:t xml:space="preserve"> </w:t>
            </w:r>
            <w:r w:rsidRPr="00BE6306">
              <w:rPr>
                <w:bCs/>
                <w:iCs/>
                <w:color w:val="000000" w:themeColor="text1"/>
              </w:rPr>
              <w:t>Annex I</w:t>
            </w:r>
            <w:r w:rsidR="009853E2" w:rsidRPr="00BE6306">
              <w:rPr>
                <w:bCs/>
                <w:iCs/>
                <w:color w:val="000000" w:themeColor="text1"/>
              </w:rPr>
              <w:t xml:space="preserve"> </w:t>
            </w:r>
            <w:r w:rsidRPr="00BE6306">
              <w:rPr>
                <w:bCs/>
                <w:iCs/>
                <w:color w:val="000000" w:themeColor="text1"/>
              </w:rPr>
              <w:t>and, for each intervention field assigned to</w:t>
            </w:r>
            <w:r w:rsidR="009853E2" w:rsidRPr="00BE6306">
              <w:rPr>
                <w:bCs/>
                <w:iCs/>
                <w:color w:val="000000" w:themeColor="text1"/>
              </w:rPr>
              <w:t xml:space="preserve"> </w:t>
            </w:r>
            <w:r w:rsidRPr="00BE6306">
              <w:rPr>
                <w:bCs/>
                <w:iCs/>
                <w:color w:val="000000" w:themeColor="text1"/>
              </w:rPr>
              <w:t>that measure,</w:t>
            </w:r>
            <w:r w:rsidR="009853E2" w:rsidRPr="00BE6306">
              <w:rPr>
                <w:bCs/>
                <w:iCs/>
                <w:color w:val="000000" w:themeColor="text1"/>
              </w:rPr>
              <w:t xml:space="preserve"> </w:t>
            </w:r>
            <w:r w:rsidRPr="00BE6306">
              <w:rPr>
                <w:bCs/>
                <w:iCs/>
                <w:color w:val="000000" w:themeColor="text1"/>
              </w:rPr>
              <w:t>the following performance indicators as appropriate,</w:t>
            </w:r>
            <w:r w:rsidR="009853E2" w:rsidRPr="00BE6306">
              <w:rPr>
                <w:bCs/>
                <w:iCs/>
                <w:color w:val="000000" w:themeColor="text1"/>
              </w:rPr>
              <w:t xml:space="preserve"> </w:t>
            </w:r>
            <w:r w:rsidRPr="00BE6306">
              <w:rPr>
                <w:bCs/>
                <w:iCs/>
                <w:color w:val="000000" w:themeColor="text1"/>
              </w:rPr>
              <w:t>which shall be subject to the agreement by the Commission:</w:t>
            </w:r>
          </w:p>
          <w:p w14:paraId="07DFB28C" w14:textId="77777777" w:rsidR="00773921" w:rsidRPr="00BE6306" w:rsidRDefault="00773921" w:rsidP="00391078">
            <w:pPr>
              <w:rPr>
                <w:bCs/>
                <w:iCs/>
                <w:color w:val="000000" w:themeColor="text1"/>
              </w:rPr>
            </w:pPr>
          </w:p>
          <w:p w14:paraId="2BD14A1A" w14:textId="1C48909E" w:rsidR="00773921" w:rsidRPr="00BE6306" w:rsidRDefault="00773921" w:rsidP="00391078">
            <w:pPr>
              <w:rPr>
                <w:bCs/>
                <w:iCs/>
                <w:color w:val="000000" w:themeColor="text1"/>
              </w:rPr>
            </w:pPr>
            <w:r w:rsidRPr="00BE6306">
              <w:rPr>
                <w:bCs/>
                <w:iCs/>
                <w:color w:val="000000" w:themeColor="text1"/>
              </w:rPr>
              <w:t>(a)</w:t>
            </w:r>
            <w:r w:rsidR="00A258BE" w:rsidRPr="00BE6306">
              <w:rPr>
                <w:bCs/>
                <w:iCs/>
                <w:color w:val="000000" w:themeColor="text1"/>
              </w:rPr>
              <w:tab/>
            </w:r>
            <w:r w:rsidRPr="00BE6306">
              <w:rPr>
                <w:bCs/>
                <w:iCs/>
                <w:color w:val="000000" w:themeColor="text1"/>
              </w:rPr>
              <w:t>one output indicator defining the final milestone or target for that measure and selected from</w:t>
            </w:r>
            <w:r w:rsidR="009853E2" w:rsidRPr="00BE6306">
              <w:rPr>
                <w:bCs/>
                <w:iCs/>
                <w:color w:val="000000" w:themeColor="text1"/>
              </w:rPr>
              <w:t xml:space="preserve"> </w:t>
            </w:r>
            <w:r w:rsidRPr="00BE6306">
              <w:rPr>
                <w:bCs/>
                <w:iCs/>
                <w:color w:val="000000" w:themeColor="text1"/>
              </w:rPr>
              <w:t>Annex I</w:t>
            </w:r>
            <w:r w:rsidR="009853E2" w:rsidRPr="00BE6306">
              <w:rPr>
                <w:bCs/>
                <w:iCs/>
                <w:color w:val="000000" w:themeColor="text1"/>
              </w:rPr>
              <w:t xml:space="preserve"> </w:t>
            </w:r>
            <w:r w:rsidRPr="00BE6306">
              <w:rPr>
                <w:bCs/>
                <w:iCs/>
                <w:color w:val="000000" w:themeColor="text1"/>
              </w:rPr>
              <w:t>corresponding either to the</w:t>
            </w:r>
            <w:r w:rsidR="009853E2" w:rsidRPr="00BE6306">
              <w:rPr>
                <w:bCs/>
                <w:iCs/>
                <w:color w:val="000000" w:themeColor="text1"/>
              </w:rPr>
              <w:t xml:space="preserve"> </w:t>
            </w:r>
            <w:r w:rsidRPr="00BE6306">
              <w:rPr>
                <w:bCs/>
                <w:iCs/>
                <w:color w:val="000000" w:themeColor="text1"/>
              </w:rPr>
              <w:t>assigned</w:t>
            </w:r>
            <w:r w:rsidR="009853E2" w:rsidRPr="00BE6306">
              <w:rPr>
                <w:bCs/>
                <w:iCs/>
                <w:color w:val="000000" w:themeColor="text1"/>
              </w:rPr>
              <w:t xml:space="preserve"> </w:t>
            </w:r>
            <w:r w:rsidRPr="00BE6306">
              <w:rPr>
                <w:bCs/>
                <w:iCs/>
                <w:color w:val="000000" w:themeColor="text1"/>
              </w:rPr>
              <w:t>intervention field or, where appropriate, to a different intervention field, or</w:t>
            </w:r>
            <w:r w:rsidR="009853E2" w:rsidRPr="00BE6306">
              <w:rPr>
                <w:bCs/>
                <w:iCs/>
                <w:color w:val="000000" w:themeColor="text1"/>
              </w:rPr>
              <w:t xml:space="preserve"> </w:t>
            </w:r>
            <w:r w:rsidRPr="00BE6306">
              <w:rPr>
                <w:bCs/>
                <w:iCs/>
                <w:color w:val="000000" w:themeColor="text1"/>
              </w:rPr>
              <w:t>in duly justified cases and in agreement with the Commission an output indicator not included in</w:t>
            </w:r>
            <w:r w:rsidR="009853E2" w:rsidRPr="00BE6306">
              <w:rPr>
                <w:bCs/>
                <w:iCs/>
                <w:color w:val="000000" w:themeColor="text1"/>
              </w:rPr>
              <w:t xml:space="preserve"> </w:t>
            </w:r>
            <w:r w:rsidRPr="00BE6306">
              <w:rPr>
                <w:bCs/>
                <w:iCs/>
                <w:color w:val="000000" w:themeColor="text1"/>
              </w:rPr>
              <w:t>Annex I;</w:t>
            </w:r>
          </w:p>
          <w:p w14:paraId="22859EC2" w14:textId="26E0BF1D" w:rsidR="00773921" w:rsidRPr="00BE6306" w:rsidRDefault="00773921" w:rsidP="00391078">
            <w:pPr>
              <w:rPr>
                <w:bCs/>
                <w:iCs/>
                <w:color w:val="000000" w:themeColor="text1"/>
              </w:rPr>
            </w:pPr>
            <w:r w:rsidRPr="00BE6306">
              <w:rPr>
                <w:bCs/>
                <w:iCs/>
                <w:color w:val="000000" w:themeColor="text1"/>
              </w:rPr>
              <w:t>(b)</w:t>
            </w:r>
            <w:r w:rsidR="00A258BE" w:rsidRPr="00BE6306">
              <w:rPr>
                <w:bCs/>
                <w:iCs/>
                <w:color w:val="000000" w:themeColor="text1"/>
              </w:rPr>
              <w:tab/>
            </w:r>
            <w:r w:rsidRPr="00BE6306">
              <w:rPr>
                <w:bCs/>
                <w:iCs/>
                <w:color w:val="000000" w:themeColor="text1"/>
              </w:rPr>
              <w:t>one or more result indicators corresponding to the intervention field of the measure as provided under</w:t>
            </w:r>
            <w:r w:rsidR="009853E2" w:rsidRPr="00BE6306">
              <w:rPr>
                <w:bCs/>
                <w:iCs/>
                <w:color w:val="000000" w:themeColor="text1"/>
              </w:rPr>
              <w:t xml:space="preserve"> </w:t>
            </w:r>
            <w:r w:rsidRPr="00BE6306">
              <w:rPr>
                <w:bCs/>
                <w:iCs/>
                <w:color w:val="000000" w:themeColor="text1"/>
              </w:rPr>
              <w:t>Annex I, if available.</w:t>
            </w:r>
          </w:p>
          <w:p w14:paraId="7B282ECC" w14:textId="77777777" w:rsidR="00773921" w:rsidRPr="00BE6306" w:rsidRDefault="00773921" w:rsidP="00391078">
            <w:pPr>
              <w:rPr>
                <w:bCs/>
                <w:iCs/>
                <w:color w:val="000000" w:themeColor="text1"/>
              </w:rPr>
            </w:pPr>
          </w:p>
          <w:p w14:paraId="4F983C66" w14:textId="77777777" w:rsidR="00773921" w:rsidRPr="00BE6306" w:rsidRDefault="00773921" w:rsidP="00391078">
            <w:pPr>
              <w:rPr>
                <w:bCs/>
                <w:iCs/>
                <w:color w:val="000000" w:themeColor="text1"/>
              </w:rPr>
            </w:pPr>
            <w:r w:rsidRPr="00BE6306">
              <w:rPr>
                <w:bCs/>
                <w:iCs/>
                <w:color w:val="000000" w:themeColor="text1"/>
              </w:rPr>
              <w:t>No additional output indicators shall be defined other than the output indicator referred to in point (a).</w:t>
            </w:r>
          </w:p>
          <w:p w14:paraId="1E51EB4D" w14:textId="68A44F9D" w:rsidR="00773921" w:rsidRPr="00BE6306" w:rsidRDefault="00773921" w:rsidP="00391078">
            <w:pPr>
              <w:rPr>
                <w:bCs/>
                <w:iCs/>
                <w:color w:val="000000" w:themeColor="text1"/>
              </w:rPr>
            </w:pPr>
            <w:r w:rsidRPr="00BE6306">
              <w:rPr>
                <w:bCs/>
                <w:iCs/>
                <w:color w:val="000000" w:themeColor="text1"/>
              </w:rPr>
              <w:t xml:space="preserve">Where ‘greenhouse gas emissions avoided’ is assigned as the result indicator, the Member State </w:t>
            </w:r>
            <w:r w:rsidR="00A21DE1" w:rsidRPr="00BE6306">
              <w:rPr>
                <w:b/>
                <w:i/>
                <w:color w:val="000000" w:themeColor="text1"/>
              </w:rPr>
              <w:t>and relevant subnational authorities</w:t>
            </w:r>
            <w:r w:rsidR="00A21DE1" w:rsidRPr="00BE6306">
              <w:rPr>
                <w:bCs/>
                <w:iCs/>
                <w:color w:val="000000" w:themeColor="text1"/>
              </w:rPr>
              <w:t xml:space="preserve"> </w:t>
            </w:r>
            <w:r w:rsidRPr="00BE6306">
              <w:rPr>
                <w:bCs/>
                <w:iCs/>
                <w:color w:val="000000" w:themeColor="text1"/>
              </w:rPr>
              <w:t>shall also assign a second result indicator, if available under the same intervention field.</w:t>
            </w:r>
          </w:p>
          <w:p w14:paraId="47BC9F12" w14:textId="77777777" w:rsidR="00773921" w:rsidRPr="00BE6306" w:rsidRDefault="00773921" w:rsidP="00391078">
            <w:pPr>
              <w:rPr>
                <w:bCs/>
                <w:iCs/>
                <w:color w:val="000000" w:themeColor="text1"/>
              </w:rPr>
            </w:pPr>
          </w:p>
          <w:p w14:paraId="2A2F54ED" w14:textId="77777777" w:rsidR="00773921" w:rsidRPr="00BE6306" w:rsidRDefault="00773921" w:rsidP="00391078">
            <w:pPr>
              <w:rPr>
                <w:b/>
                <w:i/>
                <w:color w:val="000000" w:themeColor="text1"/>
              </w:rPr>
            </w:pPr>
            <w:r w:rsidRPr="00BE6306">
              <w:rPr>
                <w:b/>
                <w:i/>
                <w:color w:val="000000" w:themeColor="text1"/>
              </w:rPr>
              <w:t>In the context of regional and territorial chapters, result indicators for certain measures may not be assigned where it can be demonstrated that there is an objective difficulty in collecting and monitoring data at the corresponding territorial level, or where limitations in the capacity of the managing authority prevent the performance of such tasks.</w:t>
            </w:r>
          </w:p>
          <w:p w14:paraId="74D9C456" w14:textId="77777777" w:rsidR="00773921" w:rsidRPr="00BE6306" w:rsidRDefault="00773921" w:rsidP="00391078">
            <w:pPr>
              <w:rPr>
                <w:b/>
                <w:iCs/>
                <w:color w:val="000000" w:themeColor="text1"/>
              </w:rPr>
            </w:pPr>
          </w:p>
          <w:p w14:paraId="3D4DF90E" w14:textId="77777777" w:rsidR="00213B5E" w:rsidRPr="002A298F" w:rsidRDefault="00213B5E" w:rsidP="00213B5E">
            <w:pPr>
              <w:rPr>
                <w:bCs/>
                <w:iCs/>
                <w:color w:val="000000" w:themeColor="text1"/>
              </w:rPr>
            </w:pPr>
            <w:r w:rsidRPr="002A298F">
              <w:rPr>
                <w:bCs/>
                <w:iCs/>
                <w:color w:val="000000" w:themeColor="text1"/>
              </w:rPr>
              <w:lastRenderedPageBreak/>
              <w:t>Where the Member State</w:t>
            </w:r>
            <w:r w:rsidRPr="002A298F">
              <w:rPr>
                <w:b/>
                <w:bCs/>
                <w:i/>
                <w:iCs/>
                <w:color w:val="000000" w:themeColor="text1"/>
              </w:rPr>
              <w:t xml:space="preserve"> and relevant subnational authorities</w:t>
            </w:r>
            <w:r w:rsidRPr="002A298F">
              <w:rPr>
                <w:bCs/>
                <w:iCs/>
                <w:color w:val="000000" w:themeColor="text1"/>
              </w:rPr>
              <w:t xml:space="preserve"> </w:t>
            </w:r>
            <w:r w:rsidRPr="002A298F">
              <w:rPr>
                <w:b/>
                <w:bCs/>
                <w:i/>
                <w:iCs/>
                <w:color w:val="000000" w:themeColor="text1"/>
              </w:rPr>
              <w:t>have</w:t>
            </w:r>
            <w:r w:rsidRPr="002A298F">
              <w:rPr>
                <w:bCs/>
                <w:iCs/>
                <w:color w:val="000000" w:themeColor="text1"/>
              </w:rPr>
              <w:t xml:space="preserve"> proposed an output indicator not included in Annex I to define a final milestone or target for that measure, and where Annex I does not provide any result indicator corresponding to the intervention field of the measure, the Member State</w:t>
            </w:r>
            <w:r w:rsidRPr="002A298F">
              <w:rPr>
                <w:b/>
                <w:bCs/>
                <w:i/>
                <w:iCs/>
                <w:color w:val="000000" w:themeColor="text1"/>
              </w:rPr>
              <w:t xml:space="preserve"> and relevant subnational authorities</w:t>
            </w:r>
            <w:r w:rsidRPr="002A298F">
              <w:rPr>
                <w:bCs/>
                <w:iCs/>
                <w:color w:val="000000" w:themeColor="text1"/>
              </w:rPr>
              <w:t xml:space="preserve"> shall either assign one result indicator from the result indicators corresponding to other intervention fields set out in Annex I, or exceptionally assign a result indicator not included in Annex I in agreement with the Commission.</w:t>
            </w:r>
          </w:p>
          <w:p w14:paraId="0C1FBF94" w14:textId="77777777" w:rsidR="00773921" w:rsidRPr="002A298F" w:rsidRDefault="00773921" w:rsidP="00391078">
            <w:pPr>
              <w:rPr>
                <w:bCs/>
                <w:iCs/>
                <w:color w:val="000000" w:themeColor="text1"/>
              </w:rPr>
            </w:pPr>
          </w:p>
          <w:p w14:paraId="39054511" w14:textId="17107A7A" w:rsidR="00773921" w:rsidRPr="00BE6306" w:rsidRDefault="00773921" w:rsidP="00391078">
            <w:pPr>
              <w:rPr>
                <w:b/>
                <w:i/>
                <w:color w:val="000000" w:themeColor="text1"/>
              </w:rPr>
            </w:pPr>
            <w:r w:rsidRPr="00BE6306">
              <w:rPr>
                <w:b/>
                <w:i/>
                <w:color w:val="000000" w:themeColor="text1"/>
              </w:rPr>
              <w:t>For the specific purpose of meeting context</w:t>
            </w:r>
            <w:r w:rsidR="00A258BE" w:rsidRPr="00BE6306">
              <w:rPr>
                <w:b/>
                <w:i/>
                <w:color w:val="000000" w:themeColor="text1"/>
              </w:rPr>
              <w:t>-</w:t>
            </w:r>
            <w:r w:rsidRPr="005213CD">
              <w:rPr>
                <w:b/>
                <w:i/>
                <w:color w:val="000000" w:themeColor="text1"/>
              </w:rPr>
              <w:t xml:space="preserve">specific needs, where a regional or territorial chapter is under the responsibility of </w:t>
            </w:r>
            <w:r w:rsidR="008F2ADB" w:rsidRPr="00BE6306">
              <w:rPr>
                <w:b/>
                <w:i/>
                <w:color w:val="000000" w:themeColor="text1"/>
              </w:rPr>
              <w:t xml:space="preserve">a </w:t>
            </w:r>
            <w:r w:rsidR="00254392" w:rsidRPr="00BE6306">
              <w:rPr>
                <w:b/>
                <w:i/>
                <w:color w:val="000000" w:themeColor="text1"/>
              </w:rPr>
              <w:t>subnational</w:t>
            </w:r>
            <w:r w:rsidRPr="00BE6306">
              <w:rPr>
                <w:b/>
                <w:i/>
                <w:color w:val="000000" w:themeColor="text1"/>
              </w:rPr>
              <w:t xml:space="preserve"> managing authority or a local intermediate body, and with the agreement of the Commission, the authority may assign one output indicator not included in Annex I. </w:t>
            </w:r>
          </w:p>
          <w:p w14:paraId="1A376EC6" w14:textId="77777777" w:rsidR="00773921" w:rsidRPr="00BE6306" w:rsidRDefault="00773921" w:rsidP="00391078">
            <w:pPr>
              <w:rPr>
                <w:bCs/>
                <w:iCs/>
                <w:color w:val="000000" w:themeColor="text1"/>
              </w:rPr>
            </w:pPr>
          </w:p>
          <w:p w14:paraId="5BA17459" w14:textId="6E3763F9" w:rsidR="00773921" w:rsidRPr="00BE6306" w:rsidRDefault="00773921" w:rsidP="00391078">
            <w:pPr>
              <w:rPr>
                <w:b/>
                <w:i/>
                <w:color w:val="000000" w:themeColor="text1"/>
              </w:rPr>
            </w:pPr>
            <w:r w:rsidRPr="00BE6306">
              <w:rPr>
                <w:b/>
                <w:i/>
                <w:color w:val="000000" w:themeColor="text1"/>
              </w:rPr>
              <w:t>2a.</w:t>
            </w:r>
            <w:r w:rsidR="00A258BE" w:rsidRPr="00BE6306">
              <w:rPr>
                <w:b/>
                <w:i/>
                <w:color w:val="000000" w:themeColor="text1"/>
              </w:rPr>
              <w:tab/>
            </w:r>
            <w:r w:rsidRPr="00BE6306">
              <w:rPr>
                <w:b/>
                <w:i/>
                <w:color w:val="000000" w:themeColor="text1"/>
              </w:rPr>
              <w:t xml:space="preserve">In accordance with Articles 22 and 51 </w:t>
            </w:r>
            <w:r w:rsidR="0098605E" w:rsidRPr="00BE6306">
              <w:rPr>
                <w:b/>
                <w:i/>
                <w:color w:val="000000" w:themeColor="text1"/>
              </w:rPr>
              <w:t xml:space="preserve">of </w:t>
            </w:r>
            <w:r w:rsidR="002826C5" w:rsidRPr="00BE6306">
              <w:rPr>
                <w:b/>
                <w:i/>
                <w:color w:val="000000" w:themeColor="text1"/>
              </w:rPr>
              <w:t>Regulation …/… [National and Regional Partnership Plans</w:t>
            </w:r>
            <w:r w:rsidR="0098605E" w:rsidRPr="00BE6306">
              <w:rPr>
                <w:b/>
                <w:i/>
                <w:color w:val="000000" w:themeColor="text1"/>
              </w:rPr>
              <w:t>]</w:t>
            </w:r>
            <w:r w:rsidRPr="00BE6306">
              <w:rPr>
                <w:b/>
                <w:i/>
                <w:color w:val="000000" w:themeColor="text1"/>
              </w:rPr>
              <w:t xml:space="preserve">, </w:t>
            </w:r>
            <w:r w:rsidR="00E24EB7" w:rsidRPr="00BE6306">
              <w:rPr>
                <w:b/>
                <w:i/>
                <w:color w:val="000000" w:themeColor="text1"/>
              </w:rPr>
              <w:t>subnational</w:t>
            </w:r>
            <w:r w:rsidRPr="00BE6306">
              <w:rPr>
                <w:b/>
                <w:i/>
                <w:color w:val="000000" w:themeColor="text1"/>
              </w:rPr>
              <w:t xml:space="preserve"> managing authorities in charge of regional or territorial chapters shall be fully responsible vis-à-vis the Commission for preparing the list of intervention fields and associated indicators, and the envisaged milestones and targets, of the said chapters, including their indicative completion dates, without prejudice to their autonomy in carrying out this task. They shall also be fully responsible for monitoring the progress towards the achievements of milestones and targets and for the transmission of related data to the Commission. </w:t>
            </w:r>
          </w:p>
          <w:p w14:paraId="5BF9730A" w14:textId="77777777" w:rsidR="00773921" w:rsidRPr="00BE6306" w:rsidRDefault="00773921" w:rsidP="00391078">
            <w:pPr>
              <w:rPr>
                <w:b/>
                <w:i/>
                <w:color w:val="000000" w:themeColor="text1"/>
              </w:rPr>
            </w:pPr>
          </w:p>
          <w:p w14:paraId="0BBF3861" w14:textId="5E033680" w:rsidR="00773921" w:rsidRPr="00BE6306" w:rsidRDefault="00773921" w:rsidP="00391078">
            <w:pPr>
              <w:rPr>
                <w:bCs/>
                <w:iCs/>
                <w:color w:val="000000" w:themeColor="text1"/>
              </w:rPr>
            </w:pPr>
            <w:r w:rsidRPr="00BE6306">
              <w:rPr>
                <w:bCs/>
                <w:iCs/>
                <w:color w:val="000000" w:themeColor="text1"/>
              </w:rPr>
              <w:t>3.</w:t>
            </w:r>
            <w:r w:rsidR="00A258BE" w:rsidRPr="00BE6306">
              <w:rPr>
                <w:bCs/>
                <w:iCs/>
                <w:color w:val="000000" w:themeColor="text1"/>
              </w:rPr>
              <w:tab/>
            </w:r>
            <w:r w:rsidRPr="00BE6306">
              <w:rPr>
                <w:bCs/>
                <w:iCs/>
                <w:color w:val="000000" w:themeColor="text1"/>
              </w:rPr>
              <w:t xml:space="preserve">Each plan shall provide the baseline and an estimated value for the result indicator assigned to each measure in accordance with paragraph 2, including the expected year of achievement of that value. For area- and animal-based income support under the common agricultural policy, such an estimated value shall not be cumulative and shall </w:t>
            </w:r>
            <w:r w:rsidRPr="00BE6306">
              <w:rPr>
                <w:bCs/>
                <w:iCs/>
                <w:color w:val="000000" w:themeColor="text1"/>
              </w:rPr>
              <w:lastRenderedPageBreak/>
              <w:t>correspond to the maximum value reached during the programming period.</w:t>
            </w:r>
          </w:p>
          <w:p w14:paraId="41E28A60" w14:textId="77777777" w:rsidR="00773921" w:rsidRPr="00BE6306" w:rsidRDefault="00773921" w:rsidP="00391078">
            <w:pPr>
              <w:rPr>
                <w:bCs/>
                <w:iCs/>
                <w:color w:val="000000" w:themeColor="text1"/>
              </w:rPr>
            </w:pPr>
          </w:p>
          <w:p w14:paraId="2AE35400" w14:textId="77777777" w:rsidR="00773921" w:rsidRPr="00BE6306" w:rsidRDefault="00773921" w:rsidP="00391078">
            <w:pPr>
              <w:rPr>
                <w:bCs/>
                <w:iCs/>
                <w:color w:val="000000" w:themeColor="text1"/>
              </w:rPr>
            </w:pPr>
            <w:r w:rsidRPr="00BE6306">
              <w:rPr>
                <w:bCs/>
                <w:iCs/>
                <w:color w:val="000000" w:themeColor="text1"/>
              </w:rPr>
              <w:t>The Member State may update this estimated value during the mid-term revision or any amendment of the plan.</w:t>
            </w:r>
          </w:p>
          <w:p w14:paraId="6E1A56A5" w14:textId="77777777" w:rsidR="00773921" w:rsidRPr="00BE6306" w:rsidRDefault="00773921" w:rsidP="00391078">
            <w:pPr>
              <w:rPr>
                <w:bCs/>
                <w:iCs/>
                <w:color w:val="000000" w:themeColor="text1"/>
              </w:rPr>
            </w:pPr>
          </w:p>
          <w:p w14:paraId="037ADF32" w14:textId="3C4EADD5" w:rsidR="00773921" w:rsidRPr="00BE6306" w:rsidRDefault="00773921" w:rsidP="00391078">
            <w:pPr>
              <w:rPr>
                <w:b/>
                <w:i/>
                <w:color w:val="000000" w:themeColor="text1"/>
              </w:rPr>
            </w:pPr>
            <w:r w:rsidRPr="00BE6306">
              <w:rPr>
                <w:b/>
                <w:i/>
                <w:color w:val="000000" w:themeColor="text1"/>
              </w:rPr>
              <w:t xml:space="preserve">Estimated </w:t>
            </w:r>
            <w:r w:rsidR="002A6AAA" w:rsidRPr="00BE6306">
              <w:rPr>
                <w:b/>
                <w:i/>
                <w:color w:val="000000" w:themeColor="text1"/>
              </w:rPr>
              <w:t>values for targets and milestones</w:t>
            </w:r>
            <w:r w:rsidRPr="00BE6306">
              <w:rPr>
                <w:b/>
                <w:i/>
                <w:color w:val="000000" w:themeColor="text1"/>
              </w:rPr>
              <w:t xml:space="preserve"> shall be proposed, where appropriate, as a range of ±10</w:t>
            </w:r>
            <w:r w:rsidR="00A258BE" w:rsidRPr="00BE6306">
              <w:rPr>
                <w:b/>
                <w:i/>
                <w:color w:val="000000" w:themeColor="text1"/>
              </w:rPr>
              <w:t> </w:t>
            </w:r>
            <w:r w:rsidRPr="00BE6306">
              <w:rPr>
                <w:b/>
                <w:i/>
                <w:color w:val="000000" w:themeColor="text1"/>
              </w:rPr>
              <w:t>% to take into due account uncertainties related to implementation and measurement.</w:t>
            </w:r>
          </w:p>
          <w:p w14:paraId="1BD14055" w14:textId="77777777" w:rsidR="00773921" w:rsidRPr="00BE6306" w:rsidRDefault="00773921" w:rsidP="00391078">
            <w:pPr>
              <w:rPr>
                <w:bCs/>
                <w:iCs/>
                <w:color w:val="000000" w:themeColor="text1"/>
              </w:rPr>
            </w:pPr>
          </w:p>
          <w:p w14:paraId="459DB513" w14:textId="316F9C59" w:rsidR="00773921" w:rsidRPr="00BE6306" w:rsidRDefault="00773921" w:rsidP="00391078">
            <w:pPr>
              <w:rPr>
                <w:b/>
                <w:i/>
                <w:color w:val="000000" w:themeColor="text1"/>
              </w:rPr>
            </w:pPr>
            <w:r w:rsidRPr="00BE6306">
              <w:rPr>
                <w:b/>
                <w:i/>
                <w:color w:val="000000" w:themeColor="text1"/>
              </w:rPr>
              <w:t>4.</w:t>
            </w:r>
            <w:r w:rsidR="00A258BE" w:rsidRPr="00BE6306">
              <w:rPr>
                <w:b/>
                <w:i/>
                <w:color w:val="000000" w:themeColor="text1"/>
              </w:rPr>
              <w:tab/>
            </w:r>
            <w:r w:rsidRPr="00BE6306">
              <w:rPr>
                <w:b/>
                <w:i/>
                <w:color w:val="000000" w:themeColor="text1"/>
              </w:rPr>
              <w:t xml:space="preserve">For regional chapters managed by </w:t>
            </w:r>
            <w:r w:rsidR="00DC2D25" w:rsidRPr="00BE6306">
              <w:rPr>
                <w:b/>
                <w:i/>
                <w:color w:val="000000" w:themeColor="text1"/>
              </w:rPr>
              <w:t xml:space="preserve">subnational </w:t>
            </w:r>
            <w:r w:rsidRPr="00BE6306">
              <w:rPr>
                <w:b/>
                <w:i/>
                <w:color w:val="000000" w:themeColor="text1"/>
              </w:rPr>
              <w:t xml:space="preserve">managing authorities, by way of derogation from Article 24 of </w:t>
            </w:r>
            <w:r w:rsidR="002826C5" w:rsidRPr="00BE6306">
              <w:rPr>
                <w:b/>
                <w:i/>
                <w:color w:val="000000" w:themeColor="text1"/>
              </w:rPr>
              <w:t>Regulation …/… [National and Regional Partnership Plans</w:t>
            </w:r>
            <w:r w:rsidR="0098605E" w:rsidRPr="00BE6306">
              <w:rPr>
                <w:b/>
                <w:i/>
                <w:color w:val="000000" w:themeColor="text1"/>
              </w:rPr>
              <w:t>]</w:t>
            </w:r>
            <w:r w:rsidRPr="00BE6306">
              <w:rPr>
                <w:b/>
                <w:i/>
                <w:color w:val="000000" w:themeColor="text1"/>
              </w:rPr>
              <w:t xml:space="preserve"> minor adjustments of up to 15</w:t>
            </w:r>
            <w:r w:rsidR="00A258BE" w:rsidRPr="00BE6306">
              <w:rPr>
                <w:b/>
                <w:i/>
                <w:color w:val="000000" w:themeColor="text1"/>
              </w:rPr>
              <w:t> </w:t>
            </w:r>
            <w:r w:rsidRPr="00BE6306">
              <w:rPr>
                <w:b/>
                <w:i/>
                <w:color w:val="000000" w:themeColor="text1"/>
              </w:rPr>
              <w:t xml:space="preserve">% of a target may be made without requiring an amending decision of the Commission to take account of reduced capacity of </w:t>
            </w:r>
            <w:r w:rsidR="008F2ADB" w:rsidRPr="00BE6306">
              <w:rPr>
                <w:b/>
                <w:i/>
                <w:color w:val="000000" w:themeColor="text1"/>
              </w:rPr>
              <w:t>subnational</w:t>
            </w:r>
            <w:r w:rsidRPr="00BE6306">
              <w:rPr>
                <w:b/>
                <w:i/>
                <w:color w:val="000000" w:themeColor="text1"/>
              </w:rPr>
              <w:t xml:space="preserve"> authorities. </w:t>
            </w:r>
          </w:p>
          <w:p w14:paraId="4E387C95" w14:textId="77777777" w:rsidR="00773921" w:rsidRPr="00BE6306" w:rsidRDefault="00773921" w:rsidP="00391078">
            <w:pPr>
              <w:rPr>
                <w:bCs/>
                <w:iCs/>
                <w:color w:val="000000" w:themeColor="text1"/>
              </w:rPr>
            </w:pPr>
          </w:p>
          <w:p w14:paraId="6810426F" w14:textId="55628FE3" w:rsidR="00773921" w:rsidRPr="00BE6306" w:rsidRDefault="00773921" w:rsidP="00391078">
            <w:pPr>
              <w:rPr>
                <w:b/>
                <w:i/>
                <w:color w:val="000000" w:themeColor="text1"/>
              </w:rPr>
            </w:pPr>
            <w:r w:rsidRPr="00BE6306">
              <w:rPr>
                <w:b/>
                <w:i/>
                <w:color w:val="000000" w:themeColor="text1"/>
              </w:rPr>
              <w:t>5.</w:t>
            </w:r>
            <w:r w:rsidR="00CB1D59" w:rsidRPr="00BE6306">
              <w:rPr>
                <w:b/>
                <w:i/>
                <w:color w:val="000000" w:themeColor="text1"/>
              </w:rPr>
              <w:t xml:space="preserve"> </w:t>
            </w:r>
            <w:r w:rsidRPr="00BE6306">
              <w:rPr>
                <w:bCs/>
                <w:iCs/>
                <w:color w:val="000000" w:themeColor="text1"/>
              </w:rPr>
              <w:t>Each plan submitted by a Member State</w:t>
            </w:r>
            <w:r w:rsidR="00C82FC8" w:rsidRPr="00BE6306">
              <w:rPr>
                <w:bCs/>
                <w:iCs/>
                <w:color w:val="000000" w:themeColor="text1"/>
              </w:rPr>
              <w:t xml:space="preserve"> </w:t>
            </w:r>
            <w:r w:rsidR="00C82FC8" w:rsidRPr="00BE6306">
              <w:rPr>
                <w:b/>
                <w:i/>
                <w:color w:val="000000" w:themeColor="text1"/>
              </w:rPr>
              <w:t xml:space="preserve">and </w:t>
            </w:r>
            <w:r w:rsidR="00E64F86" w:rsidRPr="00BE6306">
              <w:rPr>
                <w:b/>
                <w:i/>
                <w:color w:val="000000" w:themeColor="text1"/>
              </w:rPr>
              <w:t>relevant subnational authorities</w:t>
            </w:r>
            <w:r w:rsidRPr="00BE6306">
              <w:rPr>
                <w:bCs/>
                <w:iCs/>
                <w:color w:val="000000" w:themeColor="text1"/>
              </w:rPr>
              <w:t xml:space="preserve">, and any amendment thereof, shall also include for each measure a proposed assignment of at least one territorial dimension code laid down in part 1 of Annex II and the NUTS2 location pursuant to part 4 of Annex II. </w:t>
            </w:r>
            <w:r w:rsidRPr="00BE6306">
              <w:rPr>
                <w:b/>
                <w:i/>
                <w:color w:val="000000" w:themeColor="text1"/>
              </w:rPr>
              <w:t>Where relevant, for measures covering more than one NUTS2 location, an indicative breakdown of the expected milestone and target values for each NUTS1 or NUTS2 area shall be provided.</w:t>
            </w:r>
          </w:p>
          <w:p w14:paraId="52D18227" w14:textId="77777777" w:rsidR="00773921" w:rsidRPr="00BE6306" w:rsidRDefault="00773921" w:rsidP="00391078">
            <w:pPr>
              <w:rPr>
                <w:bCs/>
                <w:iCs/>
                <w:color w:val="000000" w:themeColor="text1"/>
              </w:rPr>
            </w:pPr>
          </w:p>
          <w:p w14:paraId="4A7AE63D" w14:textId="5552D458" w:rsidR="00773921" w:rsidRPr="00BE6306" w:rsidRDefault="00773921" w:rsidP="00391078">
            <w:pPr>
              <w:rPr>
                <w:bCs/>
                <w:iCs/>
                <w:color w:val="000000" w:themeColor="text1"/>
              </w:rPr>
            </w:pPr>
            <w:r w:rsidRPr="00BE6306">
              <w:rPr>
                <w:bCs/>
                <w:iCs/>
                <w:color w:val="000000" w:themeColor="text1"/>
              </w:rPr>
              <w:t xml:space="preserve">When relevant and available, Member States </w:t>
            </w:r>
            <w:r w:rsidR="009A084F" w:rsidRPr="00BE6306">
              <w:rPr>
                <w:b/>
                <w:i/>
                <w:color w:val="000000" w:themeColor="text1"/>
              </w:rPr>
              <w:t>and relevant subnational authorities</w:t>
            </w:r>
            <w:r w:rsidR="009A084F" w:rsidRPr="00BE6306">
              <w:rPr>
                <w:bCs/>
                <w:iCs/>
                <w:color w:val="000000" w:themeColor="text1"/>
              </w:rPr>
              <w:t xml:space="preserve"> </w:t>
            </w:r>
            <w:r w:rsidRPr="00BE6306">
              <w:rPr>
                <w:bCs/>
                <w:iCs/>
                <w:color w:val="000000" w:themeColor="text1"/>
              </w:rPr>
              <w:t>shall also propose territorial dimension codes under part 2 and/or part 3 of Annex II.</w:t>
            </w:r>
          </w:p>
          <w:p w14:paraId="67DF845B" w14:textId="77777777" w:rsidR="00773921" w:rsidRPr="00BE6306" w:rsidRDefault="00773921" w:rsidP="00391078">
            <w:pPr>
              <w:rPr>
                <w:bCs/>
                <w:iCs/>
                <w:color w:val="000000" w:themeColor="text1"/>
              </w:rPr>
            </w:pPr>
          </w:p>
          <w:p w14:paraId="04E57ADE" w14:textId="21CDBF40" w:rsidR="00773921" w:rsidRPr="00BE6306" w:rsidRDefault="00773921" w:rsidP="00391078">
            <w:pPr>
              <w:rPr>
                <w:b/>
                <w:i/>
                <w:color w:val="000000" w:themeColor="text1"/>
              </w:rPr>
            </w:pPr>
            <w:r w:rsidRPr="00BE6306">
              <w:rPr>
                <w:b/>
                <w:i/>
                <w:color w:val="000000" w:themeColor="text1"/>
              </w:rPr>
              <w:t>6.</w:t>
            </w:r>
            <w:r w:rsidR="00A258BE" w:rsidRPr="00BE6306">
              <w:rPr>
                <w:b/>
                <w:i/>
                <w:color w:val="000000" w:themeColor="text1"/>
              </w:rPr>
              <w:tab/>
            </w:r>
            <w:r w:rsidRPr="00BE6306">
              <w:rPr>
                <w:bCs/>
                <w:iCs/>
                <w:color w:val="000000" w:themeColor="text1"/>
              </w:rPr>
              <w:t>Member States</w:t>
            </w:r>
            <w:r w:rsidR="00E64F86" w:rsidRPr="00BE6306">
              <w:rPr>
                <w:bCs/>
                <w:iCs/>
                <w:color w:val="000000" w:themeColor="text1"/>
              </w:rPr>
              <w:t xml:space="preserve"> </w:t>
            </w:r>
            <w:r w:rsidR="00E64F86" w:rsidRPr="00BE6306">
              <w:rPr>
                <w:b/>
                <w:i/>
                <w:color w:val="000000" w:themeColor="text1"/>
              </w:rPr>
              <w:t xml:space="preserve">and relevant subnational </w:t>
            </w:r>
            <w:r w:rsidR="00692680" w:rsidRPr="00BE6306">
              <w:rPr>
                <w:b/>
                <w:i/>
                <w:color w:val="000000" w:themeColor="text1"/>
              </w:rPr>
              <w:t>authorities</w:t>
            </w:r>
            <w:r w:rsidRPr="00BE6306">
              <w:rPr>
                <w:bCs/>
                <w:iCs/>
                <w:color w:val="000000" w:themeColor="text1"/>
              </w:rPr>
              <w:t xml:space="preserve"> shall make available to the Commission the information on the progress in the selected output indicator in accordance with Article 59, paragraph 1, point (a) of Regulation …/… [National and Regional Partnership Plans] and actual results of the measure against the estimated value of the result indicator assigned to </w:t>
            </w:r>
            <w:r w:rsidRPr="00BE6306">
              <w:rPr>
                <w:bCs/>
                <w:iCs/>
                <w:color w:val="000000" w:themeColor="text1"/>
              </w:rPr>
              <w:lastRenderedPageBreak/>
              <w:t>that measure. The information on the result indicator shall be updated by 15 February of each year, until 2037.</w:t>
            </w:r>
          </w:p>
          <w:p w14:paraId="72A74806" w14:textId="77777777" w:rsidR="00773921" w:rsidRPr="00BE6306" w:rsidRDefault="00773921" w:rsidP="00391078">
            <w:pPr>
              <w:rPr>
                <w:b/>
                <w:i/>
                <w:color w:val="000000" w:themeColor="text1"/>
              </w:rPr>
            </w:pPr>
          </w:p>
          <w:p w14:paraId="3B13CB36" w14:textId="36AB3DA0" w:rsidR="00773921" w:rsidRPr="00BE6306" w:rsidRDefault="00CB1D59" w:rsidP="008F1771">
            <w:pPr>
              <w:rPr>
                <w:bCs/>
                <w:iCs/>
                <w:color w:val="000000" w:themeColor="text1"/>
              </w:rPr>
            </w:pPr>
            <w:r w:rsidRPr="00BE6306">
              <w:rPr>
                <w:b/>
                <w:i/>
                <w:color w:val="000000" w:themeColor="text1"/>
              </w:rPr>
              <w:t>7</w:t>
            </w:r>
            <w:r w:rsidR="00773921" w:rsidRPr="00BE6306">
              <w:rPr>
                <w:b/>
                <w:i/>
                <w:color w:val="000000" w:themeColor="text1"/>
              </w:rPr>
              <w:t>.</w:t>
            </w:r>
            <w:r w:rsidR="00A258BE" w:rsidRPr="00BE6306">
              <w:rPr>
                <w:b/>
                <w:i/>
                <w:color w:val="000000" w:themeColor="text1"/>
              </w:rPr>
              <w:tab/>
            </w:r>
            <w:r w:rsidR="00773921" w:rsidRPr="00BE6306">
              <w:rPr>
                <w:b/>
                <w:i/>
                <w:color w:val="000000" w:themeColor="text1"/>
              </w:rPr>
              <w:t xml:space="preserve">In accordance with </w:t>
            </w:r>
            <w:r w:rsidR="00A258BE" w:rsidRPr="00BE6306">
              <w:rPr>
                <w:b/>
                <w:i/>
                <w:color w:val="000000" w:themeColor="text1"/>
              </w:rPr>
              <w:t xml:space="preserve">Article </w:t>
            </w:r>
            <w:r w:rsidR="00773921" w:rsidRPr="00BE6306">
              <w:rPr>
                <w:b/>
                <w:i/>
                <w:color w:val="000000" w:themeColor="text1"/>
              </w:rPr>
              <w:t xml:space="preserve">13 of </w:t>
            </w:r>
            <w:r w:rsidR="009C5EE4" w:rsidRPr="00BE6306">
              <w:rPr>
                <w:b/>
                <w:i/>
                <w:color w:val="000000" w:themeColor="text1"/>
              </w:rPr>
              <w:t>Regulation (EU) 202X/XXXX [NRPPs Regulation]</w:t>
            </w:r>
            <w:r w:rsidR="00773921" w:rsidRPr="00BE6306">
              <w:rPr>
                <w:b/>
                <w:i/>
                <w:color w:val="000000" w:themeColor="text1"/>
              </w:rPr>
              <w:t xml:space="preserve">, </w:t>
            </w:r>
            <w:r w:rsidR="00DC2D25" w:rsidRPr="00BE6306">
              <w:rPr>
                <w:b/>
                <w:i/>
                <w:color w:val="000000" w:themeColor="text1"/>
              </w:rPr>
              <w:t xml:space="preserve">subnational </w:t>
            </w:r>
            <w:r w:rsidR="00773921" w:rsidRPr="00BE6306">
              <w:rPr>
                <w:b/>
                <w:i/>
                <w:color w:val="000000" w:themeColor="text1"/>
              </w:rPr>
              <w:t>managing authorities or local intermediate bodies may request technical assistance to ensure compliance with this regulation.</w:t>
            </w:r>
          </w:p>
        </w:tc>
      </w:tr>
    </w:tbl>
    <w:p w14:paraId="00AFF847" w14:textId="77777777" w:rsidR="00773921" w:rsidRPr="00BE6306" w:rsidRDefault="00773921" w:rsidP="00773921">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C21B62" w:rsidRPr="00BE6306" w14:paraId="63FFFB48" w14:textId="77777777" w:rsidTr="00391078">
        <w:tc>
          <w:tcPr>
            <w:tcW w:w="9289" w:type="dxa"/>
          </w:tcPr>
          <w:p w14:paraId="79D463A7" w14:textId="77777777" w:rsidR="00773921" w:rsidRPr="00BE6306" w:rsidRDefault="00773921" w:rsidP="00391078">
            <w:pPr>
              <w:keepNext/>
              <w:jc w:val="center"/>
              <w:rPr>
                <w:b/>
                <w:bCs/>
                <w:i/>
                <w:color w:val="000000" w:themeColor="text1"/>
              </w:rPr>
            </w:pPr>
            <w:r w:rsidRPr="00BE6306">
              <w:rPr>
                <w:b/>
                <w:i/>
                <w:color w:val="000000" w:themeColor="text1"/>
              </w:rPr>
              <w:t>Reason</w:t>
            </w:r>
          </w:p>
        </w:tc>
      </w:tr>
      <w:tr w:rsidR="00773921" w:rsidRPr="00BE6306" w14:paraId="3CB33660" w14:textId="77777777" w:rsidTr="00391078">
        <w:tc>
          <w:tcPr>
            <w:tcW w:w="9289" w:type="dxa"/>
          </w:tcPr>
          <w:p w14:paraId="6E57E32D" w14:textId="18967CC0" w:rsidR="005711DC" w:rsidRPr="00BE6306" w:rsidRDefault="00773921" w:rsidP="005711DC">
            <w:pPr>
              <w:keepNext/>
              <w:rPr>
                <w:color w:val="000000" w:themeColor="text1"/>
              </w:rPr>
            </w:pPr>
            <w:r w:rsidRPr="00BE6306">
              <w:rPr>
                <w:color w:val="000000" w:themeColor="text1"/>
              </w:rPr>
              <w:t xml:space="preserve">The specific needs and operational realities of </w:t>
            </w:r>
            <w:r w:rsidR="001266D7" w:rsidRPr="00BE6306">
              <w:rPr>
                <w:color w:val="000000" w:themeColor="text1"/>
              </w:rPr>
              <w:t>subnational</w:t>
            </w:r>
            <w:r w:rsidRPr="00BE6306">
              <w:rPr>
                <w:color w:val="000000" w:themeColor="text1"/>
              </w:rPr>
              <w:t xml:space="preserve"> authorities require additional flexibility in the assignment and adjustment of indicators, as well as clearer recognition of their responsibilities in designing regional and territorial chapters</w:t>
            </w:r>
          </w:p>
        </w:tc>
      </w:tr>
    </w:tbl>
    <w:p w14:paraId="033ED688" w14:textId="77777777" w:rsidR="002B199C" w:rsidRPr="00BE6306" w:rsidRDefault="002B199C">
      <w:pPr>
        <w:rPr>
          <w:color w:val="000000" w:themeColor="text1"/>
        </w:rPr>
      </w:pPr>
    </w:p>
    <w:p w14:paraId="4E4B164E" w14:textId="08D8AD9B" w:rsidR="005A66EF" w:rsidRPr="00BE6306" w:rsidRDefault="005A66EF" w:rsidP="005A66EF">
      <w:pPr>
        <w:jc w:val="center"/>
        <w:rPr>
          <w:b/>
          <w:bCs/>
          <w:color w:val="000000" w:themeColor="text1"/>
        </w:rPr>
      </w:pPr>
      <w:r w:rsidRPr="00BE6306">
        <w:rPr>
          <w:b/>
          <w:color w:val="000000" w:themeColor="text1"/>
        </w:rPr>
        <w:t xml:space="preserve">Amendment </w:t>
      </w:r>
      <w:r w:rsidR="002B199C" w:rsidRPr="002A298F">
        <w:rPr>
          <w:b/>
          <w:color w:val="000000" w:themeColor="text1"/>
        </w:rPr>
        <w:t>12</w:t>
      </w:r>
    </w:p>
    <w:p w14:paraId="2F793474" w14:textId="3D28A84A" w:rsidR="00C21B62" w:rsidRPr="005213CD" w:rsidRDefault="00C21B62" w:rsidP="005A66EF">
      <w:pPr>
        <w:jc w:val="center"/>
        <w:rPr>
          <w:color w:val="000000" w:themeColor="text1"/>
        </w:rPr>
      </w:pPr>
      <w:r w:rsidRPr="00BE6306">
        <w:rPr>
          <w:color w:val="000000" w:themeColor="text1"/>
        </w:rPr>
        <w:t xml:space="preserve">Proposal for a Regulation of the European Parliament and of the Council establishing a budget expenditure tracking and </w:t>
      </w:r>
      <w:r w:rsidRPr="005213CD">
        <w:rPr>
          <w:color w:val="000000" w:themeColor="text1"/>
        </w:rPr>
        <w:t>performance framework and other horizontal rules for the Union programmes and activities (COM(2025) 545</w:t>
      </w:r>
      <w:r w:rsidR="00A258BE" w:rsidRPr="005213CD">
        <w:rPr>
          <w:color w:val="000000" w:themeColor="text1"/>
        </w:rPr>
        <w:t xml:space="preserve"> final</w:t>
      </w:r>
      <w:r w:rsidRPr="005213CD">
        <w:rPr>
          <w:color w:val="000000" w:themeColor="text1"/>
        </w:rPr>
        <w:t>)</w:t>
      </w:r>
    </w:p>
    <w:p w14:paraId="6AF3A946" w14:textId="33A55C0F" w:rsidR="005A66EF" w:rsidRPr="00BE6306" w:rsidRDefault="005A66EF" w:rsidP="005A66EF">
      <w:pPr>
        <w:keepNext/>
        <w:jc w:val="center"/>
        <w:rPr>
          <w:color w:val="000000" w:themeColor="text1"/>
        </w:rPr>
      </w:pPr>
      <w:r w:rsidRPr="00BE6306">
        <w:rPr>
          <w:color w:val="000000" w:themeColor="text1"/>
        </w:rPr>
        <w:t>New Article 1</w:t>
      </w:r>
      <w:r w:rsidR="004B4C0C" w:rsidRPr="00BE6306">
        <w:rPr>
          <w:color w:val="000000" w:themeColor="text1"/>
        </w:rPr>
        <w:t>5</w:t>
      </w:r>
    </w:p>
    <w:p w14:paraId="20B1D8BE" w14:textId="77777777" w:rsidR="005A66EF" w:rsidRPr="00BE6306" w:rsidRDefault="005A66EF" w:rsidP="005A66EF">
      <w:pPr>
        <w:rPr>
          <w:color w:val="000000" w:themeColor="text1"/>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C21B62" w:rsidRPr="00BE6306" w14:paraId="112847E5" w14:textId="77777777" w:rsidTr="00391078">
        <w:tc>
          <w:tcPr>
            <w:tcW w:w="4643" w:type="dxa"/>
          </w:tcPr>
          <w:p w14:paraId="61D4C3AB" w14:textId="77777777" w:rsidR="005A66EF" w:rsidRPr="00BE6306" w:rsidRDefault="005A66EF" w:rsidP="00391078">
            <w:pPr>
              <w:jc w:val="center"/>
              <w:rPr>
                <w:b/>
                <w:i/>
                <w:color w:val="000000" w:themeColor="text1"/>
              </w:rPr>
            </w:pPr>
            <w:r w:rsidRPr="00BE6306">
              <w:rPr>
                <w:b/>
                <w:i/>
                <w:color w:val="000000" w:themeColor="text1"/>
              </w:rPr>
              <w:t>Text proposed by the European Commission</w:t>
            </w:r>
          </w:p>
        </w:tc>
        <w:tc>
          <w:tcPr>
            <w:tcW w:w="4646" w:type="dxa"/>
          </w:tcPr>
          <w:p w14:paraId="3A635E5F" w14:textId="77777777" w:rsidR="005A66EF" w:rsidRPr="00BE6306" w:rsidRDefault="005A66EF" w:rsidP="00391078">
            <w:pPr>
              <w:jc w:val="center"/>
              <w:rPr>
                <w:b/>
                <w:i/>
                <w:color w:val="000000" w:themeColor="text1"/>
              </w:rPr>
            </w:pPr>
            <w:r w:rsidRPr="00BE6306">
              <w:rPr>
                <w:b/>
                <w:i/>
                <w:color w:val="000000" w:themeColor="text1"/>
              </w:rPr>
              <w:t>CoR amendment</w:t>
            </w:r>
          </w:p>
        </w:tc>
      </w:tr>
      <w:tr w:rsidR="00AF1D84" w:rsidRPr="00BE6306" w14:paraId="432E06F7" w14:textId="77777777" w:rsidTr="00391078">
        <w:tc>
          <w:tcPr>
            <w:tcW w:w="4643" w:type="dxa"/>
          </w:tcPr>
          <w:p w14:paraId="6A303DE8" w14:textId="7EED9517" w:rsidR="005A66EF" w:rsidRPr="00BE6306" w:rsidRDefault="005A66EF" w:rsidP="005A66EF">
            <w:pPr>
              <w:rPr>
                <w:color w:val="000000" w:themeColor="text1"/>
              </w:rPr>
            </w:pPr>
          </w:p>
        </w:tc>
        <w:tc>
          <w:tcPr>
            <w:tcW w:w="4646" w:type="dxa"/>
          </w:tcPr>
          <w:p w14:paraId="5AB72D66" w14:textId="4A6CB11D" w:rsidR="008A15D8" w:rsidRPr="00BE6306" w:rsidRDefault="008A15D8" w:rsidP="008A15D8">
            <w:pPr>
              <w:rPr>
                <w:b/>
                <w:i/>
                <w:color w:val="000000" w:themeColor="text1"/>
              </w:rPr>
            </w:pPr>
            <w:r w:rsidRPr="00BE6306">
              <w:rPr>
                <w:b/>
                <w:i/>
                <w:color w:val="000000" w:themeColor="text1"/>
              </w:rPr>
              <w:t>1.</w:t>
            </w:r>
            <w:r w:rsidR="00A258BE" w:rsidRPr="00BE6306">
              <w:rPr>
                <w:b/>
                <w:i/>
                <w:color w:val="000000" w:themeColor="text1"/>
              </w:rPr>
              <w:tab/>
            </w:r>
            <w:r w:rsidRPr="00BE6306">
              <w:rPr>
                <w:b/>
                <w:i/>
                <w:color w:val="000000" w:themeColor="text1"/>
              </w:rPr>
              <w:t>A transitio</w:t>
            </w:r>
            <w:r w:rsidR="009D1DEE" w:rsidRPr="00BE6306">
              <w:rPr>
                <w:b/>
                <w:i/>
                <w:color w:val="000000" w:themeColor="text1"/>
              </w:rPr>
              <w:t>n</w:t>
            </w:r>
            <w:r w:rsidRPr="00BE6306">
              <w:rPr>
                <w:b/>
                <w:i/>
                <w:color w:val="000000" w:themeColor="text1"/>
              </w:rPr>
              <w:t xml:space="preserve"> period of up to </w:t>
            </w:r>
            <w:r w:rsidR="00705A41" w:rsidRPr="00BE6306">
              <w:rPr>
                <w:b/>
                <w:i/>
                <w:color w:val="000000" w:themeColor="text1"/>
              </w:rPr>
              <w:t>18</w:t>
            </w:r>
            <w:r w:rsidR="002B199C" w:rsidRPr="00BE6306">
              <w:rPr>
                <w:b/>
                <w:i/>
                <w:color w:val="000000" w:themeColor="text1"/>
              </w:rPr>
              <w:t xml:space="preserve"> months</w:t>
            </w:r>
            <w:r w:rsidRPr="00BE6306">
              <w:rPr>
                <w:b/>
                <w:i/>
                <w:color w:val="000000" w:themeColor="text1"/>
              </w:rPr>
              <w:t>, during which th</w:t>
            </w:r>
            <w:r w:rsidR="006574D0" w:rsidRPr="00BE6306">
              <w:rPr>
                <w:b/>
                <w:i/>
                <w:color w:val="000000" w:themeColor="text1"/>
              </w:rPr>
              <w:t>e relevant provisions of the</w:t>
            </w:r>
            <w:r w:rsidRPr="00BE6306">
              <w:rPr>
                <w:b/>
                <w:i/>
                <w:color w:val="000000" w:themeColor="text1"/>
              </w:rPr>
              <w:t xml:space="preserve"> performance framework </w:t>
            </w:r>
            <w:r w:rsidRPr="00BE6306">
              <w:rPr>
                <w:b/>
                <w:bCs/>
                <w:i/>
                <w:color w:val="000000" w:themeColor="text1"/>
              </w:rPr>
              <w:t>shall not apply</w:t>
            </w:r>
            <w:r w:rsidRPr="00BE6306">
              <w:rPr>
                <w:b/>
                <w:i/>
                <w:color w:val="000000" w:themeColor="text1"/>
              </w:rPr>
              <w:t xml:space="preserve">, </w:t>
            </w:r>
            <w:r w:rsidR="00061BBC" w:rsidRPr="00BE6306">
              <w:rPr>
                <w:b/>
                <w:i/>
                <w:color w:val="000000" w:themeColor="text1"/>
              </w:rPr>
              <w:t xml:space="preserve">may be granted to </w:t>
            </w:r>
            <w:r w:rsidR="00B15594" w:rsidRPr="00BE6306">
              <w:rPr>
                <w:b/>
                <w:i/>
                <w:color w:val="000000" w:themeColor="text1"/>
              </w:rPr>
              <w:t xml:space="preserve">Member States and </w:t>
            </w:r>
            <w:r w:rsidR="00061BBC" w:rsidRPr="00BE6306">
              <w:rPr>
                <w:b/>
                <w:i/>
                <w:color w:val="000000" w:themeColor="text1"/>
              </w:rPr>
              <w:t xml:space="preserve">managing authorities </w:t>
            </w:r>
            <w:r w:rsidR="00B77197" w:rsidRPr="00BE6306">
              <w:rPr>
                <w:b/>
                <w:i/>
                <w:color w:val="000000" w:themeColor="text1"/>
              </w:rPr>
              <w:t xml:space="preserve">responsible for </w:t>
            </w:r>
            <w:r w:rsidR="00061BBC" w:rsidRPr="00BE6306">
              <w:rPr>
                <w:b/>
                <w:i/>
                <w:color w:val="000000" w:themeColor="text1"/>
              </w:rPr>
              <w:t xml:space="preserve">NRPPs that so request </w:t>
            </w:r>
            <w:r w:rsidRPr="00BE6306">
              <w:rPr>
                <w:b/>
                <w:i/>
                <w:color w:val="000000" w:themeColor="text1"/>
              </w:rPr>
              <w:t>in order to allow sufficient time for the effective design and implementation of the new</w:t>
            </w:r>
            <w:r w:rsidR="00464DE4" w:rsidRPr="00BE6306">
              <w:rPr>
                <w:b/>
                <w:i/>
                <w:color w:val="000000" w:themeColor="text1"/>
              </w:rPr>
              <w:t xml:space="preserve"> monitoring systems</w:t>
            </w:r>
            <w:r w:rsidRPr="00BE6306">
              <w:rPr>
                <w:b/>
                <w:i/>
                <w:color w:val="000000" w:themeColor="text1"/>
              </w:rPr>
              <w:t>.</w:t>
            </w:r>
          </w:p>
          <w:p w14:paraId="40558D5A" w14:textId="49F8E60F" w:rsidR="008A15D8" w:rsidRPr="00BE6306" w:rsidRDefault="008A15D8" w:rsidP="008A15D8">
            <w:pPr>
              <w:rPr>
                <w:b/>
                <w:i/>
                <w:color w:val="000000" w:themeColor="text1"/>
              </w:rPr>
            </w:pPr>
            <w:r w:rsidRPr="00BE6306">
              <w:rPr>
                <w:b/>
                <w:i/>
                <w:color w:val="000000" w:themeColor="text1"/>
              </w:rPr>
              <w:t>2.</w:t>
            </w:r>
            <w:r w:rsidR="00A258BE" w:rsidRPr="00BE6306">
              <w:rPr>
                <w:b/>
                <w:i/>
                <w:color w:val="000000" w:themeColor="text1"/>
              </w:rPr>
              <w:tab/>
            </w:r>
            <w:r w:rsidR="005A7352" w:rsidRPr="00BE6306">
              <w:rPr>
                <w:b/>
                <w:i/>
                <w:color w:val="000000" w:themeColor="text1"/>
              </w:rPr>
              <w:t>Expenditure for operations that start during this period</w:t>
            </w:r>
            <w:r w:rsidR="00C42B95" w:rsidRPr="00BE6306">
              <w:rPr>
                <w:b/>
                <w:i/>
                <w:color w:val="000000" w:themeColor="text1"/>
              </w:rPr>
              <w:t xml:space="preserve"> </w:t>
            </w:r>
            <w:r w:rsidRPr="00BE6306">
              <w:rPr>
                <w:b/>
                <w:i/>
                <w:color w:val="000000" w:themeColor="text1"/>
              </w:rPr>
              <w:t>may be implemented and reported on the basis of a</w:t>
            </w:r>
            <w:r w:rsidR="00815F61" w:rsidRPr="00BE6306">
              <w:rPr>
                <w:b/>
                <w:i/>
                <w:color w:val="000000" w:themeColor="text1"/>
              </w:rPr>
              <w:t xml:space="preserve"> different</w:t>
            </w:r>
            <w:r w:rsidR="00BC4A0D" w:rsidRPr="00BE6306">
              <w:rPr>
                <w:b/>
                <w:i/>
                <w:color w:val="000000" w:themeColor="text1"/>
              </w:rPr>
              <w:t xml:space="preserve"> </w:t>
            </w:r>
            <w:r w:rsidRPr="00BE6306">
              <w:rPr>
                <w:b/>
                <w:i/>
                <w:color w:val="000000" w:themeColor="text1"/>
              </w:rPr>
              <w:t>approach.</w:t>
            </w:r>
          </w:p>
          <w:p w14:paraId="1FF2DDA7" w14:textId="6C9EA1BE" w:rsidR="004B4C0C" w:rsidRPr="00BE6306" w:rsidRDefault="005E31D2" w:rsidP="00F13110">
            <w:pPr>
              <w:rPr>
                <w:bCs/>
                <w:iCs/>
                <w:color w:val="000000" w:themeColor="text1"/>
              </w:rPr>
            </w:pPr>
            <w:r w:rsidRPr="00BE6306">
              <w:rPr>
                <w:b/>
                <w:i/>
                <w:color w:val="000000" w:themeColor="text1"/>
              </w:rPr>
              <w:t>3.</w:t>
            </w:r>
            <w:r w:rsidR="00A258BE" w:rsidRPr="00BE6306">
              <w:rPr>
                <w:b/>
                <w:i/>
                <w:color w:val="000000" w:themeColor="text1"/>
              </w:rPr>
              <w:tab/>
            </w:r>
            <w:r w:rsidR="00815F61" w:rsidRPr="00BE6306">
              <w:rPr>
                <w:b/>
                <w:i/>
                <w:color w:val="000000" w:themeColor="text1"/>
              </w:rPr>
              <w:t>The Commission shall issue guidance on the application of the transition period</w:t>
            </w:r>
            <w:r w:rsidR="00FB3A27" w:rsidRPr="00BE6306">
              <w:rPr>
                <w:b/>
                <w:i/>
                <w:color w:val="000000" w:themeColor="text1"/>
              </w:rPr>
              <w:t xml:space="preserve">. </w:t>
            </w:r>
          </w:p>
        </w:tc>
      </w:tr>
    </w:tbl>
    <w:p w14:paraId="57CE0D84" w14:textId="77777777" w:rsidR="005A66EF" w:rsidRPr="00BE6306" w:rsidRDefault="005A66EF" w:rsidP="005A66EF">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C21B62" w:rsidRPr="00BE6306" w14:paraId="143B2DAB" w14:textId="77777777" w:rsidTr="00391078">
        <w:tc>
          <w:tcPr>
            <w:tcW w:w="9289" w:type="dxa"/>
          </w:tcPr>
          <w:p w14:paraId="16E96E5A" w14:textId="77777777" w:rsidR="005A66EF" w:rsidRPr="00BE6306" w:rsidRDefault="005A66EF" w:rsidP="00391078">
            <w:pPr>
              <w:keepNext/>
              <w:jc w:val="center"/>
              <w:rPr>
                <w:b/>
                <w:bCs/>
                <w:i/>
                <w:color w:val="000000" w:themeColor="text1"/>
              </w:rPr>
            </w:pPr>
            <w:r w:rsidRPr="00BE6306">
              <w:rPr>
                <w:b/>
                <w:i/>
                <w:color w:val="000000" w:themeColor="text1"/>
              </w:rPr>
              <w:t>Reason</w:t>
            </w:r>
          </w:p>
        </w:tc>
      </w:tr>
      <w:tr w:rsidR="00AF1D84" w:rsidRPr="00BE6306" w14:paraId="4DC95E7D" w14:textId="77777777" w:rsidTr="00391078">
        <w:tc>
          <w:tcPr>
            <w:tcW w:w="9289" w:type="dxa"/>
          </w:tcPr>
          <w:p w14:paraId="3D53AAB9" w14:textId="7C2EA2F3" w:rsidR="005A66EF" w:rsidRPr="00BE6306" w:rsidRDefault="00475E8A" w:rsidP="00391078">
            <w:pPr>
              <w:keepNext/>
              <w:rPr>
                <w:color w:val="000000" w:themeColor="text1"/>
              </w:rPr>
            </w:pPr>
            <w:r w:rsidRPr="00BE6306">
              <w:rPr>
                <w:color w:val="000000" w:themeColor="text1"/>
              </w:rPr>
              <w:t xml:space="preserve">Some </w:t>
            </w:r>
            <w:r w:rsidR="00AF1D84" w:rsidRPr="00BE6306">
              <w:rPr>
                <w:color w:val="000000" w:themeColor="text1"/>
              </w:rPr>
              <w:t>managing authorities will require time to adapt governance structures, data systems and administrative capacity to the new performance framework, and immediate application could create disproportionate administrative burdens and implementation risks for them at the start of the programming period.</w:t>
            </w:r>
          </w:p>
        </w:tc>
      </w:tr>
    </w:tbl>
    <w:p w14:paraId="32E9DE2B" w14:textId="77777777" w:rsidR="005A66EF" w:rsidRPr="00BE6306" w:rsidRDefault="005A66EF">
      <w:pPr>
        <w:rPr>
          <w:color w:val="000000" w:themeColor="text1"/>
        </w:rPr>
      </w:pPr>
    </w:p>
    <w:p w14:paraId="68DAA012" w14:textId="77777777" w:rsidR="00381158" w:rsidRPr="00BE6306" w:rsidRDefault="00381158">
      <w:pPr>
        <w:rPr>
          <w:color w:val="000000" w:themeColor="text1"/>
        </w:rPr>
      </w:pPr>
    </w:p>
    <w:p w14:paraId="27FCA340" w14:textId="77777777" w:rsidR="00773921" w:rsidRPr="00BE6306" w:rsidRDefault="00773921">
      <w:pPr>
        <w:rPr>
          <w:color w:val="C00000"/>
        </w:rPr>
      </w:pPr>
    </w:p>
    <w:p w14:paraId="2D7007DC" w14:textId="46D37449" w:rsidR="00CA7929" w:rsidRPr="00BE6306" w:rsidRDefault="00CA7929" w:rsidP="0022384F">
      <w:pPr>
        <w:jc w:val="center"/>
        <w:rPr>
          <w:b/>
          <w:bCs/>
          <w:color w:val="000000" w:themeColor="text1"/>
        </w:rPr>
      </w:pPr>
      <w:r w:rsidRPr="00BE6306">
        <w:rPr>
          <w:b/>
          <w:bCs/>
          <w:color w:val="000000" w:themeColor="text1"/>
        </w:rPr>
        <w:lastRenderedPageBreak/>
        <w:t xml:space="preserve">Amendment </w:t>
      </w:r>
      <w:r w:rsidR="00381158" w:rsidRPr="00BE6306">
        <w:rPr>
          <w:b/>
          <w:bCs/>
          <w:color w:val="000000" w:themeColor="text1"/>
        </w:rPr>
        <w:t>13</w:t>
      </w:r>
    </w:p>
    <w:p w14:paraId="3DEA520C" w14:textId="539F3227" w:rsidR="00CA7929" w:rsidRPr="005213CD" w:rsidRDefault="00CA7929" w:rsidP="0022384F">
      <w:pPr>
        <w:jc w:val="center"/>
        <w:rPr>
          <w:color w:val="000000" w:themeColor="text1"/>
        </w:rPr>
      </w:pPr>
      <w:r w:rsidRPr="00BE6306">
        <w:rPr>
          <w:color w:val="000000" w:themeColor="text1"/>
        </w:rPr>
        <w:t xml:space="preserve">Proposal for a Regulation of the European Parliament and of the Council establishing a budget expenditure tracking and performance framework and other horizontal rules for the Union </w:t>
      </w:r>
      <w:r w:rsidRPr="005213CD">
        <w:rPr>
          <w:color w:val="000000" w:themeColor="text1"/>
        </w:rPr>
        <w:t>programmes and activities (COM(2025) 545</w:t>
      </w:r>
      <w:r w:rsidR="00A258BE" w:rsidRPr="005213CD">
        <w:rPr>
          <w:color w:val="000000" w:themeColor="text1"/>
        </w:rPr>
        <w:t xml:space="preserve"> final</w:t>
      </w:r>
      <w:r w:rsidRPr="005213CD">
        <w:rPr>
          <w:color w:val="000000" w:themeColor="text1"/>
        </w:rPr>
        <w:t>)</w:t>
      </w:r>
    </w:p>
    <w:p w14:paraId="615A6901" w14:textId="77777777" w:rsidR="00CA7929" w:rsidRPr="00BE6306" w:rsidRDefault="00CA7929" w:rsidP="0022384F">
      <w:pPr>
        <w:jc w:val="center"/>
        <w:rPr>
          <w:color w:val="000000" w:themeColor="text1"/>
        </w:rPr>
      </w:pPr>
      <w:r w:rsidRPr="00BE6306">
        <w:rPr>
          <w:color w:val="000000" w:themeColor="text1"/>
        </w:rPr>
        <w:t>Amend Annex I</w:t>
      </w:r>
    </w:p>
    <w:p w14:paraId="647B329D" w14:textId="77777777" w:rsidR="00CA7929" w:rsidRPr="00BE6306" w:rsidRDefault="00CA7929" w:rsidP="0022384F">
      <w:pPr>
        <w:jc w:val="center"/>
        <w:rPr>
          <w:color w:val="000000" w:themeColor="text1"/>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3"/>
        <w:gridCol w:w="4646"/>
      </w:tblGrid>
      <w:tr w:rsidR="00C21B62" w:rsidRPr="00BE6306" w14:paraId="69DDA9E9" w14:textId="77777777">
        <w:tc>
          <w:tcPr>
            <w:tcW w:w="4643" w:type="dxa"/>
            <w:tcBorders>
              <w:top w:val="single" w:sz="6" w:space="0" w:color="auto"/>
              <w:left w:val="single" w:sz="6" w:space="0" w:color="auto"/>
              <w:bottom w:val="single" w:sz="6" w:space="0" w:color="auto"/>
              <w:right w:val="single" w:sz="6" w:space="0" w:color="auto"/>
            </w:tcBorders>
            <w:hideMark/>
          </w:tcPr>
          <w:p w14:paraId="65519669" w14:textId="77777777" w:rsidR="00CA7929" w:rsidRPr="00BE6306" w:rsidRDefault="00CA7929" w:rsidP="00CA7929">
            <w:pPr>
              <w:rPr>
                <w:b/>
                <w:i/>
                <w:color w:val="000000" w:themeColor="text1"/>
              </w:rPr>
            </w:pPr>
            <w:r w:rsidRPr="00BE6306">
              <w:rPr>
                <w:b/>
                <w:bCs/>
                <w:i/>
                <w:iCs/>
                <w:color w:val="000000" w:themeColor="text1"/>
              </w:rPr>
              <w:t xml:space="preserve">Text proposed by the Commission </w:t>
            </w:r>
          </w:p>
        </w:tc>
        <w:tc>
          <w:tcPr>
            <w:tcW w:w="4646" w:type="dxa"/>
            <w:tcBorders>
              <w:top w:val="single" w:sz="6" w:space="0" w:color="auto"/>
              <w:left w:val="single" w:sz="6" w:space="0" w:color="auto"/>
              <w:bottom w:val="single" w:sz="6" w:space="0" w:color="auto"/>
              <w:right w:val="single" w:sz="6" w:space="0" w:color="auto"/>
            </w:tcBorders>
            <w:hideMark/>
          </w:tcPr>
          <w:p w14:paraId="06043122" w14:textId="77777777" w:rsidR="00CA7929" w:rsidRPr="00BE6306" w:rsidRDefault="00CA7929" w:rsidP="00CA7929">
            <w:pPr>
              <w:rPr>
                <w:b/>
                <w:i/>
                <w:color w:val="000000" w:themeColor="text1"/>
              </w:rPr>
            </w:pPr>
            <w:r w:rsidRPr="00BE6306">
              <w:rPr>
                <w:b/>
                <w:bCs/>
                <w:i/>
                <w:iCs/>
                <w:color w:val="000000" w:themeColor="text1"/>
              </w:rPr>
              <w:t>CoR amendment</w:t>
            </w:r>
          </w:p>
        </w:tc>
      </w:tr>
      <w:tr w:rsidR="00187556" w:rsidRPr="00BE6306" w14:paraId="027E0FDB" w14:textId="77777777">
        <w:tc>
          <w:tcPr>
            <w:tcW w:w="4643" w:type="dxa"/>
            <w:tcBorders>
              <w:top w:val="single" w:sz="6" w:space="0" w:color="auto"/>
              <w:left w:val="single" w:sz="6" w:space="0" w:color="auto"/>
              <w:bottom w:val="single" w:sz="6" w:space="0" w:color="auto"/>
              <w:right w:val="single" w:sz="6" w:space="0" w:color="auto"/>
            </w:tcBorders>
          </w:tcPr>
          <w:p w14:paraId="6F885E65" w14:textId="2AD2AB19" w:rsidR="00CA7929" w:rsidRPr="00BE6306" w:rsidRDefault="00CA7929" w:rsidP="008F1771">
            <w:pPr>
              <w:rPr>
                <w:color w:val="000000" w:themeColor="text1"/>
              </w:rPr>
            </w:pPr>
            <w:r w:rsidRPr="00BE6306">
              <w:rPr>
                <w:color w:val="000000" w:themeColor="text1"/>
              </w:rPr>
              <w:t>Intervention Field</w:t>
            </w:r>
            <w:r w:rsidRPr="00BE6306">
              <w:rPr>
                <w:color w:val="000000" w:themeColor="text1"/>
              </w:rPr>
              <w:tab/>
              <w:t>335</w:t>
            </w:r>
            <w:r w:rsidRPr="00BE6306">
              <w:rPr>
                <w:color w:val="000000" w:themeColor="text1"/>
              </w:rPr>
              <w:tab/>
              <w:t>Community-led local development/LEADER and other integrated territorial tools</w:t>
            </w:r>
            <w:r w:rsidRPr="00BE6306">
              <w:rPr>
                <w:color w:val="000000" w:themeColor="text1"/>
              </w:rPr>
              <w:tab/>
              <w:t>0%</w:t>
            </w:r>
            <w:r w:rsidRPr="00BE6306">
              <w:rPr>
                <w:color w:val="000000" w:themeColor="text1"/>
              </w:rPr>
              <w:tab/>
              <w:t>40%</w:t>
            </w:r>
            <w:r w:rsidRPr="00BE6306">
              <w:rPr>
                <w:color w:val="000000" w:themeColor="text1"/>
              </w:rPr>
              <w:tab/>
              <w:t>0%</w:t>
            </w:r>
            <w:r w:rsidRPr="00BE6306">
              <w:rPr>
                <w:color w:val="000000" w:themeColor="text1"/>
              </w:rPr>
              <w:tab/>
            </w:r>
            <w:r w:rsidRPr="00BE6306">
              <w:rPr>
                <w:b/>
                <w:bCs/>
                <w:i/>
                <w:iCs/>
                <w:color w:val="000000" w:themeColor="text1"/>
              </w:rPr>
              <w:t>0%</w:t>
            </w:r>
          </w:p>
        </w:tc>
        <w:tc>
          <w:tcPr>
            <w:tcW w:w="4646" w:type="dxa"/>
            <w:tcBorders>
              <w:top w:val="single" w:sz="6" w:space="0" w:color="auto"/>
              <w:left w:val="single" w:sz="6" w:space="0" w:color="auto"/>
              <w:bottom w:val="single" w:sz="6" w:space="0" w:color="auto"/>
              <w:right w:val="single" w:sz="6" w:space="0" w:color="auto"/>
            </w:tcBorders>
            <w:hideMark/>
          </w:tcPr>
          <w:p w14:paraId="5D9A460C" w14:textId="77777777" w:rsidR="00CA7929" w:rsidRPr="00BE6306" w:rsidRDefault="00CA7929" w:rsidP="00CA7929">
            <w:pPr>
              <w:rPr>
                <w:color w:val="000000" w:themeColor="text1"/>
              </w:rPr>
            </w:pPr>
            <w:r w:rsidRPr="00BE6306">
              <w:rPr>
                <w:color w:val="000000" w:themeColor="text1"/>
              </w:rPr>
              <w:t>Intervention Field</w:t>
            </w:r>
            <w:r w:rsidRPr="00BE6306">
              <w:rPr>
                <w:color w:val="000000" w:themeColor="text1"/>
              </w:rPr>
              <w:tab/>
              <w:t>335</w:t>
            </w:r>
            <w:r w:rsidRPr="00BE6306">
              <w:rPr>
                <w:color w:val="000000" w:themeColor="text1"/>
              </w:rPr>
              <w:tab/>
              <w:t>Community-led local development/LEADER and other integrated territorial tools</w:t>
            </w:r>
            <w:r w:rsidRPr="00BE6306">
              <w:rPr>
                <w:color w:val="000000" w:themeColor="text1"/>
              </w:rPr>
              <w:tab/>
              <w:t>0%</w:t>
            </w:r>
            <w:r w:rsidRPr="00BE6306">
              <w:rPr>
                <w:color w:val="000000" w:themeColor="text1"/>
              </w:rPr>
              <w:tab/>
              <w:t>40%</w:t>
            </w:r>
            <w:r w:rsidRPr="00BE6306">
              <w:rPr>
                <w:color w:val="000000" w:themeColor="text1"/>
              </w:rPr>
              <w:tab/>
              <w:t>0%</w:t>
            </w:r>
            <w:r w:rsidRPr="00BE6306">
              <w:rPr>
                <w:color w:val="000000" w:themeColor="text1"/>
              </w:rPr>
              <w:tab/>
            </w:r>
            <w:r w:rsidRPr="00BE6306">
              <w:rPr>
                <w:b/>
                <w:bCs/>
                <w:i/>
                <w:iCs/>
                <w:color w:val="000000" w:themeColor="text1"/>
              </w:rPr>
              <w:t>40%</w:t>
            </w:r>
          </w:p>
        </w:tc>
      </w:tr>
    </w:tbl>
    <w:p w14:paraId="393301B3" w14:textId="77777777" w:rsidR="00CA7929" w:rsidRPr="00BE6306" w:rsidRDefault="00CA7929" w:rsidP="00CA7929">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9"/>
      </w:tblGrid>
      <w:tr w:rsidR="00C21B62" w:rsidRPr="00BE6306" w14:paraId="2D2A63D7" w14:textId="77777777">
        <w:tc>
          <w:tcPr>
            <w:tcW w:w="9289" w:type="dxa"/>
            <w:tcBorders>
              <w:top w:val="single" w:sz="6" w:space="0" w:color="auto"/>
              <w:left w:val="single" w:sz="6" w:space="0" w:color="auto"/>
              <w:bottom w:val="single" w:sz="6" w:space="0" w:color="auto"/>
              <w:right w:val="single" w:sz="6" w:space="0" w:color="auto"/>
            </w:tcBorders>
            <w:hideMark/>
          </w:tcPr>
          <w:p w14:paraId="74D51242" w14:textId="77777777" w:rsidR="00CA7929" w:rsidRPr="00BE6306" w:rsidRDefault="00CA7929" w:rsidP="00CA7929">
            <w:pPr>
              <w:rPr>
                <w:b/>
                <w:bCs/>
                <w:i/>
                <w:color w:val="000000" w:themeColor="text1"/>
              </w:rPr>
            </w:pPr>
            <w:r w:rsidRPr="00BE6306">
              <w:rPr>
                <w:b/>
                <w:bCs/>
                <w:i/>
                <w:color w:val="000000" w:themeColor="text1"/>
              </w:rPr>
              <w:t>Reason</w:t>
            </w:r>
          </w:p>
        </w:tc>
      </w:tr>
      <w:tr w:rsidR="00187556" w:rsidRPr="00BE6306" w14:paraId="47DCCFF3" w14:textId="77777777">
        <w:tc>
          <w:tcPr>
            <w:tcW w:w="9289" w:type="dxa"/>
            <w:tcBorders>
              <w:top w:val="single" w:sz="6" w:space="0" w:color="auto"/>
              <w:left w:val="single" w:sz="6" w:space="0" w:color="auto"/>
              <w:bottom w:val="single" w:sz="6" w:space="0" w:color="auto"/>
              <w:right w:val="single" w:sz="6" w:space="0" w:color="auto"/>
            </w:tcBorders>
            <w:hideMark/>
          </w:tcPr>
          <w:p w14:paraId="4E44FE4E" w14:textId="77777777" w:rsidR="00CA7929" w:rsidRPr="00BE6306" w:rsidRDefault="00CA7929" w:rsidP="00CA7929">
            <w:pPr>
              <w:rPr>
                <w:color w:val="000000" w:themeColor="text1"/>
              </w:rPr>
            </w:pPr>
            <w:r w:rsidRPr="00BE6306">
              <w:rPr>
                <w:color w:val="000000" w:themeColor="text1"/>
              </w:rPr>
              <w:t>Adjusting the social (SOC) EU coefficient for LEADER/CLLD (intervention field 335) to better reflect its structural social outcomes in rural areas.</w:t>
            </w:r>
          </w:p>
        </w:tc>
      </w:tr>
    </w:tbl>
    <w:p w14:paraId="7D75B044" w14:textId="77777777" w:rsidR="001A325C" w:rsidRPr="00BE6306" w:rsidRDefault="001A325C">
      <w:pPr>
        <w:rPr>
          <w:color w:val="000000" w:themeColor="text1"/>
        </w:rPr>
      </w:pPr>
    </w:p>
    <w:p w14:paraId="17164169" w14:textId="34E24019" w:rsidR="00C21B62" w:rsidRPr="00BE6306" w:rsidRDefault="00C21B62">
      <w:pPr>
        <w:overflowPunct/>
        <w:autoSpaceDE/>
        <w:autoSpaceDN/>
        <w:adjustRightInd/>
        <w:spacing w:line="240" w:lineRule="auto"/>
        <w:jc w:val="left"/>
        <w:textAlignment w:val="auto"/>
      </w:pPr>
      <w:r w:rsidRPr="00BE6306">
        <w:br w:type="page"/>
      </w:r>
    </w:p>
    <w:p w14:paraId="110D6A92" w14:textId="77777777" w:rsidR="00444A98" w:rsidRPr="00BE6306" w:rsidRDefault="00444A98" w:rsidP="0022340D">
      <w:pPr>
        <w:numPr>
          <w:ilvl w:val="0"/>
          <w:numId w:val="13"/>
        </w:numPr>
        <w:ind w:left="567" w:hanging="567"/>
        <w:rPr>
          <w:b/>
        </w:rPr>
      </w:pPr>
      <w:r w:rsidRPr="00BE6306">
        <w:rPr>
          <w:b/>
          <w:bCs/>
        </w:rPr>
        <w:lastRenderedPageBreak/>
        <w:t>POLICY</w:t>
      </w:r>
      <w:r w:rsidRPr="00BE6306">
        <w:rPr>
          <w:b/>
        </w:rPr>
        <w:t xml:space="preserve"> RECOMMENDATIONS</w:t>
      </w:r>
    </w:p>
    <w:p w14:paraId="4ABE1730" w14:textId="77777777" w:rsidR="00444A98" w:rsidRPr="00BE6306" w:rsidRDefault="00444A98" w:rsidP="0022340D"/>
    <w:p w14:paraId="798C7675" w14:textId="58481950" w:rsidR="00444A98" w:rsidRPr="00BE6306" w:rsidRDefault="00444A98" w:rsidP="0022340D">
      <w:r w:rsidRPr="00BE6306">
        <w:t xml:space="preserve">THE </w:t>
      </w:r>
      <w:r w:rsidR="005C4B78" w:rsidRPr="00BE6306">
        <w:t xml:space="preserve">EUROPEAN </w:t>
      </w:r>
      <w:r w:rsidRPr="00BE6306">
        <w:t>COMMITTEE OF THE REGIONS</w:t>
      </w:r>
      <w:r w:rsidR="00F96651" w:rsidRPr="00BE6306">
        <w:t xml:space="preserve"> (CoR)</w:t>
      </w:r>
    </w:p>
    <w:p w14:paraId="1CA96788" w14:textId="77777777" w:rsidR="00444A98" w:rsidRPr="00BE6306" w:rsidRDefault="00444A98" w:rsidP="0022340D">
      <w:pPr>
        <w:rPr>
          <w:color w:val="000000" w:themeColor="text1"/>
        </w:rPr>
      </w:pPr>
    </w:p>
    <w:p w14:paraId="1CA47F65" w14:textId="7FD3D56F" w:rsidR="00202F35" w:rsidRPr="00BE6306" w:rsidRDefault="006D2FB1" w:rsidP="00213470">
      <w:pPr>
        <w:pStyle w:val="Heading1"/>
        <w:ind w:left="567" w:hanging="567"/>
        <w:rPr>
          <w:color w:val="000000" w:themeColor="text1"/>
        </w:rPr>
      </w:pPr>
      <w:r w:rsidRPr="00BE6306">
        <w:rPr>
          <w:color w:val="000000" w:themeColor="text1"/>
        </w:rPr>
        <w:t xml:space="preserve">welcomes the proposal’s objective </w:t>
      </w:r>
      <w:r w:rsidR="00E35E0F" w:rsidRPr="00BE6306">
        <w:rPr>
          <w:color w:val="000000" w:themeColor="text1"/>
        </w:rPr>
        <w:t xml:space="preserve">of </w:t>
      </w:r>
      <w:r w:rsidRPr="00BE6306">
        <w:rPr>
          <w:color w:val="000000" w:themeColor="text1"/>
        </w:rPr>
        <w:t>introduc</w:t>
      </w:r>
      <w:r w:rsidR="00E35E0F" w:rsidRPr="00BE6306">
        <w:rPr>
          <w:color w:val="000000" w:themeColor="text1"/>
        </w:rPr>
        <w:t>ing</w:t>
      </w:r>
      <w:r w:rsidRPr="00BE6306">
        <w:rPr>
          <w:color w:val="000000" w:themeColor="text1"/>
        </w:rPr>
        <w:t xml:space="preserve"> greater simplification, transparency, and harmonisation in the monitoring and execution of the EU budget; notes that the CoR has repeatedly supported this direction in various opinions</w:t>
      </w:r>
      <w:r w:rsidR="00B011FC" w:rsidRPr="00BE6306">
        <w:rPr>
          <w:color w:val="000000" w:themeColor="text1"/>
        </w:rPr>
        <w:t>; underlines that this should not come at the expense of multilevel governance, subsidiarity, the partnership principle and the Treaty objective of territorial cohesion;</w:t>
      </w:r>
    </w:p>
    <w:p w14:paraId="4A68040C" w14:textId="77777777" w:rsidR="00202F35" w:rsidRPr="00BE6306" w:rsidRDefault="00202F35" w:rsidP="002A298F"/>
    <w:p w14:paraId="6940E55D" w14:textId="46AAE27E" w:rsidR="00642518" w:rsidRPr="00BE6306" w:rsidRDefault="006D2FB1">
      <w:pPr>
        <w:pStyle w:val="Heading1"/>
        <w:ind w:left="567" w:hanging="567"/>
        <w:rPr>
          <w:color w:val="000000" w:themeColor="text1"/>
        </w:rPr>
      </w:pPr>
      <w:r w:rsidRPr="00BE6306">
        <w:rPr>
          <w:color w:val="000000" w:themeColor="text1"/>
        </w:rPr>
        <w:t xml:space="preserve">stresses, however, that the proposal does not currently provide adequate clarity, proportionality, and flexibility with regard to its implementation, creating the unintended risk of administrative burden, complexity, and uncertainty, particularly for </w:t>
      </w:r>
      <w:r w:rsidR="001266D7" w:rsidRPr="00BE6306">
        <w:rPr>
          <w:color w:val="000000" w:themeColor="text1"/>
        </w:rPr>
        <w:t xml:space="preserve">subnational </w:t>
      </w:r>
      <w:r w:rsidRPr="00BE6306">
        <w:rPr>
          <w:color w:val="000000" w:themeColor="text1"/>
        </w:rPr>
        <w:t>managing bodies and beneficiaries</w:t>
      </w:r>
      <w:r w:rsidR="00202F35" w:rsidRPr="00BE6306">
        <w:rPr>
          <w:color w:val="000000" w:themeColor="text1"/>
        </w:rPr>
        <w:t>;</w:t>
      </w:r>
    </w:p>
    <w:p w14:paraId="4525E7BD" w14:textId="77777777" w:rsidR="006D2FB1" w:rsidRPr="00BE6306" w:rsidRDefault="006D2FB1">
      <w:pPr>
        <w:pStyle w:val="Heading1"/>
        <w:numPr>
          <w:ilvl w:val="0"/>
          <w:numId w:val="0"/>
        </w:numPr>
        <w:rPr>
          <w:color w:val="000000" w:themeColor="text1"/>
        </w:rPr>
      </w:pPr>
    </w:p>
    <w:p w14:paraId="00562147" w14:textId="49447BB7" w:rsidR="002D7195" w:rsidRPr="00385C0D" w:rsidRDefault="002D7195" w:rsidP="002A298F">
      <w:pPr>
        <w:pStyle w:val="Heading1"/>
        <w:ind w:left="567" w:hanging="567"/>
      </w:pPr>
      <w:r w:rsidRPr="007A359C">
        <w:t>regrets in this context the lack of a territorial impact assessment by the European Commission;</w:t>
      </w:r>
    </w:p>
    <w:p w14:paraId="10273F5B" w14:textId="77777777" w:rsidR="002D7195" w:rsidRPr="00BE6306" w:rsidRDefault="002D7195" w:rsidP="002D7195"/>
    <w:p w14:paraId="432F6D7D" w14:textId="79CF2F1A" w:rsidR="008F158A" w:rsidRPr="003F5760" w:rsidRDefault="008F158A" w:rsidP="002A298F">
      <w:pPr>
        <w:pStyle w:val="Heading1"/>
        <w:ind w:left="567" w:hanging="567"/>
      </w:pPr>
      <w:r w:rsidRPr="007A359C">
        <w:t>concurs that a clear and simple performance framework is crucial to ensure that EU funds contribute the intended share towards the green and fair transition towards climate neutrality by 2050 and the EU’s environmental objectives; stresses in this context, however, that this cannot be ac</w:t>
      </w:r>
      <w:r w:rsidRPr="00385C0D">
        <w:t>hieved unless the role of local and regional authorities and their specific needs for support are fully reflected in the framework as well as in individual indicators, and exemptions to the horizontal principles are clearly defined and as narrow in scope a</w:t>
      </w:r>
      <w:r w:rsidRPr="003F5760">
        <w:t>s possible;</w:t>
      </w:r>
    </w:p>
    <w:p w14:paraId="3399D9FA" w14:textId="77777777" w:rsidR="008F158A" w:rsidRPr="002A298F" w:rsidRDefault="008F158A" w:rsidP="002A298F"/>
    <w:p w14:paraId="5A381E9E" w14:textId="3E925E2D" w:rsidR="006D2FB1" w:rsidRPr="00BE6306" w:rsidRDefault="006D2FB1">
      <w:pPr>
        <w:pStyle w:val="Heading1"/>
        <w:ind w:left="567" w:hanging="567"/>
        <w:rPr>
          <w:color w:val="000000" w:themeColor="text1"/>
        </w:rPr>
      </w:pPr>
      <w:r w:rsidRPr="00BE6306">
        <w:rPr>
          <w:color w:val="000000" w:themeColor="text1"/>
        </w:rPr>
        <w:t xml:space="preserve">highlights that the </w:t>
      </w:r>
      <w:r w:rsidR="003063D8" w:rsidRPr="00BE6306">
        <w:rPr>
          <w:color w:val="000000" w:themeColor="text1"/>
        </w:rPr>
        <w:t>introduction of a standard approach for a performance framework covering all policies and all funds in the MFF 2028-2034</w:t>
      </w:r>
      <w:r w:rsidRPr="005213CD">
        <w:rPr>
          <w:color w:val="000000" w:themeColor="text1"/>
        </w:rPr>
        <w:t>, based on pre-defined indicators and joint reporting rules, must be accompanied by strong safeguards to ensure it does not constrain policy choices in ways that undermine the principles of subsidiarity and territorial cohesion; a thorough territorial impact assessment of the legislative proposal</w:t>
      </w:r>
      <w:r w:rsidR="00980EA0" w:rsidRPr="005213CD">
        <w:rPr>
          <w:color w:val="000000" w:themeColor="text1"/>
        </w:rPr>
        <w:t xml:space="preserve"> and its annexes is needed</w:t>
      </w:r>
      <w:r w:rsidRPr="005213CD">
        <w:rPr>
          <w:color w:val="000000" w:themeColor="text1"/>
        </w:rPr>
        <w:t>;</w:t>
      </w:r>
    </w:p>
    <w:p w14:paraId="35FB6EE3" w14:textId="77777777" w:rsidR="006D2FB1" w:rsidRPr="00BE6306" w:rsidRDefault="006D2FB1">
      <w:pPr>
        <w:pStyle w:val="Heading1"/>
        <w:numPr>
          <w:ilvl w:val="0"/>
          <w:numId w:val="0"/>
        </w:numPr>
        <w:ind w:left="567"/>
        <w:rPr>
          <w:color w:val="000000" w:themeColor="text1"/>
        </w:rPr>
      </w:pPr>
    </w:p>
    <w:p w14:paraId="49C527D0" w14:textId="7D6F5902" w:rsidR="00322F80" w:rsidRPr="00BE6306" w:rsidRDefault="0049738C">
      <w:pPr>
        <w:pStyle w:val="Heading1"/>
        <w:ind w:left="567" w:hanging="567"/>
        <w:rPr>
          <w:color w:val="000000" w:themeColor="text1"/>
        </w:rPr>
      </w:pPr>
      <w:r w:rsidRPr="00BE6306">
        <w:rPr>
          <w:color w:val="000000" w:themeColor="text1"/>
        </w:rPr>
        <w:t>emphasises that, as highlighted in European Court of Auditors reports on the Recovery and Resilience Facility and cohesion policy, applying a performance-budgeting approach without adequate guidance and support does not guarantee greater efficiency or impact and may even encourage irregular or risk-averse behaviour that harms regional development, innovation and the impact of European Funds</w:t>
      </w:r>
      <w:r w:rsidR="008F1771" w:rsidRPr="00BE6306">
        <w:rPr>
          <w:color w:val="000000" w:themeColor="text1"/>
        </w:rPr>
        <w:t>;</w:t>
      </w:r>
    </w:p>
    <w:p w14:paraId="372D98AD" w14:textId="77777777" w:rsidR="00322F80" w:rsidRPr="00BE6306" w:rsidRDefault="00322F80">
      <w:pPr>
        <w:pStyle w:val="Heading1"/>
        <w:numPr>
          <w:ilvl w:val="0"/>
          <w:numId w:val="0"/>
        </w:numPr>
        <w:ind w:left="567"/>
        <w:rPr>
          <w:color w:val="000000" w:themeColor="text1"/>
        </w:rPr>
      </w:pPr>
    </w:p>
    <w:p w14:paraId="55055D7E" w14:textId="2F1AF07D" w:rsidR="0049738C" w:rsidRPr="00BE6306" w:rsidRDefault="000023A9">
      <w:pPr>
        <w:pStyle w:val="Heading1"/>
        <w:ind w:left="567" w:hanging="567"/>
        <w:rPr>
          <w:color w:val="000000" w:themeColor="text1"/>
        </w:rPr>
      </w:pPr>
      <w:r w:rsidRPr="00BE6306">
        <w:rPr>
          <w:color w:val="000000" w:themeColor="text1"/>
        </w:rPr>
        <w:t>cautions</w:t>
      </w:r>
      <w:r w:rsidR="00322F80" w:rsidRPr="00BE6306">
        <w:rPr>
          <w:color w:val="000000" w:themeColor="text1"/>
        </w:rPr>
        <w:t xml:space="preserve"> that the introduction of a performance-based approach can complement, but not </w:t>
      </w:r>
      <w:r w:rsidRPr="00BE6306">
        <w:rPr>
          <w:color w:val="000000" w:themeColor="text1"/>
        </w:rPr>
        <w:t>substitute for</w:t>
      </w:r>
      <w:r w:rsidR="00322F80" w:rsidRPr="00BE6306">
        <w:rPr>
          <w:color w:val="000000" w:themeColor="text1"/>
        </w:rPr>
        <w:t>, the requirements to control</w:t>
      </w:r>
      <w:r w:rsidRPr="00BE6306">
        <w:rPr>
          <w:color w:val="000000" w:themeColor="text1"/>
        </w:rPr>
        <w:t xml:space="preserve"> and retain information about the</w:t>
      </w:r>
      <w:r w:rsidR="00322F80" w:rsidRPr="00BE6306">
        <w:rPr>
          <w:color w:val="000000" w:themeColor="text1"/>
        </w:rPr>
        <w:t xml:space="preserve"> actual expenditure</w:t>
      </w:r>
      <w:r w:rsidRPr="00BE6306">
        <w:rPr>
          <w:color w:val="000000" w:themeColor="text1"/>
        </w:rPr>
        <w:t xml:space="preserve"> which emanate from the Treaties’ principles of sound financial management, legality and regularity of the Union budget; warns, therefore, that the</w:t>
      </w:r>
      <w:r w:rsidR="00384AB5" w:rsidRPr="00BE6306">
        <w:rPr>
          <w:color w:val="000000" w:themeColor="text1"/>
        </w:rPr>
        <w:t>re is a</w:t>
      </w:r>
      <w:r w:rsidRPr="00BE6306">
        <w:rPr>
          <w:color w:val="000000" w:themeColor="text1"/>
        </w:rPr>
        <w:t xml:space="preserve"> risk of establishing </w:t>
      </w:r>
      <w:r w:rsidR="00384AB5" w:rsidRPr="00BE6306">
        <w:rPr>
          <w:color w:val="000000" w:themeColor="text1"/>
        </w:rPr>
        <w:t xml:space="preserve">a </w:t>
      </w:r>
      <w:r w:rsidR="00384AB5" w:rsidRPr="00BE6306">
        <w:rPr>
          <w:i/>
          <w:iCs/>
          <w:color w:val="000000" w:themeColor="text1"/>
        </w:rPr>
        <w:t>de facto</w:t>
      </w:r>
      <w:r w:rsidR="00384AB5" w:rsidRPr="00BE6306">
        <w:rPr>
          <w:color w:val="000000" w:themeColor="text1"/>
        </w:rPr>
        <w:t xml:space="preserve"> double</w:t>
      </w:r>
      <w:r w:rsidRPr="00BE6306">
        <w:rPr>
          <w:color w:val="000000" w:themeColor="text1"/>
        </w:rPr>
        <w:t xml:space="preserve"> system, thereby increasing administrative burden</w:t>
      </w:r>
      <w:r w:rsidR="00384AB5" w:rsidRPr="00BE6306">
        <w:rPr>
          <w:color w:val="000000" w:themeColor="text1"/>
        </w:rPr>
        <w:t>;</w:t>
      </w:r>
    </w:p>
    <w:p w14:paraId="7F43EA40" w14:textId="77777777" w:rsidR="006D2FB1" w:rsidRPr="00BE6306" w:rsidRDefault="006D2FB1">
      <w:pPr>
        <w:rPr>
          <w:color w:val="000000" w:themeColor="text1"/>
        </w:rPr>
      </w:pPr>
    </w:p>
    <w:p w14:paraId="6B7E8A9D" w14:textId="77777777" w:rsidR="006D2FB1" w:rsidRPr="00BE6306" w:rsidRDefault="006D2FB1" w:rsidP="005711DC">
      <w:pPr>
        <w:keepNext/>
        <w:keepLines/>
        <w:rPr>
          <w:i/>
          <w:iCs/>
          <w:color w:val="000000" w:themeColor="text1"/>
        </w:rPr>
      </w:pPr>
      <w:r w:rsidRPr="00BE6306">
        <w:rPr>
          <w:i/>
          <w:color w:val="000000" w:themeColor="text1"/>
        </w:rPr>
        <w:lastRenderedPageBreak/>
        <w:t>Horizontal principles</w:t>
      </w:r>
    </w:p>
    <w:p w14:paraId="7098A27E" w14:textId="77777777" w:rsidR="006D2FB1" w:rsidRPr="00BE6306" w:rsidRDefault="006D2FB1" w:rsidP="005711DC">
      <w:pPr>
        <w:keepNext/>
        <w:keepLines/>
        <w:rPr>
          <w:i/>
          <w:iCs/>
          <w:color w:val="000000" w:themeColor="text1"/>
        </w:rPr>
      </w:pPr>
    </w:p>
    <w:p w14:paraId="70DADEC3" w14:textId="638E6FCF" w:rsidR="00980EA0" w:rsidRPr="00BE6306" w:rsidRDefault="00980EA0" w:rsidP="005711DC">
      <w:pPr>
        <w:pStyle w:val="Heading1"/>
        <w:keepNext/>
        <w:keepLines/>
        <w:ind w:left="567" w:hanging="567"/>
        <w:rPr>
          <w:color w:val="000000" w:themeColor="text1"/>
        </w:rPr>
      </w:pPr>
      <w:r w:rsidRPr="00BE6306">
        <w:rPr>
          <w:color w:val="000000" w:themeColor="text1"/>
        </w:rPr>
        <w:t>calls for the introduction of an additional horizontal principle ‘do no harm to cohesion’ which, in accordance with previous opinions of the CoR, shall provide a systematic safeguard to ensure that EU funding programmes do not generate negative territorial impacts;</w:t>
      </w:r>
    </w:p>
    <w:p w14:paraId="23681C8E" w14:textId="77777777" w:rsidR="006D2FB1" w:rsidRPr="00BE6306" w:rsidRDefault="006D2FB1">
      <w:pPr>
        <w:pStyle w:val="Heading1"/>
        <w:numPr>
          <w:ilvl w:val="0"/>
          <w:numId w:val="0"/>
        </w:numPr>
        <w:ind w:left="567"/>
        <w:rPr>
          <w:color w:val="000000" w:themeColor="text1"/>
        </w:rPr>
      </w:pPr>
    </w:p>
    <w:p w14:paraId="43A343AE" w14:textId="7D125030" w:rsidR="00EA0AE9" w:rsidRPr="003F5760" w:rsidRDefault="00EA0AE9" w:rsidP="002A298F">
      <w:pPr>
        <w:pStyle w:val="Heading1"/>
        <w:ind w:left="567" w:hanging="567"/>
      </w:pPr>
      <w:r w:rsidRPr="007A359C">
        <w:t xml:space="preserve">supports the </w:t>
      </w:r>
      <w:r w:rsidRPr="00385C0D">
        <w:t>introduction of more uniform rules in regard</w:t>
      </w:r>
      <w:r w:rsidRPr="003F5760">
        <w:t xml:space="preserve"> to the application of the ‘do no significant harm’, ‘do no harm to cohesion’ and gender equality principles, as well as other principles relating to working conditions, climate and biodiversity;</w:t>
      </w:r>
    </w:p>
    <w:p w14:paraId="0708AB01" w14:textId="77777777" w:rsidR="00EA0AE9" w:rsidRPr="002A298F" w:rsidRDefault="00EA0AE9" w:rsidP="002A298F"/>
    <w:p w14:paraId="5169108B" w14:textId="28A2CF13" w:rsidR="006D2FB1" w:rsidRPr="005213CD" w:rsidRDefault="006D2FB1">
      <w:pPr>
        <w:pStyle w:val="Heading1"/>
        <w:ind w:left="567" w:hanging="567"/>
        <w:rPr>
          <w:color w:val="000000" w:themeColor="text1"/>
        </w:rPr>
      </w:pPr>
      <w:r w:rsidRPr="00BE6306">
        <w:rPr>
          <w:color w:val="000000" w:themeColor="text1"/>
        </w:rPr>
        <w:t>is of the view that guidance on these principles should be issued well before the start of the programming period to allow managing bodies and beneficiaries to prepare adequately and ensure consistent interpretation;</w:t>
      </w:r>
    </w:p>
    <w:p w14:paraId="646E8448" w14:textId="77777777" w:rsidR="006D2FB1" w:rsidRPr="005213CD" w:rsidRDefault="006D2FB1">
      <w:pPr>
        <w:rPr>
          <w:color w:val="000000" w:themeColor="text1"/>
        </w:rPr>
      </w:pPr>
    </w:p>
    <w:p w14:paraId="7ED59F43" w14:textId="77777777" w:rsidR="006D2FB1" w:rsidRPr="005213CD" w:rsidRDefault="006D2FB1" w:rsidP="0061022C">
      <w:pPr>
        <w:keepNext/>
        <w:rPr>
          <w:i/>
          <w:iCs/>
          <w:color w:val="000000" w:themeColor="text1"/>
        </w:rPr>
      </w:pPr>
      <w:r w:rsidRPr="005213CD">
        <w:rPr>
          <w:i/>
          <w:iCs/>
          <w:color w:val="000000" w:themeColor="text1"/>
        </w:rPr>
        <w:t>Implementation and link to the NRPPs</w:t>
      </w:r>
    </w:p>
    <w:p w14:paraId="644BB6C3" w14:textId="77777777" w:rsidR="006D2FB1" w:rsidRPr="005213CD" w:rsidRDefault="006D2FB1" w:rsidP="0061022C">
      <w:pPr>
        <w:pStyle w:val="Heading1"/>
        <w:keepNext/>
        <w:numPr>
          <w:ilvl w:val="0"/>
          <w:numId w:val="0"/>
        </w:numPr>
        <w:rPr>
          <w:color w:val="000000" w:themeColor="text1"/>
        </w:rPr>
      </w:pPr>
    </w:p>
    <w:p w14:paraId="47AF468F" w14:textId="707242BB" w:rsidR="006D2FB1" w:rsidRPr="00BE6306" w:rsidRDefault="006D2FB1">
      <w:pPr>
        <w:pStyle w:val="Heading1"/>
        <w:ind w:left="567" w:hanging="567"/>
        <w:rPr>
          <w:color w:val="000000" w:themeColor="text1"/>
        </w:rPr>
      </w:pPr>
      <w:r w:rsidRPr="00BE6306">
        <w:rPr>
          <w:color w:val="000000" w:themeColor="text1"/>
        </w:rPr>
        <w:t xml:space="preserve">points out that, in accordance with the principle of multi-level governance, the identification of </w:t>
      </w:r>
      <w:r w:rsidR="00757B2F" w:rsidRPr="00BE6306">
        <w:rPr>
          <w:color w:val="000000" w:themeColor="text1"/>
        </w:rPr>
        <w:t xml:space="preserve">intervention fields, </w:t>
      </w:r>
      <w:r w:rsidRPr="00BE6306">
        <w:rPr>
          <w:color w:val="000000" w:themeColor="text1"/>
        </w:rPr>
        <w:t>indicators and targets</w:t>
      </w:r>
      <w:r w:rsidR="00757B2F" w:rsidRPr="00BE6306">
        <w:rPr>
          <w:color w:val="000000" w:themeColor="text1"/>
        </w:rPr>
        <w:t xml:space="preserve"> for the plans’ measures</w:t>
      </w:r>
      <w:r w:rsidRPr="00BE6306">
        <w:rPr>
          <w:color w:val="000000" w:themeColor="text1"/>
        </w:rPr>
        <w:t xml:space="preserve"> should be carried out under the full responsibility of the managing or intermediate body in charge of the relevant NRRP’s chapter, notably, a </w:t>
      </w:r>
      <w:r w:rsidR="008F2ADB" w:rsidRPr="00BE6306">
        <w:rPr>
          <w:color w:val="000000" w:themeColor="text1"/>
        </w:rPr>
        <w:t>subnational</w:t>
      </w:r>
      <w:r w:rsidRPr="00BE6306">
        <w:rPr>
          <w:color w:val="000000" w:themeColor="text1"/>
        </w:rPr>
        <w:t xml:space="preserve"> one in the instance of territorial chapters;</w:t>
      </w:r>
    </w:p>
    <w:p w14:paraId="2A32AF1F" w14:textId="77777777" w:rsidR="006D2FB1" w:rsidRPr="00BE6306" w:rsidRDefault="006D2FB1">
      <w:pPr>
        <w:pStyle w:val="Heading1"/>
        <w:numPr>
          <w:ilvl w:val="0"/>
          <w:numId w:val="0"/>
        </w:numPr>
        <w:ind w:left="567"/>
        <w:rPr>
          <w:color w:val="000000" w:themeColor="text1"/>
        </w:rPr>
      </w:pPr>
    </w:p>
    <w:p w14:paraId="0BE1232E" w14:textId="1A5EA036" w:rsidR="00EA0AE9" w:rsidRPr="00BE6306" w:rsidRDefault="00EA0AE9" w:rsidP="002A298F">
      <w:pPr>
        <w:pStyle w:val="Heading1"/>
        <w:ind w:left="567" w:hanging="567"/>
      </w:pPr>
      <w:r w:rsidRPr="007A359C">
        <w:t xml:space="preserve">demands that, when measures cover more than one NUTS 2 area, at least an indicative territorial breakdown (by </w:t>
      </w:r>
      <w:r w:rsidRPr="002A298F">
        <w:rPr>
          <w:color w:val="000000" w:themeColor="text1"/>
        </w:rPr>
        <w:t>NUTS</w:t>
      </w:r>
      <w:r w:rsidRPr="00BE6306">
        <w:t xml:space="preserve"> 2 area) of the associated targets and milestones should be specified to ensure fulfilment is commensurate with different territorial needs and capacities;</w:t>
      </w:r>
    </w:p>
    <w:p w14:paraId="1503D3CD" w14:textId="77777777" w:rsidR="00EA0AE9" w:rsidRPr="002A298F" w:rsidRDefault="00EA0AE9" w:rsidP="002A298F"/>
    <w:p w14:paraId="75750390" w14:textId="7CAFF30A" w:rsidR="006D2FB1" w:rsidRPr="005213CD" w:rsidRDefault="006D2FB1">
      <w:pPr>
        <w:pStyle w:val="Heading1"/>
        <w:ind w:left="567" w:hanging="567"/>
        <w:rPr>
          <w:color w:val="000000" w:themeColor="text1"/>
        </w:rPr>
      </w:pPr>
      <w:r w:rsidRPr="00BE6306">
        <w:rPr>
          <w:color w:val="000000" w:themeColor="text1"/>
        </w:rPr>
        <w:t xml:space="preserve">believes that, where appropriate, the application of indicators should be fully territorialised; welcomes the requirement to assign at least one territorial dimension and a NUTS2 location to each measure in the plans; </w:t>
      </w:r>
    </w:p>
    <w:p w14:paraId="3B341EC6" w14:textId="77777777" w:rsidR="006D2FB1" w:rsidRPr="00BE6306" w:rsidRDefault="006D2FB1">
      <w:pPr>
        <w:pStyle w:val="Heading1"/>
        <w:numPr>
          <w:ilvl w:val="0"/>
          <w:numId w:val="0"/>
        </w:numPr>
        <w:ind w:left="567"/>
        <w:rPr>
          <w:color w:val="000000" w:themeColor="text1"/>
        </w:rPr>
      </w:pPr>
    </w:p>
    <w:p w14:paraId="5AEB2EC2" w14:textId="5BE0499A" w:rsidR="0014784C" w:rsidRPr="003F5760" w:rsidRDefault="001322C8" w:rsidP="002A298F">
      <w:pPr>
        <w:pStyle w:val="Heading1"/>
        <w:ind w:left="567" w:hanging="567"/>
      </w:pPr>
      <w:r w:rsidRPr="007A359C">
        <w:t>u</w:t>
      </w:r>
      <w:r w:rsidR="0014784C" w:rsidRPr="003F5760">
        <w:t xml:space="preserve">nderlines that the EU climate coefficients should be revised to accurately reflect the real impacts on climate </w:t>
      </w:r>
      <w:r w:rsidR="0014784C" w:rsidRPr="002A298F">
        <w:rPr>
          <w:color w:val="000000" w:themeColor="text1"/>
        </w:rPr>
        <w:t>and</w:t>
      </w:r>
      <w:r w:rsidR="0014784C" w:rsidRPr="00BE6306">
        <w:t xml:space="preserve"> the environment and to prevent greenwashing</w:t>
      </w:r>
      <w:r w:rsidRPr="00BE6306">
        <w:t>;</w:t>
      </w:r>
      <w:r w:rsidR="0014784C" w:rsidRPr="003F5760">
        <w:t xml:space="preserve"> </w:t>
      </w:r>
      <w:r w:rsidRPr="003F5760">
        <w:t>e</w:t>
      </w:r>
      <w:r w:rsidR="0014784C" w:rsidRPr="003F5760">
        <w:t>mphasises that misleading classifications could hinder the EU’s green and clean transition progress, increase the costs associated with climate-related disasters and weaken the EU’s global competitiveness;</w:t>
      </w:r>
    </w:p>
    <w:p w14:paraId="2FFFBF7C" w14:textId="77777777" w:rsidR="0014784C" w:rsidRPr="002A298F" w:rsidRDefault="0014784C" w:rsidP="002A298F"/>
    <w:p w14:paraId="598D567D" w14:textId="6A76E4EF" w:rsidR="006D2FB1" w:rsidRPr="005213CD" w:rsidRDefault="006D2FB1">
      <w:pPr>
        <w:pStyle w:val="Heading1"/>
        <w:ind w:left="567" w:hanging="567"/>
        <w:rPr>
          <w:color w:val="000000" w:themeColor="text1"/>
        </w:rPr>
      </w:pPr>
      <w:r w:rsidRPr="00BE6306">
        <w:rPr>
          <w:color w:val="000000" w:themeColor="text1"/>
        </w:rPr>
        <w:t xml:space="preserve">stresses that the application of the performance framework, especially in the plans’ territorial chapters, should be proportionate to the real capacities of </w:t>
      </w:r>
      <w:r w:rsidR="001266D7" w:rsidRPr="00BE6306">
        <w:rPr>
          <w:color w:val="000000" w:themeColor="text1"/>
        </w:rPr>
        <w:t>subnational</w:t>
      </w:r>
      <w:r w:rsidRPr="005213CD">
        <w:rPr>
          <w:color w:val="000000" w:themeColor="text1"/>
        </w:rPr>
        <w:t xml:space="preserve"> authorities involved to define and monitor targets;</w:t>
      </w:r>
    </w:p>
    <w:p w14:paraId="1E3BDAF8" w14:textId="77777777" w:rsidR="006D2FB1" w:rsidRPr="00BE6306" w:rsidRDefault="006D2FB1">
      <w:pPr>
        <w:rPr>
          <w:color w:val="000000" w:themeColor="text1"/>
        </w:rPr>
      </w:pPr>
    </w:p>
    <w:p w14:paraId="794C2299" w14:textId="507E58AC" w:rsidR="006D2FB1" w:rsidRPr="00BE6306" w:rsidRDefault="006D2FB1">
      <w:pPr>
        <w:pStyle w:val="Heading1"/>
        <w:ind w:left="567" w:hanging="567"/>
        <w:rPr>
          <w:color w:val="000000" w:themeColor="text1"/>
        </w:rPr>
      </w:pPr>
      <w:r w:rsidRPr="00BE6306">
        <w:rPr>
          <w:color w:val="000000" w:themeColor="text1"/>
        </w:rPr>
        <w:t>calls, therefore, for granting, where needed, additional flexibility under the territorial chapter</w:t>
      </w:r>
      <w:r w:rsidR="008D4BE5" w:rsidRPr="00BE6306">
        <w:rPr>
          <w:color w:val="000000" w:themeColor="text1"/>
        </w:rPr>
        <w:t>s, notably by allowing the</w:t>
      </w:r>
      <w:r w:rsidRPr="00BE6306">
        <w:rPr>
          <w:color w:val="000000" w:themeColor="text1"/>
        </w:rPr>
        <w:t xml:space="preserve"> </w:t>
      </w:r>
      <w:r w:rsidR="005C79DE" w:rsidRPr="00BE6306">
        <w:rPr>
          <w:color w:val="000000" w:themeColor="text1"/>
        </w:rPr>
        <w:t xml:space="preserve">selection </w:t>
      </w:r>
      <w:r w:rsidRPr="00BE6306">
        <w:rPr>
          <w:color w:val="000000" w:themeColor="text1"/>
        </w:rPr>
        <w:t xml:space="preserve">of context-specific indicators outside the list in Annex </w:t>
      </w:r>
      <w:r w:rsidR="00863787" w:rsidRPr="00BE6306">
        <w:rPr>
          <w:color w:val="000000" w:themeColor="text1"/>
        </w:rPr>
        <w:t>1</w:t>
      </w:r>
      <w:r w:rsidRPr="00BE6306">
        <w:rPr>
          <w:color w:val="000000" w:themeColor="text1"/>
        </w:rPr>
        <w:t>,</w:t>
      </w:r>
      <w:r w:rsidR="00863787" w:rsidRPr="00BE6306">
        <w:rPr>
          <w:color w:val="000000" w:themeColor="text1"/>
        </w:rPr>
        <w:t xml:space="preserve"> </w:t>
      </w:r>
      <w:r w:rsidR="003110C8" w:rsidRPr="00BE6306">
        <w:rPr>
          <w:color w:val="000000" w:themeColor="text1"/>
        </w:rPr>
        <w:t>and the application of an opt</w:t>
      </w:r>
      <w:r w:rsidR="000729A1" w:rsidRPr="00BE6306">
        <w:rPr>
          <w:color w:val="000000" w:themeColor="text1"/>
        </w:rPr>
        <w:t>-</w:t>
      </w:r>
      <w:r w:rsidR="003110C8" w:rsidRPr="00BE6306">
        <w:rPr>
          <w:color w:val="000000" w:themeColor="text1"/>
        </w:rPr>
        <w:t xml:space="preserve">out from the assignment of results in case of objective difficulties </w:t>
      </w:r>
      <w:r w:rsidR="002D1C89" w:rsidRPr="00BE6306">
        <w:rPr>
          <w:color w:val="000000" w:themeColor="text1"/>
        </w:rPr>
        <w:t xml:space="preserve">in </w:t>
      </w:r>
      <w:r w:rsidR="003110C8" w:rsidRPr="00BE6306">
        <w:rPr>
          <w:color w:val="000000" w:themeColor="text1"/>
        </w:rPr>
        <w:t>collect</w:t>
      </w:r>
      <w:r w:rsidR="002D1C89" w:rsidRPr="00BE6306">
        <w:rPr>
          <w:color w:val="000000" w:themeColor="text1"/>
        </w:rPr>
        <w:t>ing</w:t>
      </w:r>
      <w:r w:rsidR="003110C8" w:rsidRPr="00BE6306">
        <w:rPr>
          <w:color w:val="000000" w:themeColor="text1"/>
        </w:rPr>
        <w:t xml:space="preserve"> and measur</w:t>
      </w:r>
      <w:r w:rsidR="002D1C89" w:rsidRPr="00BE6306">
        <w:rPr>
          <w:color w:val="000000" w:themeColor="text1"/>
        </w:rPr>
        <w:t>ing</w:t>
      </w:r>
      <w:r w:rsidR="003110C8" w:rsidRPr="00BE6306">
        <w:rPr>
          <w:color w:val="000000" w:themeColor="text1"/>
        </w:rPr>
        <w:t xml:space="preserve"> data</w:t>
      </w:r>
      <w:r w:rsidRPr="00BE6306">
        <w:rPr>
          <w:color w:val="000000" w:themeColor="text1"/>
        </w:rPr>
        <w:t xml:space="preserve">; </w:t>
      </w:r>
    </w:p>
    <w:p w14:paraId="78D844DC" w14:textId="77777777" w:rsidR="006D2FB1" w:rsidRPr="00BE6306" w:rsidRDefault="006D2FB1">
      <w:pPr>
        <w:pStyle w:val="Heading1"/>
        <w:numPr>
          <w:ilvl w:val="0"/>
          <w:numId w:val="0"/>
        </w:numPr>
        <w:rPr>
          <w:color w:val="000000" w:themeColor="text1"/>
        </w:rPr>
      </w:pPr>
    </w:p>
    <w:p w14:paraId="641B5F9B" w14:textId="592C25D3" w:rsidR="00EA3F3F" w:rsidRPr="00BE6306" w:rsidRDefault="00EA3F3F">
      <w:pPr>
        <w:pStyle w:val="Heading1"/>
        <w:ind w:left="567" w:hanging="567"/>
        <w:rPr>
          <w:color w:val="000000" w:themeColor="text1"/>
        </w:rPr>
      </w:pPr>
      <w:r w:rsidRPr="00BE6306">
        <w:rPr>
          <w:color w:val="000000" w:themeColor="text1"/>
        </w:rPr>
        <w:t xml:space="preserve">is of the view that the </w:t>
      </w:r>
      <w:r w:rsidR="0032116F" w:rsidRPr="00BE6306">
        <w:rPr>
          <w:color w:val="000000" w:themeColor="text1"/>
        </w:rPr>
        <w:t xml:space="preserve">shift to a </w:t>
      </w:r>
      <w:r w:rsidR="00337DA6" w:rsidRPr="00BE6306">
        <w:rPr>
          <w:color w:val="000000" w:themeColor="text1"/>
        </w:rPr>
        <w:t xml:space="preserve">full </w:t>
      </w:r>
      <w:r w:rsidR="0032116F" w:rsidRPr="00BE6306">
        <w:rPr>
          <w:color w:val="000000" w:themeColor="text1"/>
        </w:rPr>
        <w:t>performance-based</w:t>
      </w:r>
      <w:r w:rsidR="00337DA6" w:rsidRPr="00BE6306">
        <w:rPr>
          <w:color w:val="000000" w:themeColor="text1"/>
        </w:rPr>
        <w:t xml:space="preserve"> approach </w:t>
      </w:r>
      <w:r w:rsidR="00DA7A13" w:rsidRPr="00BE6306">
        <w:rPr>
          <w:color w:val="000000" w:themeColor="text1"/>
        </w:rPr>
        <w:t>entail</w:t>
      </w:r>
      <w:r w:rsidR="0032116F" w:rsidRPr="00BE6306">
        <w:rPr>
          <w:color w:val="000000" w:themeColor="text1"/>
        </w:rPr>
        <w:t>s</w:t>
      </w:r>
      <w:r w:rsidR="00DA7A13" w:rsidRPr="00BE6306">
        <w:rPr>
          <w:color w:val="000000" w:themeColor="text1"/>
        </w:rPr>
        <w:t xml:space="preserve"> substantial changes</w:t>
      </w:r>
      <w:r w:rsidR="00337DA6" w:rsidRPr="00BE6306">
        <w:rPr>
          <w:color w:val="000000" w:themeColor="text1"/>
        </w:rPr>
        <w:t xml:space="preserve"> in the management and evaluation systems of the funds and demands</w:t>
      </w:r>
      <w:r w:rsidR="00DA7A13" w:rsidRPr="00BE6306">
        <w:rPr>
          <w:color w:val="000000" w:themeColor="text1"/>
        </w:rPr>
        <w:t xml:space="preserve"> </w:t>
      </w:r>
      <w:r w:rsidR="00337DA6" w:rsidRPr="00BE6306">
        <w:rPr>
          <w:color w:val="000000" w:themeColor="text1"/>
        </w:rPr>
        <w:t xml:space="preserve">a </w:t>
      </w:r>
      <w:r w:rsidR="00DA7A13" w:rsidRPr="00BE6306">
        <w:rPr>
          <w:color w:val="000000" w:themeColor="text1"/>
        </w:rPr>
        <w:t>transitio</w:t>
      </w:r>
      <w:r w:rsidR="009D1DEE" w:rsidRPr="00BE6306">
        <w:rPr>
          <w:color w:val="000000" w:themeColor="text1"/>
        </w:rPr>
        <w:t>n</w:t>
      </w:r>
      <w:r w:rsidR="00DA7A13" w:rsidRPr="00BE6306">
        <w:rPr>
          <w:color w:val="000000" w:themeColor="text1"/>
        </w:rPr>
        <w:t xml:space="preserve"> period</w:t>
      </w:r>
      <w:r w:rsidR="00280F25" w:rsidRPr="00BE6306">
        <w:rPr>
          <w:color w:val="000000" w:themeColor="text1"/>
        </w:rPr>
        <w:t xml:space="preserve">, during </w:t>
      </w:r>
      <w:r w:rsidR="00280F25" w:rsidRPr="00BE6306">
        <w:rPr>
          <w:color w:val="000000" w:themeColor="text1"/>
        </w:rPr>
        <w:lastRenderedPageBreak/>
        <w:t>which the relevant provisions of the performance framework shall not apply,</w:t>
      </w:r>
      <w:r w:rsidR="00DA7A13" w:rsidRPr="00BE6306">
        <w:rPr>
          <w:color w:val="000000" w:themeColor="text1"/>
        </w:rPr>
        <w:t xml:space="preserve"> to allow Member States and managing authorities </w:t>
      </w:r>
      <w:r w:rsidR="0032116F" w:rsidRPr="00BE6306">
        <w:rPr>
          <w:color w:val="000000" w:themeColor="text1"/>
        </w:rPr>
        <w:t>t</w:t>
      </w:r>
      <w:r w:rsidR="00280F25" w:rsidRPr="00BE6306">
        <w:rPr>
          <w:color w:val="000000" w:themeColor="text1"/>
        </w:rPr>
        <w:t>h</w:t>
      </w:r>
      <w:r w:rsidR="0032116F" w:rsidRPr="00BE6306">
        <w:rPr>
          <w:color w:val="000000" w:themeColor="text1"/>
        </w:rPr>
        <w:t xml:space="preserve">at so request </w:t>
      </w:r>
      <w:r w:rsidR="00280F25" w:rsidRPr="00BE6306">
        <w:rPr>
          <w:color w:val="000000" w:themeColor="text1"/>
        </w:rPr>
        <w:t xml:space="preserve">sufficient time </w:t>
      </w:r>
      <w:r w:rsidR="0032116F" w:rsidRPr="00BE6306">
        <w:rPr>
          <w:color w:val="000000" w:themeColor="text1"/>
        </w:rPr>
        <w:t>to adap</w:t>
      </w:r>
      <w:r w:rsidR="00280F25" w:rsidRPr="00BE6306">
        <w:rPr>
          <w:color w:val="000000" w:themeColor="text1"/>
        </w:rPr>
        <w:t>t</w:t>
      </w:r>
      <w:r w:rsidR="00337DA6" w:rsidRPr="00BE6306">
        <w:rPr>
          <w:color w:val="000000" w:themeColor="text1"/>
        </w:rPr>
        <w:t xml:space="preserve">; </w:t>
      </w:r>
    </w:p>
    <w:p w14:paraId="3B0C2CFA" w14:textId="77777777" w:rsidR="00EA3F3F" w:rsidRPr="00BE6306" w:rsidRDefault="00EA3F3F">
      <w:pPr>
        <w:pStyle w:val="Heading1"/>
        <w:numPr>
          <w:ilvl w:val="0"/>
          <w:numId w:val="0"/>
        </w:numPr>
        <w:ind w:left="567"/>
        <w:rPr>
          <w:color w:val="000000" w:themeColor="text1"/>
        </w:rPr>
      </w:pPr>
    </w:p>
    <w:p w14:paraId="79A4EBD9" w14:textId="1A1CAFB4" w:rsidR="002304F0" w:rsidRPr="005213CD" w:rsidRDefault="002304F0" w:rsidP="002A298F">
      <w:pPr>
        <w:pStyle w:val="Heading1"/>
        <w:ind w:left="567" w:hanging="567"/>
      </w:pPr>
      <w:r w:rsidRPr="007A359C">
        <w:t xml:space="preserve">highlights the specific case of the outermost regions, </w:t>
      </w:r>
      <w:r w:rsidRPr="00385C0D">
        <w:t>whose unique situation, as recognised in Article</w:t>
      </w:r>
      <w:r w:rsidR="00E54CEB" w:rsidRPr="003F5760">
        <w:t> </w:t>
      </w:r>
      <w:r w:rsidRPr="003F5760">
        <w:t xml:space="preserve">349 TFEU, entails additional costs that directly affect project implementation. Furthermore, the approach </w:t>
      </w:r>
      <w:r w:rsidRPr="002A298F">
        <w:rPr>
          <w:color w:val="000000" w:themeColor="text1"/>
        </w:rPr>
        <w:t>proposed</w:t>
      </w:r>
      <w:r w:rsidRPr="00BE6306">
        <w:t xml:space="preserve"> by the European Commission – based mainly on quantitative indicators and immediate results – penalises pilot projects and experimental measures, which are frequently carried out in these regions due to their role as natural innovation laboratories, particularly in areas such as the green tran</w:t>
      </w:r>
      <w:r w:rsidRPr="005213CD">
        <w:t>sition, climate adaptation and resilience to natural risks. It is therefore essential to include specific mechanisms for flexibility, technical support and geographical adaptation that recognise the specific characteristics of the outermost regions;</w:t>
      </w:r>
    </w:p>
    <w:p w14:paraId="47618020" w14:textId="77777777" w:rsidR="002304F0" w:rsidRPr="002A298F" w:rsidRDefault="002304F0" w:rsidP="002A298F"/>
    <w:p w14:paraId="1BD6A0BD" w14:textId="5A38406B" w:rsidR="006D2FB1" w:rsidRPr="005213CD" w:rsidRDefault="006D2FB1">
      <w:pPr>
        <w:pStyle w:val="Heading1"/>
        <w:ind w:left="567" w:hanging="567"/>
        <w:rPr>
          <w:color w:val="000000" w:themeColor="text1"/>
        </w:rPr>
      </w:pPr>
      <w:r w:rsidRPr="00BE6306">
        <w:rPr>
          <w:color w:val="000000" w:themeColor="text1"/>
        </w:rPr>
        <w:t xml:space="preserve">in light of the above, calls on the Commission to envisage a specific technical assistance measure, particularly for smaller managing bodies, to support them in complying effectively with the proposal’s requirements; </w:t>
      </w:r>
    </w:p>
    <w:p w14:paraId="118B1301" w14:textId="77777777" w:rsidR="006C4B89" w:rsidRPr="00BE6306" w:rsidRDefault="006C4B89">
      <w:pPr>
        <w:pStyle w:val="Heading1"/>
        <w:numPr>
          <w:ilvl w:val="0"/>
          <w:numId w:val="0"/>
        </w:numPr>
        <w:ind w:left="567"/>
        <w:rPr>
          <w:color w:val="000000" w:themeColor="text1"/>
        </w:rPr>
      </w:pPr>
    </w:p>
    <w:p w14:paraId="20F3FD68" w14:textId="598D5179" w:rsidR="002304F0" w:rsidRPr="005213CD" w:rsidRDefault="002304F0" w:rsidP="002A298F">
      <w:pPr>
        <w:pStyle w:val="Heading1"/>
        <w:ind w:left="567" w:hanging="567"/>
      </w:pPr>
      <w:r w:rsidRPr="007A359C">
        <w:t xml:space="preserve">notes that </w:t>
      </w:r>
      <w:r w:rsidRPr="003F5760">
        <w:t xml:space="preserve">the measurement of many indicators is a very complex exercise, especially for smaller entities, which </w:t>
      </w:r>
      <w:r w:rsidRPr="002A298F">
        <w:rPr>
          <w:color w:val="000000" w:themeColor="text1"/>
        </w:rPr>
        <w:t>requires</w:t>
      </w:r>
      <w:r w:rsidRPr="00BE6306">
        <w:t xml:space="preserve"> methodological certainty and consistency and calls on the Commission to issue relevant guidance, including operational fiches for intervention fields and indicators, as soon as possible, so as to reduce misclassification and improve data collection, reporting and comparability;</w:t>
      </w:r>
    </w:p>
    <w:p w14:paraId="6A1BAB25" w14:textId="77777777" w:rsidR="002304F0" w:rsidRPr="002A298F" w:rsidRDefault="002304F0" w:rsidP="002A298F"/>
    <w:p w14:paraId="15D1E3EF" w14:textId="77777777" w:rsidR="003D532C" w:rsidRPr="005213CD" w:rsidRDefault="006C4B89">
      <w:pPr>
        <w:pStyle w:val="Heading1"/>
        <w:ind w:left="567" w:hanging="567"/>
        <w:rPr>
          <w:color w:val="000000" w:themeColor="text1"/>
        </w:rPr>
      </w:pPr>
      <w:r w:rsidRPr="00BE6306">
        <w:rPr>
          <w:color w:val="000000" w:themeColor="text1"/>
        </w:rPr>
        <w:t>stresses that the performance framework should support learning and course-correction; calls for governance arrangements that enable timely revisions when indicators/targets prove unrealistic or inappropriate, rather than locking territories into rigid metrics;</w:t>
      </w:r>
    </w:p>
    <w:p w14:paraId="23BAFEC0" w14:textId="77777777" w:rsidR="003D532C" w:rsidRPr="005213CD" w:rsidRDefault="003D532C">
      <w:pPr>
        <w:pStyle w:val="Heading1"/>
        <w:numPr>
          <w:ilvl w:val="0"/>
          <w:numId w:val="0"/>
        </w:numPr>
        <w:ind w:left="567"/>
        <w:rPr>
          <w:color w:val="000000" w:themeColor="text1"/>
        </w:rPr>
      </w:pPr>
    </w:p>
    <w:p w14:paraId="295238AC" w14:textId="0DB40525" w:rsidR="003D532C" w:rsidRPr="00BE6306" w:rsidRDefault="00213470">
      <w:pPr>
        <w:pStyle w:val="Heading1"/>
        <w:ind w:left="567" w:hanging="567"/>
        <w:rPr>
          <w:color w:val="000000" w:themeColor="text1"/>
        </w:rPr>
      </w:pPr>
      <w:r w:rsidRPr="00BE6306">
        <w:rPr>
          <w:color w:val="000000" w:themeColor="text1"/>
        </w:rPr>
        <w:t>c</w:t>
      </w:r>
      <w:r w:rsidR="003D532C" w:rsidRPr="00BE6306">
        <w:rPr>
          <w:color w:val="000000" w:themeColor="text1"/>
        </w:rPr>
        <w:t>alls on the Commission to establish, from 2026, an EU-wide training and technical support framework to support managing authorities in the consistent application of indicators, DNSH and gender scoring;</w:t>
      </w:r>
    </w:p>
    <w:p w14:paraId="0AFD8DF6" w14:textId="77777777" w:rsidR="003D532C" w:rsidRPr="00BE6306" w:rsidRDefault="003D532C">
      <w:pPr>
        <w:rPr>
          <w:color w:val="000000" w:themeColor="text1"/>
        </w:rPr>
      </w:pPr>
    </w:p>
    <w:p w14:paraId="7129EC38" w14:textId="77777777" w:rsidR="006D2FB1" w:rsidRPr="00BE6306" w:rsidRDefault="006D2FB1">
      <w:pPr>
        <w:rPr>
          <w:i/>
          <w:color w:val="000000" w:themeColor="text1"/>
        </w:rPr>
      </w:pPr>
      <w:r w:rsidRPr="00BE6306">
        <w:rPr>
          <w:i/>
          <w:color w:val="000000" w:themeColor="text1"/>
        </w:rPr>
        <w:t>Single gateway</w:t>
      </w:r>
    </w:p>
    <w:p w14:paraId="705802CC" w14:textId="77777777" w:rsidR="006D2FB1" w:rsidRPr="00BE6306" w:rsidRDefault="006D2FB1">
      <w:pPr>
        <w:rPr>
          <w:i/>
          <w:color w:val="000000" w:themeColor="text1"/>
        </w:rPr>
      </w:pPr>
    </w:p>
    <w:p w14:paraId="7B704005" w14:textId="7FBE0FB9" w:rsidR="006D2FB1" w:rsidRPr="00BE6306" w:rsidRDefault="00213470">
      <w:pPr>
        <w:pStyle w:val="Heading1"/>
        <w:ind w:left="567" w:hanging="567"/>
        <w:rPr>
          <w:color w:val="000000" w:themeColor="text1"/>
        </w:rPr>
      </w:pPr>
      <w:r w:rsidRPr="00BE6306">
        <w:rPr>
          <w:color w:val="000000" w:themeColor="text1"/>
        </w:rPr>
        <w:t>w</w:t>
      </w:r>
      <w:r w:rsidR="006D2FB1" w:rsidRPr="00BE6306">
        <w:rPr>
          <w:color w:val="000000" w:themeColor="text1"/>
        </w:rPr>
        <w:t xml:space="preserve">elcomes the single gateway as a key tool for increasing the transparency of the EU budget and, in turn, enhancing the accountability of funding allocations and decisions; emphasises that the gateway should build </w:t>
      </w:r>
      <w:r w:rsidR="008731CA" w:rsidRPr="00BE6306">
        <w:rPr>
          <w:color w:val="000000" w:themeColor="text1"/>
        </w:rPr>
        <w:t xml:space="preserve">on </w:t>
      </w:r>
      <w:r w:rsidR="006D2FB1" w:rsidRPr="00BE6306">
        <w:rPr>
          <w:color w:val="000000" w:themeColor="text1"/>
        </w:rPr>
        <w:t>and leverage the experience accumulated in terms of data collection and visualisation in the context of cohesion policy, namely through the Cohesion Open Data platform, Kohesio, the Territorial Economic Data viewer (TEDv);</w:t>
      </w:r>
    </w:p>
    <w:p w14:paraId="1C550005" w14:textId="77777777" w:rsidR="006D2FB1" w:rsidRPr="00BE6306" w:rsidRDefault="006D2FB1">
      <w:pPr>
        <w:rPr>
          <w:color w:val="000000" w:themeColor="text1"/>
        </w:rPr>
      </w:pPr>
    </w:p>
    <w:p w14:paraId="03EE9191" w14:textId="396E1721" w:rsidR="006D2FB1" w:rsidRPr="00BE6306" w:rsidRDefault="006D2FB1">
      <w:pPr>
        <w:pStyle w:val="Heading1"/>
        <w:ind w:left="567" w:hanging="567"/>
        <w:rPr>
          <w:color w:val="000000" w:themeColor="text1"/>
        </w:rPr>
      </w:pPr>
      <w:r w:rsidRPr="00BE6306">
        <w:rPr>
          <w:color w:val="000000" w:themeColor="text1"/>
        </w:rPr>
        <w:t xml:space="preserve">believes that, in accordance with Regulation (EU, Euratom) 2024/2509, the gateway should provide aggregated and user-friendly data about the territorial concentration (by NUTS2) of </w:t>
      </w:r>
      <w:r w:rsidR="00863787" w:rsidRPr="00BE6306">
        <w:rPr>
          <w:color w:val="000000" w:themeColor="text1"/>
        </w:rPr>
        <w:t xml:space="preserve">all the </w:t>
      </w:r>
      <w:r w:rsidRPr="00BE6306">
        <w:rPr>
          <w:color w:val="000000" w:themeColor="text1"/>
        </w:rPr>
        <w:t>different funding instrument</w:t>
      </w:r>
      <w:r w:rsidR="00863787" w:rsidRPr="00BE6306">
        <w:rPr>
          <w:color w:val="000000" w:themeColor="text1"/>
        </w:rPr>
        <w:t>s</w:t>
      </w:r>
      <w:r w:rsidRPr="00BE6306">
        <w:rPr>
          <w:color w:val="000000" w:themeColor="text1"/>
        </w:rPr>
        <w:t>, including</w:t>
      </w:r>
      <w:r w:rsidR="00863787" w:rsidRPr="00BE6306">
        <w:rPr>
          <w:color w:val="000000" w:themeColor="text1"/>
        </w:rPr>
        <w:t xml:space="preserve"> shared,</w:t>
      </w:r>
      <w:r w:rsidRPr="00BE6306">
        <w:rPr>
          <w:color w:val="000000" w:themeColor="text1"/>
        </w:rPr>
        <w:t xml:space="preserve"> direct and indirect management</w:t>
      </w:r>
      <w:r w:rsidR="00863787" w:rsidRPr="00BE6306">
        <w:rPr>
          <w:color w:val="000000" w:themeColor="text1"/>
        </w:rPr>
        <w:t>.</w:t>
      </w:r>
    </w:p>
    <w:p w14:paraId="2795DCEF" w14:textId="77777777" w:rsidR="003A043C" w:rsidRPr="00BE6306" w:rsidRDefault="003A043C" w:rsidP="003A043C"/>
    <w:p w14:paraId="3B498548" w14:textId="1D7B7AEE" w:rsidR="00444A98" w:rsidRPr="00BE6306" w:rsidRDefault="00444A98" w:rsidP="003A043C">
      <w:pPr>
        <w:textAlignment w:val="auto"/>
      </w:pPr>
      <w:r w:rsidRPr="00BE6306">
        <w:t>Brussels,</w:t>
      </w:r>
      <w:r w:rsidR="00F96651" w:rsidRPr="00BE6306">
        <w:t xml:space="preserve">   </w:t>
      </w:r>
      <w:r w:rsidR="007A359C">
        <w:t>.</w:t>
      </w:r>
    </w:p>
    <w:p w14:paraId="2688B9C1" w14:textId="77777777" w:rsidR="00EA1B7F" w:rsidRPr="00BE6306" w:rsidRDefault="00EA1B7F" w:rsidP="003A043C"/>
    <w:p w14:paraId="01DD63B8" w14:textId="77777777" w:rsidR="00444A98" w:rsidRPr="00BE6306" w:rsidRDefault="00444A98" w:rsidP="003A043C">
      <w:pPr>
        <w:numPr>
          <w:ilvl w:val="0"/>
          <w:numId w:val="13"/>
        </w:numPr>
        <w:ind w:left="567" w:hanging="567"/>
        <w:rPr>
          <w:b/>
          <w:bCs/>
        </w:rPr>
      </w:pPr>
      <w:r w:rsidRPr="00BE6306">
        <w:br w:type="page"/>
      </w:r>
      <w:r w:rsidRPr="00BE6306">
        <w:rPr>
          <w:b/>
          <w:bCs/>
        </w:rPr>
        <w:lastRenderedPageBreak/>
        <w:t>PROCEDURE</w:t>
      </w:r>
    </w:p>
    <w:p w14:paraId="25474DE1" w14:textId="77777777" w:rsidR="00444A98" w:rsidRPr="00BE6306" w:rsidRDefault="00444A98" w:rsidP="003A043C"/>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444A98" w:rsidRPr="00BE6306" w14:paraId="33B445A0" w14:textId="77777777" w:rsidTr="00183EE2">
        <w:tc>
          <w:tcPr>
            <w:tcW w:w="3848" w:type="dxa"/>
            <w:noWrap/>
          </w:tcPr>
          <w:p w14:paraId="3B8387E2" w14:textId="77777777" w:rsidR="00444A98" w:rsidRPr="00BE6306" w:rsidRDefault="00444A98" w:rsidP="006D78CA">
            <w:pPr>
              <w:jc w:val="left"/>
              <w:rPr>
                <w:b/>
                <w:bCs/>
              </w:rPr>
            </w:pPr>
            <w:r w:rsidRPr="00BE6306">
              <w:rPr>
                <w:b/>
                <w:bCs/>
              </w:rPr>
              <w:t>Title</w:t>
            </w:r>
          </w:p>
          <w:p w14:paraId="4000BD19" w14:textId="77777777" w:rsidR="00444A98" w:rsidRPr="00BE6306" w:rsidRDefault="00444A98" w:rsidP="006D78CA">
            <w:pPr>
              <w:jc w:val="left"/>
            </w:pPr>
          </w:p>
        </w:tc>
        <w:tc>
          <w:tcPr>
            <w:tcW w:w="5441" w:type="dxa"/>
            <w:noWrap/>
          </w:tcPr>
          <w:p w14:paraId="7763334F" w14:textId="1D5B573D" w:rsidR="00444A98" w:rsidRPr="00BE6306" w:rsidRDefault="007F21FA" w:rsidP="003A043C">
            <w:r w:rsidRPr="00BE6306">
              <w:t xml:space="preserve">Proposal for a </w:t>
            </w:r>
            <w:r w:rsidR="008731CA" w:rsidRPr="00BE6306">
              <w:t>Regulation of the European Parliament and of the Council</w:t>
            </w:r>
            <w:r w:rsidRPr="00BE6306">
              <w:t xml:space="preserve"> establishing a budget expenditure tracking and performance framework and other horizontal rules for the Union programmes and activities &amp; </w:t>
            </w:r>
            <w:r w:rsidR="008731CA" w:rsidRPr="00BE6306">
              <w:t>Annex</w:t>
            </w:r>
          </w:p>
        </w:tc>
      </w:tr>
      <w:tr w:rsidR="00444A98" w:rsidRPr="00BE6306" w14:paraId="3D25714F" w14:textId="77777777" w:rsidTr="00183EE2">
        <w:tc>
          <w:tcPr>
            <w:tcW w:w="3848" w:type="dxa"/>
            <w:noWrap/>
          </w:tcPr>
          <w:p w14:paraId="25DFE291" w14:textId="5313E985" w:rsidR="00444A98" w:rsidRPr="00BE6306" w:rsidRDefault="00444A98" w:rsidP="006D78CA">
            <w:pPr>
              <w:jc w:val="left"/>
              <w:rPr>
                <w:b/>
                <w:bCs/>
              </w:rPr>
            </w:pPr>
            <w:r w:rsidRPr="00BE6306">
              <w:rPr>
                <w:b/>
                <w:bCs/>
              </w:rPr>
              <w:t>Reference(s)</w:t>
            </w:r>
          </w:p>
        </w:tc>
        <w:tc>
          <w:tcPr>
            <w:tcW w:w="5441" w:type="dxa"/>
            <w:noWrap/>
          </w:tcPr>
          <w:p w14:paraId="1903AD8B" w14:textId="642C4EFE" w:rsidR="00444A98" w:rsidRPr="00BE6306" w:rsidRDefault="00444A98" w:rsidP="003A043C"/>
        </w:tc>
      </w:tr>
      <w:tr w:rsidR="00444A98" w:rsidRPr="00BE6306" w14:paraId="23E1F4AB" w14:textId="77777777" w:rsidTr="00183EE2">
        <w:tc>
          <w:tcPr>
            <w:tcW w:w="3848" w:type="dxa"/>
            <w:noWrap/>
          </w:tcPr>
          <w:p w14:paraId="6078A5EF" w14:textId="77777777" w:rsidR="00444A98" w:rsidRPr="00BE6306" w:rsidRDefault="00444A98" w:rsidP="006D78CA">
            <w:pPr>
              <w:jc w:val="left"/>
              <w:rPr>
                <w:b/>
                <w:bCs/>
              </w:rPr>
            </w:pPr>
            <w:r w:rsidRPr="00BE6306">
              <w:rPr>
                <w:b/>
                <w:bCs/>
              </w:rPr>
              <w:t>Legal basis</w:t>
            </w:r>
          </w:p>
        </w:tc>
        <w:tc>
          <w:tcPr>
            <w:tcW w:w="5441" w:type="dxa"/>
            <w:noWrap/>
          </w:tcPr>
          <w:p w14:paraId="0F82B18C" w14:textId="12DF4FB3" w:rsidR="00444A98" w:rsidRPr="00BE6306" w:rsidRDefault="003B772E" w:rsidP="003A043C">
            <w:r w:rsidRPr="00BE6306">
              <w:rPr>
                <w:szCs w:val="22"/>
                <w:shd w:val="clear" w:color="auto" w:fill="FDFDFD"/>
              </w:rPr>
              <w:t>Article 307 TFEU</w:t>
            </w:r>
          </w:p>
        </w:tc>
      </w:tr>
      <w:tr w:rsidR="00444A98" w:rsidRPr="00BE6306" w14:paraId="204C723C" w14:textId="77777777" w:rsidTr="00183EE2">
        <w:tc>
          <w:tcPr>
            <w:tcW w:w="3848" w:type="dxa"/>
            <w:noWrap/>
          </w:tcPr>
          <w:p w14:paraId="2E740F6D" w14:textId="77777777" w:rsidR="00444A98" w:rsidRPr="00BE6306" w:rsidRDefault="00444A98" w:rsidP="006D78CA">
            <w:pPr>
              <w:jc w:val="left"/>
              <w:rPr>
                <w:b/>
                <w:bCs/>
              </w:rPr>
            </w:pPr>
            <w:r w:rsidRPr="00BE6306">
              <w:rPr>
                <w:b/>
                <w:bCs/>
              </w:rPr>
              <w:t>Procedural basis</w:t>
            </w:r>
          </w:p>
        </w:tc>
        <w:tc>
          <w:tcPr>
            <w:tcW w:w="5441" w:type="dxa"/>
            <w:noWrap/>
          </w:tcPr>
          <w:p w14:paraId="35809121" w14:textId="2527CC7C" w:rsidR="00444A98" w:rsidRPr="00BE6306" w:rsidRDefault="003B772E" w:rsidP="003A043C">
            <w:r w:rsidRPr="00BE6306">
              <w:t>Art</w:t>
            </w:r>
            <w:r w:rsidR="007A359C">
              <w:t>icle</w:t>
            </w:r>
            <w:r w:rsidRPr="00BE6306">
              <w:t xml:space="preserve"> 41</w:t>
            </w:r>
            <w:r w:rsidR="008731CA" w:rsidRPr="00BE6306">
              <w:t>(</w:t>
            </w:r>
            <w:r w:rsidRPr="00BE6306">
              <w:t>b)(i)</w:t>
            </w:r>
          </w:p>
        </w:tc>
      </w:tr>
      <w:tr w:rsidR="00444A98" w:rsidRPr="00BE6306" w14:paraId="1A91A5E6" w14:textId="77777777" w:rsidTr="00183EE2">
        <w:tc>
          <w:tcPr>
            <w:tcW w:w="3848" w:type="dxa"/>
          </w:tcPr>
          <w:p w14:paraId="2FC73A12" w14:textId="77777777" w:rsidR="00444A98" w:rsidRPr="00BE6306" w:rsidRDefault="00444A98" w:rsidP="006D78CA">
            <w:pPr>
              <w:jc w:val="left"/>
            </w:pPr>
            <w:r w:rsidRPr="00BE6306">
              <w:rPr>
                <w:b/>
                <w:bCs/>
              </w:rPr>
              <w:t>Date of Council/EP referral/Date of Commission letter</w:t>
            </w:r>
          </w:p>
        </w:tc>
        <w:tc>
          <w:tcPr>
            <w:tcW w:w="5441" w:type="dxa"/>
            <w:noWrap/>
          </w:tcPr>
          <w:p w14:paraId="090B88F4" w14:textId="77777777" w:rsidR="00444A98" w:rsidRPr="00BE6306" w:rsidRDefault="00444A98" w:rsidP="003A043C"/>
        </w:tc>
      </w:tr>
      <w:tr w:rsidR="00444A98" w:rsidRPr="00BE6306" w14:paraId="5C79075B" w14:textId="77777777" w:rsidTr="00183EE2">
        <w:tc>
          <w:tcPr>
            <w:tcW w:w="3848" w:type="dxa"/>
          </w:tcPr>
          <w:p w14:paraId="6096374D" w14:textId="05E238FB" w:rsidR="00444A98" w:rsidRPr="00BE6306" w:rsidRDefault="00444A98" w:rsidP="006D78CA">
            <w:pPr>
              <w:jc w:val="left"/>
            </w:pPr>
            <w:r w:rsidRPr="00BE6306">
              <w:rPr>
                <w:b/>
                <w:bCs/>
              </w:rPr>
              <w:t>Date of Bureau/President</w:t>
            </w:r>
            <w:r w:rsidR="00FF5830" w:rsidRPr="00BE6306">
              <w:rPr>
                <w:b/>
                <w:bCs/>
              </w:rPr>
              <w:t>’</w:t>
            </w:r>
            <w:r w:rsidRPr="00BE6306">
              <w:rPr>
                <w:b/>
                <w:bCs/>
              </w:rPr>
              <w:t>s decision</w:t>
            </w:r>
          </w:p>
        </w:tc>
        <w:tc>
          <w:tcPr>
            <w:tcW w:w="5441" w:type="dxa"/>
            <w:noWrap/>
          </w:tcPr>
          <w:p w14:paraId="7DD48180" w14:textId="787785DD" w:rsidR="00444A98" w:rsidRPr="00BE6306" w:rsidRDefault="007F21FA" w:rsidP="003A043C">
            <w:r w:rsidRPr="00BE6306">
              <w:t>23 October 2025</w:t>
            </w:r>
          </w:p>
        </w:tc>
      </w:tr>
      <w:tr w:rsidR="00444A98" w:rsidRPr="00BE6306" w14:paraId="7A07543E" w14:textId="77777777" w:rsidTr="00183EE2">
        <w:tc>
          <w:tcPr>
            <w:tcW w:w="3848" w:type="dxa"/>
            <w:noWrap/>
          </w:tcPr>
          <w:p w14:paraId="2A1C11A4" w14:textId="77777777" w:rsidR="00444A98" w:rsidRPr="00BE6306" w:rsidRDefault="00444A98" w:rsidP="006D78CA">
            <w:pPr>
              <w:jc w:val="left"/>
              <w:rPr>
                <w:b/>
                <w:bCs/>
              </w:rPr>
            </w:pPr>
            <w:r w:rsidRPr="00BE6306">
              <w:rPr>
                <w:b/>
                <w:bCs/>
              </w:rPr>
              <w:t>Commission responsible</w:t>
            </w:r>
          </w:p>
        </w:tc>
        <w:tc>
          <w:tcPr>
            <w:tcW w:w="5441" w:type="dxa"/>
            <w:noWrap/>
          </w:tcPr>
          <w:p w14:paraId="11DD836B" w14:textId="5DF2FDA4" w:rsidR="00444A98" w:rsidRPr="00BE6306" w:rsidRDefault="007F21FA" w:rsidP="003A043C">
            <w:r w:rsidRPr="00BE6306">
              <w:t>Commission for Territorial Cohesion Policy and EU Budget</w:t>
            </w:r>
          </w:p>
        </w:tc>
      </w:tr>
      <w:tr w:rsidR="00444A98" w:rsidRPr="00BE6306" w14:paraId="7763E683" w14:textId="77777777" w:rsidTr="00183EE2">
        <w:tc>
          <w:tcPr>
            <w:tcW w:w="3848" w:type="dxa"/>
            <w:noWrap/>
          </w:tcPr>
          <w:p w14:paraId="0637CD75" w14:textId="77777777" w:rsidR="00444A98" w:rsidRPr="00BE6306" w:rsidRDefault="00444A98" w:rsidP="006D78CA">
            <w:pPr>
              <w:jc w:val="left"/>
              <w:rPr>
                <w:b/>
                <w:bCs/>
              </w:rPr>
            </w:pPr>
            <w:r w:rsidRPr="00BE6306">
              <w:rPr>
                <w:b/>
                <w:bCs/>
              </w:rPr>
              <w:t>Rapporteur</w:t>
            </w:r>
          </w:p>
        </w:tc>
        <w:tc>
          <w:tcPr>
            <w:tcW w:w="5441" w:type="dxa"/>
            <w:noWrap/>
          </w:tcPr>
          <w:p w14:paraId="25D1A998" w14:textId="1916A668" w:rsidR="00444A98" w:rsidRPr="00BE6306" w:rsidRDefault="007F21FA" w:rsidP="003A043C">
            <w:r w:rsidRPr="00BE6306">
              <w:t xml:space="preserve">Luca </w:t>
            </w:r>
            <w:r w:rsidR="00130698" w:rsidRPr="00BE6306">
              <w:t xml:space="preserve">MENESINI </w:t>
            </w:r>
            <w:r w:rsidRPr="00BE6306">
              <w:t>(IT/PES)</w:t>
            </w:r>
          </w:p>
        </w:tc>
      </w:tr>
      <w:tr w:rsidR="00444A98" w:rsidRPr="00BE6306" w14:paraId="50CFA60D" w14:textId="77777777" w:rsidTr="00183EE2">
        <w:tc>
          <w:tcPr>
            <w:tcW w:w="3848" w:type="dxa"/>
            <w:noWrap/>
          </w:tcPr>
          <w:p w14:paraId="1091857E" w14:textId="3DF27A58" w:rsidR="00444A98" w:rsidRPr="00BE6306" w:rsidRDefault="00444A98" w:rsidP="006D78CA">
            <w:pPr>
              <w:jc w:val="left"/>
              <w:rPr>
                <w:b/>
                <w:bCs/>
              </w:rPr>
            </w:pPr>
            <w:r w:rsidRPr="00BE6306">
              <w:rPr>
                <w:b/>
                <w:bCs/>
              </w:rPr>
              <w:t>Discussed in commission</w:t>
            </w:r>
          </w:p>
        </w:tc>
        <w:tc>
          <w:tcPr>
            <w:tcW w:w="5441" w:type="dxa"/>
            <w:noWrap/>
          </w:tcPr>
          <w:p w14:paraId="39BADD7C" w14:textId="02DC8A97" w:rsidR="00444A98" w:rsidRPr="00BE6306" w:rsidRDefault="00416A3C" w:rsidP="003A043C">
            <w:r w:rsidRPr="00BE6306">
              <w:t>2</w:t>
            </w:r>
            <w:r w:rsidR="007F21FA" w:rsidRPr="00BE6306">
              <w:t xml:space="preserve"> December 2025</w:t>
            </w:r>
          </w:p>
        </w:tc>
      </w:tr>
      <w:tr w:rsidR="00444A98" w:rsidRPr="00BE6306" w14:paraId="550B9AC6" w14:textId="77777777" w:rsidTr="00183EE2">
        <w:tc>
          <w:tcPr>
            <w:tcW w:w="3848" w:type="dxa"/>
            <w:noWrap/>
          </w:tcPr>
          <w:p w14:paraId="49222FEA" w14:textId="1A4C5272" w:rsidR="00444A98" w:rsidRPr="00BE6306" w:rsidRDefault="00444A98" w:rsidP="006D78CA">
            <w:pPr>
              <w:jc w:val="left"/>
              <w:rPr>
                <w:b/>
                <w:bCs/>
              </w:rPr>
            </w:pPr>
            <w:r w:rsidRPr="00BE6306">
              <w:rPr>
                <w:b/>
                <w:bCs/>
              </w:rPr>
              <w:t>Date adopted by commission</w:t>
            </w:r>
          </w:p>
        </w:tc>
        <w:tc>
          <w:tcPr>
            <w:tcW w:w="5441" w:type="dxa"/>
            <w:noWrap/>
          </w:tcPr>
          <w:p w14:paraId="3F951320" w14:textId="3CCA888B" w:rsidR="00444A98" w:rsidRPr="00BE6306" w:rsidRDefault="007F21FA" w:rsidP="003A043C">
            <w:r w:rsidRPr="00BE6306">
              <w:t>5 February 2026</w:t>
            </w:r>
          </w:p>
        </w:tc>
      </w:tr>
      <w:tr w:rsidR="00444A98" w:rsidRPr="00BE6306" w14:paraId="18A68C55" w14:textId="77777777" w:rsidTr="00183EE2">
        <w:tc>
          <w:tcPr>
            <w:tcW w:w="3848" w:type="dxa"/>
            <w:noWrap/>
          </w:tcPr>
          <w:p w14:paraId="393D8A34" w14:textId="77777777" w:rsidR="00444A98" w:rsidRPr="00BE6306" w:rsidRDefault="00444A98" w:rsidP="006D78CA">
            <w:pPr>
              <w:jc w:val="left"/>
              <w:rPr>
                <w:b/>
                <w:bCs/>
              </w:rPr>
            </w:pPr>
            <w:r w:rsidRPr="00BE6306">
              <w:rPr>
                <w:b/>
                <w:bCs/>
              </w:rPr>
              <w:t>Result of the vote in commission</w:t>
            </w:r>
          </w:p>
          <w:p w14:paraId="08EBB26E" w14:textId="77777777" w:rsidR="00444A98" w:rsidRPr="00BE6306" w:rsidRDefault="00444A98" w:rsidP="006D78CA">
            <w:pPr>
              <w:jc w:val="left"/>
              <w:rPr>
                <w:b/>
                <w:bCs/>
              </w:rPr>
            </w:pPr>
            <w:r w:rsidRPr="00BE6306">
              <w:rPr>
                <w:b/>
                <w:bCs/>
              </w:rPr>
              <w:t>(majority, unanimity)</w:t>
            </w:r>
          </w:p>
        </w:tc>
        <w:tc>
          <w:tcPr>
            <w:tcW w:w="5441" w:type="dxa"/>
            <w:noWrap/>
          </w:tcPr>
          <w:p w14:paraId="5528C8A7" w14:textId="036E8152" w:rsidR="00444A98" w:rsidRPr="00BE6306" w:rsidRDefault="001A40A5" w:rsidP="003A043C">
            <w:r w:rsidRPr="002A298F">
              <w:t>majority</w:t>
            </w:r>
          </w:p>
        </w:tc>
      </w:tr>
      <w:tr w:rsidR="003B772E" w:rsidRPr="00BE6306" w14:paraId="2F6D707B" w14:textId="77777777" w:rsidTr="00183EE2">
        <w:tc>
          <w:tcPr>
            <w:tcW w:w="3848" w:type="dxa"/>
            <w:noWrap/>
          </w:tcPr>
          <w:p w14:paraId="48624E4D" w14:textId="7D039609" w:rsidR="003B772E" w:rsidRPr="00BE6306" w:rsidRDefault="003B772E" w:rsidP="003B772E">
            <w:pPr>
              <w:jc w:val="left"/>
              <w:rPr>
                <w:b/>
                <w:bCs/>
              </w:rPr>
            </w:pPr>
            <w:r w:rsidRPr="00BE6306">
              <w:rPr>
                <w:b/>
                <w:bCs/>
              </w:rPr>
              <w:t>Date adopted in plenary</w:t>
            </w:r>
          </w:p>
        </w:tc>
        <w:tc>
          <w:tcPr>
            <w:tcW w:w="5441" w:type="dxa"/>
            <w:noWrap/>
          </w:tcPr>
          <w:p w14:paraId="7E62CD5D" w14:textId="7E84CC26" w:rsidR="003B772E" w:rsidRPr="00BE6306" w:rsidRDefault="003B772E" w:rsidP="003B772E">
            <w:r w:rsidRPr="00BE6306">
              <w:t xml:space="preserve">Scheduled </w:t>
            </w:r>
            <w:r w:rsidR="008731CA" w:rsidRPr="00BE6306">
              <w:t xml:space="preserve">for </w:t>
            </w:r>
            <w:r w:rsidRPr="00BE6306">
              <w:t>6-7 May 2026</w:t>
            </w:r>
          </w:p>
        </w:tc>
      </w:tr>
      <w:tr w:rsidR="003B772E" w:rsidRPr="00BE6306" w14:paraId="59F2AEB5" w14:textId="77777777" w:rsidTr="00183EE2">
        <w:tc>
          <w:tcPr>
            <w:tcW w:w="3848" w:type="dxa"/>
            <w:noWrap/>
          </w:tcPr>
          <w:p w14:paraId="1480F6BA" w14:textId="0D9FC112" w:rsidR="003B772E" w:rsidRPr="00BE6306" w:rsidRDefault="003B772E" w:rsidP="003B772E">
            <w:pPr>
              <w:jc w:val="left"/>
              <w:rPr>
                <w:b/>
                <w:bCs/>
              </w:rPr>
            </w:pPr>
            <w:r w:rsidRPr="00BE6306">
              <w:rPr>
                <w:b/>
                <w:bCs/>
              </w:rPr>
              <w:t>Previous Committee opinions</w:t>
            </w:r>
          </w:p>
        </w:tc>
        <w:tc>
          <w:tcPr>
            <w:tcW w:w="5441" w:type="dxa"/>
            <w:noWrap/>
          </w:tcPr>
          <w:p w14:paraId="32860175" w14:textId="77777777" w:rsidR="003B772E" w:rsidRPr="00BE6306" w:rsidRDefault="003B772E" w:rsidP="003B772E"/>
        </w:tc>
      </w:tr>
      <w:tr w:rsidR="003B772E" w:rsidRPr="00BE6306" w14:paraId="36C22B4E" w14:textId="77777777" w:rsidTr="00183EE2">
        <w:tc>
          <w:tcPr>
            <w:tcW w:w="3848" w:type="dxa"/>
            <w:noWrap/>
          </w:tcPr>
          <w:p w14:paraId="4E25415A" w14:textId="1E817D70" w:rsidR="003B772E" w:rsidRPr="00BE6306" w:rsidRDefault="003B772E" w:rsidP="003B772E">
            <w:pPr>
              <w:jc w:val="left"/>
              <w:rPr>
                <w:b/>
                <w:bCs/>
              </w:rPr>
            </w:pPr>
            <w:r w:rsidRPr="00BE6306">
              <w:rPr>
                <w:b/>
                <w:bCs/>
              </w:rPr>
              <w:t>Subsidiarity reference</w:t>
            </w:r>
          </w:p>
        </w:tc>
        <w:tc>
          <w:tcPr>
            <w:tcW w:w="5441" w:type="dxa"/>
            <w:noWrap/>
          </w:tcPr>
          <w:p w14:paraId="0648ED3F" w14:textId="77777777" w:rsidR="003B772E" w:rsidRPr="00BE6306" w:rsidRDefault="003B772E" w:rsidP="003B772E"/>
        </w:tc>
      </w:tr>
    </w:tbl>
    <w:p w14:paraId="520429A0" w14:textId="77777777" w:rsidR="00444A98" w:rsidRPr="00BE6306" w:rsidRDefault="00444A98" w:rsidP="003A043C"/>
    <w:p w14:paraId="7CB8958C" w14:textId="44BE954C" w:rsidR="00444A98" w:rsidRPr="00BE6306" w:rsidRDefault="00444A98" w:rsidP="0022340D">
      <w:pPr>
        <w:jc w:val="center"/>
      </w:pPr>
      <w:r w:rsidRPr="00BE6306">
        <w:t>_____________</w:t>
      </w:r>
    </w:p>
    <w:sectPr w:rsidR="00444A98" w:rsidRPr="00BE6306" w:rsidSect="005F51C1">
      <w:headerReference w:type="even" r:id="rId26"/>
      <w:headerReference w:type="default" r:id="rId27"/>
      <w:footerReference w:type="even" r:id="rId28"/>
      <w:footerReference w:type="default" r:id="rId29"/>
      <w:headerReference w:type="first" r:id="rId30"/>
      <w:footerReference w:type="first" r:id="rId31"/>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6C7E" w14:textId="77777777" w:rsidR="00560F80" w:rsidRDefault="00560F80">
      <w:r>
        <w:separator/>
      </w:r>
    </w:p>
  </w:endnote>
  <w:endnote w:type="continuationSeparator" w:id="0">
    <w:p w14:paraId="54E8DCC2" w14:textId="77777777" w:rsidR="00560F80" w:rsidRDefault="0056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1532" w14:textId="77777777" w:rsidR="003F5760" w:rsidRPr="005F51C1" w:rsidRDefault="003F5760" w:rsidP="005F5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0033" w14:textId="3AFA2777" w:rsidR="006D78CA" w:rsidRPr="005F51C1" w:rsidRDefault="005F51C1" w:rsidP="005F51C1">
    <w:pPr>
      <w:pStyle w:val="Footer"/>
    </w:pPr>
    <w:r>
      <w:t xml:space="preserve">COR-2025-03317-00-00-PAC-TRA (EN) </w:t>
    </w:r>
    <w:r>
      <w:fldChar w:fldCharType="begin"/>
    </w:r>
    <w:r>
      <w:instrText xml:space="preserve"> PAGE  \* Arabic  \* MERGEFORMAT </w:instrText>
    </w:r>
    <w:r>
      <w:fldChar w:fldCharType="separate"/>
    </w:r>
    <w:r w:rsidR="003C1CEC">
      <w:rPr>
        <w:noProof/>
      </w:rPr>
      <w:t>1</w:t>
    </w:r>
    <w:r>
      <w:fldChar w:fldCharType="end"/>
    </w:r>
    <w:r>
      <w:t>/</w:t>
    </w:r>
    <w:r>
      <w:fldChar w:fldCharType="begin"/>
    </w:r>
    <w:r>
      <w:instrText xml:space="preserve"> NUMPAGES </w:instrText>
    </w:r>
    <w:r>
      <w:fldChar w:fldCharType="separate"/>
    </w:r>
    <w:r w:rsidR="003C1CE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CED0" w14:textId="77777777" w:rsidR="003F5760" w:rsidRPr="005F51C1" w:rsidRDefault="003F5760" w:rsidP="005F5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7AA5" w14:textId="77777777" w:rsidR="005F51C1" w:rsidRPr="005F51C1" w:rsidRDefault="005F51C1" w:rsidP="005F51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951F" w14:textId="2BB08FDA" w:rsidR="003451E3" w:rsidRPr="005F51C1" w:rsidRDefault="005F51C1" w:rsidP="005F51C1">
    <w:pPr>
      <w:pStyle w:val="Footer"/>
    </w:pPr>
    <w:r>
      <w:t xml:space="preserve">COR-2025-03317-00-00-PAC-TRA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3BEB" w14:textId="77777777" w:rsidR="005F51C1" w:rsidRPr="005F51C1" w:rsidRDefault="005F51C1" w:rsidP="005F51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F113" w14:textId="77777777" w:rsidR="00BE006D" w:rsidRPr="005F51C1" w:rsidRDefault="00BE006D" w:rsidP="005F51C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1C8D" w14:textId="4F43B2E0" w:rsidR="00BE006D" w:rsidRPr="005F51C1" w:rsidRDefault="005F51C1" w:rsidP="005F51C1">
    <w:pPr>
      <w:pStyle w:val="Footer"/>
    </w:pPr>
    <w:r>
      <w:t xml:space="preserve">COR-2025-03317-00-00-PAC-TRA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D75" w14:textId="77777777" w:rsidR="00BE006D" w:rsidRPr="005F51C1" w:rsidRDefault="00BE006D" w:rsidP="005F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2D97" w14:textId="77777777" w:rsidR="00560F80" w:rsidRDefault="00560F80">
      <w:r>
        <w:separator/>
      </w:r>
    </w:p>
  </w:footnote>
  <w:footnote w:type="continuationSeparator" w:id="0">
    <w:p w14:paraId="65F051EF" w14:textId="77777777" w:rsidR="00560F80" w:rsidRDefault="0056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43F" w14:textId="77777777" w:rsidR="003F5760" w:rsidRPr="005F51C1" w:rsidRDefault="003F5760" w:rsidP="005F5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5BAD" w14:textId="68C1904F" w:rsidR="003F5760" w:rsidRPr="005F51C1" w:rsidRDefault="003F5760" w:rsidP="005F5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3FB" w14:textId="77777777" w:rsidR="003F5760" w:rsidRPr="005F51C1" w:rsidRDefault="003F5760" w:rsidP="005F5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AAE8" w14:textId="77777777" w:rsidR="005F51C1" w:rsidRPr="005F51C1" w:rsidRDefault="005F51C1" w:rsidP="005F51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6B1D" w14:textId="39D042C3" w:rsidR="005F51C1" w:rsidRPr="005F51C1" w:rsidRDefault="005F51C1" w:rsidP="005F51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8474" w14:textId="77777777" w:rsidR="005F51C1" w:rsidRPr="005F51C1" w:rsidRDefault="005F51C1" w:rsidP="005F51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89C6" w14:textId="77777777" w:rsidR="00BE006D" w:rsidRPr="005F51C1" w:rsidRDefault="00BE006D" w:rsidP="005F51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DE2" w14:textId="1CFCEE01" w:rsidR="00BE006D" w:rsidRPr="005F51C1" w:rsidRDefault="00BE006D" w:rsidP="005F51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0B41" w14:textId="77777777" w:rsidR="00BE006D" w:rsidRPr="005F51C1" w:rsidRDefault="00BE006D" w:rsidP="005F5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0FF2F82"/>
    <w:multiLevelType w:val="hybridMultilevel"/>
    <w:tmpl w:val="19B6A2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15:restartNumberingAfterBreak="0">
    <w:nsid w:val="1C0C2535"/>
    <w:multiLevelType w:val="hybridMultilevel"/>
    <w:tmpl w:val="A648C1C6"/>
    <w:lvl w:ilvl="0" w:tplc="BA8AF78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416F8"/>
    <w:multiLevelType w:val="hybridMultilevel"/>
    <w:tmpl w:val="C550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663B5"/>
    <w:multiLevelType w:val="hybridMultilevel"/>
    <w:tmpl w:val="DA6602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5718EE"/>
    <w:multiLevelType w:val="hybridMultilevel"/>
    <w:tmpl w:val="E90AC0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F70DC2"/>
    <w:multiLevelType w:val="hybridMultilevel"/>
    <w:tmpl w:val="BF2466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14159915">
    <w:abstractNumId w:val="0"/>
  </w:num>
  <w:num w:numId="2" w16cid:durableId="1631980292">
    <w:abstractNumId w:val="7"/>
  </w:num>
  <w:num w:numId="3" w16cid:durableId="2047370061">
    <w:abstractNumId w:val="15"/>
  </w:num>
  <w:num w:numId="4" w16cid:durableId="1654721957">
    <w:abstractNumId w:val="8"/>
  </w:num>
  <w:num w:numId="5" w16cid:durableId="1828861140">
    <w:abstractNumId w:val="10"/>
  </w:num>
  <w:num w:numId="6" w16cid:durableId="853767421">
    <w:abstractNumId w:val="5"/>
  </w:num>
  <w:num w:numId="7" w16cid:durableId="2069648697">
    <w:abstractNumId w:val="3"/>
  </w:num>
  <w:num w:numId="8" w16cid:durableId="1184246682">
    <w:abstractNumId w:val="14"/>
  </w:num>
  <w:num w:numId="9" w16cid:durableId="979118218">
    <w:abstractNumId w:val="11"/>
  </w:num>
  <w:num w:numId="10" w16cid:durableId="1928614684">
    <w:abstractNumId w:val="13"/>
  </w:num>
  <w:num w:numId="11" w16cid:durableId="41443711">
    <w:abstractNumId w:val="4"/>
  </w:num>
  <w:num w:numId="12" w16cid:durableId="166868839">
    <w:abstractNumId w:val="9"/>
  </w:num>
  <w:num w:numId="13" w16cid:durableId="1776710866">
    <w:abstractNumId w:val="17"/>
  </w:num>
  <w:num w:numId="14" w16cid:durableId="1847790034">
    <w:abstractNumId w:val="6"/>
  </w:num>
  <w:num w:numId="15" w16cid:durableId="361904973">
    <w:abstractNumId w:val="12"/>
  </w:num>
  <w:num w:numId="16" w16cid:durableId="951981640">
    <w:abstractNumId w:val="2"/>
  </w:num>
  <w:num w:numId="17" w16cid:durableId="1936132426">
    <w:abstractNumId w:val="18"/>
  </w:num>
  <w:num w:numId="18" w16cid:durableId="411510996">
    <w:abstractNumId w:val="16"/>
  </w:num>
  <w:num w:numId="19" w16cid:durableId="26613100">
    <w:abstractNumId w:val="1"/>
  </w:num>
  <w:num w:numId="20" w16cid:durableId="2075926950">
    <w:abstractNumId w:val="0"/>
  </w:num>
  <w:num w:numId="21" w16cid:durableId="1959600166">
    <w:abstractNumId w:val="0"/>
  </w:num>
  <w:num w:numId="22" w16cid:durableId="438305849">
    <w:abstractNumId w:val="0"/>
  </w:num>
  <w:num w:numId="23" w16cid:durableId="1778016418">
    <w:abstractNumId w:val="0"/>
  </w:num>
  <w:num w:numId="24" w16cid:durableId="957949674">
    <w:abstractNumId w:val="0"/>
  </w:num>
  <w:num w:numId="25" w16cid:durableId="1915318915">
    <w:abstractNumId w:val="0"/>
  </w:num>
  <w:num w:numId="26" w16cid:durableId="38491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023A9"/>
    <w:rsid w:val="000025E1"/>
    <w:rsid w:val="00007A4E"/>
    <w:rsid w:val="00016ADE"/>
    <w:rsid w:val="00020D7F"/>
    <w:rsid w:val="000273A5"/>
    <w:rsid w:val="00027EF7"/>
    <w:rsid w:val="00033FF4"/>
    <w:rsid w:val="000356F1"/>
    <w:rsid w:val="00050D76"/>
    <w:rsid w:val="000615B3"/>
    <w:rsid w:val="00061BBC"/>
    <w:rsid w:val="00067BA8"/>
    <w:rsid w:val="000707FA"/>
    <w:rsid w:val="000729A1"/>
    <w:rsid w:val="00073195"/>
    <w:rsid w:val="000735E3"/>
    <w:rsid w:val="00075A0B"/>
    <w:rsid w:val="00080924"/>
    <w:rsid w:val="00083AE8"/>
    <w:rsid w:val="000A59E5"/>
    <w:rsid w:val="000B74D3"/>
    <w:rsid w:val="000C3BC1"/>
    <w:rsid w:val="000D1806"/>
    <w:rsid w:val="000D6A84"/>
    <w:rsid w:val="000E291B"/>
    <w:rsid w:val="000E3481"/>
    <w:rsid w:val="000E72D1"/>
    <w:rsid w:val="00101FBB"/>
    <w:rsid w:val="00107933"/>
    <w:rsid w:val="00112E32"/>
    <w:rsid w:val="0012190B"/>
    <w:rsid w:val="001266D7"/>
    <w:rsid w:val="00130698"/>
    <w:rsid w:val="001322C8"/>
    <w:rsid w:val="00134845"/>
    <w:rsid w:val="00140B96"/>
    <w:rsid w:val="00144A12"/>
    <w:rsid w:val="0014784C"/>
    <w:rsid w:val="00150DAF"/>
    <w:rsid w:val="0015645B"/>
    <w:rsid w:val="00166695"/>
    <w:rsid w:val="001674C1"/>
    <w:rsid w:val="00172072"/>
    <w:rsid w:val="001817E6"/>
    <w:rsid w:val="00183EE2"/>
    <w:rsid w:val="00187556"/>
    <w:rsid w:val="00193552"/>
    <w:rsid w:val="001A325C"/>
    <w:rsid w:val="001A40A5"/>
    <w:rsid w:val="001B33A4"/>
    <w:rsid w:val="001C3920"/>
    <w:rsid w:val="001C5729"/>
    <w:rsid w:val="001C66A9"/>
    <w:rsid w:val="001D7883"/>
    <w:rsid w:val="001E2E5B"/>
    <w:rsid w:val="001E5620"/>
    <w:rsid w:val="001F085A"/>
    <w:rsid w:val="001F1AB8"/>
    <w:rsid w:val="002004AB"/>
    <w:rsid w:val="00202F35"/>
    <w:rsid w:val="0020306C"/>
    <w:rsid w:val="002033F5"/>
    <w:rsid w:val="002054D0"/>
    <w:rsid w:val="002068AC"/>
    <w:rsid w:val="00212170"/>
    <w:rsid w:val="00213470"/>
    <w:rsid w:val="002134C8"/>
    <w:rsid w:val="00213B5E"/>
    <w:rsid w:val="0022340D"/>
    <w:rsid w:val="0022384F"/>
    <w:rsid w:val="002302F1"/>
    <w:rsid w:val="002304F0"/>
    <w:rsid w:val="002435D2"/>
    <w:rsid w:val="00250A05"/>
    <w:rsid w:val="00254392"/>
    <w:rsid w:val="00254B94"/>
    <w:rsid w:val="0026685F"/>
    <w:rsid w:val="0026767E"/>
    <w:rsid w:val="002749F9"/>
    <w:rsid w:val="002775F3"/>
    <w:rsid w:val="00280F25"/>
    <w:rsid w:val="002826C5"/>
    <w:rsid w:val="00293319"/>
    <w:rsid w:val="002A1139"/>
    <w:rsid w:val="002A298F"/>
    <w:rsid w:val="002A67BF"/>
    <w:rsid w:val="002A6AAA"/>
    <w:rsid w:val="002B199C"/>
    <w:rsid w:val="002B1E5E"/>
    <w:rsid w:val="002B5237"/>
    <w:rsid w:val="002D1C89"/>
    <w:rsid w:val="002D42A7"/>
    <w:rsid w:val="002D618D"/>
    <w:rsid w:val="002D7195"/>
    <w:rsid w:val="002E7D1D"/>
    <w:rsid w:val="002F03D6"/>
    <w:rsid w:val="002F14E4"/>
    <w:rsid w:val="002F4602"/>
    <w:rsid w:val="003063D8"/>
    <w:rsid w:val="003110C8"/>
    <w:rsid w:val="0032116F"/>
    <w:rsid w:val="00322488"/>
    <w:rsid w:val="00322F80"/>
    <w:rsid w:val="00332E9B"/>
    <w:rsid w:val="00334D96"/>
    <w:rsid w:val="0033537E"/>
    <w:rsid w:val="00337288"/>
    <w:rsid w:val="00337DA6"/>
    <w:rsid w:val="003400A0"/>
    <w:rsid w:val="003424D3"/>
    <w:rsid w:val="003451E3"/>
    <w:rsid w:val="00351D96"/>
    <w:rsid w:val="00354A30"/>
    <w:rsid w:val="003563A4"/>
    <w:rsid w:val="00367564"/>
    <w:rsid w:val="00367CCA"/>
    <w:rsid w:val="00373ED4"/>
    <w:rsid w:val="00381158"/>
    <w:rsid w:val="00383975"/>
    <w:rsid w:val="00384AB5"/>
    <w:rsid w:val="00385C0D"/>
    <w:rsid w:val="00390044"/>
    <w:rsid w:val="003937B6"/>
    <w:rsid w:val="003A043C"/>
    <w:rsid w:val="003A5DF7"/>
    <w:rsid w:val="003B0723"/>
    <w:rsid w:val="003B1C77"/>
    <w:rsid w:val="003B772E"/>
    <w:rsid w:val="003C0F98"/>
    <w:rsid w:val="003C1CEC"/>
    <w:rsid w:val="003C44A6"/>
    <w:rsid w:val="003C483C"/>
    <w:rsid w:val="003C5A47"/>
    <w:rsid w:val="003C74CD"/>
    <w:rsid w:val="003D532C"/>
    <w:rsid w:val="003D7C1C"/>
    <w:rsid w:val="003E1B34"/>
    <w:rsid w:val="003E1CB2"/>
    <w:rsid w:val="003E21DA"/>
    <w:rsid w:val="003E420C"/>
    <w:rsid w:val="003F0883"/>
    <w:rsid w:val="003F3966"/>
    <w:rsid w:val="003F4D98"/>
    <w:rsid w:val="003F5760"/>
    <w:rsid w:val="004000B0"/>
    <w:rsid w:val="00404BF3"/>
    <w:rsid w:val="00406724"/>
    <w:rsid w:val="00410338"/>
    <w:rsid w:val="00416A3C"/>
    <w:rsid w:val="004336B4"/>
    <w:rsid w:val="00444A98"/>
    <w:rsid w:val="00451B3F"/>
    <w:rsid w:val="00454AD9"/>
    <w:rsid w:val="00464DE4"/>
    <w:rsid w:val="00465603"/>
    <w:rsid w:val="00470AE7"/>
    <w:rsid w:val="00470EA0"/>
    <w:rsid w:val="00475484"/>
    <w:rsid w:val="00475E8A"/>
    <w:rsid w:val="00480B52"/>
    <w:rsid w:val="00486675"/>
    <w:rsid w:val="0049738C"/>
    <w:rsid w:val="004A0C7C"/>
    <w:rsid w:val="004A29E5"/>
    <w:rsid w:val="004A3D2A"/>
    <w:rsid w:val="004A41CF"/>
    <w:rsid w:val="004B4C0C"/>
    <w:rsid w:val="004C0DFD"/>
    <w:rsid w:val="004C396C"/>
    <w:rsid w:val="004D2BB1"/>
    <w:rsid w:val="004E4C7E"/>
    <w:rsid w:val="004E605D"/>
    <w:rsid w:val="004F1600"/>
    <w:rsid w:val="004F3F71"/>
    <w:rsid w:val="004F41AA"/>
    <w:rsid w:val="00503584"/>
    <w:rsid w:val="00505325"/>
    <w:rsid w:val="00516B3D"/>
    <w:rsid w:val="005213CD"/>
    <w:rsid w:val="005311ED"/>
    <w:rsid w:val="00542525"/>
    <w:rsid w:val="00544487"/>
    <w:rsid w:val="00560F80"/>
    <w:rsid w:val="00567D10"/>
    <w:rsid w:val="005711DC"/>
    <w:rsid w:val="0057360A"/>
    <w:rsid w:val="00575FC1"/>
    <w:rsid w:val="00582690"/>
    <w:rsid w:val="00583866"/>
    <w:rsid w:val="005918A5"/>
    <w:rsid w:val="00597383"/>
    <w:rsid w:val="005A41BB"/>
    <w:rsid w:val="005A66EF"/>
    <w:rsid w:val="005A7352"/>
    <w:rsid w:val="005A7F8D"/>
    <w:rsid w:val="005B2905"/>
    <w:rsid w:val="005B555F"/>
    <w:rsid w:val="005C36CD"/>
    <w:rsid w:val="005C4B78"/>
    <w:rsid w:val="005C4F1C"/>
    <w:rsid w:val="005C79DE"/>
    <w:rsid w:val="005D1559"/>
    <w:rsid w:val="005D31A6"/>
    <w:rsid w:val="005E0D1C"/>
    <w:rsid w:val="005E18D3"/>
    <w:rsid w:val="005E31D2"/>
    <w:rsid w:val="005E5317"/>
    <w:rsid w:val="005E58C7"/>
    <w:rsid w:val="005F12EF"/>
    <w:rsid w:val="005F1398"/>
    <w:rsid w:val="005F2D14"/>
    <w:rsid w:val="005F3E53"/>
    <w:rsid w:val="005F51C1"/>
    <w:rsid w:val="005F6539"/>
    <w:rsid w:val="0061022C"/>
    <w:rsid w:val="00611921"/>
    <w:rsid w:val="00612E88"/>
    <w:rsid w:val="00615A0F"/>
    <w:rsid w:val="006178E4"/>
    <w:rsid w:val="00622922"/>
    <w:rsid w:val="006273E4"/>
    <w:rsid w:val="00627CBB"/>
    <w:rsid w:val="00630AE6"/>
    <w:rsid w:val="006311E4"/>
    <w:rsid w:val="00642518"/>
    <w:rsid w:val="00642C75"/>
    <w:rsid w:val="006574D0"/>
    <w:rsid w:val="00661997"/>
    <w:rsid w:val="006819D8"/>
    <w:rsid w:val="00684B41"/>
    <w:rsid w:val="0068752A"/>
    <w:rsid w:val="00687932"/>
    <w:rsid w:val="00692680"/>
    <w:rsid w:val="00692A71"/>
    <w:rsid w:val="0069745A"/>
    <w:rsid w:val="006A174D"/>
    <w:rsid w:val="006A3979"/>
    <w:rsid w:val="006A4371"/>
    <w:rsid w:val="006A4A0A"/>
    <w:rsid w:val="006A7A89"/>
    <w:rsid w:val="006B0A94"/>
    <w:rsid w:val="006C4B89"/>
    <w:rsid w:val="006D0087"/>
    <w:rsid w:val="006D2FB1"/>
    <w:rsid w:val="006D78CA"/>
    <w:rsid w:val="006E1590"/>
    <w:rsid w:val="006E35A4"/>
    <w:rsid w:val="006F7816"/>
    <w:rsid w:val="00705A41"/>
    <w:rsid w:val="00705CC3"/>
    <w:rsid w:val="00720994"/>
    <w:rsid w:val="007229C6"/>
    <w:rsid w:val="007238E1"/>
    <w:rsid w:val="0073644A"/>
    <w:rsid w:val="0074110D"/>
    <w:rsid w:val="00744920"/>
    <w:rsid w:val="0074560B"/>
    <w:rsid w:val="0075231D"/>
    <w:rsid w:val="0075508D"/>
    <w:rsid w:val="00757B2F"/>
    <w:rsid w:val="00757CBD"/>
    <w:rsid w:val="00763C0F"/>
    <w:rsid w:val="00773921"/>
    <w:rsid w:val="00780C63"/>
    <w:rsid w:val="007815E0"/>
    <w:rsid w:val="00785967"/>
    <w:rsid w:val="007933DA"/>
    <w:rsid w:val="00795A5D"/>
    <w:rsid w:val="00796DBB"/>
    <w:rsid w:val="007A359C"/>
    <w:rsid w:val="007A6D76"/>
    <w:rsid w:val="007B10B2"/>
    <w:rsid w:val="007B2E4D"/>
    <w:rsid w:val="007B4686"/>
    <w:rsid w:val="007C6C29"/>
    <w:rsid w:val="007D4619"/>
    <w:rsid w:val="007E628F"/>
    <w:rsid w:val="007F0079"/>
    <w:rsid w:val="007F21FA"/>
    <w:rsid w:val="007F292E"/>
    <w:rsid w:val="007F68C4"/>
    <w:rsid w:val="008020D0"/>
    <w:rsid w:val="00802225"/>
    <w:rsid w:val="008040A3"/>
    <w:rsid w:val="00810512"/>
    <w:rsid w:val="008136A2"/>
    <w:rsid w:val="00814EF3"/>
    <w:rsid w:val="00815F61"/>
    <w:rsid w:val="008224B6"/>
    <w:rsid w:val="00826184"/>
    <w:rsid w:val="00832E43"/>
    <w:rsid w:val="00837FA5"/>
    <w:rsid w:val="00847E17"/>
    <w:rsid w:val="0085761C"/>
    <w:rsid w:val="00861CEC"/>
    <w:rsid w:val="008621F6"/>
    <w:rsid w:val="00863787"/>
    <w:rsid w:val="00864034"/>
    <w:rsid w:val="00866F5C"/>
    <w:rsid w:val="00870C95"/>
    <w:rsid w:val="008731CA"/>
    <w:rsid w:val="00874908"/>
    <w:rsid w:val="00874F70"/>
    <w:rsid w:val="00885626"/>
    <w:rsid w:val="0089078D"/>
    <w:rsid w:val="008A00C8"/>
    <w:rsid w:val="008A15D8"/>
    <w:rsid w:val="008A5604"/>
    <w:rsid w:val="008A7189"/>
    <w:rsid w:val="008A7D25"/>
    <w:rsid w:val="008B7B61"/>
    <w:rsid w:val="008C30CC"/>
    <w:rsid w:val="008C7833"/>
    <w:rsid w:val="008D2F29"/>
    <w:rsid w:val="008D3638"/>
    <w:rsid w:val="008D4BE5"/>
    <w:rsid w:val="008D5CBC"/>
    <w:rsid w:val="008E7108"/>
    <w:rsid w:val="008F026A"/>
    <w:rsid w:val="008F158A"/>
    <w:rsid w:val="008F1771"/>
    <w:rsid w:val="008F237F"/>
    <w:rsid w:val="008F2749"/>
    <w:rsid w:val="008F2ADB"/>
    <w:rsid w:val="008F2DFC"/>
    <w:rsid w:val="008F7D6C"/>
    <w:rsid w:val="009027AF"/>
    <w:rsid w:val="00903FCA"/>
    <w:rsid w:val="00913B7D"/>
    <w:rsid w:val="0091460A"/>
    <w:rsid w:val="00915860"/>
    <w:rsid w:val="00916B24"/>
    <w:rsid w:val="00933575"/>
    <w:rsid w:val="009352AE"/>
    <w:rsid w:val="00941C0C"/>
    <w:rsid w:val="009425E6"/>
    <w:rsid w:val="00952728"/>
    <w:rsid w:val="0095327D"/>
    <w:rsid w:val="00955168"/>
    <w:rsid w:val="00962FD9"/>
    <w:rsid w:val="009638C3"/>
    <w:rsid w:val="00966889"/>
    <w:rsid w:val="00980EA0"/>
    <w:rsid w:val="009853E2"/>
    <w:rsid w:val="0098605E"/>
    <w:rsid w:val="009879A2"/>
    <w:rsid w:val="0099033C"/>
    <w:rsid w:val="0099630E"/>
    <w:rsid w:val="009A084F"/>
    <w:rsid w:val="009A16C1"/>
    <w:rsid w:val="009A37C0"/>
    <w:rsid w:val="009A6E15"/>
    <w:rsid w:val="009C5EE4"/>
    <w:rsid w:val="009C60AF"/>
    <w:rsid w:val="009C765A"/>
    <w:rsid w:val="009D0F4D"/>
    <w:rsid w:val="009D1DEE"/>
    <w:rsid w:val="009D615E"/>
    <w:rsid w:val="009E1537"/>
    <w:rsid w:val="009E756B"/>
    <w:rsid w:val="009F0B69"/>
    <w:rsid w:val="009F7368"/>
    <w:rsid w:val="009F7D37"/>
    <w:rsid w:val="00A012E5"/>
    <w:rsid w:val="00A21DE1"/>
    <w:rsid w:val="00A23FDE"/>
    <w:rsid w:val="00A258BE"/>
    <w:rsid w:val="00A402C8"/>
    <w:rsid w:val="00A40937"/>
    <w:rsid w:val="00A4345A"/>
    <w:rsid w:val="00A47858"/>
    <w:rsid w:val="00A71CFF"/>
    <w:rsid w:val="00A75369"/>
    <w:rsid w:val="00A8052E"/>
    <w:rsid w:val="00A82F01"/>
    <w:rsid w:val="00A84676"/>
    <w:rsid w:val="00A911A9"/>
    <w:rsid w:val="00A91F95"/>
    <w:rsid w:val="00AA07DB"/>
    <w:rsid w:val="00AA3BD5"/>
    <w:rsid w:val="00AA77B1"/>
    <w:rsid w:val="00AB0220"/>
    <w:rsid w:val="00AB0737"/>
    <w:rsid w:val="00AB0937"/>
    <w:rsid w:val="00AB4F6E"/>
    <w:rsid w:val="00AB59C2"/>
    <w:rsid w:val="00AC0939"/>
    <w:rsid w:val="00AC53C1"/>
    <w:rsid w:val="00AD3823"/>
    <w:rsid w:val="00AD6072"/>
    <w:rsid w:val="00AE0CF6"/>
    <w:rsid w:val="00AE1959"/>
    <w:rsid w:val="00AE4401"/>
    <w:rsid w:val="00AE7A6B"/>
    <w:rsid w:val="00AF1D84"/>
    <w:rsid w:val="00AF3C15"/>
    <w:rsid w:val="00B011FC"/>
    <w:rsid w:val="00B15594"/>
    <w:rsid w:val="00B21DE2"/>
    <w:rsid w:val="00B305E0"/>
    <w:rsid w:val="00B3291A"/>
    <w:rsid w:val="00B33430"/>
    <w:rsid w:val="00B40EC3"/>
    <w:rsid w:val="00B559F6"/>
    <w:rsid w:val="00B565A0"/>
    <w:rsid w:val="00B60A4E"/>
    <w:rsid w:val="00B65DB1"/>
    <w:rsid w:val="00B66031"/>
    <w:rsid w:val="00B67E51"/>
    <w:rsid w:val="00B74890"/>
    <w:rsid w:val="00B77197"/>
    <w:rsid w:val="00B77BFD"/>
    <w:rsid w:val="00B77F49"/>
    <w:rsid w:val="00B97970"/>
    <w:rsid w:val="00BA0CBD"/>
    <w:rsid w:val="00BB4B32"/>
    <w:rsid w:val="00BC3F51"/>
    <w:rsid w:val="00BC4A0D"/>
    <w:rsid w:val="00BC4DF0"/>
    <w:rsid w:val="00BE006D"/>
    <w:rsid w:val="00BE061F"/>
    <w:rsid w:val="00BE3E20"/>
    <w:rsid w:val="00BE6306"/>
    <w:rsid w:val="00BE78A2"/>
    <w:rsid w:val="00BF3E98"/>
    <w:rsid w:val="00BF68BC"/>
    <w:rsid w:val="00BF7AE7"/>
    <w:rsid w:val="00C02BE0"/>
    <w:rsid w:val="00C06F10"/>
    <w:rsid w:val="00C21B62"/>
    <w:rsid w:val="00C328DB"/>
    <w:rsid w:val="00C342B9"/>
    <w:rsid w:val="00C3552F"/>
    <w:rsid w:val="00C3657B"/>
    <w:rsid w:val="00C36C53"/>
    <w:rsid w:val="00C4230B"/>
    <w:rsid w:val="00C42B95"/>
    <w:rsid w:val="00C56416"/>
    <w:rsid w:val="00C5671C"/>
    <w:rsid w:val="00C568F6"/>
    <w:rsid w:val="00C639CA"/>
    <w:rsid w:val="00C65C06"/>
    <w:rsid w:val="00C74498"/>
    <w:rsid w:val="00C82639"/>
    <w:rsid w:val="00C82D35"/>
    <w:rsid w:val="00C82FC8"/>
    <w:rsid w:val="00C92E57"/>
    <w:rsid w:val="00C96F1E"/>
    <w:rsid w:val="00CA2AF9"/>
    <w:rsid w:val="00CA6B49"/>
    <w:rsid w:val="00CA70DD"/>
    <w:rsid w:val="00CA7929"/>
    <w:rsid w:val="00CB1D59"/>
    <w:rsid w:val="00CB336C"/>
    <w:rsid w:val="00CB5BFE"/>
    <w:rsid w:val="00CB7BAE"/>
    <w:rsid w:val="00CC2565"/>
    <w:rsid w:val="00CC45F7"/>
    <w:rsid w:val="00CE473D"/>
    <w:rsid w:val="00CE5929"/>
    <w:rsid w:val="00CE6776"/>
    <w:rsid w:val="00CF204C"/>
    <w:rsid w:val="00D14737"/>
    <w:rsid w:val="00D240BB"/>
    <w:rsid w:val="00D34356"/>
    <w:rsid w:val="00D36366"/>
    <w:rsid w:val="00D46F0D"/>
    <w:rsid w:val="00D64044"/>
    <w:rsid w:val="00D65089"/>
    <w:rsid w:val="00D71B7F"/>
    <w:rsid w:val="00D72906"/>
    <w:rsid w:val="00D829D3"/>
    <w:rsid w:val="00D90644"/>
    <w:rsid w:val="00D90A07"/>
    <w:rsid w:val="00D90D21"/>
    <w:rsid w:val="00D958C8"/>
    <w:rsid w:val="00DA0453"/>
    <w:rsid w:val="00DA085F"/>
    <w:rsid w:val="00DA3DEA"/>
    <w:rsid w:val="00DA7A13"/>
    <w:rsid w:val="00DC0D28"/>
    <w:rsid w:val="00DC2078"/>
    <w:rsid w:val="00DC2D25"/>
    <w:rsid w:val="00DC55CB"/>
    <w:rsid w:val="00DD66B3"/>
    <w:rsid w:val="00DE0F80"/>
    <w:rsid w:val="00DE29DA"/>
    <w:rsid w:val="00DE5160"/>
    <w:rsid w:val="00DE664B"/>
    <w:rsid w:val="00DE778F"/>
    <w:rsid w:val="00DF5986"/>
    <w:rsid w:val="00DF7D46"/>
    <w:rsid w:val="00E00BC6"/>
    <w:rsid w:val="00E047C8"/>
    <w:rsid w:val="00E075A1"/>
    <w:rsid w:val="00E16CB9"/>
    <w:rsid w:val="00E24CD7"/>
    <w:rsid w:val="00E24EB7"/>
    <w:rsid w:val="00E26A49"/>
    <w:rsid w:val="00E30D3A"/>
    <w:rsid w:val="00E31CFB"/>
    <w:rsid w:val="00E35E0F"/>
    <w:rsid w:val="00E4164D"/>
    <w:rsid w:val="00E52232"/>
    <w:rsid w:val="00E54B44"/>
    <w:rsid w:val="00E54CEB"/>
    <w:rsid w:val="00E5664A"/>
    <w:rsid w:val="00E64F86"/>
    <w:rsid w:val="00E66D63"/>
    <w:rsid w:val="00E67837"/>
    <w:rsid w:val="00E71AF1"/>
    <w:rsid w:val="00E727B8"/>
    <w:rsid w:val="00E83AE3"/>
    <w:rsid w:val="00E83E7B"/>
    <w:rsid w:val="00E92E3C"/>
    <w:rsid w:val="00EA0AE9"/>
    <w:rsid w:val="00EA1B7F"/>
    <w:rsid w:val="00EA3F3F"/>
    <w:rsid w:val="00EA62D3"/>
    <w:rsid w:val="00EA776B"/>
    <w:rsid w:val="00EB1A3C"/>
    <w:rsid w:val="00EB3B52"/>
    <w:rsid w:val="00EB53A4"/>
    <w:rsid w:val="00ED36E5"/>
    <w:rsid w:val="00EE1179"/>
    <w:rsid w:val="00EE50EA"/>
    <w:rsid w:val="00EE5535"/>
    <w:rsid w:val="00EE7198"/>
    <w:rsid w:val="00F116C9"/>
    <w:rsid w:val="00F13110"/>
    <w:rsid w:val="00F1555E"/>
    <w:rsid w:val="00F26F1C"/>
    <w:rsid w:val="00F331B6"/>
    <w:rsid w:val="00F36846"/>
    <w:rsid w:val="00F40F26"/>
    <w:rsid w:val="00F42EDA"/>
    <w:rsid w:val="00F45402"/>
    <w:rsid w:val="00F55286"/>
    <w:rsid w:val="00F56A36"/>
    <w:rsid w:val="00F57B9C"/>
    <w:rsid w:val="00F74B9B"/>
    <w:rsid w:val="00F8317C"/>
    <w:rsid w:val="00F84BCE"/>
    <w:rsid w:val="00F85741"/>
    <w:rsid w:val="00F90F5A"/>
    <w:rsid w:val="00F9209E"/>
    <w:rsid w:val="00F94BC9"/>
    <w:rsid w:val="00F96651"/>
    <w:rsid w:val="00F97A69"/>
    <w:rsid w:val="00FA1EEE"/>
    <w:rsid w:val="00FA358E"/>
    <w:rsid w:val="00FA3DE8"/>
    <w:rsid w:val="00FA68B8"/>
    <w:rsid w:val="00FB3A27"/>
    <w:rsid w:val="00FC3DA9"/>
    <w:rsid w:val="00FD23FE"/>
    <w:rsid w:val="00FD3599"/>
    <w:rsid w:val="00FE7B56"/>
    <w:rsid w:val="00FF53DC"/>
    <w:rsid w:val="00FF5830"/>
    <w:rsid w:val="00FF65A6"/>
    <w:rsid w:val="00FF695E"/>
    <w:rsid w:val="00FF77D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qFormat/>
    <w:rsid w:val="00847E17"/>
  </w:style>
  <w:style w:type="character" w:customStyle="1" w:styleId="FooterChar">
    <w:name w:val="Footer Char"/>
    <w:basedOn w:val="DefaultParagraphFont"/>
    <w:link w:val="Footer"/>
    <w:rsid w:val="009D66A8"/>
    <w:rPr>
      <w:sz w:val="22"/>
      <w:lang w:val="en-GB"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link w:val="ListParagraphChar"/>
    <w:uiPriority w:val="34"/>
    <w:qFormat/>
    <w:rsid w:val="00F94BC9"/>
    <w:pPr>
      <w:ind w:left="720"/>
      <w:contextualSpacing/>
    </w:pPr>
  </w:style>
  <w:style w:type="character" w:styleId="CommentReference">
    <w:name w:val="annotation reference"/>
    <w:basedOn w:val="DefaultParagraphFont"/>
    <w:semiHidden/>
    <w:unhideWhenUsed/>
    <w:rsid w:val="006D2FB1"/>
    <w:rPr>
      <w:sz w:val="16"/>
      <w:szCs w:val="16"/>
    </w:rPr>
  </w:style>
  <w:style w:type="paragraph" w:styleId="CommentText">
    <w:name w:val="annotation text"/>
    <w:basedOn w:val="Normal"/>
    <w:link w:val="CommentTextChar"/>
    <w:unhideWhenUsed/>
    <w:rsid w:val="006D2FB1"/>
    <w:pPr>
      <w:spacing w:line="240" w:lineRule="auto"/>
    </w:pPr>
    <w:rPr>
      <w:sz w:val="20"/>
    </w:rPr>
  </w:style>
  <w:style w:type="character" w:customStyle="1" w:styleId="CommentTextChar">
    <w:name w:val="Comment Text Char"/>
    <w:basedOn w:val="DefaultParagraphFont"/>
    <w:link w:val="CommentText"/>
    <w:rsid w:val="006D2FB1"/>
    <w:rPr>
      <w:lang w:val="en-GB" w:eastAsia="en-US"/>
    </w:rPr>
  </w:style>
  <w:style w:type="paragraph" w:styleId="Revision">
    <w:name w:val="Revision"/>
    <w:hidden/>
    <w:uiPriority w:val="99"/>
    <w:semiHidden/>
    <w:rsid w:val="00C82D35"/>
    <w:rPr>
      <w:sz w:val="22"/>
      <w:lang w:val="en-GB" w:eastAsia="en-US"/>
    </w:rPr>
  </w:style>
  <w:style w:type="paragraph" w:styleId="CommentSubject">
    <w:name w:val="annotation subject"/>
    <w:basedOn w:val="CommentText"/>
    <w:next w:val="CommentText"/>
    <w:link w:val="CommentSubjectChar"/>
    <w:semiHidden/>
    <w:unhideWhenUsed/>
    <w:rsid w:val="00F1555E"/>
    <w:rPr>
      <w:b/>
      <w:bCs/>
    </w:rPr>
  </w:style>
  <w:style w:type="character" w:customStyle="1" w:styleId="CommentSubjectChar">
    <w:name w:val="Comment Subject Char"/>
    <w:basedOn w:val="CommentTextChar"/>
    <w:link w:val="CommentSubject"/>
    <w:semiHidden/>
    <w:rsid w:val="00F1555E"/>
    <w:rPr>
      <w:b/>
      <w:bCs/>
      <w:lang w:val="en-GB" w:eastAsia="en-US"/>
    </w:rPr>
  </w:style>
  <w:style w:type="character" w:customStyle="1" w:styleId="ListParagraphChar">
    <w:name w:val="List Paragraph Char"/>
    <w:basedOn w:val="DefaultParagraphFont"/>
    <w:link w:val="ListParagraph"/>
    <w:uiPriority w:val="34"/>
    <w:qFormat/>
    <w:locked/>
    <w:rsid w:val="006C4B89"/>
    <w:rPr>
      <w:sz w:val="22"/>
      <w:lang w:val="en-GB" w:eastAsia="en-US"/>
    </w:rPr>
  </w:style>
  <w:style w:type="table" w:styleId="TableGrid">
    <w:name w:val="Table Grid"/>
    <w:basedOn w:val="TableNormal"/>
    <w:rsid w:val="003451E3"/>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51E3"/>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portal.cor.europa.eu/"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3WJDCDQUXNHJ-2058325966-8675</_dlc_DocId>
    <_dlc_DocIdUrl xmlns="28cf4dd3-9bb7-4441-a43c-55eeac69d3a9">
      <Url>http://dm/cor/2025/_layouts/15/DocIdRedir.aspx?ID=3WJDCDQUXNHJ-2058325966-8675</Url>
      <Description>3WJDCDQUXNHJ-2058325966-8675</Description>
    </_dlc_DocIdUrl>
    <Procedure xmlns="28cf4dd3-9bb7-4441-a43c-55eeac69d3a9">2025/0545(COD)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2026-02-16T12:00:00+00:00</ProductionDate>
    <FicheYear xmlns="28cf4dd3-9bb7-4441-a43c-55eeac69d3a9" xsi:nil="true"/>
    <DocumentNumber xmlns="cbd36fe1-24db-4e3c-903b-f62df1691146">3317</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2026-05-06T12:00:00+00:00</MeetingDate>
    <TaxCatchAll xmlns="28cf4dd3-9bb7-4441-a43c-55eeac69d3a9">
      <Value>85</Value>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MENESINI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299856</FicheNumber>
    <OriginalSender xmlns="28cf4dd3-9bb7-4441-a43c-55eeac69d3a9">
      <UserInfo>
        <DisplayName>Hvizdosova Jana</DisplayName>
        <AccountId>40</AccountId>
        <AccountType/>
      </UserInfo>
    </OriginalSender>
    <DocumentPart xmlns="28cf4dd3-9bb7-4441-a43c-55eeac69d3a9">0</DocumentPart>
    <AdoptionDate xmlns="28cf4dd3-9bb7-4441-a43c-55eeac69d3a9" xsi:nil="true"/>
    <RequestingService xmlns="28cf4dd3-9bb7-4441-a43c-55eeac69d3a9">Commission COTER</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171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COTER-VIII</TermName>
          <TermId xmlns="http://schemas.microsoft.com/office/infopath/2007/PartnerControls">982da916-060f-41eb-9412-0d5186b3b058</TermId>
        </TermInfo>
      </Terms>
    </DossierName_0>
    <DocumentVersion xmlns="28cf4dd3-9bb7-4441-a43c-55eeac69d3a9">0</DocumentVersion>
    <DossierNumber xmlns="28cf4dd3-9bb7-4441-a43c-55eeac69d3a9">10</DossierNumber>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8DA1C-F71D-4814-AA10-092BBD35EFCC}">
  <ds:schemaRefs>
    <ds:schemaRef ds:uri="http://schemas.microsoft.com/office/2006/metadata/properties"/>
    <ds:schemaRef ds:uri="http://schemas.microsoft.com/office/infopath/2007/PartnerControls"/>
    <ds:schemaRef ds:uri="28cf4dd3-9bb7-4441-a43c-55eeac69d3a9"/>
    <ds:schemaRef ds:uri="http://schemas.microsoft.com/sharepoint/v3/fields"/>
    <ds:schemaRef ds:uri="cbd36fe1-24db-4e3c-903b-f62df1691146"/>
  </ds:schemaRefs>
</ds:datastoreItem>
</file>

<file path=customXml/itemProps2.xml><?xml version="1.0" encoding="utf-8"?>
<ds:datastoreItem xmlns:ds="http://schemas.openxmlformats.org/officeDocument/2006/customXml" ds:itemID="{0B912821-F41D-4DDC-8AEC-E8F55D2960C5}"/>
</file>

<file path=customXml/itemProps3.xml><?xml version="1.0" encoding="utf-8"?>
<ds:datastoreItem xmlns:ds="http://schemas.openxmlformats.org/officeDocument/2006/customXml" ds:itemID="{BB03E4EC-135E-4484-8177-0A2511E20FA8}">
  <ds:schemaRefs>
    <ds:schemaRef ds:uri="http://schemas.microsoft.com/sharepoint/events"/>
  </ds:schemaRefs>
</ds:datastoreItem>
</file>

<file path=customXml/itemProps4.xml><?xml version="1.0" encoding="utf-8"?>
<ds:datastoreItem xmlns:ds="http://schemas.openxmlformats.org/officeDocument/2006/customXml" ds:itemID="{0C21B552-7D45-419A-BEEE-455B530D5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7589</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Performance Framework Regulation</vt:lpstr>
    </vt:vector>
  </TitlesOfParts>
  <Manager/>
  <Company/>
  <LinksUpToDate>false</LinksUpToDate>
  <CharactersWithSpaces>50751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Framework Regulation</dc:title>
  <dc:subject>Draft Committee opinion</dc:subject>
  <dc:creator/>
  <cp:keywords>COR-2025-03317-00-00-PAC-TRA-EN</cp:keywords>
  <dc:description>Rapporteur: - MENESINI Original language: - EN Date of document: - 12/02/2026 Date of meeting: - 06/05/2026 External documents: - SWD(2025)591 Administrator responsible: -  VANDEUR Jeroen</dc:description>
  <cp:lastModifiedBy/>
  <cp:revision>2</cp:revision>
  <cp:lastPrinted>2025-12-17T13:07:00Z</cp:lastPrinted>
  <dcterms:created xsi:type="dcterms:W3CDTF">2026-02-16T13:42:00Z</dcterms:created>
  <dcterms:modified xsi:type="dcterms:W3CDTF">2026-02-16T13:43:00Z</dcterms:modified>
  <cp:category>COTER-VIII/10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12/02/2026, 06/01/2026, 21/06/2024</vt:lpwstr>
  </property>
  <property fmtid="{D5CDD505-2E9C-101B-9397-08002B2CF9AE}" pid="4" name="Pref_Time">
    <vt:lpwstr>11:27:06, 16:35:44, 12:40:47</vt:lpwstr>
  </property>
  <property fmtid="{D5CDD505-2E9C-101B-9397-08002B2CF9AE}" pid="5" name="Pref_User">
    <vt:lpwstr>jhvi, pacup, enied</vt:lpwstr>
  </property>
  <property fmtid="{D5CDD505-2E9C-101B-9397-08002B2CF9AE}" pid="6" name="Pref_FileName">
    <vt:lpwstr>COR-2025-03317-00-00-PAC-TRA-EN-CRR.docx, COR-2025-03317-00-00-PA-TRA-EN-CRR.docx, COR-EESC-2024-02227-03-00-TCD-ORI.docx</vt:lpwstr>
  </property>
  <property fmtid="{D5CDD505-2E9C-101B-9397-08002B2CF9AE}" pid="7" name="ContentTypeId">
    <vt:lpwstr>0x010100EA97B91038054C99906057A708A1480A001F94EFE2E72A564D8CAF0394B7E016F0</vt:lpwstr>
  </property>
  <property fmtid="{D5CDD505-2E9C-101B-9397-08002B2CF9AE}" pid="8" name="_dlc_DocIdItemGuid">
    <vt:lpwstr>007951fd-dd1e-44db-b4aa-9ec678653727</vt:lpwstr>
  </property>
  <property fmtid="{D5CDD505-2E9C-101B-9397-08002B2CF9AE}" pid="9" name="Procedure">
    <vt:lpwstr>2025/0545(COD)</vt:lpwstr>
  </property>
  <property fmtid="{D5CDD505-2E9C-101B-9397-08002B2CF9AE}" pid="10" name="AvailableTranslations">
    <vt:lpwstr>29;#SL|98a412ae-eb01-49e9-ae3d-585a81724cfc;#26;#HU|6b229040-c589-4408-b4c1-4285663d20a8;#12;#LT|a7ff5ce7-6123-4f68-865a-a57c31810414;#34;#EL|6d4f4d51-af9b-4650-94b4-4276bee85c91;#21;#SV|c2ed69e7-a339-43d7-8f22-d93680a92aa0;#31;#HR|2f555653-ed1a-4fe6-8362-9082d95989e5;#27;#LV|46f7e311-5d9f-4663-b433-18aeccb7ace7;#16;#NL|55c6556c-b4f4-441d-9acf-c498d4f838bd;#36;#GA|762d2456-c427-4ecb-b312-af3dad8e258c;#13;#SK|46d9fce0-ef79-4f71-b89b-cd6aa82426b8;#35;#ET|ff6c3f4c-b02c-4c3c-ab07-2c37995a7a0a;#28;#CS|72f9705b-0217-4fd3-bea2-cbc7ed80e26e;#25;#DA|5d49c027-8956-412b-aa16-e85a0f96ad0e;#14;#RO|feb747a2-64cd-4299-af12-4833ddc30497;#4;#EN|f2175f21-25d7-44a3-96da-d6a61b075e1b;#24;#ES|e7a6b05b-ae16-40c8-add9-68b64b03aeba;#20;#PL|1e03da61-4678-4e07-b136-b5024ca9197b;#15;#DE|f6b31e5a-26fa-4935-b661-318e46daf27e;#22;#IT|0774613c-01ed-4e5d-a25d-11d2388de825;#37;#BG|1a1b3951-7821-4e6a-85f5-5673fc08bd2c;#23;#PT|50ccc04a-eadd-42ae-a0cb-acaf45f812ba;#19;#FR|d2afafd3-4c81-4f60-8f52-ee33f2f54ff3;#30;#FI|87606a43-d45f-42d6-b8c9-e1a3457db5b7;#33;#MT|7df99101-6854-4a26-b53a-b88c0da02c26</vt:lpwstr>
  </property>
  <property fmtid="{D5CDD505-2E9C-101B-9397-08002B2CF9AE}" pid="11" name="DocumentType_0">
    <vt:lpwstr>PAC|719e5324-e7b4-48f6-9bbb-a2f1f3496a94</vt:lpwstr>
  </property>
  <property fmtid="{D5CDD505-2E9C-101B-9397-08002B2CF9AE}" pid="12" name="MeetingNumber">
    <vt:i4>171</vt:i4>
  </property>
  <property fmtid="{D5CDD505-2E9C-101B-9397-08002B2CF9AE}" pid="13" name="DossierName_0">
    <vt:lpwstr>COTER-VIII|982da916-060f-41eb-9412-0d5186b3b058</vt:lpwstr>
  </property>
  <property fmtid="{D5CDD505-2E9C-101B-9397-08002B2CF9AE}" pid="14" name="DocumentSource_0">
    <vt:lpwstr>CoR|cb2d75ef-4a7d-4393-b797-49ed6298a5ea</vt:lpwstr>
  </property>
  <property fmtid="{D5CDD505-2E9C-101B-9397-08002B2CF9AE}" pid="15" name="DocumentNumber">
    <vt:i4>3317</vt:i4>
  </property>
  <property fmtid="{D5CDD505-2E9C-101B-9397-08002B2CF9AE}" pid="16" name="FicheYear">
    <vt:i4>2025</vt:i4>
  </property>
  <property fmtid="{D5CDD505-2E9C-101B-9397-08002B2CF9AE}" pid="17" name="DocumentVersion">
    <vt:i4>0</vt:i4>
  </property>
  <property fmtid="{D5CDD505-2E9C-101B-9397-08002B2CF9AE}" pid="18" name="DossierNumber">
    <vt:i4>10</vt:i4>
  </property>
  <property fmtid="{D5CDD505-2E9C-101B-9397-08002B2CF9AE}" pid="19" name="DocumentStatus">
    <vt:lpwstr>8;#TRA|150d2a88-1431-44e6-a8ca-0bb753ab8672</vt:lpwstr>
  </property>
  <property fmtid="{D5CDD505-2E9C-101B-9397-08002B2CF9AE}" pid="20" name="DossierName">
    <vt:lpwstr>85;#COTER-VIII|982da916-060f-41eb-9412-0d5186b3b058</vt:lpwstr>
  </property>
  <property fmtid="{D5CDD505-2E9C-101B-9397-08002B2CF9AE}" pid="21" name="RequestingService">
    <vt:lpwstr>Commission COTER</vt:lpwstr>
  </property>
  <property fmtid="{D5CDD505-2E9C-101B-9397-08002B2CF9AE}" pid="22" name="Confidentiality">
    <vt:lpwstr>10;#Unrestricted|826e22d7-d029-4ec0-a450-0c28ff673572</vt:lpwstr>
  </property>
  <property fmtid="{D5CDD505-2E9C-101B-9397-08002B2CF9AE}" pid="23" name="MeetingName_0">
    <vt:lpwstr>SPL-CDR|8f822234-72c1-4721-9e21-9e3c2bc35462</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69;#SPL-CDR|8f822234-72c1-4721-9e21-9e3c2bc35462</vt:lpwstr>
  </property>
  <property fmtid="{D5CDD505-2E9C-101B-9397-08002B2CF9AE}" pid="27" name="MeetingDate">
    <vt:filetime>2026-05-06T12:00:00Z</vt:filetime>
  </property>
  <property fmtid="{D5CDD505-2E9C-101B-9397-08002B2CF9AE}" pid="28" name="AvailableTranslations_0">
    <vt:lpwstr>EN|f2175f21-25d7-44a3-96da-d6a61b075e1b;IT|0774613c-01ed-4e5d-a25d-11d2388de825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69;#SPL-CDR|8f822234-72c1-4721-9e21-9e3c2bc35462;#10;#Unrestricted|826e22d7-d029-4ec0-a450-0c28ff673572;#8;#TRA|150d2a88-1431-44e6-a8ca-0bb753ab8672;#6;#Final|ea5e6674-7b27-4bac-b091-73adbb394efe;#68;#PAC|719e5324-e7b4-48f6-9bbb-a2f1f3496a94;#4;#EN|f2175f21-25d7-44a3-96da-d6a61b075e1b;#22;#IT|0774613c-01ed-4e5d-a25d-11d2388de825;#1;#CoR|cb2d75ef-4a7d-4393-b797-49ed6298a5ea;#85;#COTER-VIII|982da916-060f-41eb-9412-0d5186b3b058</vt:lpwstr>
  </property>
  <property fmtid="{D5CDD505-2E9C-101B-9397-08002B2CF9AE}" pid="32" name="Rapporteur">
    <vt:lpwstr>MENESINI</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2025</vt:i4>
  </property>
  <property fmtid="{D5CDD505-2E9C-101B-9397-08002B2CF9AE}" pid="36" name="FicheNumber">
    <vt:i4>299856</vt:i4>
  </property>
  <property fmtid="{D5CDD505-2E9C-101B-9397-08002B2CF9AE}" pid="37" name="DocumentPart">
    <vt:i4>0</vt:i4>
  </property>
  <property fmtid="{D5CDD505-2E9C-101B-9397-08002B2CF9AE}" pid="38" name="DocumentSource">
    <vt:lpwstr>1;#CoR|cb2d75ef-4a7d-4393-b797-49ed6298a5ea</vt:lpwstr>
  </property>
  <property fmtid="{D5CDD505-2E9C-101B-9397-08002B2CF9AE}" pid="39" name="DocumentType">
    <vt:lpwstr>68;#PAC|719e5324-e7b4-48f6-9bbb-a2f1f3496a94</vt:lpwstr>
  </property>
  <property fmtid="{D5CDD505-2E9C-101B-9397-08002B2CF9AE}" pid="40" name="DocumentLanguage">
    <vt:lpwstr>4;#EN|f2175f21-25d7-44a3-96da-d6a61b075e1b</vt:lpwstr>
  </property>
  <property fmtid="{D5CDD505-2E9C-101B-9397-08002B2CF9AE}" pid="41" name="_docset_NoMedatataSyncRequired">
    <vt:lpwstr>False</vt:lpwstr>
  </property>
  <property fmtid="{D5CDD505-2E9C-101B-9397-08002B2CF9AE}" pid="42" name="ProductionDate">
    <vt:filetime>2026-02-12T12:00:00Z</vt:filetime>
  </property>
  <property fmtid="{D5CDD505-2E9C-101B-9397-08002B2CF9AE}" pid="43" name="DocumentLanguage_0">
    <vt:lpwstr>EN|f2175f21-25d7-44a3-96da-d6a61b075e1b</vt:lpwstr>
  </property>
  <property fmtid="{D5CDD505-2E9C-101B-9397-08002B2CF9AE}" pid="44" name="OriginalSender">
    <vt:lpwstr>1358;#TDriveSVCUserProd</vt:lpwstr>
  </property>
</Properties>
</file>