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8D0341" w:rsidR="001530DB" w:rsidTr="006B6634" w14:paraId="54975F78" w14:textId="77777777">
        <w:trPr>
          <w:cantSplit/>
        </w:trPr>
        <w:tc>
          <w:tcPr>
            <w:tcW w:w="4644" w:type="dxa"/>
          </w:tcPr>
          <w:p w:rsidRPr="008D0341" w:rsidR="001530DB" w:rsidP="00066365" w:rsidRDefault="00943DA3" w14:paraId="0B9AAD8B" w14:textId="5E8FBE29">
            <w:pPr>
              <w:rPr>
                <w:lang w:val="en-GB"/>
              </w:rPr>
            </w:pPr>
            <w:bookmarkStart w:name="_GoBack" w:id="0"/>
            <w:bookmarkEnd w:id="0"/>
            <w:r w:rsidRPr="0049767D">
              <w:rPr>
                <w:rFonts w:eastAsia="Arial Unicode MS"/>
                <w:noProof/>
              </w:rPr>
              <w:drawing>
                <wp:inline distT="0" distB="0" distL="0" distR="0" wp14:anchorId="097BD6B7" wp14:editId="6EE8E2AD">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r w:rsidRPr="00943DA3">
              <w:rPr>
                <w:rFonts w:ascii="Arial" w:hAnsi="Arial" w:cs="Arial"/>
                <w:b/>
                <w:bCs/>
                <w:noProof/>
                <w:sz w:val="20"/>
              </w:rPr>
              <mc:AlternateContent>
                <mc:Choice Requires="wps">
                  <w:drawing>
                    <wp:anchor distT="0" distB="0" distL="114300" distR="114300" simplePos="0" relativeHeight="251663360" behindDoc="1" locked="0" layoutInCell="0" allowOverlap="1" wp14:editId="62CB9321" wp14:anchorId="4B7F040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943DA3" w:rsidRDefault="00943DA3" w14:paraId="19D369D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7F040F">
                      <v:stroke joinstyle="miter"/>
                      <v:path gradientshapeok="t" o:connecttype="rect"/>
                    </v:shapetype>
                    <v:shape id="Text Box 17"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943DA3" w:rsidRDefault="00943DA3" w14:paraId="19D369D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tc>
        <w:tc>
          <w:tcPr>
            <w:tcW w:w="4645" w:type="dxa"/>
          </w:tcPr>
          <w:p w:rsidRPr="008D0341" w:rsidR="001530DB" w:rsidP="00066365" w:rsidRDefault="001530DB" w14:paraId="4800750D" w14:textId="77777777">
            <w:pPr>
              <w:rPr>
                <w:lang w:val="en-GB"/>
              </w:rPr>
            </w:pPr>
          </w:p>
        </w:tc>
      </w:tr>
      <w:tr w:rsidRPr="008D0341" w:rsidR="001530DB" w:rsidTr="006B6634" w14:paraId="17109ECF" w14:textId="77777777">
        <w:trPr>
          <w:cantSplit/>
        </w:trPr>
        <w:tc>
          <w:tcPr>
            <w:tcW w:w="9289" w:type="dxa"/>
            <w:gridSpan w:val="2"/>
          </w:tcPr>
          <w:p w:rsidRPr="008D0341" w:rsidR="001530DB" w:rsidP="00066365" w:rsidRDefault="001530DB" w14:paraId="4E366013" w14:textId="03ACC19D">
            <w:pPr>
              <w:jc w:val="right"/>
              <w:rPr>
                <w:b/>
                <w:bCs/>
                <w:sz w:val="28"/>
                <w:lang w:val="en-GB"/>
              </w:rPr>
            </w:pPr>
            <w:r w:rsidRPr="008D0341">
              <w:rPr>
                <w:b/>
                <w:bCs/>
                <w:sz w:val="28"/>
                <w:lang w:val="en-GB"/>
              </w:rPr>
              <w:t>COTER</w:t>
            </w:r>
            <w:r w:rsidR="009C4D83">
              <w:rPr>
                <w:b/>
                <w:bCs/>
                <w:sz w:val="28"/>
                <w:lang w:val="en-GB"/>
              </w:rPr>
              <w:t>-</w:t>
            </w:r>
            <w:r w:rsidRPr="008D0341">
              <w:rPr>
                <w:b/>
                <w:bCs/>
                <w:sz w:val="28"/>
                <w:lang w:val="en-GB"/>
              </w:rPr>
              <w:t>VIII/009</w:t>
            </w:r>
          </w:p>
        </w:tc>
      </w:tr>
      <w:tr w:rsidRPr="008D0341" w:rsidR="001530DB" w:rsidTr="006B6634" w14:paraId="3A38A273" w14:textId="77777777">
        <w:tc>
          <w:tcPr>
            <w:tcW w:w="9289" w:type="dxa"/>
            <w:gridSpan w:val="2"/>
          </w:tcPr>
          <w:p w:rsidRPr="008D0341" w:rsidR="001530DB" w:rsidP="00066365" w:rsidRDefault="009D529B" w14:paraId="73A91FDF" w14:textId="1F3DD458">
            <w:pPr>
              <w:jc w:val="center"/>
              <w:rPr>
                <w:b/>
                <w:bCs/>
                <w:sz w:val="28"/>
                <w:lang w:val="en-GB"/>
              </w:rPr>
            </w:pPr>
            <w:r w:rsidRPr="008D0341">
              <w:rPr>
                <w:b/>
                <w:bCs/>
                <w:sz w:val="28"/>
                <w:lang w:val="en-GB"/>
              </w:rPr>
              <w:t>1</w:t>
            </w:r>
            <w:r w:rsidRPr="008D0341" w:rsidR="001530DB">
              <w:rPr>
                <w:b/>
                <w:bCs/>
                <w:sz w:val="28"/>
                <w:lang w:val="en-GB"/>
              </w:rPr>
              <w:t>7</w:t>
            </w:r>
            <w:r w:rsidRPr="008D0341">
              <w:rPr>
                <w:b/>
                <w:bCs/>
                <w:sz w:val="28"/>
                <w:lang w:val="en-GB"/>
              </w:rPr>
              <w:t>1</w:t>
            </w:r>
            <w:r w:rsidRPr="008D0341" w:rsidR="001530DB">
              <w:rPr>
                <w:b/>
                <w:bCs/>
                <w:sz w:val="28"/>
                <w:lang w:val="en-GB"/>
              </w:rPr>
              <w:t xml:space="preserve">th </w:t>
            </w:r>
            <w:r w:rsidRPr="008D0341">
              <w:rPr>
                <w:b/>
                <w:bCs/>
                <w:sz w:val="28"/>
                <w:lang w:val="en-GB"/>
              </w:rPr>
              <w:t>plenary session</w:t>
            </w:r>
            <w:r w:rsidRPr="008D0341" w:rsidR="001530DB">
              <w:rPr>
                <w:b/>
                <w:bCs/>
                <w:sz w:val="28"/>
                <w:lang w:val="en-GB"/>
              </w:rPr>
              <w:t xml:space="preserve">, </w:t>
            </w:r>
            <w:r w:rsidRPr="008D0341">
              <w:rPr>
                <w:b/>
                <w:bCs/>
                <w:sz w:val="28"/>
                <w:lang w:val="en-GB"/>
              </w:rPr>
              <w:t xml:space="preserve">6-7 May </w:t>
            </w:r>
            <w:r w:rsidRPr="008D0341" w:rsidR="001530DB">
              <w:rPr>
                <w:b/>
                <w:bCs/>
                <w:sz w:val="28"/>
                <w:lang w:val="en-GB"/>
              </w:rPr>
              <w:t>2026</w:t>
            </w:r>
          </w:p>
        </w:tc>
      </w:tr>
    </w:tbl>
    <w:p w:rsidRPr="008D0341" w:rsidR="001530DB" w:rsidP="00066365" w:rsidRDefault="00A8115B" w14:paraId="29BCFA1C" w14:textId="5ACE917B">
      <w:pPr>
        <w:rPr>
          <w:lang w:val="en-GB"/>
        </w:rPr>
      </w:pPr>
      <w:r w:rsidRPr="00A8115B">
        <w:rPr>
          <w:noProof/>
          <w:sz w:val="20"/>
        </w:rPr>
        <mc:AlternateContent>
          <mc:Choice Requires="wps">
            <w:drawing>
              <wp:anchor distT="0" distB="0" distL="114300" distR="114300" simplePos="0" relativeHeight="251665408" behindDoc="1" locked="0" layoutInCell="0" allowOverlap="1" wp14:editId="17175F98" wp14:anchorId="41AFFA05">
                <wp:simplePos x="0" y="0"/>
                <wp:positionH relativeFrom="page">
                  <wp:posOffset>6769100</wp:posOffset>
                </wp:positionH>
                <wp:positionV relativeFrom="page">
                  <wp:posOffset>10081260</wp:posOffset>
                </wp:positionV>
                <wp:extent cx="647700" cy="396240"/>
                <wp:effectExtent l="0" t="381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A8115B" w:rsidRDefault="00A8115B" w14:paraId="46C4DF90"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XjuAIAAMA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" w14:anchorId="41AFFA05">
                <v:textbox>
                  <w:txbxContent>
                    <w:p w:rsidRPr="00260E65" w:rsidR="00A8115B" w:rsidRDefault="00A8115B" w14:paraId="46C4DF90"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8D0341" w:rsidR="001530DB" w:rsidP="00066365" w:rsidRDefault="001530DB" w14:paraId="43783E9F" w14:textId="46950586">
      <w:pPr>
        <w:jc w:val="center"/>
        <w:rPr>
          <w:b/>
          <w:bCs/>
          <w:sz w:val="28"/>
          <w:lang w:val="en-GB"/>
        </w:rPr>
      </w:pPr>
      <w:r w:rsidRPr="008D0341">
        <w:rPr>
          <w:b/>
          <w:bCs/>
          <w:sz w:val="28"/>
          <w:lang w:val="en-GB"/>
        </w:rPr>
        <w:t>DRAFT OPINION</w:t>
      </w:r>
    </w:p>
    <w:p w:rsidRPr="008D0341" w:rsidR="001530DB" w:rsidP="00066365" w:rsidRDefault="001530DB" w14:paraId="548E6941" w14:textId="77777777">
      <w:pPr>
        <w:jc w:val="center"/>
        <w:rPr>
          <w:b/>
          <w:bCs/>
          <w:sz w:val="28"/>
          <w:szCs w:val="28"/>
          <w:lang w:val="en-GB"/>
        </w:rPr>
      </w:pPr>
    </w:p>
    <w:p w:rsidRPr="008D0341" w:rsidR="001530DB" w:rsidP="00066365" w:rsidRDefault="001530DB" w14:paraId="2C3A927E" w14:textId="77777777">
      <w:pPr>
        <w:jc w:val="center"/>
        <w:rPr>
          <w:lang w:val="en-GB"/>
        </w:rPr>
      </w:pPr>
      <w:r w:rsidRPr="008D0341">
        <w:rPr>
          <w:b/>
          <w:bCs/>
          <w:color w:val="000000" w:themeColor="text1"/>
          <w:sz w:val="28"/>
          <w:szCs w:val="28"/>
          <w:lang w:val="en-GB"/>
        </w:rPr>
        <w:t>NRPP Fund Regulation</w:t>
      </w:r>
    </w:p>
    <w:p w:rsidRPr="008D0341" w:rsidR="001530DB" w:rsidP="00066365" w:rsidRDefault="001530DB" w14:paraId="5E12C2C4" w14:textId="77777777">
      <w:pPr>
        <w:rPr>
          <w:lang w:val="en-GB"/>
        </w:rPr>
      </w:pPr>
    </w:p>
    <w:tbl>
      <w:tblPr>
        <w:tblW w:w="5000" w:type="pct"/>
        <w:tblLook w:val="0000" w:firstRow="0" w:lastRow="0" w:firstColumn="0" w:lastColumn="0" w:noHBand="0" w:noVBand="0"/>
      </w:tblPr>
      <w:tblGrid>
        <w:gridCol w:w="9289"/>
      </w:tblGrid>
      <w:tr w:rsidRPr="008D0341" w:rsidR="001530DB" w:rsidTr="006B6634" w14:paraId="37DC0D09" w14:textId="77777777">
        <w:tc>
          <w:tcPr>
            <w:tcW w:w="5000" w:type="pct"/>
          </w:tcPr>
          <w:p w:rsidRPr="00D62C2E" w:rsidR="001530DB" w:rsidP="00066365" w:rsidRDefault="001530DB" w14:paraId="10C6AEA0" w14:textId="77777777">
            <w:pPr>
              <w:jc w:val="center"/>
              <w:rPr>
                <w:lang w:val="pt-PT"/>
              </w:rPr>
            </w:pPr>
            <w:r w:rsidRPr="00D62C2E">
              <w:rPr>
                <w:lang w:val="pt-PT"/>
              </w:rPr>
              <w:t>_____________</w:t>
            </w:r>
          </w:p>
          <w:p w:rsidRPr="00D62C2E" w:rsidR="001530DB" w:rsidP="00066365" w:rsidRDefault="001530DB" w14:paraId="3125E64D" w14:textId="77777777">
            <w:pPr>
              <w:jc w:val="center"/>
              <w:rPr>
                <w:lang w:val="pt-PT"/>
              </w:rPr>
            </w:pPr>
          </w:p>
          <w:p w:rsidRPr="00D62C2E" w:rsidR="001530DB" w:rsidP="00066365" w:rsidRDefault="001530DB" w14:paraId="1600D7F7" w14:textId="77777777">
            <w:pPr>
              <w:jc w:val="center"/>
              <w:rPr>
                <w:lang w:val="pt-PT"/>
              </w:rPr>
            </w:pPr>
            <w:r w:rsidRPr="00D62C2E">
              <w:rPr>
                <w:lang w:val="pt-PT"/>
              </w:rPr>
              <w:t>Co-rapporteurs:</w:t>
            </w:r>
          </w:p>
          <w:p w:rsidRPr="00D62C2E" w:rsidR="001530DB" w:rsidP="00066365" w:rsidRDefault="001530DB" w14:paraId="3969D6DA" w14:textId="77777777">
            <w:pPr>
              <w:jc w:val="center"/>
              <w:rPr>
                <w:bCs/>
                <w:lang w:val="pt-PT"/>
              </w:rPr>
            </w:pPr>
            <w:r w:rsidRPr="00D62C2E">
              <w:rPr>
                <w:b/>
                <w:bCs/>
                <w:lang w:val="pt-PT"/>
              </w:rPr>
              <w:t>Vasco ALVES CORDEIRO (PT/PES</w:t>
            </w:r>
            <w:r w:rsidRPr="00D62C2E">
              <w:rPr>
                <w:b/>
                <w:lang w:val="pt-PT"/>
              </w:rPr>
              <w:t>)</w:t>
            </w:r>
          </w:p>
          <w:p w:rsidRPr="008D0341" w:rsidR="001530DB" w:rsidP="00066365" w:rsidRDefault="001530DB" w14:paraId="2C6444E9" w14:textId="77777777">
            <w:pPr>
              <w:jc w:val="center"/>
              <w:rPr>
                <w:lang w:val="en-GB"/>
              </w:rPr>
            </w:pPr>
            <w:r w:rsidRPr="008D0341">
              <w:rPr>
                <w:bCs/>
                <w:lang w:val="en-GB"/>
              </w:rPr>
              <w:t>Member of the Parliament of the Autonomous Region of the Azores</w:t>
            </w:r>
          </w:p>
          <w:p w:rsidRPr="008D0341" w:rsidR="001530DB" w:rsidP="00066365" w:rsidRDefault="001530DB" w14:paraId="1DB45EB6" w14:textId="77777777">
            <w:pPr>
              <w:jc w:val="center"/>
              <w:rPr>
                <w:lang w:val="en-GB"/>
              </w:rPr>
            </w:pPr>
            <w:r w:rsidRPr="008D0341">
              <w:rPr>
                <w:lang w:val="en-GB"/>
              </w:rPr>
              <w:t>and</w:t>
            </w:r>
          </w:p>
          <w:p w:rsidRPr="008D0341" w:rsidR="001530DB" w:rsidP="00066365" w:rsidRDefault="001530DB" w14:paraId="2BA22B35" w14:textId="77777777">
            <w:pPr>
              <w:jc w:val="center"/>
              <w:rPr>
                <w:lang w:val="en-GB"/>
              </w:rPr>
            </w:pPr>
            <w:r w:rsidRPr="008D0341">
              <w:rPr>
                <w:b/>
                <w:bCs/>
                <w:lang w:val="en-GB"/>
              </w:rPr>
              <w:t>Emil BOC (RO/EPP)</w:t>
            </w:r>
          </w:p>
          <w:p w:rsidRPr="008D0341" w:rsidR="001530DB" w:rsidP="00066365" w:rsidRDefault="001530DB" w14:paraId="076067D9" w14:textId="77777777">
            <w:pPr>
              <w:jc w:val="center"/>
              <w:rPr>
                <w:b/>
                <w:bCs/>
                <w:lang w:val="en-GB"/>
              </w:rPr>
            </w:pPr>
            <w:r w:rsidRPr="008D0341">
              <w:rPr>
                <w:lang w:val="en-GB"/>
              </w:rPr>
              <w:t>Mayor of Cluj-Napoca</w:t>
            </w:r>
          </w:p>
          <w:p w:rsidRPr="008D0341" w:rsidR="001530DB" w:rsidP="00066365" w:rsidRDefault="001530DB" w14:paraId="38E1573A" w14:textId="77777777">
            <w:pPr>
              <w:jc w:val="center"/>
              <w:rPr>
                <w:lang w:val="en-GB"/>
              </w:rPr>
            </w:pPr>
            <w:r w:rsidRPr="008D0341">
              <w:rPr>
                <w:lang w:val="en-GB"/>
              </w:rPr>
              <w:t>_____________</w:t>
            </w:r>
          </w:p>
        </w:tc>
      </w:tr>
    </w:tbl>
    <w:p w:rsidRPr="008D0341" w:rsidR="001530DB" w:rsidP="00066365" w:rsidRDefault="001530DB" w14:paraId="0FECD841" w14:textId="645A4796">
      <w:pPr>
        <w:jc w:val="left"/>
        <w:rPr>
          <w:lang w:val="en-GB"/>
        </w:rPr>
      </w:pPr>
    </w:p>
    <w:p w:rsidRPr="008D0341" w:rsidR="001805E1" w:rsidP="00066365" w:rsidRDefault="001805E1" w14:paraId="76793788" w14:textId="235447C8">
      <w:pPr>
        <w:jc w:val="left"/>
        <w:rPr>
          <w:lang w:val="en-GB"/>
        </w:rPr>
      </w:pPr>
    </w:p>
    <w:p w:rsidRPr="008D0341" w:rsidR="001805E1" w:rsidP="00066365" w:rsidRDefault="001805E1" w14:paraId="7352825E" w14:textId="3F6051A0">
      <w:pPr>
        <w:jc w:val="left"/>
        <w:rPr>
          <w:lang w:val="en-GB"/>
        </w:rPr>
      </w:pPr>
    </w:p>
    <w:p w:rsidR="009D529B" w:rsidP="00066365" w:rsidRDefault="009D529B" w14:paraId="7CF2952B" w14:textId="77777777">
      <w:pPr>
        <w:jc w:val="left"/>
        <w:rPr>
          <w:lang w:val="en-GB"/>
        </w:rPr>
      </w:pPr>
    </w:p>
    <w:p w:rsidR="00E73277" w:rsidP="00066365" w:rsidRDefault="00E73277" w14:paraId="72457244" w14:textId="77777777">
      <w:pPr>
        <w:jc w:val="left"/>
        <w:rPr>
          <w:lang w:val="en-GB"/>
        </w:rPr>
      </w:pPr>
    </w:p>
    <w:p w:rsidR="00E73277" w:rsidP="00066365" w:rsidRDefault="00E73277" w14:paraId="5D0EAFDC" w14:textId="77777777">
      <w:pPr>
        <w:jc w:val="left"/>
        <w:rPr>
          <w:lang w:val="en-GB"/>
        </w:rPr>
      </w:pPr>
    </w:p>
    <w:p w:rsidRPr="008D0341" w:rsidR="00E73277" w:rsidP="00066365" w:rsidRDefault="00E73277" w14:paraId="722EC785" w14:textId="77777777">
      <w:pPr>
        <w:jc w:val="left"/>
        <w:rPr>
          <w:lang w:val="en-GB"/>
        </w:rP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8D0341" w:rsidR="009D529B" w:rsidTr="009054A6" w14:paraId="5E5A1E66" w14:textId="77777777">
        <w:tc>
          <w:tcPr>
            <w:tcW w:w="9289" w:type="dxa"/>
            <w:tcBorders>
              <w:top w:val="single" w:color="auto" w:sz="4" w:space="0"/>
              <w:bottom w:val="single" w:color="auto" w:sz="4" w:space="0"/>
            </w:tcBorders>
          </w:tcPr>
          <w:p w:rsidRPr="008D0341" w:rsidR="009D529B" w:rsidP="00066365" w:rsidRDefault="009D529B" w14:paraId="0151917B" w14:textId="77777777">
            <w:pPr>
              <w:rPr>
                <w:b/>
                <w:bCs/>
                <w:lang w:val="en-GB"/>
              </w:rPr>
            </w:pPr>
            <w:r w:rsidRPr="008D0341">
              <w:rPr>
                <w:b/>
                <w:bCs/>
                <w:u w:val="single"/>
                <w:lang w:val="en-GB"/>
              </w:rPr>
              <w:t>Deadline for tabling amendments</w:t>
            </w:r>
            <w:r w:rsidRPr="008D0341">
              <w:rPr>
                <w:b/>
                <w:bCs/>
                <w:lang w:val="en-GB"/>
              </w:rPr>
              <w:t>:</w:t>
            </w:r>
          </w:p>
          <w:p w:rsidRPr="008D0341" w:rsidR="009D529B" w:rsidP="00066365" w:rsidRDefault="009D529B" w14:paraId="3146BCBA" w14:textId="77777777">
            <w:pPr>
              <w:rPr>
                <w:b/>
                <w:bCs/>
                <w:lang w:val="en-GB"/>
              </w:rPr>
            </w:pPr>
          </w:p>
          <w:p w:rsidRPr="008D0341" w:rsidR="009D529B" w:rsidP="00066365" w:rsidRDefault="009D529B" w14:paraId="01C30963" w14:textId="286B5826">
            <w:pPr>
              <w:rPr>
                <w:szCs w:val="24"/>
                <w:lang w:val="en-GB"/>
              </w:rPr>
            </w:pPr>
            <w:r w:rsidRPr="008D0341">
              <w:rPr>
                <w:b/>
                <w:bCs/>
                <w:lang w:val="en-GB"/>
              </w:rPr>
              <w:t xml:space="preserve">15:00 </w:t>
            </w:r>
            <w:r w:rsidRPr="008D0341">
              <w:rPr>
                <w:lang w:val="en-GB"/>
              </w:rPr>
              <w:t xml:space="preserve">(Brussels time) </w:t>
            </w:r>
            <w:r w:rsidRPr="008D0341">
              <w:rPr>
                <w:b/>
                <w:bCs/>
                <w:lang w:val="en-GB"/>
              </w:rPr>
              <w:t xml:space="preserve">on </w:t>
            </w:r>
            <w:r w:rsidRPr="008D0341" w:rsidR="00A0369E">
              <w:rPr>
                <w:b/>
                <w:bCs/>
                <w:lang w:val="en-GB"/>
              </w:rPr>
              <w:t>2</w:t>
            </w:r>
            <w:r w:rsidRPr="008D0341" w:rsidR="000054F1">
              <w:rPr>
                <w:b/>
                <w:bCs/>
                <w:lang w:val="en-GB"/>
              </w:rPr>
              <w:t>0</w:t>
            </w:r>
            <w:r w:rsidRPr="008D0341" w:rsidR="00A0369E">
              <w:rPr>
                <w:b/>
                <w:bCs/>
                <w:lang w:val="en-GB"/>
              </w:rPr>
              <w:t xml:space="preserve"> April 2026</w:t>
            </w:r>
            <w:r w:rsidRPr="008D0341">
              <w:rPr>
                <w:bCs/>
                <w:lang w:val="en-GB"/>
              </w:rPr>
              <w:t>.</w:t>
            </w:r>
            <w:r w:rsidRPr="008D0341">
              <w:rPr>
                <w:lang w:val="en-GB"/>
              </w:rPr>
              <w:t xml:space="preserve"> Amendments must be submitted using the online tool for tabling amendments (available through the Members’ Portal at </w:t>
            </w:r>
            <w:hyperlink w:history="1" r:id="rId12">
              <w:r w:rsidRPr="008D0341">
                <w:rPr>
                  <w:rStyle w:val="Hyperlink"/>
                  <w:rFonts w:eastAsiaTheme="majorEastAsia"/>
                  <w:lang w:val="en-GB"/>
                </w:rPr>
                <w:t>https://memportal.cor.europa.eu/</w:t>
              </w:r>
            </w:hyperlink>
            <w:r w:rsidRPr="008D0341">
              <w:rPr>
                <w:szCs w:val="24"/>
                <w:lang w:val="en-GB"/>
              </w:rPr>
              <w:t>).</w:t>
            </w:r>
          </w:p>
          <w:p w:rsidRPr="008D0341" w:rsidR="009D529B" w:rsidP="00066365" w:rsidRDefault="009D529B" w14:paraId="324BC377" w14:textId="77777777">
            <w:pPr>
              <w:rPr>
                <w:i/>
                <w:iCs/>
                <w:lang w:val="en-GB"/>
              </w:rPr>
            </w:pPr>
          </w:p>
          <w:p w:rsidRPr="008D0341" w:rsidR="009D529B" w:rsidP="00066365" w:rsidRDefault="009D529B" w14:paraId="1F9679AC" w14:textId="6B1713E0">
            <w:pPr>
              <w:rPr>
                <w:lang w:val="en-GB"/>
              </w:rPr>
            </w:pPr>
            <w:r w:rsidRPr="008D0341">
              <w:rPr>
                <w:iCs/>
                <w:u w:val="single"/>
                <w:lang w:val="en-GB"/>
              </w:rPr>
              <w:t>Number of signatures required</w:t>
            </w:r>
            <w:r w:rsidRPr="008D0341">
              <w:rPr>
                <w:iCs/>
                <w:lang w:val="en-GB"/>
              </w:rPr>
              <w:t>: 32</w:t>
            </w:r>
          </w:p>
          <w:p w:rsidRPr="008D0341" w:rsidR="009D529B" w:rsidP="00066365" w:rsidRDefault="009D529B" w14:paraId="6AC68E9D" w14:textId="77777777">
            <w:pPr>
              <w:rPr>
                <w:lang w:val="en-GB"/>
              </w:rPr>
            </w:pPr>
          </w:p>
        </w:tc>
      </w:tr>
    </w:tbl>
    <w:p w:rsidRPr="008D0341" w:rsidR="009D529B" w:rsidP="00066365" w:rsidRDefault="00A8115B" w14:paraId="424D0CF1" w14:textId="37332B70">
      <w:pPr>
        <w:rPr>
          <w:lang w:val="en-GB"/>
        </w:rPr>
      </w:pPr>
      <w:r w:rsidRPr="00943DA3">
        <w:rPr>
          <w:noProof/>
        </w:rPr>
        <w:drawing>
          <wp:anchor distT="0" distB="0" distL="114300" distR="114300" simplePos="0" relativeHeight="251658240" behindDoc="0" locked="0" layoutInCell="1" allowOverlap="1" wp14:editId="38720A55" wp14:anchorId="7541E4AF">
            <wp:simplePos x="0" y="0"/>
            <wp:positionH relativeFrom="column">
              <wp:posOffset>8255</wp:posOffset>
            </wp:positionH>
            <wp:positionV relativeFrom="page">
              <wp:posOffset>10204450</wp:posOffset>
            </wp:positionV>
            <wp:extent cx="5770245" cy="287655"/>
            <wp:effectExtent l="0" t="0" r="0" b="0"/>
            <wp:wrapSquare wrapText="bothSides"/>
            <wp:docPr id="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4569"/>
                    <a:stretch/>
                  </pic:blipFill>
                  <pic:spPr bwMode="auto">
                    <a:xfrm>
                      <a:off x="0" y="0"/>
                      <a:ext cx="5770245" cy="287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8D0341" w:rsidR="00E76ECD" w:rsidP="00E7423E" w:rsidRDefault="00E76ECD" w14:paraId="7CB5A15C" w14:textId="5D483C03">
      <w:pPr>
        <w:rPr>
          <w:lang w:val="en-GB"/>
        </w:rPr>
      </w:pPr>
    </w:p>
    <w:p w:rsidRPr="008D0341" w:rsidR="0006108F" w:rsidP="00066365" w:rsidRDefault="0006108F" w14:paraId="3EBE115C" w14:textId="57897256">
      <w:pPr>
        <w:jc w:val="left"/>
        <w:rPr>
          <w:lang w:val="en-GB"/>
        </w:rPr>
        <w:sectPr w:rsidRPr="008D0341" w:rsidR="0006108F" w:rsidSect="00A8115B">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rsidRPr="008D0341" w:rsidR="00E76ECD" w:rsidP="00066365" w:rsidRDefault="00E76ECD" w14:paraId="0A5D3C5E" w14:textId="35E19C5E">
      <w:pPr>
        <w:jc w:val="left"/>
        <w:rPr>
          <w:lang w:val="en-GB"/>
        </w:rPr>
      </w:pPr>
    </w:p>
    <w:tbl>
      <w:tblPr>
        <w:tblW w:w="0" w:type="auto"/>
        <w:tblLayout w:type="fixed"/>
        <w:tblLook w:val="01E0" w:firstRow="1" w:lastRow="1" w:firstColumn="1" w:lastColumn="1" w:noHBand="0" w:noVBand="0"/>
      </w:tblPr>
      <w:tblGrid>
        <w:gridCol w:w="9289"/>
      </w:tblGrid>
      <w:tr w:rsidRPr="00EF7E44" w:rsidR="00E7423E" w:rsidTr="009542EF" w14:paraId="1440A616" w14:textId="77777777">
        <w:trPr>
          <w:trHeight w:val="12474"/>
        </w:trPr>
        <w:tc>
          <w:tcPr>
            <w:tcW w:w="9289" w:type="dxa"/>
            <w:vAlign w:val="bottom"/>
          </w:tcPr>
          <w:p w:rsidR="00E7423E" w:rsidP="009542EF" w:rsidRDefault="00E7423E" w14:paraId="01C0AF9F" w14:textId="30A86603">
            <w:pPr>
              <w:rPr>
                <w:b/>
                <w:bCs/>
              </w:rPr>
            </w:pPr>
            <w:r w:rsidRPr="0049767D">
              <w:rPr>
                <w:b/>
                <w:bCs/>
              </w:rPr>
              <w:t>Reference document</w:t>
            </w:r>
          </w:p>
          <w:p w:rsidR="00E7423E" w:rsidP="009542EF" w:rsidRDefault="00E7423E" w14:paraId="08A83B96" w14:textId="77777777">
            <w:pPr>
              <w:rPr>
                <w:b/>
                <w:bCs/>
              </w:rPr>
            </w:pPr>
          </w:p>
          <w:p w:rsidRPr="00E7423E" w:rsidR="00E7423E" w:rsidP="009542EF" w:rsidRDefault="00E7423E" w14:paraId="581E0F5F" w14:textId="695ED4ED">
            <w:pPr>
              <w:rPr>
                <w:b/>
                <w:bCs/>
              </w:rPr>
            </w:pPr>
            <w:r w:rsidRPr="008D0341">
              <w:rPr>
                <w:lang w:val="en-GB"/>
              </w:rPr>
              <w:t>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2024/2509 - COM/2025/565 final/2</w:t>
            </w:r>
          </w:p>
        </w:tc>
      </w:tr>
    </w:tbl>
    <w:p w:rsidR="00E7423E" w:rsidP="00066365" w:rsidRDefault="00E7423E" w14:paraId="44FDD2CA" w14:textId="77777777">
      <w:pPr>
        <w:rPr>
          <w:b/>
          <w:lang w:val="en-GB"/>
        </w:rPr>
      </w:pPr>
    </w:p>
    <w:p w:rsidRPr="008D0341" w:rsidR="001530DB" w:rsidP="00066365" w:rsidRDefault="001530DB" w14:paraId="27E36A47" w14:textId="2EEFEA57">
      <w:pPr>
        <w:rPr>
          <w:b/>
          <w:lang w:val="en-GB"/>
        </w:rPr>
      </w:pPr>
      <w:r w:rsidRPr="008D0341">
        <w:rPr>
          <w:b/>
          <w:lang w:val="en-GB"/>
        </w:rPr>
        <w:br w:type="page"/>
      </w:r>
    </w:p>
    <w:p w:rsidRPr="008D0341" w:rsidR="00444A98" w:rsidP="00066365" w:rsidRDefault="00C35436" w14:paraId="184C0E07" w14:textId="41D86987">
      <w:pPr>
        <w:jc w:val="center"/>
        <w:rPr>
          <w:lang w:val="en-GB"/>
        </w:rPr>
      </w:pPr>
      <w:r w:rsidRPr="008D0341">
        <w:rPr>
          <w:b/>
          <w:lang w:val="en-GB"/>
        </w:rPr>
        <w:t xml:space="preserve">Draft opinion of the </w:t>
      </w:r>
      <w:r w:rsidRPr="008D0341" w:rsidR="00F14DB5">
        <w:rPr>
          <w:b/>
          <w:lang w:val="en-GB"/>
        </w:rPr>
        <w:t>European Committee of the Regions</w:t>
      </w:r>
      <w:r w:rsidRPr="008D0341">
        <w:rPr>
          <w:b/>
          <w:lang w:val="en-GB"/>
        </w:rPr>
        <w:t xml:space="preserve"> </w:t>
      </w:r>
      <w:r w:rsidRPr="008D0341" w:rsidR="00444A98">
        <w:rPr>
          <w:b/>
          <w:lang w:val="en-GB"/>
        </w:rPr>
        <w:t xml:space="preserve">– </w:t>
      </w:r>
      <w:r w:rsidRPr="008D0341" w:rsidR="0067416E">
        <w:rPr>
          <w:b/>
          <w:lang w:val="en-GB"/>
        </w:rPr>
        <w:t>NRPP Fund Regulation</w:t>
      </w:r>
    </w:p>
    <w:p w:rsidRPr="008D0341" w:rsidR="00444A98" w:rsidP="00066365" w:rsidRDefault="00444A98" w14:paraId="38C2DA24" w14:textId="77777777">
      <w:pPr>
        <w:jc w:val="center"/>
        <w:rPr>
          <w:lang w:val="en-GB"/>
        </w:rPr>
      </w:pPr>
    </w:p>
    <w:p w:rsidRPr="008D0341" w:rsidR="00352E5C" w:rsidP="00066365" w:rsidRDefault="00444A98" w14:paraId="34853E27" w14:textId="36F9C6D4">
      <w:pPr>
        <w:numPr>
          <w:ilvl w:val="0"/>
          <w:numId w:val="2"/>
        </w:numPr>
        <w:ind w:left="567" w:hanging="567"/>
        <w:rPr>
          <w:b/>
          <w:lang w:val="en-GB"/>
        </w:rPr>
      </w:pPr>
      <w:r w:rsidRPr="008D0341">
        <w:rPr>
          <w:b/>
          <w:lang w:val="en-GB"/>
        </w:rPr>
        <w:t>RECOMMENDATIONS</w:t>
      </w:r>
      <w:r w:rsidRPr="008D0341" w:rsidR="0067416E">
        <w:rPr>
          <w:b/>
          <w:lang w:val="en-GB"/>
        </w:rPr>
        <w:t xml:space="preserve"> FOR AMENDMENTS</w:t>
      </w:r>
    </w:p>
    <w:p w:rsidRPr="008D0341" w:rsidR="00352E5C" w:rsidP="00066365" w:rsidRDefault="00352E5C" w14:paraId="76AE3C5A" w14:textId="77777777">
      <w:pPr>
        <w:jc w:val="center"/>
        <w:rPr>
          <w:rFonts w:eastAsia="Myriad Pro"/>
          <w:b/>
          <w:bCs/>
          <w:lang w:val="en-GB"/>
        </w:rPr>
      </w:pPr>
    </w:p>
    <w:p w:rsidRPr="008D0341" w:rsidR="001114A4" w:rsidP="00066365" w:rsidRDefault="001114A4" w14:paraId="7492E9A9" w14:textId="77777777">
      <w:pPr>
        <w:keepNext/>
        <w:jc w:val="center"/>
        <w:rPr>
          <w:sz w:val="21"/>
          <w:szCs w:val="21"/>
          <w:lang w:val="en-GB"/>
        </w:rPr>
      </w:pPr>
      <w:r w:rsidRPr="008D0341">
        <w:rPr>
          <w:rFonts w:eastAsia="Myriad Pro" w:cs="Myriad Pro"/>
          <w:b/>
          <w:bCs/>
          <w:sz w:val="21"/>
          <w:szCs w:val="21"/>
          <w:lang w:val="en-GB"/>
        </w:rPr>
        <w:t>Amendment 1</w:t>
      </w:r>
    </w:p>
    <w:p w:rsidRPr="008D0341" w:rsidR="001114A4" w:rsidP="00066365" w:rsidRDefault="001114A4" w14:paraId="431AF3F4" w14:textId="76EDDB5F">
      <w:pPr>
        <w:keepNext/>
        <w:jc w:val="center"/>
        <w:rPr>
          <w:rFonts w:eastAsia="Myriad Pro"/>
          <w:sz w:val="21"/>
          <w:szCs w:val="21"/>
          <w:lang w:val="en-GB"/>
        </w:rPr>
      </w:pPr>
      <w:r w:rsidRPr="008D0341">
        <w:rPr>
          <w:rFonts w:eastAsia="Myriad Pro"/>
          <w:sz w:val="21"/>
          <w:szCs w:val="21"/>
          <w:lang w:val="en-GB"/>
        </w:rPr>
        <w:t>Article 2 – General objectives of the Fund</w:t>
      </w:r>
    </w:p>
    <w:p w:rsidR="008509BC" w:rsidP="00066365" w:rsidRDefault="008509BC" w14:paraId="1E05BFA7" w14:textId="77777777">
      <w:pPr>
        <w:keepNext/>
        <w:jc w:val="center"/>
        <w:rPr>
          <w:rFonts w:eastAsia="Myriad Pro" w:cs="Myriad Pro"/>
          <w:sz w:val="21"/>
          <w:szCs w:val="21"/>
          <w:lang w:val="en-GB"/>
        </w:rPr>
      </w:pPr>
    </w:p>
    <w:tbl>
      <w:tblPr>
        <w:tblW w:w="9322" w:type="dxa"/>
        <w:tblLook w:val="04A0" w:firstRow="1" w:lastRow="0" w:firstColumn="1" w:lastColumn="0" w:noHBand="0" w:noVBand="1"/>
      </w:tblPr>
      <w:tblGrid>
        <w:gridCol w:w="4644"/>
        <w:gridCol w:w="4678"/>
      </w:tblGrid>
      <w:tr w:rsidRPr="008D0341" w:rsidR="001114A4" w:rsidTr="008C42DB" w14:paraId="6BD19BE8"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114A4" w:rsidP="00066365" w:rsidRDefault="001114A4" w14:paraId="7C0D9F58" w14:textId="25F7B50D">
            <w:pPr>
              <w:jc w:val="center"/>
              <w:rPr>
                <w:sz w:val="21"/>
                <w:szCs w:val="21"/>
                <w:lang w:val="en-GB"/>
              </w:rPr>
            </w:pPr>
            <w:r w:rsidRPr="008D0341">
              <w:rPr>
                <w:b/>
                <w:bCs/>
                <w:i/>
                <w:iCs/>
                <w:sz w:val="21"/>
                <w:szCs w:val="21"/>
                <w:lang w:val="en-GB"/>
              </w:rPr>
              <w:t xml:space="preserve">Text proposed by the </w:t>
            </w:r>
            <w:r w:rsidR="008C42DB">
              <w:rPr>
                <w:b/>
                <w:bCs/>
                <w:i/>
                <w:iCs/>
                <w:sz w:val="21"/>
                <w:szCs w:val="21"/>
                <w:lang w:val="en-GB"/>
              </w:rPr>
              <w:t xml:space="preserve">European </w:t>
            </w:r>
            <w:r w:rsidRPr="008D0341">
              <w:rPr>
                <w:b/>
                <w:bCs/>
                <w:i/>
                <w:iCs/>
                <w:sz w:val="21"/>
                <w:szCs w:val="21"/>
                <w:lang w:val="en-GB"/>
              </w:rPr>
              <w:t>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114A4" w:rsidP="00066365" w:rsidRDefault="001114A4" w14:paraId="31A6ECA7" w14:textId="77777777">
            <w:pPr>
              <w:jc w:val="center"/>
              <w:rPr>
                <w:sz w:val="21"/>
                <w:szCs w:val="21"/>
                <w:lang w:val="en-GB"/>
              </w:rPr>
            </w:pPr>
            <w:r w:rsidRPr="008D0341">
              <w:rPr>
                <w:b/>
                <w:bCs/>
                <w:i/>
                <w:iCs/>
                <w:sz w:val="21"/>
                <w:szCs w:val="21"/>
                <w:lang w:val="en-GB"/>
              </w:rPr>
              <w:t>CoR amendment</w:t>
            </w:r>
          </w:p>
        </w:tc>
      </w:tr>
      <w:tr w:rsidRPr="008D0341" w:rsidR="001114A4" w:rsidTr="008C42DB" w14:paraId="7720944D"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114A4" w:rsidP="00066365" w:rsidRDefault="001114A4" w14:paraId="6356F9EE" w14:textId="77777777">
            <w:pPr>
              <w:autoSpaceDE w:val="0"/>
              <w:autoSpaceDN w:val="0"/>
              <w:adjustRightInd w:val="0"/>
              <w:rPr>
                <w:sz w:val="21"/>
                <w:szCs w:val="21"/>
                <w:lang w:val="en-GB"/>
                <w14:ligatures w14:val="standardContextual"/>
              </w:rPr>
            </w:pPr>
            <w:r w:rsidRPr="008D0341">
              <w:rPr>
                <w:sz w:val="21"/>
                <w:szCs w:val="21"/>
                <w:lang w:val="en-GB"/>
                <w14:ligatures w14:val="standardContextual"/>
              </w:rPr>
              <w:t>1. With the overall aim of promoting economic, social and territorial cohesion, the sustainable development and competitiveness of the Union, its security and its preparedness, the Fund shall support the following general objectives:</w:t>
            </w:r>
          </w:p>
          <w:p w:rsidRPr="008D0341" w:rsidR="001114A4" w:rsidP="00066365" w:rsidRDefault="001114A4" w14:paraId="1ABF19F9" w14:textId="58A87766">
            <w:pPr>
              <w:autoSpaceDE w:val="0"/>
              <w:autoSpaceDN w:val="0"/>
              <w:adjustRightInd w:val="0"/>
              <w:rPr>
                <w:sz w:val="21"/>
                <w:szCs w:val="21"/>
                <w:lang w:val="en-GB"/>
                <w14:ligatures w14:val="standardContextual"/>
              </w:rPr>
            </w:pPr>
            <w:r w:rsidRPr="008D0341">
              <w:rPr>
                <w:sz w:val="21"/>
                <w:szCs w:val="21"/>
                <w:lang w:val="en-GB"/>
                <w14:ligatures w14:val="standardContextual"/>
              </w:rPr>
              <w:t xml:space="preserve">(a) </w:t>
            </w:r>
            <w:r w:rsidRPr="008D0341" w:rsidR="000C7C6E">
              <w:rPr>
                <w:sz w:val="21"/>
                <w:szCs w:val="21"/>
                <w:lang w:val="en-GB"/>
                <w14:ligatures w14:val="standardContextual"/>
              </w:rPr>
              <w:t>…</w:t>
            </w:r>
          </w:p>
          <w:p w:rsidRPr="008D0341" w:rsidR="001114A4" w:rsidP="00066365" w:rsidRDefault="001114A4" w14:paraId="30541842" w14:textId="45528B72">
            <w:pPr>
              <w:rPr>
                <w:sz w:val="21"/>
                <w:szCs w:val="21"/>
                <w:lang w:val="en-GB"/>
                <w14:ligatures w14:val="standardContextual"/>
              </w:rPr>
            </w:pPr>
            <w:r w:rsidRPr="008D0341">
              <w:rPr>
                <w:sz w:val="21"/>
                <w:szCs w:val="21"/>
                <w:lang w:val="en-GB"/>
                <w14:ligatures w14:val="standardContextual"/>
              </w:rPr>
              <w:t xml:space="preserve">(b) </w:t>
            </w:r>
            <w:r w:rsidRPr="008D0341" w:rsidR="00FC1DE3">
              <w:rPr>
                <w:sz w:val="21"/>
                <w:szCs w:val="21"/>
                <w:lang w:val="en-GB"/>
                <w14:ligatures w14:val="standardContextual"/>
              </w:rPr>
              <w:t>…</w:t>
            </w:r>
          </w:p>
          <w:p w:rsidRPr="008D0341" w:rsidR="001114A4" w:rsidP="00066365" w:rsidRDefault="00A14C25" w14:paraId="1E9A9E72" w14:textId="4EC894CF">
            <w:pPr>
              <w:rPr>
                <w:sz w:val="21"/>
                <w:szCs w:val="21"/>
                <w:lang w:val="en-GB"/>
              </w:rPr>
            </w:pPr>
            <w:r w:rsidRPr="008D0341">
              <w:rPr>
                <w:sz w:val="21"/>
                <w:szCs w:val="21"/>
                <w:lang w:val="en-GB"/>
                <w14:ligatures w14:val="standardContextual"/>
              </w:rPr>
              <w:t>[…]</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114A4" w:rsidP="00066365" w:rsidRDefault="001114A4" w14:paraId="2CBD4080" w14:textId="08BFB477">
            <w:pPr>
              <w:autoSpaceDE w:val="0"/>
              <w:autoSpaceDN w:val="0"/>
              <w:adjustRightInd w:val="0"/>
              <w:rPr>
                <w:b/>
                <w:bCs/>
                <w:i/>
                <w:iCs/>
                <w:sz w:val="21"/>
                <w:szCs w:val="21"/>
                <w:lang w:val="en-GB"/>
                <w14:ligatures w14:val="standardContextual"/>
              </w:rPr>
            </w:pPr>
            <w:r w:rsidRPr="008D0341">
              <w:rPr>
                <w:b/>
                <w:bCs/>
                <w:i/>
                <w:iCs/>
                <w:sz w:val="21"/>
                <w:szCs w:val="21"/>
                <w:lang w:val="en-GB"/>
                <w14:ligatures w14:val="standardContextual"/>
              </w:rPr>
              <w:t xml:space="preserve">The ERDF, the ESF+, the Cohesion Fund, the EAFRD, the EAGF, the EMFAF, the Asylum, Migration and Integration Fund (AMIF), </w:t>
            </w:r>
            <w:r w:rsidRPr="008D0341" w:rsidR="004D07EA">
              <w:rPr>
                <w:b/>
                <w:bCs/>
                <w:i/>
                <w:iCs/>
                <w:sz w:val="21"/>
                <w:szCs w:val="21"/>
                <w:lang w:val="en-GB"/>
                <w14:ligatures w14:val="standardContextual"/>
              </w:rPr>
              <w:t xml:space="preserve">the </w:t>
            </w:r>
            <w:r w:rsidRPr="008D0341">
              <w:rPr>
                <w:b/>
                <w:bCs/>
                <w:i/>
                <w:iCs/>
                <w:sz w:val="21"/>
                <w:szCs w:val="21"/>
                <w:lang w:val="en-GB"/>
                <w14:ligatures w14:val="standardContextual"/>
              </w:rPr>
              <w:t xml:space="preserve">Border Management and Visa Instrument (BMVI) and </w:t>
            </w:r>
            <w:r w:rsidRPr="008D0341" w:rsidR="004D07EA">
              <w:rPr>
                <w:b/>
                <w:bCs/>
                <w:i/>
                <w:iCs/>
                <w:sz w:val="21"/>
                <w:szCs w:val="21"/>
                <w:lang w:val="en-GB"/>
                <w14:ligatures w14:val="standardContextual"/>
              </w:rPr>
              <w:t xml:space="preserve">the </w:t>
            </w:r>
            <w:r w:rsidRPr="008D0341">
              <w:rPr>
                <w:b/>
                <w:bCs/>
                <w:i/>
                <w:iCs/>
                <w:sz w:val="21"/>
                <w:szCs w:val="21"/>
                <w:lang w:val="en-GB"/>
                <w14:ligatures w14:val="standardContextual"/>
              </w:rPr>
              <w:t>Internal Security Fund (ISF) shall support the following policy objectives:</w:t>
            </w:r>
          </w:p>
          <w:p w:rsidRPr="008D0341" w:rsidR="001114A4" w:rsidP="00066365" w:rsidRDefault="001114A4" w14:paraId="7360341B" w14:textId="7767FA72">
            <w:pPr>
              <w:autoSpaceDE w:val="0"/>
              <w:autoSpaceDN w:val="0"/>
              <w:adjustRightInd w:val="0"/>
              <w:rPr>
                <w:sz w:val="21"/>
                <w:szCs w:val="21"/>
                <w:lang w:val="en-GB"/>
                <w14:ligatures w14:val="standardContextual"/>
              </w:rPr>
            </w:pPr>
            <w:r w:rsidRPr="008D0341">
              <w:rPr>
                <w:sz w:val="21"/>
                <w:szCs w:val="21"/>
                <w:lang w:val="en-GB"/>
                <w14:ligatures w14:val="standardContextual"/>
              </w:rPr>
              <w:t>1. With the overall aim of promoting economic, social and territorial cohesion, the sustainable development and competitiveness of the Union, its security and its preparedness, the Fund shall support the following general objectives:</w:t>
            </w:r>
          </w:p>
          <w:p w:rsidRPr="008D0341" w:rsidR="001114A4" w:rsidP="00066365" w:rsidRDefault="001114A4" w14:paraId="4CBBE632" w14:textId="362A8F44">
            <w:pPr>
              <w:rPr>
                <w:sz w:val="21"/>
                <w:szCs w:val="21"/>
                <w:lang w:val="en-GB"/>
                <w14:ligatures w14:val="standardContextual"/>
              </w:rPr>
            </w:pPr>
            <w:r w:rsidRPr="008D0341">
              <w:rPr>
                <w:sz w:val="21"/>
                <w:szCs w:val="21"/>
                <w:lang w:val="en-GB"/>
                <w14:ligatures w14:val="standardContextual"/>
              </w:rPr>
              <w:t>(a) …</w:t>
            </w:r>
          </w:p>
          <w:p w:rsidRPr="008D0341" w:rsidR="001114A4" w:rsidP="00066365" w:rsidRDefault="001114A4" w14:paraId="08CB068E" w14:textId="3D7AFFAA">
            <w:pPr>
              <w:rPr>
                <w:b/>
                <w:bCs/>
                <w:i/>
                <w:iCs/>
                <w:sz w:val="21"/>
                <w:szCs w:val="21"/>
                <w:lang w:val="en-GB"/>
                <w14:ligatures w14:val="standardContextual"/>
              </w:rPr>
            </w:pPr>
            <w:r w:rsidRPr="008D0341">
              <w:rPr>
                <w:b/>
                <w:bCs/>
                <w:i/>
                <w:iCs/>
                <w:sz w:val="21"/>
                <w:szCs w:val="21"/>
                <w:lang w:val="en-GB"/>
                <w14:ligatures w14:val="standardContextual"/>
              </w:rPr>
              <w:t>(a</w:t>
            </w:r>
            <w:r w:rsidRPr="008D0341" w:rsidR="00F46A78">
              <w:rPr>
                <w:b/>
                <w:bCs/>
                <w:i/>
                <w:iCs/>
                <w:sz w:val="21"/>
                <w:szCs w:val="21"/>
                <w:lang w:val="en-GB"/>
                <w14:ligatures w14:val="standardContextual"/>
              </w:rPr>
              <w:t>a</w:t>
            </w:r>
            <w:r w:rsidRPr="008D0341">
              <w:rPr>
                <w:b/>
                <w:bCs/>
                <w:i/>
                <w:iCs/>
                <w:sz w:val="21"/>
                <w:szCs w:val="21"/>
                <w:lang w:val="en-GB"/>
                <w14:ligatures w14:val="standardContextual"/>
              </w:rPr>
              <w:t xml:space="preserve">) to support the Union’s sustainable prosperity and </w:t>
            </w:r>
            <w:r w:rsidRPr="008D0341" w:rsidR="004D07EA">
              <w:rPr>
                <w:b/>
                <w:bCs/>
                <w:i/>
                <w:iCs/>
                <w:sz w:val="21"/>
                <w:szCs w:val="21"/>
                <w:lang w:val="en-GB"/>
                <w14:ligatures w14:val="standardContextual"/>
              </w:rPr>
              <w:t xml:space="preserve">the </w:t>
            </w:r>
            <w:r w:rsidRPr="008D0341">
              <w:rPr>
                <w:b/>
                <w:bCs/>
                <w:i/>
                <w:iCs/>
                <w:sz w:val="21"/>
                <w:szCs w:val="21"/>
                <w:lang w:val="en-GB"/>
                <w14:ligatures w14:val="standardContextual"/>
              </w:rPr>
              <w:t xml:space="preserve">just transition of all regions, and </w:t>
            </w:r>
            <w:r w:rsidRPr="008D0341">
              <w:rPr>
                <w:b/>
                <w:bCs/>
                <w:i/>
                <w:iCs/>
                <w:sz w:val="21"/>
                <w:szCs w:val="21"/>
                <w:lang w:val="en-GB"/>
              </w:rPr>
              <w:t>to ensure that the conditions necessary for the competitiveness of the Union’s industry exist in accordance with Part Three, Title XVII of the TFEU;</w:t>
            </w:r>
          </w:p>
          <w:p w:rsidR="008C42DB" w:rsidP="008C42DB" w:rsidRDefault="001114A4" w14:paraId="3FBB6147" w14:textId="77777777">
            <w:pPr>
              <w:rPr>
                <w:sz w:val="21"/>
                <w:szCs w:val="21"/>
                <w:lang w:val="en-GB"/>
              </w:rPr>
            </w:pPr>
            <w:r w:rsidRPr="008D0341">
              <w:rPr>
                <w:sz w:val="21"/>
                <w:szCs w:val="21"/>
                <w:lang w:val="en-GB"/>
              </w:rPr>
              <w:t xml:space="preserve">(b) </w:t>
            </w:r>
            <w:r w:rsidRPr="008D0341" w:rsidR="00E04452">
              <w:rPr>
                <w:sz w:val="21"/>
                <w:szCs w:val="21"/>
                <w:lang w:val="en-GB"/>
              </w:rPr>
              <w:t>…</w:t>
            </w:r>
            <w:r w:rsidR="008C42DB">
              <w:rPr>
                <w:sz w:val="21"/>
                <w:szCs w:val="21"/>
                <w:lang w:val="en-GB"/>
              </w:rPr>
              <w:t xml:space="preserve"> </w:t>
            </w:r>
          </w:p>
          <w:p w:rsidRPr="005B0460" w:rsidR="001114A4" w:rsidP="008C42DB" w:rsidRDefault="00A14C25" w14:paraId="44511F0A" w14:textId="111A79B2">
            <w:pPr>
              <w:rPr>
                <w:sz w:val="21"/>
                <w:szCs w:val="21"/>
                <w:lang w:val="en-GB"/>
              </w:rPr>
            </w:pPr>
            <w:r w:rsidRPr="008D0341">
              <w:rPr>
                <w:sz w:val="21"/>
                <w:szCs w:val="21"/>
                <w:lang w:val="en-GB"/>
                <w14:ligatures w14:val="standardContextual"/>
              </w:rPr>
              <w:t>[…]</w:t>
            </w:r>
          </w:p>
        </w:tc>
      </w:tr>
    </w:tbl>
    <w:p w:rsidRPr="008D0341" w:rsidR="001114A4" w:rsidP="00066365" w:rsidRDefault="001114A4" w14:paraId="37E64DBA" w14:textId="62211987">
      <w:pPr>
        <w:keepNext/>
        <w:rPr>
          <w:sz w:val="21"/>
          <w:szCs w:val="21"/>
          <w:lang w:val="en-GB"/>
        </w:rPr>
      </w:pPr>
    </w:p>
    <w:tbl>
      <w:tblPr>
        <w:tblW w:w="9322" w:type="dxa"/>
        <w:tblLook w:val="04A0" w:firstRow="1" w:lastRow="0" w:firstColumn="1" w:lastColumn="0" w:noHBand="0" w:noVBand="1"/>
      </w:tblPr>
      <w:tblGrid>
        <w:gridCol w:w="9322"/>
      </w:tblGrid>
      <w:tr w:rsidRPr="008D0341" w:rsidR="001114A4" w:rsidTr="008C42DB" w14:paraId="604E8BBB"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114A4" w:rsidP="00066365" w:rsidRDefault="001114A4" w14:paraId="1940A6E0" w14:textId="77777777">
            <w:pPr>
              <w:jc w:val="center"/>
              <w:rPr>
                <w:sz w:val="21"/>
                <w:szCs w:val="21"/>
                <w:lang w:val="en-GB"/>
              </w:rPr>
            </w:pPr>
            <w:r w:rsidRPr="008D0341">
              <w:rPr>
                <w:b/>
                <w:bCs/>
                <w:i/>
                <w:iCs/>
                <w:sz w:val="21"/>
                <w:szCs w:val="21"/>
                <w:lang w:val="en-GB"/>
              </w:rPr>
              <w:t>Reason</w:t>
            </w:r>
          </w:p>
        </w:tc>
      </w:tr>
      <w:tr w:rsidRPr="008D0341" w:rsidR="001114A4" w:rsidTr="008C42DB" w14:paraId="5C75806C"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114A4" w:rsidP="00066365" w:rsidRDefault="00754260" w14:paraId="40537327" w14:textId="06FEEAD2">
            <w:pPr>
              <w:rPr>
                <w:sz w:val="21"/>
                <w:szCs w:val="21"/>
                <w:lang w:val="en-GB"/>
              </w:rPr>
            </w:pPr>
            <w:r w:rsidRPr="008D0341">
              <w:rPr>
                <w:rFonts w:eastAsia="Calibri"/>
                <w:lang w:val="en-GB"/>
              </w:rPr>
              <w:t>R</w:t>
            </w:r>
            <w:r w:rsidRPr="008D0341" w:rsidR="001114A4">
              <w:rPr>
                <w:rFonts w:eastAsia="Calibri"/>
                <w:lang w:val="en-GB"/>
              </w:rPr>
              <w:t xml:space="preserve">eintroduces the funds </w:t>
            </w:r>
            <w:r w:rsidRPr="008D0341" w:rsidR="009412F9">
              <w:rPr>
                <w:rFonts w:eastAsia="Calibri"/>
                <w:lang w:val="en-GB"/>
              </w:rPr>
              <w:t>supporting</w:t>
            </w:r>
            <w:r w:rsidRPr="008D0341" w:rsidR="001114A4">
              <w:rPr>
                <w:rFonts w:eastAsia="Calibri"/>
                <w:lang w:val="en-GB"/>
              </w:rPr>
              <w:t xml:space="preserve"> the NRPPs. It also reintroduces </w:t>
            </w:r>
            <w:r w:rsidRPr="008D0341" w:rsidR="00F46A78">
              <w:rPr>
                <w:rFonts w:eastAsia="Calibri"/>
                <w:lang w:val="en-GB"/>
              </w:rPr>
              <w:t xml:space="preserve">the </w:t>
            </w:r>
            <w:r w:rsidRPr="008D0341" w:rsidR="001114A4">
              <w:rPr>
                <w:rFonts w:eastAsia="Calibri"/>
                <w:lang w:val="en-GB"/>
              </w:rPr>
              <w:t>just transition, adds a general objective on competitiveness in line with the relevant Treaty basis, clarifies that all regions should be supported by the policy and introduces coherence in relation to Article 3.</w:t>
            </w:r>
          </w:p>
        </w:tc>
      </w:tr>
    </w:tbl>
    <w:p w:rsidR="001114A4" w:rsidP="00066365" w:rsidRDefault="001114A4" w14:paraId="415F30DD" w14:textId="77777777">
      <w:pPr>
        <w:jc w:val="center"/>
        <w:rPr>
          <w:rFonts w:eastAsia="Myriad Pro"/>
          <w:b/>
          <w:bCs/>
          <w:lang w:val="en-GB"/>
        </w:rPr>
      </w:pPr>
    </w:p>
    <w:p w:rsidRPr="008D0341" w:rsidR="009E00CB" w:rsidP="00066365" w:rsidRDefault="009E00CB" w14:paraId="3CE9DA97" w14:textId="77777777">
      <w:pPr>
        <w:jc w:val="center"/>
        <w:rPr>
          <w:rFonts w:eastAsia="Myriad Pro"/>
          <w:b/>
          <w:bCs/>
          <w:lang w:val="en-GB"/>
        </w:rPr>
      </w:pPr>
    </w:p>
    <w:p w:rsidRPr="008D0341" w:rsidR="00352E5C" w:rsidP="003F40F8" w:rsidRDefault="00352E5C" w14:paraId="59087820" w14:textId="062B2CB8">
      <w:pPr>
        <w:keepNext/>
        <w:keepLines/>
        <w:jc w:val="center"/>
        <w:rPr>
          <w:lang w:val="en-GB"/>
        </w:rPr>
      </w:pPr>
      <w:r w:rsidRPr="008D0341">
        <w:rPr>
          <w:rFonts w:eastAsia="Myriad Pro"/>
          <w:b/>
          <w:bCs/>
          <w:lang w:val="en-GB"/>
        </w:rPr>
        <w:t>Amendment 2</w:t>
      </w:r>
    </w:p>
    <w:p w:rsidRPr="008D0341" w:rsidR="00352E5C" w:rsidP="003F40F8" w:rsidRDefault="00352E5C" w14:paraId="34F550A6" w14:textId="0145C522">
      <w:pPr>
        <w:keepNext/>
        <w:keepLines/>
        <w:jc w:val="center"/>
        <w:rPr>
          <w:rFonts w:eastAsia="Myriad Pro"/>
          <w:lang w:val="en-GB"/>
        </w:rPr>
      </w:pPr>
      <w:r w:rsidRPr="008D0341">
        <w:rPr>
          <w:rFonts w:eastAsia="Myriad Pro"/>
          <w:lang w:val="en-GB"/>
        </w:rPr>
        <w:t>Article 3</w:t>
      </w:r>
      <w:r w:rsidRPr="008D0341" w:rsidR="00407804">
        <w:rPr>
          <w:rFonts w:eastAsia="Myriad Pro"/>
          <w:lang w:val="en-GB"/>
        </w:rPr>
        <w:t>.1</w:t>
      </w:r>
      <w:r w:rsidRPr="008D0341">
        <w:rPr>
          <w:rFonts w:eastAsia="Myriad Pro"/>
          <w:lang w:val="en-GB"/>
        </w:rPr>
        <w:t xml:space="preserve"> – Specific objectives of the Fund</w:t>
      </w:r>
    </w:p>
    <w:p w:rsidRPr="008D0341" w:rsidR="008509BC" w:rsidP="003F40F8" w:rsidRDefault="008509BC" w14:paraId="006C0F8F" w14:textId="77777777">
      <w:pPr>
        <w:keepNext/>
        <w:keepLines/>
        <w:jc w:val="center"/>
        <w:rPr>
          <w:rFonts w:eastAsia="Myriad Pro"/>
          <w:lang w:val="en-GB"/>
        </w:rPr>
      </w:pPr>
    </w:p>
    <w:tbl>
      <w:tblPr>
        <w:tblW w:w="9322" w:type="dxa"/>
        <w:tblLayout w:type="fixed"/>
        <w:tblLook w:val="04A0" w:firstRow="1" w:lastRow="0" w:firstColumn="1" w:lastColumn="0" w:noHBand="0" w:noVBand="1"/>
      </w:tblPr>
      <w:tblGrid>
        <w:gridCol w:w="4644"/>
        <w:gridCol w:w="4678"/>
      </w:tblGrid>
      <w:tr w:rsidRPr="008D0341" w:rsidR="00352E5C" w:rsidTr="008C42DB" w14:paraId="00619AD6"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C42DB" w14:paraId="4223AECC" w14:textId="29D28FA9">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78"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Pr="008D0341" w:rsidR="00352E5C" w:rsidP="00066365" w:rsidRDefault="00352E5C" w14:paraId="6DF58E51" w14:textId="77777777">
            <w:pPr>
              <w:jc w:val="center"/>
              <w:rPr>
                <w:b/>
                <w:bCs/>
                <w:i/>
                <w:iCs/>
                <w:lang w:val="en-GB"/>
              </w:rPr>
            </w:pPr>
            <w:r w:rsidRPr="008D0341">
              <w:rPr>
                <w:b/>
                <w:bCs/>
                <w:i/>
                <w:iCs/>
                <w:lang w:val="en-GB"/>
              </w:rPr>
              <w:t>CoR amendment</w:t>
            </w:r>
          </w:p>
        </w:tc>
      </w:tr>
      <w:tr w:rsidRPr="008D0341" w:rsidR="00352E5C" w:rsidTr="008C42DB" w14:paraId="2E26C95C"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5B0460" w:rsidR="00352E5C" w:rsidP="00066365" w:rsidRDefault="001F23D8" w14:paraId="61AE2839" w14:textId="6265D559">
            <w:pPr>
              <w:shd w:val="clear" w:color="auto" w:fill="FFFFFF"/>
              <w:textAlignment w:val="baseline"/>
              <w:rPr>
                <w:color w:val="000000"/>
                <w:bdr w:val="none" w:color="auto" w:sz="0" w:space="0" w:frame="1"/>
                <w:lang w:val="en-GB"/>
              </w:rPr>
            </w:pPr>
            <w:r w:rsidRPr="008D0341">
              <w:rPr>
                <w:color w:val="000000"/>
                <w:bdr w:val="none" w:color="auto" w:sz="0" w:space="0" w:frame="1"/>
                <w:lang w:val="en-GB"/>
              </w:rPr>
              <w:t xml:space="preserve">1. </w:t>
            </w:r>
            <w:r w:rsidRPr="008D0341" w:rsidR="00352E5C">
              <w:rPr>
                <w:color w:val="000000"/>
                <w:bdr w:val="none" w:color="auto" w:sz="0" w:space="0" w:frame="1"/>
                <w:lang w:val="en-GB"/>
              </w:rPr>
              <w:t>The general objectives referred to in Article 2 shall be pursued across all regions</w:t>
            </w:r>
            <w:r w:rsidR="008C42DB">
              <w:rPr>
                <w:color w:val="000000"/>
                <w:bdr w:val="none" w:color="auto" w:sz="0" w:space="0" w:frame="1"/>
                <w:lang w:val="en-GB"/>
              </w:rPr>
              <w:t xml:space="preserve"> </w:t>
            </w:r>
            <w:r w:rsidRPr="008D0341" w:rsidR="00352E5C">
              <w:rPr>
                <w:color w:val="000000"/>
                <w:bdr w:val="none" w:color="auto" w:sz="0" w:space="0" w:frame="1"/>
                <w:lang w:val="en-GB"/>
              </w:rPr>
              <w:t>through the following specific objectives:</w:t>
            </w:r>
          </w:p>
          <w:p w:rsidRPr="008D0341" w:rsidR="00352E5C" w:rsidP="00066365" w:rsidRDefault="00352E5C" w14:paraId="7149EECB" w14:textId="128AB950">
            <w:pPr>
              <w:shd w:val="clear" w:color="auto" w:fill="FFFFFF"/>
              <w:textAlignment w:val="baseline"/>
              <w:rPr>
                <w:color w:val="000000"/>
                <w:bdr w:val="none" w:color="auto" w:sz="0" w:space="0" w:frame="1"/>
                <w:lang w:val="en-GB"/>
              </w:rPr>
            </w:pPr>
            <w:r w:rsidRPr="008D0341">
              <w:rPr>
                <w:color w:val="000000"/>
                <w:bdr w:val="none" w:color="auto" w:sz="0" w:space="0" w:frame="1"/>
                <w:lang w:val="en-GB"/>
              </w:rPr>
              <w:t>(a)</w:t>
            </w:r>
            <w:r w:rsidRPr="008D0341" w:rsidR="001A6D24">
              <w:rPr>
                <w:color w:val="000000"/>
                <w:bdr w:val="none" w:color="auto" w:sz="0" w:space="0" w:frame="1"/>
                <w:lang w:val="en-GB"/>
              </w:rPr>
              <w:t xml:space="preserve"> </w:t>
            </w:r>
            <w:r w:rsidRPr="008D0341">
              <w:rPr>
                <w:color w:val="000000"/>
                <w:bdr w:val="none" w:color="auto" w:sz="0" w:space="0" w:frame="1"/>
                <w:lang w:val="en-GB"/>
              </w:rPr>
              <w:t>to</w:t>
            </w:r>
            <w:r w:rsidRPr="0063224B">
              <w:rPr>
                <w:b/>
                <w:bCs/>
                <w:i/>
                <w:iCs/>
                <w:color w:val="000000"/>
                <w:bdr w:val="none" w:color="auto" w:sz="0" w:space="0" w:frame="1"/>
                <w:lang w:val="en-GB"/>
              </w:rPr>
              <w:t xml:space="preserve"> support</w:t>
            </w:r>
            <w:r w:rsidR="008C42DB">
              <w:rPr>
                <w:b/>
                <w:bCs/>
                <w:i/>
                <w:iCs/>
                <w:color w:val="000000"/>
                <w:bdr w:val="none" w:color="auto" w:sz="0" w:space="0" w:frame="1"/>
                <w:lang w:val="en-GB"/>
              </w:rPr>
              <w:t xml:space="preserve"> </w:t>
            </w:r>
            <w:r w:rsidRPr="0063224B">
              <w:rPr>
                <w:b/>
                <w:bCs/>
                <w:i/>
                <w:iCs/>
                <w:color w:val="000000"/>
                <w:bdr w:val="none" w:color="auto" w:sz="0" w:space="0" w:frame="1"/>
                <w:lang w:val="en-GB"/>
              </w:rPr>
              <w:t>the</w:t>
            </w:r>
            <w:r w:rsidR="008C42DB">
              <w:rPr>
                <w:b/>
                <w:bCs/>
                <w:i/>
                <w:iCs/>
                <w:color w:val="000000"/>
                <w:bdr w:val="none" w:color="auto" w:sz="0" w:space="0" w:frame="1"/>
                <w:lang w:val="en-GB"/>
              </w:rPr>
              <w:t xml:space="preserve"> </w:t>
            </w:r>
            <w:r w:rsidRPr="0063224B">
              <w:rPr>
                <w:b/>
                <w:bCs/>
                <w:i/>
                <w:iCs/>
                <w:color w:val="000000"/>
                <w:bdr w:val="none" w:color="auto" w:sz="0" w:space="0" w:frame="1"/>
                <w:lang w:val="en-GB"/>
              </w:rPr>
              <w:t>Union’s sustainable prosperity</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across</w:t>
            </w:r>
            <w:r w:rsidRPr="0063224B">
              <w:rPr>
                <w:b/>
                <w:bCs/>
                <w:i/>
                <w:iCs/>
                <w:color w:val="000000"/>
                <w:bdr w:val="none" w:color="auto" w:sz="0" w:space="0" w:frame="1"/>
                <w:lang w:val="en-GB"/>
              </w:rPr>
              <w:t xml:space="preserve"> </w:t>
            </w:r>
            <w:r w:rsidRPr="008D0341">
              <w:rPr>
                <w:color w:val="000000"/>
                <w:bdr w:val="none" w:color="auto" w:sz="0" w:space="0" w:frame="1"/>
                <w:lang w:val="en-GB"/>
              </w:rPr>
              <w:t>all regions</w:t>
            </w:r>
            <w:r w:rsidR="008C42DB">
              <w:rPr>
                <w:color w:val="000000"/>
                <w:bdr w:val="none" w:color="auto" w:sz="0" w:space="0" w:frame="1"/>
                <w:lang w:val="en-GB"/>
              </w:rPr>
              <w:t xml:space="preserve"> </w:t>
            </w:r>
            <w:r w:rsidRPr="008D0341">
              <w:rPr>
                <w:color w:val="000000"/>
                <w:bdr w:val="none" w:color="auto" w:sz="0" w:space="0" w:frame="1"/>
                <w:lang w:val="en-GB"/>
              </w:rPr>
              <w:t>by</w:t>
            </w:r>
            <w:r w:rsidRPr="0063224B">
              <w:rPr>
                <w:b/>
                <w:bCs/>
                <w:i/>
                <w:iCs/>
                <w:color w:val="000000"/>
                <w:bdr w:val="none" w:color="auto" w:sz="0" w:space="0" w:frame="1"/>
                <w:lang w:val="en-GB"/>
              </w:rPr>
              <w:t>:</w:t>
            </w:r>
          </w:p>
          <w:p w:rsidRPr="008D0341" w:rsidR="0094287D" w:rsidP="00066365" w:rsidRDefault="004637E3" w14:paraId="23DAFAF2" w14:textId="3CC5E50A">
            <w:pPr>
              <w:shd w:val="clear" w:color="auto" w:fill="FFFFFF"/>
              <w:textAlignment w:val="baseline"/>
              <w:rPr>
                <w:b/>
                <w:bCs/>
                <w:i/>
                <w:iCs/>
                <w:color w:val="000000"/>
                <w:lang w:val="en-GB"/>
              </w:rPr>
            </w:pPr>
            <w:r w:rsidRPr="008D0341">
              <w:rPr>
                <w:b/>
                <w:bCs/>
                <w:i/>
                <w:iCs/>
                <w:color w:val="000000"/>
                <w:lang w:val="en-GB"/>
              </w:rPr>
              <w:t>[…]</w:t>
            </w:r>
          </w:p>
          <w:p w:rsidRPr="008D0341" w:rsidR="00352E5C" w:rsidP="00066365" w:rsidRDefault="00352E5C" w14:paraId="67BB8948" w14:textId="7759B50B">
            <w:pPr>
              <w:shd w:val="clear" w:color="auto" w:fill="FFFFFF"/>
              <w:textAlignment w:val="baseline"/>
              <w:rPr>
                <w:b/>
                <w:bCs/>
                <w:i/>
                <w:iCs/>
                <w:color w:val="000000"/>
                <w:lang w:val="en-GB"/>
              </w:rPr>
            </w:pPr>
            <w:r w:rsidRPr="008D0341">
              <w:rPr>
                <w:b/>
                <w:bCs/>
                <w:i/>
                <w:iCs/>
                <w:color w:val="000000"/>
                <w:bdr w:val="none" w:color="auto" w:sz="0" w:space="0" w:frame="1"/>
                <w:lang w:val="en-GB"/>
              </w:rPr>
              <w:t>(b)</w:t>
            </w:r>
            <w:r w:rsidRPr="008D0341" w:rsidR="004637E3">
              <w:rPr>
                <w:b/>
                <w:bCs/>
                <w:i/>
                <w:iCs/>
                <w:color w:val="000000"/>
                <w:bdr w:val="none" w:color="auto" w:sz="0" w:space="0" w:frame="1"/>
                <w:lang w:val="en-GB"/>
              </w:rPr>
              <w:t xml:space="preserve"> </w:t>
            </w:r>
            <w:r w:rsidRPr="008D0341">
              <w:rPr>
                <w:b/>
                <w:bCs/>
                <w:i/>
                <w:iCs/>
                <w:color w:val="000000"/>
                <w:bdr w:val="none" w:color="auto" w:sz="0" w:space="0" w:frame="1"/>
                <w:lang w:val="en-GB"/>
              </w:rPr>
              <w:t>to support</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the</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Union’s defence capabilities and security</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across all regions</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by:</w:t>
            </w:r>
          </w:p>
          <w:p w:rsidRPr="008D0341" w:rsidR="00352E5C" w:rsidP="00066365" w:rsidRDefault="00497B19" w14:paraId="6A4408B1" w14:textId="41CB6FBF">
            <w:pPr>
              <w:shd w:val="clear" w:color="auto" w:fill="FFFFFF"/>
              <w:textAlignment w:val="baseline"/>
              <w:rPr>
                <w:b/>
                <w:bCs/>
                <w:i/>
                <w:iCs/>
                <w:color w:val="000000"/>
                <w:lang w:val="en-GB"/>
              </w:rPr>
            </w:pPr>
            <w:r w:rsidRPr="008D0341">
              <w:rPr>
                <w:b/>
                <w:bCs/>
                <w:i/>
                <w:iCs/>
                <w:color w:val="000000"/>
                <w:bdr w:val="none" w:color="auto" w:sz="0" w:space="0" w:frame="1"/>
                <w:lang w:val="en-GB"/>
              </w:rPr>
              <w:t>[…]</w:t>
            </w:r>
          </w:p>
          <w:p w:rsidRPr="008D0341" w:rsidR="00352E5C" w:rsidP="00066365" w:rsidRDefault="00352E5C" w14:paraId="4F0E5AB9" w14:textId="376FBD28">
            <w:pPr>
              <w:shd w:val="clear" w:color="auto" w:fill="FFFFFF"/>
              <w:textAlignment w:val="baseline"/>
              <w:rPr>
                <w:b/>
                <w:bCs/>
                <w:i/>
                <w:iCs/>
                <w:color w:val="000000"/>
                <w:lang w:val="en-GB"/>
              </w:rPr>
            </w:pPr>
            <w:r w:rsidRPr="008D0341">
              <w:rPr>
                <w:b/>
                <w:bCs/>
                <w:i/>
                <w:iCs/>
                <w:color w:val="000000"/>
                <w:bdr w:val="none" w:color="auto" w:sz="0" w:space="0" w:frame="1"/>
                <w:lang w:val="en-GB"/>
              </w:rPr>
              <w:t>(c)</w:t>
            </w:r>
            <w:r w:rsidRPr="008D0341" w:rsidR="008509BC">
              <w:rPr>
                <w:b/>
                <w:bCs/>
                <w:i/>
                <w:iCs/>
                <w:color w:val="000000"/>
                <w:bdr w:val="none" w:color="auto" w:sz="0" w:space="0" w:frame="1"/>
                <w:lang w:val="en-GB"/>
              </w:rPr>
              <w:t xml:space="preserve"> </w:t>
            </w:r>
            <w:r w:rsidRPr="008D0341">
              <w:rPr>
                <w:b/>
                <w:bCs/>
                <w:i/>
                <w:iCs/>
                <w:color w:val="000000"/>
                <w:bdr w:val="none" w:color="auto" w:sz="0" w:space="0" w:frame="1"/>
                <w:lang w:val="en-GB"/>
              </w:rPr>
              <w:t>to</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strengthen social cohesion by</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supporting</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people</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and</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strengthening</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the</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Union’s societies and</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the</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Union’s social model by:</w:t>
            </w:r>
          </w:p>
          <w:p w:rsidRPr="005B0460" w:rsidR="0094287D" w:rsidP="00066365" w:rsidRDefault="00497B19" w14:paraId="18C4EADB" w14:textId="2D6A6E37">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w:t>
            </w:r>
          </w:p>
          <w:p w:rsidRPr="008D0341" w:rsidR="00352E5C" w:rsidP="00066365" w:rsidRDefault="00352E5C" w14:paraId="522F90A8" w14:textId="3592C912">
            <w:pPr>
              <w:shd w:val="clear" w:color="auto" w:fill="FFFFFF"/>
              <w:textAlignment w:val="baseline"/>
              <w:rPr>
                <w:b/>
                <w:bCs/>
                <w:i/>
                <w:iCs/>
                <w:color w:val="000000"/>
                <w:lang w:val="en-GB"/>
              </w:rPr>
            </w:pPr>
            <w:r w:rsidRPr="008D0341">
              <w:rPr>
                <w:b/>
                <w:bCs/>
                <w:i/>
                <w:iCs/>
                <w:color w:val="000000"/>
                <w:bdr w:val="none" w:color="auto" w:sz="0" w:space="0" w:frame="1"/>
                <w:lang w:val="en-GB"/>
              </w:rPr>
              <w:t>(d)</w:t>
            </w:r>
            <w:r w:rsidRPr="008D0341" w:rsidR="008509BC">
              <w:rPr>
                <w:b/>
                <w:bCs/>
                <w:i/>
                <w:iCs/>
                <w:color w:val="000000"/>
                <w:bdr w:val="none" w:color="auto" w:sz="0" w:space="0" w:frame="1"/>
                <w:lang w:val="en-GB"/>
              </w:rPr>
              <w:t xml:space="preserve"> </w:t>
            </w:r>
            <w:r w:rsidRPr="008D0341">
              <w:rPr>
                <w:b/>
                <w:bCs/>
                <w:i/>
                <w:iCs/>
                <w:color w:val="000000"/>
                <w:bdr w:val="none" w:color="auto" w:sz="0" w:space="0" w:frame="1"/>
                <w:lang w:val="en-GB"/>
              </w:rPr>
              <w:t>to sustain</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the</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quality of life</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in the Union</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by:</w:t>
            </w:r>
          </w:p>
          <w:p w:rsidRPr="005B0460" w:rsidR="0094287D" w:rsidP="00066365" w:rsidRDefault="00497B19" w14:paraId="26F80754" w14:textId="7BACA203">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w:t>
            </w:r>
          </w:p>
          <w:p w:rsidRPr="008D0341" w:rsidR="00352E5C" w:rsidP="00066365" w:rsidRDefault="00352E5C" w14:paraId="1FEE5C45" w14:textId="7B09C013">
            <w:pPr>
              <w:shd w:val="clear" w:color="auto" w:fill="FFFFFF"/>
              <w:textAlignment w:val="baseline"/>
              <w:rPr>
                <w:b/>
                <w:bCs/>
                <w:i/>
                <w:iCs/>
                <w:color w:val="000000"/>
                <w:lang w:val="en-GB"/>
              </w:rPr>
            </w:pPr>
            <w:r w:rsidRPr="008D0341">
              <w:rPr>
                <w:b/>
                <w:bCs/>
                <w:i/>
                <w:iCs/>
                <w:color w:val="000000"/>
                <w:bdr w:val="none" w:color="auto" w:sz="0" w:space="0" w:frame="1"/>
                <w:lang w:val="en-GB"/>
              </w:rPr>
              <w:t>(e)</w:t>
            </w:r>
            <w:r w:rsidRPr="008D0341" w:rsidR="00B3722C">
              <w:rPr>
                <w:b/>
                <w:bCs/>
                <w:i/>
                <w:iCs/>
                <w:color w:val="000000"/>
                <w:bdr w:val="none" w:color="auto" w:sz="0" w:space="0" w:frame="1"/>
                <w:lang w:val="en-GB"/>
              </w:rPr>
              <w:t xml:space="preserve"> </w:t>
            </w:r>
            <w:r w:rsidRPr="008D0341">
              <w:rPr>
                <w:b/>
                <w:bCs/>
                <w:i/>
                <w:iCs/>
                <w:color w:val="000000"/>
                <w:bdr w:val="none" w:color="auto" w:sz="0" w:space="0" w:frame="1"/>
                <w:lang w:val="en-GB"/>
              </w:rPr>
              <w:t>to protect</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and strengthen</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fundamental rights,</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democracy,</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the</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rule of law and</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to</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uphold</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Union</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values</w:t>
            </w:r>
            <w:r w:rsidR="008C42DB">
              <w:rPr>
                <w:b/>
                <w:bCs/>
                <w:i/>
                <w:iCs/>
                <w:color w:val="000000"/>
                <w:bdr w:val="none" w:color="auto" w:sz="0" w:space="0" w:frame="1"/>
                <w:lang w:val="en-GB"/>
              </w:rPr>
              <w:t xml:space="preserve"> </w:t>
            </w:r>
            <w:r w:rsidRPr="008D0341">
              <w:rPr>
                <w:b/>
                <w:bCs/>
                <w:i/>
                <w:iCs/>
                <w:color w:val="000000"/>
                <w:bdr w:val="none" w:color="auto" w:sz="0" w:space="0" w:frame="1"/>
                <w:lang w:val="en-GB"/>
              </w:rPr>
              <w:t>by:</w:t>
            </w:r>
          </w:p>
          <w:p w:rsidRPr="008D0341" w:rsidR="00352E5C" w:rsidP="00066365" w:rsidRDefault="00497B19" w14:paraId="226CBF5E" w14:textId="695F9039">
            <w:pPr>
              <w:shd w:val="clear" w:color="auto" w:fill="FFFFFF"/>
              <w:textAlignment w:val="baseline"/>
              <w:rPr>
                <w:lang w:val="en-GB"/>
              </w:rPr>
            </w:pPr>
            <w:r w:rsidRPr="008D0341">
              <w:rPr>
                <w:b/>
                <w:bCs/>
                <w:i/>
                <w:iCs/>
                <w:color w:val="000000"/>
                <w:bdr w:val="none" w:color="auto" w:sz="0" w:space="0" w:frame="1"/>
                <w:lang w:val="en-GB"/>
              </w:rPr>
              <w:t>[…]</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5B0460" w:rsidR="00352E5C" w:rsidP="00066365" w:rsidRDefault="00352E5C" w14:paraId="41B439DC" w14:textId="413C56A0">
            <w:pPr>
              <w:autoSpaceDE w:val="0"/>
              <w:autoSpaceDN w:val="0"/>
              <w:adjustRightInd w:val="0"/>
              <w:rPr>
                <w:rFonts w:eastAsiaTheme="minorHAnsi"/>
                <w:lang w:val="en-GB"/>
                <w14:ligatures w14:val="standardContextual"/>
              </w:rPr>
            </w:pPr>
            <w:r w:rsidRPr="008D0341">
              <w:rPr>
                <w:rFonts w:eastAsia="noto"/>
                <w:lang w:val="en-GB"/>
              </w:rPr>
              <w:t xml:space="preserve">1. </w:t>
            </w:r>
            <w:r w:rsidRPr="008D0341">
              <w:rPr>
                <w:rFonts w:eastAsiaTheme="minorHAnsi"/>
                <w:lang w:val="en-GB"/>
                <w14:ligatures w14:val="standardContextual"/>
              </w:rPr>
              <w:t>The general objectives referred to in Article 2 shall be pursued across all regions through the following specific objectives:</w:t>
            </w:r>
          </w:p>
          <w:p w:rsidRPr="008D0341" w:rsidR="00352E5C" w:rsidP="00066365" w:rsidRDefault="00925BD3" w14:paraId="3A1C7827" w14:textId="2F411D46">
            <w:pPr>
              <w:rPr>
                <w:rFonts w:eastAsiaTheme="minorHAnsi"/>
                <w:b/>
                <w:bCs/>
                <w:i/>
                <w:iCs/>
                <w:lang w:val="en-GB"/>
                <w14:ligatures w14:val="standardContextual"/>
              </w:rPr>
            </w:pPr>
            <w:r w:rsidRPr="008D0341">
              <w:rPr>
                <w:rFonts w:eastAsiaTheme="minorHAnsi"/>
                <w:lang w:val="en-GB"/>
                <w14:ligatures w14:val="standardContextual"/>
              </w:rPr>
              <w:t>(</w:t>
            </w:r>
            <w:r w:rsidRPr="008D0341" w:rsidR="00352E5C">
              <w:rPr>
                <w:rFonts w:eastAsiaTheme="minorHAnsi"/>
                <w:lang w:val="en-GB"/>
                <w14:ligatures w14:val="standardContextual"/>
              </w:rPr>
              <w:t xml:space="preserve">a) </w:t>
            </w:r>
            <w:r w:rsidRPr="0063224B" w:rsidR="00352E5C">
              <w:rPr>
                <w:rFonts w:eastAsiaTheme="minorHAnsi"/>
                <w:b/>
                <w:bCs/>
                <w:i/>
                <w:iCs/>
                <w:lang w:val="en-GB"/>
                <w14:ligatures w14:val="standardContextual"/>
              </w:rPr>
              <w:t xml:space="preserve">to </w:t>
            </w:r>
            <w:r w:rsidRPr="0063224B" w:rsidR="00B30360">
              <w:rPr>
                <w:rFonts w:eastAsiaTheme="minorHAnsi"/>
                <w:b/>
                <w:bCs/>
                <w:i/>
                <w:iCs/>
                <w:lang w:val="en-GB"/>
                <w14:ligatures w14:val="standardContextual"/>
              </w:rPr>
              <w:t xml:space="preserve">reduce disparities between </w:t>
            </w:r>
            <w:r w:rsidRPr="0063224B" w:rsidR="00352E5C">
              <w:rPr>
                <w:rFonts w:eastAsiaTheme="minorHAnsi"/>
                <w:b/>
                <w:bCs/>
                <w:i/>
                <w:iCs/>
                <w:lang w:val="en-GB"/>
                <w14:ligatures w14:val="standardContextual"/>
              </w:rPr>
              <w:t xml:space="preserve">the </w:t>
            </w:r>
            <w:r w:rsidRPr="0063224B" w:rsidR="00B30360">
              <w:rPr>
                <w:rFonts w:eastAsiaTheme="minorHAnsi"/>
                <w:b/>
                <w:bCs/>
                <w:i/>
                <w:iCs/>
                <w:lang w:val="en-GB"/>
                <w14:ligatures w14:val="standardContextual"/>
              </w:rPr>
              <w:t>levels of development of the various regions and the backwardness of the least favoured regions</w:t>
            </w:r>
            <w:r w:rsidRPr="008D0341" w:rsidR="00352E5C">
              <w:rPr>
                <w:rFonts w:eastAsiaTheme="minorHAnsi"/>
                <w:b/>
                <w:bCs/>
                <w:i/>
                <w:iCs/>
                <w:lang w:val="en-GB"/>
                <w14:ligatures w14:val="standardContextual"/>
              </w:rPr>
              <w:t xml:space="preserve"> and </w:t>
            </w:r>
            <w:r w:rsidRPr="008D0341" w:rsidR="004D07EA">
              <w:rPr>
                <w:rFonts w:eastAsiaTheme="minorHAnsi"/>
                <w:b/>
                <w:bCs/>
                <w:i/>
                <w:iCs/>
                <w:lang w:val="en-GB"/>
                <w14:ligatures w14:val="standardContextual"/>
              </w:rPr>
              <w:t xml:space="preserve">the </w:t>
            </w:r>
            <w:r w:rsidRPr="008D0341" w:rsidR="00352E5C">
              <w:rPr>
                <w:rFonts w:eastAsiaTheme="minorHAnsi"/>
                <w:b/>
                <w:bCs/>
                <w:i/>
                <w:iCs/>
                <w:lang w:val="en-GB"/>
                <w14:ligatures w14:val="standardContextual"/>
              </w:rPr>
              <w:t xml:space="preserve">just transition of </w:t>
            </w:r>
            <w:r w:rsidRPr="008D0341" w:rsidR="00352E5C">
              <w:rPr>
                <w:rFonts w:eastAsiaTheme="minorHAnsi"/>
                <w:lang w:val="en-GB"/>
                <w14:ligatures w14:val="standardContextual"/>
              </w:rPr>
              <w:t>all regions by</w:t>
            </w:r>
            <w:r w:rsidRPr="008D0341" w:rsidR="00352E5C">
              <w:rPr>
                <w:rFonts w:eastAsiaTheme="minorHAnsi"/>
                <w:b/>
                <w:bCs/>
                <w:i/>
                <w:iCs/>
                <w:lang w:val="en-GB"/>
                <w14:ligatures w14:val="standardContextual"/>
              </w:rPr>
              <w:t>:</w:t>
            </w:r>
          </w:p>
          <w:p w:rsidRPr="008D0341" w:rsidR="00352E5C" w:rsidP="00066365" w:rsidRDefault="00024E61" w14:paraId="3018D34F" w14:textId="159B34B1">
            <w:pPr>
              <w:rPr>
                <w:rFonts w:eastAsiaTheme="minorHAnsi"/>
                <w:lang w:val="en-GB"/>
                <w14:ligatures w14:val="standardContextual"/>
              </w:rPr>
            </w:pPr>
            <w:r w:rsidRPr="008D0341">
              <w:rPr>
                <w:rFonts w:eastAsiaTheme="minorHAnsi"/>
                <w:lang w:val="en-GB"/>
                <w14:ligatures w14:val="standardContextual"/>
              </w:rPr>
              <w:t>[…]</w:t>
            </w:r>
          </w:p>
          <w:p w:rsidRPr="008D0341" w:rsidR="00352E5C" w:rsidP="00066365" w:rsidRDefault="00352E5C" w14:paraId="436F57C3" w14:textId="77777777">
            <w:pPr>
              <w:rPr>
                <w:rFonts w:eastAsiaTheme="minorHAnsi"/>
                <w:b/>
                <w:bCs/>
                <w:i/>
                <w:iCs/>
                <w:lang w:val="en-GB"/>
                <w14:ligatures w14:val="standardContextual"/>
              </w:rPr>
            </w:pPr>
            <w:r w:rsidRPr="008D0341">
              <w:rPr>
                <w:rFonts w:eastAsiaTheme="minorHAnsi"/>
                <w:b/>
                <w:bCs/>
                <w:i/>
                <w:iCs/>
                <w:lang w:val="en-GB"/>
                <w14:ligatures w14:val="standardContextual"/>
              </w:rPr>
              <w:t>(b) to ensure that the conditions necessary for the competitiveness of the Union’s industry exist by:</w:t>
            </w:r>
          </w:p>
          <w:p w:rsidRPr="008D0341" w:rsidR="00352E5C" w:rsidP="00066365" w:rsidRDefault="00352E5C" w14:paraId="2186BA6B" w14:textId="731703C5">
            <w:pPr>
              <w:autoSpaceDE w:val="0"/>
              <w:autoSpaceDN w:val="0"/>
              <w:adjustRightInd w:val="0"/>
              <w:rPr>
                <w:rFonts w:eastAsiaTheme="minorHAnsi"/>
                <w:b/>
                <w:bCs/>
                <w:i/>
                <w:iCs/>
                <w:lang w:val="en-GB"/>
                <w14:ligatures w14:val="standardContextual"/>
              </w:rPr>
            </w:pPr>
            <w:r w:rsidRPr="008D0341">
              <w:rPr>
                <w:rFonts w:eastAsiaTheme="minorHAnsi"/>
                <w:b/>
                <w:bCs/>
                <w:i/>
                <w:iCs/>
                <w:lang w:val="en-GB"/>
                <w14:ligatures w14:val="standardContextual"/>
              </w:rPr>
              <w:t>(i) strengthening the Union’s industrial base,</w:t>
            </w:r>
            <w:r w:rsidRPr="008D0341" w:rsidR="00513BB4">
              <w:rPr>
                <w:rFonts w:eastAsiaTheme="minorHAnsi"/>
                <w:b/>
                <w:bCs/>
                <w:i/>
                <w:iCs/>
                <w:lang w:val="en-GB"/>
                <w14:ligatures w14:val="standardContextual"/>
              </w:rPr>
              <w:t xml:space="preserve"> place-based innovation</w:t>
            </w:r>
            <w:r w:rsidRPr="008D0341" w:rsidR="00C35F38">
              <w:rPr>
                <w:rFonts w:eastAsiaTheme="minorHAnsi"/>
                <w:b/>
                <w:bCs/>
                <w:i/>
                <w:iCs/>
                <w:lang w:val="en-GB"/>
                <w14:ligatures w14:val="standardContextual"/>
              </w:rPr>
              <w:t>, regional innovation ecosystems</w:t>
            </w:r>
            <w:r w:rsidRPr="008D0341" w:rsidR="00F46A78">
              <w:rPr>
                <w:rFonts w:eastAsiaTheme="minorHAnsi"/>
                <w:b/>
                <w:bCs/>
                <w:i/>
                <w:iCs/>
                <w:lang w:val="en-GB"/>
                <w14:ligatures w14:val="standardContextual"/>
              </w:rPr>
              <w:t>,</w:t>
            </w:r>
            <w:r w:rsidRPr="008D0341" w:rsidR="00513BB4">
              <w:rPr>
                <w:rFonts w:eastAsiaTheme="minorHAnsi"/>
                <w:b/>
                <w:bCs/>
                <w:i/>
                <w:iCs/>
                <w:lang w:val="en-GB"/>
                <w14:ligatures w14:val="standardContextual"/>
              </w:rPr>
              <w:t xml:space="preserve"> smart speciali</w:t>
            </w:r>
            <w:r w:rsidRPr="008D0341" w:rsidR="00F46A78">
              <w:rPr>
                <w:rFonts w:eastAsiaTheme="minorHAnsi"/>
                <w:b/>
                <w:bCs/>
                <w:i/>
                <w:iCs/>
                <w:lang w:val="en-GB"/>
                <w14:ligatures w14:val="standardContextual"/>
              </w:rPr>
              <w:t>s</w:t>
            </w:r>
            <w:r w:rsidRPr="008D0341" w:rsidR="00513BB4">
              <w:rPr>
                <w:rFonts w:eastAsiaTheme="minorHAnsi"/>
                <w:b/>
                <w:bCs/>
                <w:i/>
                <w:iCs/>
                <w:lang w:val="en-GB"/>
                <w14:ligatures w14:val="standardContextual"/>
              </w:rPr>
              <w:t>ation strategies</w:t>
            </w:r>
            <w:r w:rsidRPr="008D0341" w:rsidR="00F46A78">
              <w:rPr>
                <w:rFonts w:eastAsiaTheme="minorHAnsi"/>
                <w:b/>
                <w:bCs/>
                <w:i/>
                <w:iCs/>
                <w:lang w:val="en-GB"/>
                <w14:ligatures w14:val="standardContextual"/>
              </w:rPr>
              <w:t xml:space="preserve"> and</w:t>
            </w:r>
            <w:r w:rsidRPr="008D0341">
              <w:rPr>
                <w:rFonts w:eastAsiaTheme="minorHAnsi"/>
                <w:b/>
                <w:bCs/>
                <w:i/>
                <w:iCs/>
                <w:lang w:val="en-GB"/>
                <w14:ligatures w14:val="standardContextual"/>
              </w:rPr>
              <w:t xml:space="preserve"> resilient supply chains and boosting sustainable and competitive manufacturing, in particular in the areas of net zero and critical raw materials technologies, with special attention to the competitiveness of small- and medium-sized enterprises, by fully integrating environmental and climate ambitions to accelerate a clean industrial transition;</w:t>
            </w:r>
          </w:p>
          <w:p w:rsidRPr="008D0341" w:rsidR="00352E5C" w:rsidP="00066365" w:rsidRDefault="00352E5C" w14:paraId="48AA67E6" w14:textId="22476F38">
            <w:pPr>
              <w:autoSpaceDE w:val="0"/>
              <w:autoSpaceDN w:val="0"/>
              <w:adjustRightInd w:val="0"/>
              <w:rPr>
                <w:rFonts w:eastAsiaTheme="minorHAnsi"/>
                <w:b/>
                <w:bCs/>
                <w:i/>
                <w:iCs/>
                <w:lang w:val="en-GB"/>
                <w14:ligatures w14:val="standardContextual"/>
              </w:rPr>
            </w:pPr>
            <w:r w:rsidRPr="008D0341">
              <w:rPr>
                <w:b/>
                <w:bCs/>
                <w:i/>
                <w:iCs/>
                <w:lang w:val="en-GB"/>
              </w:rPr>
              <w:t>(ii) supporting research, development and innovation, including the diffusion of innovation across all regions</w:t>
            </w:r>
            <w:r w:rsidRPr="008D0341" w:rsidR="00C35F38">
              <w:rPr>
                <w:b/>
                <w:bCs/>
                <w:i/>
                <w:iCs/>
                <w:lang w:val="en-GB"/>
              </w:rPr>
              <w:t xml:space="preserve"> and interregional cooperation</w:t>
            </w:r>
            <w:r w:rsidRPr="008D0341">
              <w:rPr>
                <w:b/>
                <w:bCs/>
                <w:i/>
                <w:iCs/>
                <w:lang w:val="en-GB"/>
              </w:rPr>
              <w:t>;</w:t>
            </w:r>
          </w:p>
          <w:p w:rsidRPr="005B0460" w:rsidR="00352E5C" w:rsidP="00066365" w:rsidRDefault="00352E5C" w14:paraId="3495D278" w14:textId="69556DF4">
            <w:pPr>
              <w:rPr>
                <w:i/>
                <w:iCs/>
                <w:lang w:val="en-GB"/>
              </w:rPr>
            </w:pPr>
            <w:r w:rsidRPr="008D0341">
              <w:rPr>
                <w:rFonts w:eastAsiaTheme="minorHAnsi"/>
                <w:b/>
                <w:bCs/>
                <w:i/>
                <w:iCs/>
                <w:lang w:val="en-GB"/>
                <w14:ligatures w14:val="standardContextual"/>
              </w:rPr>
              <w:t xml:space="preserve">(iii) </w:t>
            </w:r>
            <w:r w:rsidRPr="008D0341">
              <w:rPr>
                <w:b/>
                <w:bCs/>
                <w:i/>
                <w:iCs/>
                <w:lang w:val="en-GB"/>
              </w:rPr>
              <w:t>supporting measures, including reforms to further the Saving</w:t>
            </w:r>
            <w:r w:rsidRPr="008D0341" w:rsidR="00F46A78">
              <w:rPr>
                <w:b/>
                <w:bCs/>
                <w:i/>
                <w:iCs/>
                <w:lang w:val="en-GB"/>
              </w:rPr>
              <w:t>s</w:t>
            </w:r>
            <w:r w:rsidRPr="008D0341">
              <w:rPr>
                <w:b/>
                <w:bCs/>
                <w:i/>
                <w:iCs/>
                <w:lang w:val="en-GB"/>
              </w:rPr>
              <w:t xml:space="preserve"> and </w:t>
            </w:r>
            <w:r w:rsidRPr="008D0341" w:rsidR="00F46A78">
              <w:rPr>
                <w:b/>
                <w:bCs/>
                <w:i/>
                <w:iCs/>
                <w:lang w:val="en-GB"/>
              </w:rPr>
              <w:t>I</w:t>
            </w:r>
            <w:r w:rsidRPr="008D0341">
              <w:rPr>
                <w:b/>
                <w:bCs/>
                <w:i/>
                <w:iCs/>
                <w:lang w:val="en-GB"/>
              </w:rPr>
              <w:t>nvestment Union and foster the development of market-based funding options;</w:t>
            </w:r>
          </w:p>
          <w:p w:rsidRPr="008D0341" w:rsidR="00352E5C" w:rsidP="00066365" w:rsidRDefault="00352E5C" w14:paraId="72B8207B" w14:textId="77777777">
            <w:pPr>
              <w:rPr>
                <w:rFonts w:eastAsiaTheme="minorHAnsi"/>
                <w:b/>
                <w:bCs/>
                <w:i/>
                <w:iCs/>
                <w:lang w:val="en-GB"/>
                <w14:ligatures w14:val="standardContextual"/>
              </w:rPr>
            </w:pPr>
            <w:r w:rsidRPr="008D0341">
              <w:rPr>
                <w:rFonts w:eastAsiaTheme="minorHAnsi"/>
                <w:b/>
                <w:bCs/>
                <w:i/>
                <w:iCs/>
                <w:lang w:val="en-GB"/>
                <w14:ligatures w14:val="standardContextual"/>
              </w:rPr>
              <w:t>(c)</w:t>
            </w:r>
            <w:r w:rsidRPr="008D0341">
              <w:rPr>
                <w:rFonts w:eastAsiaTheme="minorHAnsi"/>
                <w:b/>
                <w:bCs/>
                <w:lang w:val="en-GB"/>
                <w14:ligatures w14:val="standardContextual"/>
              </w:rPr>
              <w:t xml:space="preserve"> </w:t>
            </w:r>
            <w:r w:rsidRPr="008D0341">
              <w:rPr>
                <w:rFonts w:eastAsiaTheme="minorHAnsi"/>
                <w:b/>
                <w:bCs/>
                <w:i/>
                <w:iCs/>
                <w:lang w:val="en-GB"/>
                <w14:ligatures w14:val="standardContextual"/>
              </w:rPr>
              <w:t>to</w:t>
            </w:r>
            <w:r w:rsidRPr="008D0341">
              <w:rPr>
                <w:rFonts w:eastAsiaTheme="minorHAnsi"/>
                <w:lang w:val="en-GB"/>
                <w14:ligatures w14:val="standardContextual"/>
              </w:rPr>
              <w:t xml:space="preserve"> </w:t>
            </w:r>
            <w:r w:rsidRPr="008D0341">
              <w:rPr>
                <w:rFonts w:eastAsiaTheme="minorHAnsi"/>
                <w:b/>
                <w:bCs/>
                <w:i/>
                <w:iCs/>
                <w:lang w:val="en-GB"/>
                <w14:ligatures w14:val="standardContextual"/>
              </w:rPr>
              <w:t>raise</w:t>
            </w:r>
            <w:r w:rsidRPr="008D0341">
              <w:rPr>
                <w:rFonts w:eastAsiaTheme="minorHAnsi"/>
                <w:b/>
                <w:bCs/>
                <w:i/>
                <w:iCs/>
                <w:color w:val="C00000"/>
                <w:lang w:val="en-GB"/>
                <w14:ligatures w14:val="standardContextual"/>
              </w:rPr>
              <w:t xml:space="preserve"> </w:t>
            </w:r>
            <w:r w:rsidRPr="008D0341">
              <w:rPr>
                <w:rFonts w:eastAsiaTheme="minorHAnsi"/>
                <w:b/>
                <w:bCs/>
                <w:i/>
                <w:iCs/>
                <w:lang w:val="en-GB"/>
                <w14:ligatures w14:val="standardContextual"/>
              </w:rPr>
              <w:t>the standard of living in the Union and</w:t>
            </w:r>
            <w:r w:rsidRPr="008D0341">
              <w:rPr>
                <w:rFonts w:eastAsiaTheme="minorHAnsi"/>
                <w:b/>
                <w:bCs/>
                <w:lang w:val="en-GB"/>
                <w14:ligatures w14:val="standardContextual"/>
              </w:rPr>
              <w:t xml:space="preserve"> </w:t>
            </w:r>
            <w:r w:rsidRPr="008D0341">
              <w:rPr>
                <w:rFonts w:eastAsiaTheme="minorHAnsi"/>
                <w:b/>
                <w:bCs/>
                <w:i/>
                <w:iCs/>
                <w:lang w:val="en-GB"/>
                <w14:ligatures w14:val="standardContextual"/>
              </w:rPr>
              <w:t>support quality employment, education and skills and social inclusion by:</w:t>
            </w:r>
          </w:p>
          <w:p w:rsidRPr="005B0460" w:rsidR="00352E5C" w:rsidP="00066365" w:rsidRDefault="00B52BA5" w14:paraId="34B217D7" w14:textId="70F13F76">
            <w:pPr>
              <w:rPr>
                <w:lang w:val="en-GB"/>
              </w:rPr>
            </w:pPr>
            <w:r w:rsidRPr="008D0341">
              <w:rPr>
                <w:lang w:val="en-GB"/>
              </w:rPr>
              <w:t>[…]</w:t>
            </w:r>
          </w:p>
          <w:p w:rsidRPr="008D0341" w:rsidR="00352E5C" w:rsidP="00066365" w:rsidRDefault="00352E5C" w14:paraId="2F497124" w14:textId="77777777">
            <w:pPr>
              <w:rPr>
                <w:rFonts w:eastAsiaTheme="minorHAnsi"/>
                <w:i/>
                <w:iCs/>
                <w:lang w:val="en-GB"/>
                <w14:ligatures w14:val="standardContextual"/>
              </w:rPr>
            </w:pPr>
            <w:r w:rsidRPr="008D0341">
              <w:rPr>
                <w:rFonts w:eastAsiaTheme="minorHAnsi"/>
                <w:i/>
                <w:iCs/>
                <w:lang w:val="en-GB"/>
                <w14:ligatures w14:val="standardContextual"/>
              </w:rPr>
              <w:t>(</w:t>
            </w:r>
            <w:r w:rsidRPr="008D0341">
              <w:rPr>
                <w:rFonts w:eastAsiaTheme="minorHAnsi"/>
                <w:b/>
                <w:bCs/>
                <w:i/>
                <w:iCs/>
                <w:lang w:val="en-GB"/>
                <w14:ligatures w14:val="standardContextual"/>
              </w:rPr>
              <w:t>d) to support the implementation of the CAP of the Union by:</w:t>
            </w:r>
          </w:p>
          <w:p w:rsidRPr="008D0341" w:rsidR="00352E5C" w:rsidP="00066365" w:rsidRDefault="00B3722C" w14:paraId="65322BE1" w14:textId="591D7518">
            <w:pPr>
              <w:rPr>
                <w:rFonts w:eastAsiaTheme="minorHAnsi"/>
                <w:lang w:val="en-GB"/>
                <w14:ligatures w14:val="standardContextual"/>
              </w:rPr>
            </w:pPr>
            <w:r w:rsidRPr="008D0341">
              <w:rPr>
                <w:lang w:val="en-GB"/>
              </w:rPr>
              <w:t>[…]</w:t>
            </w:r>
          </w:p>
          <w:p w:rsidRPr="008D0341" w:rsidR="00352E5C" w:rsidP="00066365" w:rsidRDefault="00352E5C" w14:paraId="50CA3466" w14:textId="77777777">
            <w:pPr>
              <w:rPr>
                <w:rFonts w:eastAsiaTheme="minorHAnsi"/>
                <w:b/>
                <w:bCs/>
                <w:i/>
                <w:iCs/>
                <w:lang w:val="en-GB"/>
                <w14:ligatures w14:val="standardContextual"/>
              </w:rPr>
            </w:pPr>
            <w:r w:rsidRPr="008D0341">
              <w:rPr>
                <w:rFonts w:eastAsiaTheme="minorHAnsi"/>
                <w:b/>
                <w:bCs/>
                <w:i/>
                <w:iCs/>
                <w:lang w:val="en-GB"/>
                <w14:ligatures w14:val="standardContextual"/>
              </w:rPr>
              <w:t>(e) to support the implementation of the common fisheries policy by:</w:t>
            </w:r>
          </w:p>
          <w:p w:rsidRPr="001B04AC" w:rsidR="00352E5C" w:rsidP="00066365" w:rsidRDefault="00E66EB4" w14:paraId="0D961399" w14:textId="5C019735">
            <w:pPr>
              <w:rPr>
                <w:lang w:val="en-GB"/>
              </w:rPr>
            </w:pPr>
            <w:r w:rsidRPr="008D0341">
              <w:rPr>
                <w:lang w:val="en-GB"/>
              </w:rPr>
              <w:t>[…]</w:t>
            </w:r>
          </w:p>
          <w:p w:rsidRPr="001B04AC" w:rsidR="00352E5C" w:rsidP="00066365" w:rsidRDefault="00352E5C" w14:paraId="517A9B8A" w14:textId="77777777">
            <w:pPr>
              <w:rPr>
                <w:rFonts w:eastAsiaTheme="minorHAnsi"/>
                <w:b/>
                <w:bCs/>
                <w:i/>
                <w:iCs/>
                <w:color w:val="000000" w:themeColor="text1"/>
                <w:lang w:val="en-GB"/>
                <w14:ligatures w14:val="standardContextual"/>
              </w:rPr>
            </w:pPr>
            <w:r w:rsidRPr="008D0341">
              <w:rPr>
                <w:rFonts w:eastAsiaTheme="minorHAnsi"/>
                <w:b/>
                <w:bCs/>
                <w:i/>
                <w:iCs/>
                <w:lang w:val="en-GB"/>
                <w14:ligatures w14:val="standardContextual"/>
              </w:rPr>
              <w:t xml:space="preserve">(f) to constitute an area of freedom, security and justice with respect for fundamental rights </w:t>
            </w:r>
            <w:r w:rsidRPr="001B04AC">
              <w:rPr>
                <w:rFonts w:eastAsiaTheme="minorHAnsi"/>
                <w:b/>
                <w:bCs/>
                <w:i/>
                <w:iCs/>
                <w:color w:val="000000" w:themeColor="text1"/>
                <w:lang w:val="en-GB"/>
                <w14:ligatures w14:val="standardContextual"/>
              </w:rPr>
              <w:t>by:</w:t>
            </w:r>
          </w:p>
          <w:p w:rsidRPr="0063224B" w:rsidR="00352E5C" w:rsidP="00066365" w:rsidRDefault="00E66EB4" w14:paraId="6E6FFA7B" w14:textId="77777777">
            <w:pPr>
              <w:rPr>
                <w:b/>
                <w:bCs/>
                <w:i/>
                <w:iCs/>
                <w:lang w:val="en-GB"/>
              </w:rPr>
            </w:pPr>
            <w:r w:rsidRPr="008D0341">
              <w:rPr>
                <w:lang w:val="en-GB"/>
              </w:rPr>
              <w:t>[…]</w:t>
            </w:r>
          </w:p>
          <w:p w:rsidRPr="008D0341" w:rsidR="00736EF7" w:rsidP="00066365" w:rsidRDefault="00736EF7" w14:paraId="5161C09B" w14:textId="37A018C7">
            <w:pPr>
              <w:rPr>
                <w:rFonts w:eastAsia="Myriad Pro"/>
                <w:b/>
                <w:bCs/>
                <w:lang w:val="en-GB"/>
              </w:rPr>
            </w:pPr>
            <w:r w:rsidRPr="0063224B">
              <w:rPr>
                <w:b/>
                <w:bCs/>
                <w:i/>
                <w:iCs/>
                <w:lang w:val="en-GB"/>
              </w:rPr>
              <w:t>(g)</w:t>
            </w:r>
            <w:r w:rsidRPr="0063224B" w:rsidR="00641F67">
              <w:rPr>
                <w:b/>
                <w:bCs/>
                <w:i/>
                <w:iCs/>
                <w:lang w:val="en-GB"/>
              </w:rPr>
              <w:t>to support the Union</w:t>
            </w:r>
            <w:r w:rsidR="006924BC">
              <w:rPr>
                <w:b/>
                <w:bCs/>
                <w:i/>
                <w:iCs/>
                <w:lang w:val="en-GB"/>
              </w:rPr>
              <w:t>’</w:t>
            </w:r>
            <w:r w:rsidRPr="0063224B" w:rsidR="00641F67">
              <w:rPr>
                <w:b/>
                <w:bCs/>
                <w:i/>
                <w:iCs/>
                <w:lang w:val="en-GB"/>
              </w:rPr>
              <w:t>s defen</w:t>
            </w:r>
            <w:r w:rsidR="00691635">
              <w:rPr>
                <w:b/>
                <w:bCs/>
                <w:i/>
                <w:iCs/>
                <w:lang w:val="en-GB"/>
              </w:rPr>
              <w:t>c</w:t>
            </w:r>
            <w:r w:rsidRPr="0063224B" w:rsidR="00641F67">
              <w:rPr>
                <w:b/>
                <w:bCs/>
                <w:i/>
                <w:iCs/>
                <w:lang w:val="en-GB"/>
              </w:rPr>
              <w:t>e capabilities and security across all regions by: […]</w:t>
            </w:r>
          </w:p>
        </w:tc>
      </w:tr>
    </w:tbl>
    <w:p w:rsidRPr="008D0341" w:rsidR="00352E5C" w:rsidP="00066365" w:rsidRDefault="00352E5C" w14:paraId="21079A1A"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8C42DB" w14:paraId="5B11F325"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3BAF9C74" w14:textId="77777777">
            <w:pPr>
              <w:jc w:val="center"/>
              <w:rPr>
                <w:b/>
                <w:bCs/>
                <w:i/>
                <w:iCs/>
                <w:lang w:val="en-GB"/>
              </w:rPr>
            </w:pPr>
            <w:r w:rsidRPr="008D0341">
              <w:rPr>
                <w:b/>
                <w:bCs/>
                <w:i/>
                <w:iCs/>
                <w:lang w:val="en-GB"/>
              </w:rPr>
              <w:t>Reason</w:t>
            </w:r>
          </w:p>
        </w:tc>
      </w:tr>
      <w:tr w:rsidRPr="008D0341" w:rsidR="00352E5C" w:rsidTr="008C42DB" w14:paraId="3968A1A8"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754260" w14:paraId="5AA9A696" w14:textId="571C2221">
            <w:pPr>
              <w:rPr>
                <w:rFonts w:eastAsia="Calibri"/>
                <w:lang w:val="en-GB"/>
              </w:rPr>
            </w:pPr>
            <w:r w:rsidRPr="008D0341">
              <w:rPr>
                <w:rFonts w:eastAsia="Calibri"/>
                <w:lang w:val="en-GB"/>
              </w:rPr>
              <w:t xml:space="preserve">Reorganises </w:t>
            </w:r>
            <w:r w:rsidRPr="008D0341" w:rsidR="00F72F45">
              <w:rPr>
                <w:rFonts w:eastAsia="Calibri"/>
                <w:lang w:val="en-GB"/>
              </w:rPr>
              <w:t>priorities</w:t>
            </w:r>
            <w:r w:rsidRPr="008D0341">
              <w:rPr>
                <w:rFonts w:eastAsia="Calibri"/>
                <w:lang w:val="en-GB"/>
              </w:rPr>
              <w:t xml:space="preserve"> and objectives in </w:t>
            </w:r>
            <w:r w:rsidRPr="008D0341" w:rsidR="00337680">
              <w:rPr>
                <w:rFonts w:eastAsia="Calibri"/>
                <w:lang w:val="en-GB"/>
              </w:rPr>
              <w:t xml:space="preserve">line </w:t>
            </w:r>
            <w:r w:rsidRPr="008D0341" w:rsidR="00352E5C">
              <w:rPr>
                <w:rFonts w:eastAsia="Calibri"/>
                <w:lang w:val="en-GB"/>
              </w:rPr>
              <w:t>with Article 2.</w:t>
            </w:r>
          </w:p>
        </w:tc>
      </w:tr>
    </w:tbl>
    <w:p w:rsidRPr="008D0341" w:rsidR="00352E5C" w:rsidP="00066365" w:rsidRDefault="00352E5C" w14:paraId="7E0E89B6" w14:textId="77777777">
      <w:pPr>
        <w:jc w:val="center"/>
        <w:rPr>
          <w:rFonts w:eastAsia="Myriad Pro"/>
          <w:b/>
          <w:bCs/>
          <w:lang w:val="en-GB"/>
        </w:rPr>
      </w:pPr>
    </w:p>
    <w:p w:rsidRPr="008D0341" w:rsidR="00352E5C" w:rsidP="003F40F8" w:rsidRDefault="00352E5C" w14:paraId="0EC60999" w14:textId="77777777">
      <w:pPr>
        <w:keepNext/>
        <w:keepLines/>
        <w:jc w:val="center"/>
        <w:rPr>
          <w:lang w:val="en-GB"/>
        </w:rPr>
      </w:pPr>
      <w:r w:rsidRPr="008D0341">
        <w:rPr>
          <w:rFonts w:eastAsia="Myriad Pro"/>
          <w:b/>
          <w:bCs/>
          <w:lang w:val="en-GB"/>
        </w:rPr>
        <w:t>Amendment 3</w:t>
      </w:r>
    </w:p>
    <w:p w:rsidRPr="008D0341" w:rsidR="00352E5C" w:rsidP="003F40F8" w:rsidRDefault="00352E5C" w14:paraId="5E6AFD6F" w14:textId="1FF3352D">
      <w:pPr>
        <w:keepNext/>
        <w:keepLines/>
        <w:jc w:val="center"/>
        <w:rPr>
          <w:rFonts w:eastAsia="Myriad Pro"/>
          <w:lang w:val="en-GB"/>
        </w:rPr>
      </w:pPr>
      <w:r w:rsidRPr="008D0341">
        <w:rPr>
          <w:rFonts w:eastAsia="Myriad Pro"/>
          <w:lang w:val="en-GB"/>
        </w:rPr>
        <w:t>Article 6 - Partnership and multi-level governance</w:t>
      </w:r>
    </w:p>
    <w:p w:rsidRPr="008D0341" w:rsidR="008509BC" w:rsidP="003F40F8" w:rsidRDefault="008509BC" w14:paraId="0FDAF383"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8C42DB" w14:paraId="095E3129"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C42DB" w14:paraId="498976C5" w14:textId="35701836">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399E4F8A" w14:textId="77777777">
            <w:pPr>
              <w:jc w:val="center"/>
              <w:rPr>
                <w:b/>
                <w:bCs/>
                <w:i/>
                <w:iCs/>
                <w:lang w:val="en-GB"/>
              </w:rPr>
            </w:pPr>
            <w:r w:rsidRPr="008D0341">
              <w:rPr>
                <w:b/>
                <w:bCs/>
                <w:i/>
                <w:iCs/>
                <w:lang w:val="en-GB"/>
              </w:rPr>
              <w:t>CoR amendment</w:t>
            </w:r>
          </w:p>
        </w:tc>
      </w:tr>
      <w:tr w:rsidRPr="008D0341" w:rsidR="00352E5C" w:rsidTr="008C42DB" w14:paraId="2EEFD17F"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1B04AC" w:rsidR="00352E5C" w:rsidP="0063224B" w:rsidRDefault="00352E5C" w14:paraId="00290735" w14:textId="70570143">
            <w:pPr>
              <w:shd w:val="clear" w:color="auto" w:fill="FFFFFF"/>
              <w:textAlignment w:val="baseline"/>
              <w:rPr>
                <w:color w:val="000000"/>
                <w:bdr w:val="none" w:color="auto" w:sz="0" w:space="0" w:frame="1"/>
                <w:lang w:val="en-GB"/>
              </w:rPr>
            </w:pPr>
            <w:r w:rsidRPr="008D0341">
              <w:rPr>
                <w:color w:val="000000"/>
                <w:bdr w:val="none" w:color="auto" w:sz="0" w:space="0" w:frame="1"/>
                <w:lang w:val="en-GB"/>
              </w:rPr>
              <w:t>2.</w:t>
            </w:r>
            <w:r w:rsidRPr="008D0341" w:rsidR="00C62132">
              <w:rPr>
                <w:color w:val="000000"/>
                <w:bdr w:val="none" w:color="auto" w:sz="0" w:space="0" w:frame="1"/>
                <w:lang w:val="en-GB"/>
              </w:rPr>
              <w:t xml:space="preserve"> </w:t>
            </w:r>
            <w:r w:rsidRPr="008D0341">
              <w:rPr>
                <w:color w:val="000000"/>
                <w:bdr w:val="none" w:color="auto" w:sz="0" w:space="0" w:frame="1"/>
                <w:lang w:val="en-GB"/>
              </w:rPr>
              <w:t>The partnership established in accordance with paragraph 1 shall operate in accordance with the multi-level governance principle and a bottom-up approach. The Member State shall involve partners referred to in each subparagraph of paragraph 1 in the preparation of the Plan and throughout the preparation, implementation and evaluation of chapters, including through participation in monitoring committees in accordance with Article 55.</w:t>
            </w:r>
          </w:p>
          <w:p w:rsidRPr="001B04AC" w:rsidR="00352E5C" w:rsidP="0063224B" w:rsidRDefault="00352E5C" w14:paraId="24483748" w14:textId="05697376">
            <w:pPr>
              <w:shd w:val="clear" w:color="auto" w:fill="FFFFFF"/>
              <w:textAlignment w:val="baseline"/>
              <w:rPr>
                <w:b/>
                <w:bCs/>
                <w:i/>
                <w:iCs/>
                <w:color w:val="000000"/>
                <w:bdr w:val="none" w:color="auto" w:sz="0" w:space="0" w:frame="1"/>
                <w:lang w:val="en-GB"/>
              </w:rPr>
            </w:pPr>
            <w:r w:rsidRPr="008D0341">
              <w:rPr>
                <w:color w:val="000000"/>
                <w:bdr w:val="none" w:color="auto" w:sz="0" w:space="0" w:frame="1"/>
                <w:lang w:val="en-GB"/>
              </w:rPr>
              <w:t>3.</w:t>
            </w:r>
            <w:r w:rsidRPr="008D0341" w:rsidR="00C62132">
              <w:rPr>
                <w:color w:val="000000"/>
                <w:bdr w:val="none" w:color="auto" w:sz="0" w:space="0" w:frame="1"/>
                <w:lang w:val="en-GB"/>
              </w:rPr>
              <w:t xml:space="preserve"> </w:t>
            </w:r>
            <w:r w:rsidRPr="008D0341">
              <w:rPr>
                <w:color w:val="000000"/>
                <w:bdr w:val="none" w:color="auto" w:sz="0" w:space="0" w:frame="1"/>
                <w:lang w:val="en-GB"/>
              </w:rPr>
              <w:t xml:space="preserve">The organisation and implementation of the partnership shall be carried out in accordance </w:t>
            </w:r>
            <w:r w:rsidRPr="008D0341">
              <w:rPr>
                <w:b/>
                <w:bCs/>
                <w:i/>
                <w:iCs/>
                <w:color w:val="000000"/>
                <w:bdr w:val="none" w:color="auto" w:sz="0" w:space="0" w:frame="1"/>
                <w:lang w:val="en-GB"/>
              </w:rPr>
              <w:t>with the European code of conduct on partnership established by Commission Delegated Regulation (EU) No 240/2014.</w:t>
            </w:r>
          </w:p>
          <w:p w:rsidRPr="001B04AC" w:rsidR="00352E5C" w:rsidP="0063224B" w:rsidRDefault="00352E5C" w14:paraId="4AA8758D" w14:textId="5CD895C8">
            <w:pPr>
              <w:shd w:val="clear" w:color="auto" w:fill="FFFFFF"/>
              <w:textAlignment w:val="baseline"/>
              <w:rPr>
                <w:color w:val="000000"/>
                <w:bdr w:val="none" w:color="auto" w:sz="0" w:space="0" w:frame="1"/>
                <w:lang w:val="en-GB"/>
              </w:rPr>
            </w:pPr>
            <w:r w:rsidRPr="008D0341">
              <w:rPr>
                <w:color w:val="000000"/>
                <w:bdr w:val="none" w:color="auto" w:sz="0" w:space="0" w:frame="1"/>
                <w:lang w:val="en-GB"/>
              </w:rPr>
              <w:t>4.</w:t>
            </w:r>
            <w:r w:rsidRPr="008D0341" w:rsidR="00C62132">
              <w:rPr>
                <w:color w:val="000000"/>
                <w:bdr w:val="none" w:color="auto" w:sz="0" w:space="0" w:frame="1"/>
                <w:lang w:val="en-GB"/>
              </w:rPr>
              <w:t xml:space="preserve"> </w:t>
            </w:r>
            <w:r w:rsidRPr="008D0341">
              <w:rPr>
                <w:color w:val="000000"/>
                <w:bdr w:val="none" w:color="auto" w:sz="0" w:space="0" w:frame="1"/>
                <w:lang w:val="en-GB"/>
              </w:rPr>
              <w:t>Regarding the partners referred to in paragraph 1, point (a), the Member State shall ensure that all authorities concerned by the relevant chapters of the Plan are appropriately represented in accordance with the corresponding territorial level and the geographical coverage of the chapter, as appropriate.</w:t>
            </w:r>
          </w:p>
          <w:p w:rsidRPr="001B04AC" w:rsidR="00352E5C" w:rsidP="0063224B" w:rsidRDefault="00B35EE2" w14:paraId="49540EB1" w14:textId="30754355">
            <w:pPr>
              <w:shd w:val="clear" w:color="auto" w:fill="FFFFFF"/>
              <w:textAlignment w:val="baseline"/>
              <w:rPr>
                <w:color w:val="000000"/>
                <w:bdr w:val="none" w:color="auto" w:sz="0" w:space="0" w:frame="1"/>
                <w:lang w:val="en-GB"/>
              </w:rPr>
            </w:pPr>
            <w:r w:rsidRPr="008D0341">
              <w:rPr>
                <w:lang w:val="en-GB"/>
              </w:rPr>
              <w:t>[…]</w:t>
            </w:r>
          </w:p>
          <w:p w:rsidRPr="001B04AC" w:rsidR="00352E5C" w:rsidP="00066365" w:rsidRDefault="00352E5C" w14:paraId="61741197" w14:textId="46E96673">
            <w:pPr>
              <w:shd w:val="clear" w:color="auto" w:fill="FFFFFF"/>
              <w:textAlignment w:val="baseline"/>
              <w:rPr>
                <w:color w:val="000000"/>
                <w:lang w:val="en-GB"/>
              </w:rPr>
            </w:pPr>
            <w:r w:rsidRPr="008D0341">
              <w:rPr>
                <w:color w:val="000000"/>
                <w:bdr w:val="none" w:color="auto" w:sz="0" w:space="0" w:frame="1"/>
                <w:lang w:val="en-GB"/>
              </w:rPr>
              <w:t>6.</w:t>
            </w:r>
            <w:r w:rsidRPr="008D0341" w:rsidR="00C62132">
              <w:rPr>
                <w:color w:val="000000"/>
                <w:bdr w:val="none" w:color="auto" w:sz="0" w:space="0" w:frame="1"/>
                <w:lang w:val="en-GB"/>
              </w:rPr>
              <w:t xml:space="preserve"> </w:t>
            </w:r>
            <w:r w:rsidRPr="008D0341">
              <w:rPr>
                <w:color w:val="000000"/>
                <w:bdr w:val="none" w:color="auto" w:sz="0" w:space="0" w:frame="1"/>
                <w:lang w:val="en-GB"/>
              </w:rPr>
              <w:t>At least once a year, the Commission shall consult organisations which represent partners at Union level on the implementation of the Plans.</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63224B" w:rsidRDefault="00352E5C" w14:paraId="10C35CCE" w14:textId="1818C638">
            <w:pPr>
              <w:shd w:val="clear" w:color="auto" w:fill="FFFFFF"/>
              <w:textAlignment w:val="baseline"/>
              <w:rPr>
                <w:color w:val="000000"/>
                <w:bdr w:val="none" w:color="auto" w:sz="0" w:space="0" w:frame="1"/>
                <w:lang w:val="en-GB"/>
              </w:rPr>
            </w:pPr>
            <w:r w:rsidRPr="008D0341">
              <w:rPr>
                <w:color w:val="000000"/>
                <w:bdr w:val="none" w:color="auto" w:sz="0" w:space="0" w:frame="1"/>
                <w:lang w:val="en-GB"/>
              </w:rPr>
              <w:t>2.</w:t>
            </w:r>
            <w:r w:rsidRPr="008D0341" w:rsidR="00C62132">
              <w:rPr>
                <w:color w:val="000000"/>
                <w:bdr w:val="none" w:color="auto" w:sz="0" w:space="0" w:frame="1"/>
                <w:lang w:val="en-GB"/>
              </w:rPr>
              <w:t xml:space="preserve"> </w:t>
            </w:r>
            <w:r w:rsidRPr="008D0341">
              <w:rPr>
                <w:color w:val="000000"/>
                <w:bdr w:val="none" w:color="auto" w:sz="0" w:space="0" w:frame="1"/>
                <w:lang w:val="en-GB"/>
              </w:rPr>
              <w:t>The partnership established in accordance with paragraph 1 shall operate in accordance with the multi-level governance principle and a bottom-up approach. The Member State shall involve partners referred to in each subparagraph of paragraph 1 in the preparation of the Plan and throughout the preparation, implementation and evaluation of chapters, including through participation in monitoring committees in accordance with Article 55.</w:t>
            </w:r>
          </w:p>
          <w:p w:rsidRPr="001B04AC" w:rsidR="00352E5C" w:rsidP="0063224B" w:rsidRDefault="00352E5C" w14:paraId="781C296C" w14:textId="12037FCE">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 xml:space="preserve">In that context, Member States shall, </w:t>
            </w:r>
            <w:r w:rsidRPr="008D0341" w:rsidR="00337680">
              <w:rPr>
                <w:b/>
                <w:bCs/>
                <w:i/>
                <w:iCs/>
                <w:color w:val="000000"/>
                <w:bdr w:val="none" w:color="auto" w:sz="0" w:space="0" w:frame="1"/>
                <w:lang w:val="en-GB"/>
              </w:rPr>
              <w:t xml:space="preserve">in line </w:t>
            </w:r>
            <w:r w:rsidRPr="008D0341" w:rsidR="009C1B84">
              <w:rPr>
                <w:b/>
                <w:bCs/>
                <w:i/>
                <w:iCs/>
                <w:color w:val="000000"/>
                <w:bdr w:val="none" w:color="auto" w:sz="0" w:space="0" w:frame="1"/>
                <w:lang w:val="en-GB"/>
              </w:rPr>
              <w:t>with their internal political and constitutional organi</w:t>
            </w:r>
            <w:r w:rsidRPr="008D0341" w:rsidR="00337680">
              <w:rPr>
                <w:b/>
                <w:bCs/>
                <w:i/>
                <w:iCs/>
                <w:color w:val="000000"/>
                <w:bdr w:val="none" w:color="auto" w:sz="0" w:space="0" w:frame="1"/>
                <w:lang w:val="en-GB"/>
              </w:rPr>
              <w:t>s</w:t>
            </w:r>
            <w:r w:rsidRPr="008D0341" w:rsidR="009C1B84">
              <w:rPr>
                <w:b/>
                <w:bCs/>
                <w:i/>
                <w:iCs/>
                <w:color w:val="000000"/>
                <w:bdr w:val="none" w:color="auto" w:sz="0" w:space="0" w:frame="1"/>
                <w:lang w:val="en-GB"/>
              </w:rPr>
              <w:t>ation</w:t>
            </w:r>
            <w:r w:rsidRPr="008D0341">
              <w:rPr>
                <w:b/>
                <w:bCs/>
                <w:i/>
                <w:iCs/>
                <w:color w:val="000000"/>
                <w:bdr w:val="none" w:color="auto" w:sz="0" w:space="0" w:frame="1"/>
                <w:lang w:val="en-GB"/>
              </w:rPr>
              <w:t>, allocate an appropriate share of the resources coming from the Fund for the administrative capacity building of regional and local authorities</w:t>
            </w:r>
            <w:r w:rsidRPr="008D0341" w:rsidR="00063FC5">
              <w:rPr>
                <w:b/>
                <w:bCs/>
                <w:i/>
                <w:iCs/>
                <w:color w:val="000000"/>
                <w:bdr w:val="none" w:color="auto" w:sz="0" w:space="0" w:frame="1"/>
                <w:lang w:val="en-GB"/>
              </w:rPr>
              <w:t>;</w:t>
            </w:r>
          </w:p>
          <w:p w:rsidRPr="001B04AC" w:rsidR="00352E5C" w:rsidP="0063224B" w:rsidRDefault="00352E5C" w14:paraId="7A1592CB" w14:textId="77481FAD">
            <w:pPr>
              <w:shd w:val="clear" w:color="auto" w:fill="FFFFFF"/>
              <w:textAlignment w:val="baseline"/>
              <w:rPr>
                <w:color w:val="000000"/>
                <w:bdr w:val="none" w:color="auto" w:sz="0" w:space="0" w:frame="1"/>
                <w:lang w:val="en-GB"/>
              </w:rPr>
            </w:pPr>
            <w:r w:rsidRPr="008D0341">
              <w:rPr>
                <w:color w:val="000000"/>
                <w:bdr w:val="none" w:color="auto" w:sz="0" w:space="0" w:frame="1"/>
                <w:lang w:val="en-GB"/>
              </w:rPr>
              <w:t>3.</w:t>
            </w:r>
            <w:r w:rsidRPr="008D0341" w:rsidR="00C62132">
              <w:rPr>
                <w:color w:val="000000"/>
                <w:bdr w:val="none" w:color="auto" w:sz="0" w:space="0" w:frame="1"/>
                <w:lang w:val="en-GB"/>
              </w:rPr>
              <w:t xml:space="preserve"> </w:t>
            </w:r>
            <w:r w:rsidRPr="008D0341">
              <w:rPr>
                <w:color w:val="000000"/>
                <w:bdr w:val="none" w:color="auto" w:sz="0" w:space="0" w:frame="1"/>
                <w:lang w:val="en-GB"/>
              </w:rPr>
              <w:t xml:space="preserve">The organisation and implementation of the partnership shall be carried out in accordance </w:t>
            </w:r>
            <w:r w:rsidRPr="008D0341" w:rsidR="00C238A9">
              <w:rPr>
                <w:b/>
                <w:bCs/>
                <w:i/>
                <w:iCs/>
                <w:color w:val="000000"/>
                <w:bdr w:val="none" w:color="auto" w:sz="0" w:space="0" w:frame="1"/>
                <w:lang w:val="en-GB"/>
              </w:rPr>
              <w:t>with</w:t>
            </w:r>
            <w:r w:rsidRPr="008D0341">
              <w:rPr>
                <w:b/>
                <w:bCs/>
                <w:i/>
                <w:iCs/>
                <w:color w:val="000000"/>
                <w:bdr w:val="none" w:color="auto" w:sz="0" w:space="0" w:frame="1"/>
                <w:lang w:val="en-GB"/>
              </w:rPr>
              <w:t xml:space="preserve"> Article XXX on </w:t>
            </w:r>
            <w:r w:rsidRPr="008D0341" w:rsidR="00337680">
              <w:rPr>
                <w:b/>
                <w:bCs/>
                <w:i/>
                <w:iCs/>
                <w:color w:val="000000"/>
                <w:bdr w:val="none" w:color="auto" w:sz="0" w:space="0" w:frame="1"/>
                <w:lang w:val="en-GB"/>
              </w:rPr>
              <w:t xml:space="preserve">the </w:t>
            </w:r>
            <w:r w:rsidRPr="008D0341" w:rsidR="00A07CD4">
              <w:rPr>
                <w:b/>
                <w:bCs/>
                <w:i/>
                <w:iCs/>
                <w:color w:val="000000"/>
                <w:bdr w:val="none" w:color="auto" w:sz="0" w:space="0" w:frame="1"/>
                <w:lang w:val="en-GB"/>
              </w:rPr>
              <w:t>subsidiarity clause</w:t>
            </w:r>
            <w:r w:rsidRPr="008D0341" w:rsidR="004A0683">
              <w:rPr>
                <w:b/>
                <w:bCs/>
                <w:i/>
                <w:iCs/>
                <w:color w:val="000000"/>
                <w:bdr w:val="none" w:color="auto" w:sz="0" w:space="0" w:frame="1"/>
                <w:lang w:val="en-GB"/>
              </w:rPr>
              <w:t xml:space="preserve"> and respecting the principle of partnership ensuring the consultation of civil society and </w:t>
            </w:r>
            <w:r w:rsidRPr="008D0341" w:rsidR="00A8467A">
              <w:rPr>
                <w:b/>
                <w:bCs/>
                <w:i/>
                <w:iCs/>
                <w:color w:val="000000"/>
                <w:bdr w:val="none" w:color="auto" w:sz="0" w:space="0" w:frame="1"/>
                <w:lang w:val="en-GB"/>
              </w:rPr>
              <w:t>relevant socio-economic stakeholders</w:t>
            </w:r>
            <w:r w:rsidRPr="008D0341" w:rsidR="00286700">
              <w:rPr>
                <w:b/>
                <w:bCs/>
                <w:i/>
                <w:iCs/>
                <w:color w:val="000000"/>
                <w:bdr w:val="none" w:color="auto" w:sz="0" w:space="0" w:frame="1"/>
                <w:lang w:val="en-GB"/>
              </w:rPr>
              <w:t>;</w:t>
            </w:r>
          </w:p>
          <w:p w:rsidRPr="008D0341" w:rsidR="00352E5C" w:rsidP="0063224B" w:rsidRDefault="00352E5C" w14:paraId="1EB89DE0" w14:textId="3A2DE4CF">
            <w:pPr>
              <w:shd w:val="clear" w:color="auto" w:fill="FFFFFF"/>
              <w:textAlignment w:val="baseline"/>
              <w:rPr>
                <w:color w:val="000000"/>
                <w:bdr w:val="none" w:color="auto" w:sz="0" w:space="0" w:frame="1"/>
                <w:lang w:val="en-GB"/>
              </w:rPr>
            </w:pPr>
            <w:r w:rsidRPr="008D0341">
              <w:rPr>
                <w:color w:val="000000"/>
                <w:bdr w:val="none" w:color="auto" w:sz="0" w:space="0" w:frame="1"/>
                <w:lang w:val="en-GB"/>
              </w:rPr>
              <w:t>4.</w:t>
            </w:r>
            <w:r w:rsidRPr="008D0341" w:rsidR="00C62132">
              <w:rPr>
                <w:color w:val="000000"/>
                <w:bdr w:val="none" w:color="auto" w:sz="0" w:space="0" w:frame="1"/>
                <w:lang w:val="en-GB"/>
              </w:rPr>
              <w:t xml:space="preserve"> </w:t>
            </w:r>
            <w:r w:rsidRPr="008D0341">
              <w:rPr>
                <w:color w:val="000000"/>
                <w:bdr w:val="none" w:color="auto" w:sz="0" w:space="0" w:frame="1"/>
                <w:lang w:val="en-GB"/>
              </w:rPr>
              <w:t>Regarding the partners referred to in paragraph 1, point (a), the Member State shall ensure that all authorities concerned by the relevant chapters of the Plan are appropriately represented in accordance with the corresponding territorial level and the geographical coverage of the chapter, as appropriate.</w:t>
            </w:r>
          </w:p>
          <w:p w:rsidRPr="008D0341" w:rsidR="00352E5C" w:rsidP="0063224B" w:rsidRDefault="00352E5C" w14:paraId="2B8D5F50" w14:textId="77777777">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Such representation shall ensure the direct involvement of competent regional and local authorities in the design, programming, implementation and monitoring of the measures concerned.</w:t>
            </w:r>
          </w:p>
          <w:p w:rsidRPr="001B04AC" w:rsidR="00352E5C" w:rsidP="0063224B" w:rsidRDefault="00B35EE2" w14:paraId="77E51019" w14:textId="1A47563F">
            <w:pPr>
              <w:shd w:val="clear" w:color="auto" w:fill="FFFFFF"/>
              <w:textAlignment w:val="baseline"/>
              <w:rPr>
                <w:color w:val="000000"/>
                <w:bdr w:val="none" w:color="auto" w:sz="0" w:space="0" w:frame="1"/>
                <w:lang w:val="en-GB"/>
              </w:rPr>
            </w:pPr>
            <w:r w:rsidRPr="008D0341">
              <w:rPr>
                <w:lang w:val="en-GB"/>
              </w:rPr>
              <w:t>[…]</w:t>
            </w:r>
          </w:p>
          <w:p w:rsidRPr="008D0341" w:rsidR="00E20D62" w:rsidP="0063224B" w:rsidRDefault="00352E5C" w14:paraId="08BCF6F6" w14:textId="2183D76A">
            <w:pPr>
              <w:shd w:val="clear" w:color="auto" w:fill="FFFFFF"/>
              <w:textAlignment w:val="baseline"/>
              <w:rPr>
                <w:b/>
                <w:bCs/>
                <w:i/>
                <w:iCs/>
                <w:color w:val="000000"/>
                <w:bdr w:val="none" w:color="auto" w:sz="0" w:space="0" w:frame="1"/>
                <w:lang w:val="en-GB"/>
              </w:rPr>
            </w:pPr>
            <w:r w:rsidRPr="008D0341">
              <w:rPr>
                <w:color w:val="000000"/>
                <w:bdr w:val="none" w:color="auto" w:sz="0" w:space="0" w:frame="1"/>
                <w:lang w:val="en-GB"/>
              </w:rPr>
              <w:t>6.</w:t>
            </w:r>
            <w:r w:rsidRPr="008D0341" w:rsidR="00C62132">
              <w:rPr>
                <w:color w:val="000000"/>
                <w:bdr w:val="none" w:color="auto" w:sz="0" w:space="0" w:frame="1"/>
                <w:lang w:val="en-GB"/>
              </w:rPr>
              <w:t xml:space="preserve"> </w:t>
            </w:r>
            <w:r w:rsidRPr="008D0341">
              <w:rPr>
                <w:color w:val="000000"/>
                <w:bdr w:val="none" w:color="auto" w:sz="0" w:space="0" w:frame="1"/>
                <w:lang w:val="en-GB"/>
              </w:rPr>
              <w:t xml:space="preserve">At least </w:t>
            </w:r>
            <w:r w:rsidRPr="008D0341" w:rsidR="00524F1F">
              <w:rPr>
                <w:color w:val="000000"/>
                <w:bdr w:val="none" w:color="auto" w:sz="0" w:space="0" w:frame="1"/>
                <w:lang w:val="en-GB"/>
              </w:rPr>
              <w:t>once</w:t>
            </w:r>
            <w:r w:rsidRPr="008D0341">
              <w:rPr>
                <w:color w:val="000000"/>
                <w:bdr w:val="none" w:color="auto" w:sz="0" w:space="0" w:frame="1"/>
                <w:lang w:val="en-GB"/>
              </w:rPr>
              <w:t xml:space="preserve"> a year, the Commission shall consult organisations which represent partners at Union level on the implementation of</w:t>
            </w:r>
            <w:r w:rsidR="008C42DB">
              <w:rPr>
                <w:color w:val="000000"/>
                <w:bdr w:val="none" w:color="auto" w:sz="0" w:space="0" w:frame="1"/>
                <w:lang w:val="en-GB"/>
              </w:rPr>
              <w:t xml:space="preserve"> </w:t>
            </w:r>
            <w:r w:rsidRPr="008D0341">
              <w:rPr>
                <w:color w:val="000000"/>
                <w:bdr w:val="none" w:color="auto" w:sz="0" w:space="0" w:frame="1"/>
                <w:lang w:val="en-GB"/>
              </w:rPr>
              <w:t>the</w:t>
            </w:r>
            <w:r w:rsidR="008C42DB">
              <w:rPr>
                <w:color w:val="000000"/>
                <w:bdr w:val="none" w:color="auto" w:sz="0" w:space="0" w:frame="1"/>
                <w:lang w:val="en-GB"/>
              </w:rPr>
              <w:t xml:space="preserve"> </w:t>
            </w:r>
            <w:r w:rsidRPr="008D0341">
              <w:rPr>
                <w:color w:val="000000"/>
                <w:bdr w:val="none" w:color="auto" w:sz="0" w:space="0" w:frame="1"/>
                <w:lang w:val="en-GB"/>
              </w:rPr>
              <w:t xml:space="preserve">Plans, </w:t>
            </w:r>
            <w:r w:rsidRPr="008D0341">
              <w:rPr>
                <w:b/>
                <w:bCs/>
                <w:i/>
                <w:iCs/>
                <w:color w:val="000000"/>
                <w:bdr w:val="none" w:color="auto" w:sz="0" w:space="0" w:frame="1"/>
                <w:lang w:val="en-GB"/>
              </w:rPr>
              <w:t>and shall report on the outcome of those consultations to the European Parliament, the Council</w:t>
            </w:r>
            <w:r w:rsidRPr="008D0341" w:rsidR="00E20D62">
              <w:rPr>
                <w:b/>
                <w:bCs/>
                <w:i/>
                <w:iCs/>
                <w:color w:val="000000"/>
                <w:bdr w:val="none" w:color="auto" w:sz="0" w:space="0" w:frame="1"/>
                <w:lang w:val="en-GB"/>
              </w:rPr>
              <w:t>, the European Economic and Social Committee and the European Committee of the Regions</w:t>
            </w:r>
            <w:r w:rsidRPr="008D0341" w:rsidR="00064C5B">
              <w:rPr>
                <w:b/>
                <w:bCs/>
                <w:i/>
                <w:iCs/>
                <w:color w:val="000000"/>
                <w:bdr w:val="none" w:color="auto" w:sz="0" w:space="0" w:frame="1"/>
                <w:lang w:val="en-GB"/>
              </w:rPr>
              <w:t>.</w:t>
            </w:r>
          </w:p>
          <w:p w:rsidRPr="001B04AC" w:rsidR="00352E5C" w:rsidP="0063224B" w:rsidRDefault="00E20D62" w14:paraId="2FD2395F" w14:textId="135CC047">
            <w:pPr>
              <w:shd w:val="clear" w:color="auto" w:fill="FFFFFF"/>
              <w:textAlignment w:val="baseline"/>
              <w:rPr>
                <w:b/>
                <w:bCs/>
                <w:color w:val="000000"/>
                <w:bdr w:val="none" w:color="auto" w:sz="0" w:space="0" w:frame="1"/>
                <w:lang w:val="en-GB"/>
              </w:rPr>
            </w:pPr>
            <w:r w:rsidRPr="008D0341">
              <w:rPr>
                <w:b/>
                <w:bCs/>
                <w:i/>
                <w:iCs/>
                <w:color w:val="000000"/>
                <w:bdr w:val="none" w:color="auto" w:sz="0" w:space="0" w:frame="1"/>
                <w:lang w:val="en-GB"/>
              </w:rPr>
              <w:t>7.</w:t>
            </w:r>
            <w:r w:rsidRPr="008D0341" w:rsidR="00C62132">
              <w:rPr>
                <w:b/>
                <w:bCs/>
                <w:i/>
                <w:iCs/>
                <w:color w:val="000000"/>
                <w:bdr w:val="none" w:color="auto" w:sz="0" w:space="0" w:frame="1"/>
                <w:lang w:val="en-GB"/>
              </w:rPr>
              <w:t xml:space="preserve"> </w:t>
            </w:r>
            <w:r w:rsidRPr="008D0341" w:rsidR="004C6CEF">
              <w:rPr>
                <w:b/>
                <w:bCs/>
                <w:i/>
                <w:iCs/>
                <w:color w:val="000000"/>
                <w:bdr w:val="none" w:color="auto" w:sz="0" w:space="0" w:frame="1"/>
                <w:lang w:val="en-GB"/>
              </w:rPr>
              <w:t xml:space="preserve">For the purpose of </w:t>
            </w:r>
            <w:r w:rsidRPr="008D0341">
              <w:rPr>
                <w:b/>
                <w:bCs/>
                <w:i/>
                <w:iCs/>
                <w:color w:val="000000"/>
                <w:bdr w:val="none" w:color="auto" w:sz="0" w:space="0" w:frame="1"/>
                <w:lang w:val="en-GB"/>
              </w:rPr>
              <w:t xml:space="preserve">the </w:t>
            </w:r>
            <w:r w:rsidRPr="008D0341" w:rsidR="004C6CEF">
              <w:rPr>
                <w:b/>
                <w:bCs/>
                <w:i/>
                <w:iCs/>
                <w:color w:val="000000"/>
                <w:bdr w:val="none" w:color="auto" w:sz="0" w:space="0" w:frame="1"/>
                <w:lang w:val="en-GB"/>
              </w:rPr>
              <w:t>consultations</w:t>
            </w:r>
            <w:r w:rsidRPr="008D0341">
              <w:rPr>
                <w:b/>
                <w:bCs/>
                <w:i/>
                <w:iCs/>
                <w:color w:val="000000"/>
                <w:bdr w:val="none" w:color="auto" w:sz="0" w:space="0" w:frame="1"/>
                <w:lang w:val="en-GB"/>
              </w:rPr>
              <w:t xml:space="preserve"> </w:t>
            </w:r>
            <w:r w:rsidRPr="008D0341" w:rsidR="00337680">
              <w:rPr>
                <w:b/>
                <w:bCs/>
                <w:i/>
                <w:iCs/>
                <w:color w:val="000000"/>
                <w:bdr w:val="none" w:color="auto" w:sz="0" w:space="0" w:frame="1"/>
                <w:lang w:val="en-GB"/>
              </w:rPr>
              <w:t xml:space="preserve">of </w:t>
            </w:r>
            <w:r w:rsidRPr="008D0341">
              <w:rPr>
                <w:b/>
                <w:bCs/>
                <w:i/>
                <w:iCs/>
                <w:color w:val="000000"/>
                <w:bdr w:val="none" w:color="auto" w:sz="0" w:space="0" w:frame="1"/>
                <w:lang w:val="en-GB"/>
              </w:rPr>
              <w:t xml:space="preserve">the partners mentioned </w:t>
            </w:r>
            <w:r w:rsidRPr="008D0341" w:rsidR="00337680">
              <w:rPr>
                <w:b/>
                <w:bCs/>
                <w:i/>
                <w:iCs/>
                <w:color w:val="000000"/>
                <w:bdr w:val="none" w:color="auto" w:sz="0" w:space="0" w:frame="1"/>
                <w:lang w:val="en-GB"/>
              </w:rPr>
              <w:t>i</w:t>
            </w:r>
            <w:r w:rsidRPr="008D0341">
              <w:rPr>
                <w:b/>
                <w:bCs/>
                <w:i/>
                <w:iCs/>
                <w:color w:val="000000"/>
                <w:bdr w:val="none" w:color="auto" w:sz="0" w:space="0" w:frame="1"/>
                <w:lang w:val="en-GB"/>
              </w:rPr>
              <w:t>n paragraph 1, point a)</w:t>
            </w:r>
            <w:r w:rsidRPr="008D0341" w:rsidR="004C6CEF">
              <w:rPr>
                <w:b/>
                <w:bCs/>
                <w:i/>
                <w:iCs/>
                <w:color w:val="000000"/>
                <w:bdr w:val="none" w:color="auto" w:sz="0" w:space="0" w:frame="1"/>
                <w:lang w:val="en-GB"/>
              </w:rPr>
              <w:t xml:space="preserve">, the </w:t>
            </w:r>
            <w:r w:rsidRPr="008D0341" w:rsidR="00AB5429">
              <w:rPr>
                <w:b/>
                <w:bCs/>
                <w:i/>
                <w:iCs/>
                <w:color w:val="000000"/>
                <w:bdr w:val="none" w:color="auto" w:sz="0" w:space="0" w:frame="1"/>
                <w:lang w:val="en-GB"/>
              </w:rPr>
              <w:t xml:space="preserve">European Commission </w:t>
            </w:r>
            <w:r w:rsidRPr="008D0341">
              <w:rPr>
                <w:b/>
                <w:bCs/>
                <w:i/>
                <w:iCs/>
                <w:color w:val="000000"/>
                <w:bdr w:val="none" w:color="auto" w:sz="0" w:space="0" w:frame="1"/>
                <w:lang w:val="en-GB"/>
              </w:rPr>
              <w:t xml:space="preserve">may delegate those consultations </w:t>
            </w:r>
            <w:r w:rsidRPr="008D0341" w:rsidR="00337680">
              <w:rPr>
                <w:b/>
                <w:bCs/>
                <w:i/>
                <w:iCs/>
                <w:color w:val="000000"/>
                <w:bdr w:val="none" w:color="auto" w:sz="0" w:space="0" w:frame="1"/>
                <w:lang w:val="en-GB"/>
              </w:rPr>
              <w:t>to</w:t>
            </w:r>
            <w:r w:rsidRPr="008D0341">
              <w:rPr>
                <w:b/>
                <w:bCs/>
                <w:i/>
                <w:iCs/>
                <w:color w:val="000000"/>
                <w:bdr w:val="none" w:color="auto" w:sz="0" w:space="0" w:frame="1"/>
                <w:lang w:val="en-GB"/>
              </w:rPr>
              <w:t xml:space="preserve"> the</w:t>
            </w:r>
            <w:r w:rsidRPr="008D0341" w:rsidR="00AB5429">
              <w:rPr>
                <w:b/>
                <w:bCs/>
                <w:i/>
                <w:iCs/>
                <w:color w:val="000000"/>
                <w:bdr w:val="none" w:color="auto" w:sz="0" w:space="0" w:frame="1"/>
                <w:lang w:val="en-GB"/>
              </w:rPr>
              <w:t xml:space="preserve"> </w:t>
            </w:r>
            <w:r w:rsidRPr="008D0341" w:rsidR="004C6CEF">
              <w:rPr>
                <w:b/>
                <w:bCs/>
                <w:i/>
                <w:iCs/>
                <w:color w:val="000000"/>
                <w:bdr w:val="none" w:color="auto" w:sz="0" w:space="0" w:frame="1"/>
                <w:lang w:val="en-GB"/>
              </w:rPr>
              <w:t>European Committee of the Regions</w:t>
            </w:r>
            <w:r w:rsidRPr="008D0341">
              <w:rPr>
                <w:b/>
                <w:bCs/>
                <w:i/>
                <w:iCs/>
                <w:color w:val="000000"/>
                <w:bdr w:val="none" w:color="auto" w:sz="0" w:space="0" w:frame="1"/>
                <w:lang w:val="en-GB"/>
              </w:rPr>
              <w:t>.</w:t>
            </w:r>
          </w:p>
        </w:tc>
      </w:tr>
    </w:tbl>
    <w:p w:rsidRPr="008D0341" w:rsidR="00352E5C" w:rsidP="00066365" w:rsidRDefault="00352E5C" w14:paraId="4144C2C3"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CB5DB8" w14:paraId="795A34FB"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05F09393" w14:textId="77777777">
            <w:pPr>
              <w:jc w:val="center"/>
              <w:rPr>
                <w:b/>
                <w:bCs/>
                <w:i/>
                <w:iCs/>
                <w:lang w:val="en-GB"/>
              </w:rPr>
            </w:pPr>
            <w:r w:rsidRPr="008D0341">
              <w:rPr>
                <w:b/>
                <w:bCs/>
                <w:i/>
                <w:iCs/>
                <w:lang w:val="en-GB"/>
              </w:rPr>
              <w:t>Reason</w:t>
            </w:r>
          </w:p>
        </w:tc>
      </w:tr>
      <w:tr w:rsidRPr="008D0341" w:rsidR="00352E5C" w:rsidTr="00CB5DB8" w14:paraId="2C9EBDBB"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4493E" w14:paraId="14AF856F" w14:textId="496E42FC">
            <w:pPr>
              <w:rPr>
                <w:rFonts w:eastAsia="Calibri"/>
                <w:lang w:val="en-GB"/>
              </w:rPr>
            </w:pPr>
            <w:r w:rsidRPr="008D0341">
              <w:rPr>
                <w:rFonts w:eastAsia="Calibri"/>
                <w:lang w:val="en-GB"/>
              </w:rPr>
              <w:t>Strengthens Article 8 to embed multilevel governance in the NRPP</w:t>
            </w:r>
            <w:r w:rsidRPr="008D0341" w:rsidR="00677471">
              <w:rPr>
                <w:rFonts w:eastAsia="Calibri"/>
                <w:lang w:val="en-GB"/>
              </w:rPr>
              <w:t>s</w:t>
            </w:r>
            <w:r w:rsidRPr="008D0341">
              <w:rPr>
                <w:rFonts w:eastAsia="Calibri"/>
                <w:lang w:val="en-GB"/>
              </w:rPr>
              <w:t xml:space="preserve">. Requires partnerships with territorial authorities and civil society, replaces the </w:t>
            </w:r>
            <w:r w:rsidRPr="008D0341" w:rsidR="00337680">
              <w:rPr>
                <w:rFonts w:eastAsia="Calibri"/>
                <w:lang w:val="en-GB"/>
              </w:rPr>
              <w:t>c</w:t>
            </w:r>
            <w:r w:rsidRPr="008D0341">
              <w:rPr>
                <w:rFonts w:eastAsia="Calibri"/>
                <w:lang w:val="en-GB"/>
              </w:rPr>
              <w:t xml:space="preserve">ode of </w:t>
            </w:r>
            <w:r w:rsidRPr="008D0341" w:rsidR="00337680">
              <w:rPr>
                <w:rFonts w:eastAsia="Calibri"/>
                <w:lang w:val="en-GB"/>
              </w:rPr>
              <w:t>c</w:t>
            </w:r>
            <w:r w:rsidRPr="008D0341">
              <w:rPr>
                <w:rFonts w:eastAsia="Calibri"/>
                <w:lang w:val="en-GB"/>
              </w:rPr>
              <w:t xml:space="preserve">onduct with a </w:t>
            </w:r>
            <w:r w:rsidRPr="008D0341" w:rsidR="00C6681F">
              <w:rPr>
                <w:rFonts w:eastAsia="Calibri"/>
                <w:lang w:val="en-GB"/>
              </w:rPr>
              <w:t>multilevel governance assessment</w:t>
            </w:r>
            <w:r w:rsidRPr="008D0341" w:rsidR="00337680">
              <w:rPr>
                <w:rFonts w:eastAsia="Calibri"/>
                <w:lang w:val="en-GB"/>
              </w:rPr>
              <w:t xml:space="preserve"> and</w:t>
            </w:r>
            <w:r w:rsidRPr="008D0341">
              <w:rPr>
                <w:rFonts w:eastAsia="Calibri"/>
                <w:lang w:val="en-GB"/>
              </w:rPr>
              <w:t xml:space="preserve"> restores support for partners’ capacity</w:t>
            </w:r>
            <w:r w:rsidRPr="008D0341" w:rsidR="00C6681F">
              <w:rPr>
                <w:rFonts w:eastAsia="Calibri"/>
                <w:lang w:val="en-GB"/>
              </w:rPr>
              <w:t>.</w:t>
            </w:r>
          </w:p>
        </w:tc>
      </w:tr>
    </w:tbl>
    <w:p w:rsidR="00352E5C" w:rsidP="00066365" w:rsidRDefault="00352E5C" w14:paraId="079B476E" w14:textId="77777777">
      <w:pPr>
        <w:rPr>
          <w:lang w:val="en-GB"/>
        </w:rPr>
      </w:pPr>
    </w:p>
    <w:p w:rsidR="009E00CB" w:rsidP="00066365" w:rsidRDefault="009E00CB" w14:paraId="2FF2C07A" w14:textId="77777777">
      <w:pPr>
        <w:rPr>
          <w:lang w:val="en-GB"/>
        </w:rPr>
      </w:pPr>
    </w:p>
    <w:p w:rsidRPr="008D0341" w:rsidR="00352E5C" w:rsidP="003F40F8" w:rsidRDefault="00352E5C" w14:paraId="6B0FFA0F" w14:textId="600ABA86">
      <w:pPr>
        <w:keepNext/>
        <w:keepLines/>
        <w:jc w:val="center"/>
        <w:rPr>
          <w:lang w:val="en-GB"/>
        </w:rPr>
      </w:pPr>
      <w:r w:rsidRPr="008D0341">
        <w:rPr>
          <w:rFonts w:eastAsia="Myriad Pro"/>
          <w:b/>
          <w:bCs/>
          <w:lang w:val="en-GB"/>
        </w:rPr>
        <w:t>Amendment 4</w:t>
      </w:r>
    </w:p>
    <w:p w:rsidRPr="008D0341" w:rsidR="00352E5C" w:rsidP="003F40F8" w:rsidRDefault="00352E5C" w14:paraId="5EF90D01" w14:textId="260C8EFF">
      <w:pPr>
        <w:keepNext/>
        <w:keepLines/>
        <w:jc w:val="center"/>
        <w:rPr>
          <w:rFonts w:eastAsia="Myriad Pro"/>
          <w:lang w:val="en-GB"/>
        </w:rPr>
      </w:pPr>
      <w:r w:rsidRPr="008D0341">
        <w:rPr>
          <w:rFonts w:eastAsia="Myriad Pro"/>
          <w:lang w:val="en-GB"/>
        </w:rPr>
        <w:t xml:space="preserve">Article 10 </w:t>
      </w:r>
      <w:r w:rsidRPr="008D0341" w:rsidR="007A0032">
        <w:rPr>
          <w:rFonts w:eastAsia="Myriad Pro"/>
          <w:lang w:val="en-GB"/>
        </w:rPr>
        <w:t>–</w:t>
      </w:r>
      <w:r w:rsidRPr="008D0341">
        <w:rPr>
          <w:rFonts w:eastAsia="Myriad Pro"/>
          <w:lang w:val="en-GB"/>
        </w:rPr>
        <w:t xml:space="preserve"> Budget</w:t>
      </w:r>
    </w:p>
    <w:p w:rsidRPr="008D0341" w:rsidR="007A0032" w:rsidP="003F40F8" w:rsidRDefault="007A0032" w14:paraId="2421C5E0"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CB5DB8" w14:paraId="4945092E"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C42DB" w14:paraId="1374CD70" w14:textId="06E1A794">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02F9EEA6" w14:textId="77777777">
            <w:pPr>
              <w:jc w:val="center"/>
              <w:rPr>
                <w:b/>
                <w:bCs/>
                <w:i/>
                <w:iCs/>
                <w:lang w:val="en-GB"/>
              </w:rPr>
            </w:pPr>
            <w:r w:rsidRPr="008D0341">
              <w:rPr>
                <w:b/>
                <w:bCs/>
                <w:i/>
                <w:iCs/>
                <w:lang w:val="en-GB"/>
              </w:rPr>
              <w:t>CoR amendment</w:t>
            </w:r>
          </w:p>
        </w:tc>
      </w:tr>
      <w:tr w:rsidRPr="008D0341" w:rsidR="00352E5C" w:rsidTr="00CB5DB8" w14:paraId="1400ACF3"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63224B" w:rsidRDefault="00352E5C" w14:paraId="0D12A32F" w14:textId="16E1C97C">
            <w:pPr>
              <w:shd w:val="clear" w:color="auto" w:fill="FFFFFF"/>
              <w:textAlignment w:val="baseline"/>
              <w:rPr>
                <w:color w:val="000000"/>
                <w:lang w:val="en-GB"/>
              </w:rPr>
            </w:pPr>
            <w:r w:rsidRPr="008D0341">
              <w:rPr>
                <w:color w:val="000000"/>
                <w:bdr w:val="none" w:color="auto" w:sz="0" w:space="0" w:frame="1"/>
                <w:lang w:val="en-GB"/>
              </w:rPr>
              <w:t>2.</w:t>
            </w:r>
            <w:r w:rsidRPr="008D0341" w:rsidR="00C62132">
              <w:rPr>
                <w:color w:val="000000"/>
                <w:bdr w:val="none" w:color="auto" w:sz="0" w:space="0" w:frame="1"/>
                <w:lang w:val="en-GB"/>
              </w:rPr>
              <w:t xml:space="preserve"> </w:t>
            </w:r>
            <w:r w:rsidRPr="008D0341">
              <w:rPr>
                <w:color w:val="000000"/>
                <w:bdr w:val="none" w:color="auto" w:sz="0" w:space="0" w:frame="1"/>
                <w:lang w:val="en-GB"/>
              </w:rPr>
              <w:t>The financial envelope shall be allocated as follows:</w:t>
            </w:r>
          </w:p>
          <w:p w:rsidRPr="008D0341" w:rsidR="00352E5C" w:rsidP="0063224B" w:rsidRDefault="00352E5C" w14:paraId="1F0B0477" w14:textId="06E03140">
            <w:pPr>
              <w:shd w:val="clear" w:color="auto" w:fill="FFFFFF"/>
              <w:textAlignment w:val="baseline"/>
              <w:rPr>
                <w:b/>
                <w:bCs/>
                <w:i/>
                <w:iCs/>
                <w:color w:val="000000"/>
                <w:lang w:val="en-GB"/>
              </w:rPr>
            </w:pPr>
            <w:r w:rsidRPr="0063224B">
              <w:rPr>
                <w:color w:val="000000"/>
                <w:bdr w:val="none" w:color="auto" w:sz="0" w:space="0" w:frame="1"/>
                <w:lang w:val="en-GB"/>
              </w:rPr>
              <w:t>(a)</w:t>
            </w:r>
            <w:r w:rsidRPr="008D0341" w:rsidR="009513D8">
              <w:rPr>
                <w:b/>
                <w:bCs/>
                <w:i/>
                <w:iCs/>
                <w:color w:val="000000"/>
                <w:bdr w:val="none" w:color="auto" w:sz="0" w:space="0" w:frame="1"/>
                <w:lang w:val="en-GB"/>
              </w:rPr>
              <w:t xml:space="preserve"> </w:t>
            </w:r>
            <w:r w:rsidRPr="008D0341">
              <w:rPr>
                <w:b/>
                <w:bCs/>
                <w:i/>
                <w:iCs/>
                <w:color w:val="000000"/>
                <w:bdr w:val="none" w:color="auto" w:sz="0" w:space="0" w:frame="1"/>
                <w:lang w:val="en-GB"/>
              </w:rPr>
              <w:t>EUR 782 879 000 000 </w:t>
            </w:r>
            <w:r w:rsidRPr="0063224B">
              <w:rPr>
                <w:color w:val="000000"/>
                <w:bdr w:val="none" w:color="auto" w:sz="0" w:space="0" w:frame="1"/>
                <w:lang w:val="en-GB"/>
              </w:rPr>
              <w:t>shall be allocated to the</w:t>
            </w:r>
            <w:r w:rsidR="008C42DB">
              <w:rPr>
                <w:color w:val="000000"/>
                <w:bdr w:val="none" w:color="auto" w:sz="0" w:space="0" w:frame="1"/>
                <w:lang w:val="en-GB"/>
              </w:rPr>
              <w:t xml:space="preserve"> </w:t>
            </w:r>
            <w:r w:rsidRPr="0063224B">
              <w:rPr>
                <w:color w:val="000000"/>
                <w:bdr w:val="none" w:color="auto" w:sz="0" w:space="0" w:frame="1"/>
                <w:lang w:val="en-GB"/>
              </w:rPr>
              <w:t>NRP</w:t>
            </w:r>
            <w:r w:rsidR="008C42DB">
              <w:rPr>
                <w:color w:val="000000"/>
                <w:bdr w:val="none" w:color="auto" w:sz="0" w:space="0" w:frame="1"/>
                <w:lang w:val="en-GB"/>
              </w:rPr>
              <w:t xml:space="preserve"> </w:t>
            </w:r>
            <w:r w:rsidRPr="0063224B">
              <w:rPr>
                <w:color w:val="000000"/>
                <w:bdr w:val="none" w:color="auto" w:sz="0" w:space="0" w:frame="1"/>
                <w:lang w:val="en-GB"/>
              </w:rPr>
              <w:t>Plans</w:t>
            </w:r>
            <w:r w:rsidR="008C42DB">
              <w:rPr>
                <w:color w:val="000000"/>
                <w:bdr w:val="none" w:color="auto" w:sz="0" w:space="0" w:frame="1"/>
                <w:lang w:val="en-GB"/>
              </w:rPr>
              <w:t xml:space="preserve"> </w:t>
            </w:r>
            <w:r w:rsidRPr="0063224B">
              <w:rPr>
                <w:color w:val="000000"/>
                <w:bdr w:val="none" w:color="auto" w:sz="0" w:space="0" w:frame="1"/>
                <w:lang w:val="en-GB"/>
              </w:rPr>
              <w:t>referred to in Title III in accordance with Annex I [Allocation key],</w:t>
            </w:r>
            <w:r w:rsidRPr="008D0341">
              <w:rPr>
                <w:b/>
                <w:bCs/>
                <w:i/>
                <w:iCs/>
                <w:color w:val="000000"/>
                <w:bdr w:val="none" w:color="auto" w:sz="0" w:space="0" w:frame="1"/>
                <w:lang w:val="en-GB"/>
              </w:rPr>
              <w:t xml:space="preserve"> of which:</w:t>
            </w:r>
          </w:p>
          <w:p w:rsidRPr="008D0341" w:rsidR="00352E5C" w:rsidP="0063224B" w:rsidRDefault="00352E5C" w14:paraId="04B6FA2A" w14:textId="3BAC9691">
            <w:pPr>
              <w:shd w:val="clear" w:color="auto" w:fill="FFFFFF"/>
              <w:textAlignment w:val="baseline"/>
              <w:rPr>
                <w:color w:val="000000"/>
                <w:lang w:val="en-GB"/>
              </w:rPr>
            </w:pPr>
            <w:r w:rsidRPr="008D0341">
              <w:rPr>
                <w:b/>
                <w:bCs/>
                <w:i/>
                <w:iCs/>
                <w:color w:val="000000"/>
                <w:bdr w:val="none" w:color="auto" w:sz="0" w:space="0" w:frame="1"/>
                <w:lang w:val="en-GB"/>
              </w:rPr>
              <w:t>(I)</w:t>
            </w:r>
            <w:r w:rsidRPr="008D0341" w:rsidR="009513D8">
              <w:rPr>
                <w:b/>
                <w:bCs/>
                <w:i/>
                <w:iCs/>
                <w:color w:val="000000"/>
                <w:bdr w:val="none" w:color="auto" w:sz="0" w:space="0" w:frame="1"/>
                <w:lang w:val="en-GB"/>
              </w:rPr>
              <w:t xml:space="preserve"> </w:t>
            </w:r>
            <w:r w:rsidRPr="008D0341">
              <w:rPr>
                <w:b/>
                <w:bCs/>
                <w:i/>
                <w:iCs/>
                <w:color w:val="000000"/>
                <w:bdr w:val="none" w:color="auto" w:sz="0" w:space="0" w:frame="1"/>
                <w:lang w:val="en-GB"/>
              </w:rPr>
              <w:t>At least EUR 217 798 000 000 for less developed regions by establishing minimum amounts per Member State based on the methodology set out in Annex II;</w:t>
            </w:r>
          </w:p>
          <w:p w:rsidRPr="008D0341" w:rsidR="00352E5C" w:rsidP="0063224B" w:rsidRDefault="00352E5C" w14:paraId="7AA7C1D2" w14:textId="1DE5CF12">
            <w:pPr>
              <w:shd w:val="clear" w:color="auto" w:fill="FFFFFF"/>
              <w:textAlignment w:val="baseline"/>
              <w:rPr>
                <w:color w:val="000000"/>
                <w:lang w:val="en-GB"/>
              </w:rPr>
            </w:pPr>
            <w:r w:rsidRPr="008D0341">
              <w:rPr>
                <w:color w:val="000000"/>
                <w:bdr w:val="none" w:color="auto" w:sz="0" w:space="0" w:frame="1"/>
                <w:lang w:val="en-GB"/>
              </w:rPr>
              <w:t>(II)</w:t>
            </w:r>
            <w:r w:rsidRPr="008D0341" w:rsidR="009513D8">
              <w:rPr>
                <w:color w:val="000000"/>
                <w:bdr w:val="none" w:color="auto" w:sz="0" w:space="0" w:frame="1"/>
                <w:lang w:val="en-GB"/>
              </w:rPr>
              <w:t xml:space="preserve"> </w:t>
            </w:r>
            <w:r w:rsidRPr="008D0341">
              <w:rPr>
                <w:color w:val="000000"/>
                <w:bdr w:val="none" w:color="auto" w:sz="0" w:space="0" w:frame="1"/>
                <w:lang w:val="en-GB"/>
              </w:rPr>
              <w:t>At least EUR 295 700 000 000 for CAP interventions referred to in Article 35(1) [types of support], paragraph 1, points (a) to (k) and (r) and paragraph 10 and for interventions listed in article 35 paragraph 11;</w:t>
            </w:r>
          </w:p>
          <w:p w:rsidRPr="008D0341" w:rsidR="00352E5C" w:rsidP="0063224B" w:rsidRDefault="00352E5C" w14:paraId="10C387B5" w14:textId="517BBC1E">
            <w:pPr>
              <w:shd w:val="clear" w:color="auto" w:fill="FFFFFF"/>
              <w:textAlignment w:val="baseline"/>
              <w:rPr>
                <w:color w:val="000000"/>
                <w:lang w:val="en-GB"/>
              </w:rPr>
            </w:pPr>
            <w:r w:rsidRPr="008D0341">
              <w:rPr>
                <w:color w:val="000000"/>
                <w:bdr w:val="none" w:color="auto" w:sz="0" w:space="0" w:frame="1"/>
                <w:lang w:val="en-GB"/>
              </w:rPr>
              <w:t>(III)</w:t>
            </w:r>
            <w:r w:rsidRPr="008D0341" w:rsidR="009513D8">
              <w:rPr>
                <w:color w:val="000000"/>
                <w:bdr w:val="none" w:color="auto" w:sz="0" w:space="0" w:frame="1"/>
                <w:lang w:val="en-GB"/>
              </w:rPr>
              <w:t xml:space="preserve"> </w:t>
            </w:r>
            <w:r w:rsidRPr="008D0341">
              <w:rPr>
                <w:color w:val="000000"/>
                <w:bdr w:val="none" w:color="auto" w:sz="0" w:space="0" w:frame="1"/>
                <w:lang w:val="en-GB"/>
              </w:rPr>
              <w:t>At least EUR 34 215 510 000 as follows: EUR 11 975 428 500 as set out in Article 4 of Regulation (EU) 202X/XXX [establishing the Union support for asylum, migration and integration for the period from 2028 to 2034], EUR 15 396 750 000 as set out in Article 4 of Regulation (EU) 202X/XXX [Establishing the Union support for the Schengen area, for European integrated border management and for the common policy on visas for the period from 2028 to 2034] and EUR 6 843 331 500 as set out in Article 4 of Regulation (EU) 202X/XXX [establishing the Union support for internal security for the period from 2028-2034] for the objectives set out in Article 3 of those Regulations.</w:t>
            </w:r>
          </w:p>
          <w:p w:rsidRPr="008D0341" w:rsidR="00352E5C" w:rsidP="0063224B" w:rsidRDefault="00352E5C" w14:paraId="3839EC51" w14:textId="6125E1E7">
            <w:pPr>
              <w:shd w:val="clear" w:color="auto" w:fill="FFFFFF"/>
              <w:textAlignment w:val="baseline"/>
              <w:rPr>
                <w:color w:val="000000"/>
                <w:lang w:val="en-GB"/>
              </w:rPr>
            </w:pPr>
            <w:r w:rsidRPr="008D0341">
              <w:rPr>
                <w:color w:val="000000"/>
                <w:bdr w:val="none" w:color="auto" w:sz="0" w:space="0" w:frame="1"/>
                <w:lang w:val="en-GB"/>
              </w:rPr>
              <w:t>(b)</w:t>
            </w:r>
            <w:r w:rsidRPr="008D0341" w:rsidR="009513D8">
              <w:rPr>
                <w:color w:val="000000"/>
                <w:bdr w:val="none" w:color="auto" w:sz="0" w:space="0" w:frame="1"/>
                <w:lang w:val="en-GB"/>
              </w:rPr>
              <w:t xml:space="preserve"> </w:t>
            </w:r>
            <w:r w:rsidRPr="008D0341">
              <w:rPr>
                <w:color w:val="000000"/>
                <w:bdr w:val="none" w:color="auto" w:sz="0" w:space="0" w:frame="1"/>
                <w:lang w:val="en-GB"/>
              </w:rPr>
              <w:t>EUR 71 933 000 000 shall be allocated to the Facility referred to in Title IV;</w:t>
            </w:r>
          </w:p>
          <w:p w:rsidRPr="001B04AC" w:rsidR="00407804" w:rsidP="0063224B" w:rsidRDefault="00352E5C" w14:paraId="0124A662" w14:textId="6B4105FC">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(c)</w:t>
            </w:r>
            <w:r w:rsidRPr="008D0341" w:rsidR="009513D8">
              <w:rPr>
                <w:b/>
                <w:bCs/>
                <w:i/>
                <w:iCs/>
                <w:color w:val="000000"/>
                <w:bdr w:val="none" w:color="auto" w:sz="0" w:space="0" w:frame="1"/>
                <w:lang w:val="en-GB"/>
              </w:rPr>
              <w:t xml:space="preserve"> </w:t>
            </w:r>
            <w:r w:rsidRPr="008D0341">
              <w:rPr>
                <w:b/>
                <w:bCs/>
                <w:i/>
                <w:iCs/>
                <w:color w:val="000000"/>
                <w:bdr w:val="none" w:color="auto" w:sz="0" w:space="0" w:frame="1"/>
                <w:lang w:val="en-GB"/>
              </w:rPr>
              <w:t>EUR 10 264 000 000 shall be allocated to the Interreg Plan referred to in Chapter II of Regulation XX [Regional development, Interreg Plan];</w:t>
            </w:r>
          </w:p>
          <w:p w:rsidRPr="001B04AC" w:rsidR="00407804" w:rsidP="0063224B" w:rsidRDefault="008152E3" w14:paraId="0C2EB31B" w14:textId="6FD1CF44">
            <w:pPr>
              <w:shd w:val="clear" w:color="auto" w:fill="FFFFFF"/>
              <w:textAlignment w:val="baseline"/>
              <w:rPr>
                <w:bdr w:val="none" w:color="auto" w:sz="0" w:space="0" w:frame="1"/>
                <w:lang w:val="en-GB"/>
              </w:rPr>
            </w:pPr>
            <w:r w:rsidRPr="008D0341">
              <w:rPr>
                <w:bdr w:val="none" w:color="auto" w:sz="0" w:space="0" w:frame="1"/>
                <w:lang w:val="en-GB"/>
              </w:rPr>
              <w:t>[…]</w:t>
            </w:r>
          </w:p>
          <w:p w:rsidRPr="008D0341" w:rsidR="00407804" w:rsidP="0063224B" w:rsidRDefault="00407804" w14:paraId="1B2DE36A" w14:textId="4F2C8DC4">
            <w:pPr>
              <w:shd w:val="clear" w:color="auto" w:fill="FFFFFF"/>
              <w:textAlignment w:val="baseline"/>
              <w:rPr>
                <w:color w:val="000000"/>
                <w:lang w:val="en-GB"/>
              </w:rPr>
            </w:pPr>
            <w:r w:rsidRPr="008D0341">
              <w:rPr>
                <w:color w:val="000000"/>
                <w:lang w:val="en-GB"/>
              </w:rPr>
              <w:t>5. At least 14 % of the financial envelope referred to in paragraph 2 and of the amount referred to in paragraph 4 shall be dedicated to meeting the Union’s social objectives, calculated by using the coefficients referred to in Article 6(1) of Regulation (EU) [Performance Regulation]. The amount set out in paragraph 2, point (a) letter (ii), as well as the external assigned revenue from the Social Climate Fund, shall be excluded from the basis for the calculation of this minimum allocation.</w:t>
            </w:r>
          </w:p>
          <w:p w:rsidRPr="008D0341" w:rsidR="00352E5C" w:rsidP="00066365" w:rsidRDefault="00556203" w14:paraId="708D04AD" w14:textId="02BC43A6">
            <w:pPr>
              <w:rPr>
                <w:lang w:val="en-GB"/>
              </w:rPr>
            </w:pPr>
            <w:r w:rsidRPr="008D0341">
              <w:rPr>
                <w:color w:val="000000"/>
                <w:bdr w:val="none" w:color="auto" w:sz="0" w:space="0" w:frame="1"/>
                <w:lang w:val="en-GB"/>
              </w:rPr>
              <w:t>[…]</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3626E03B" w14:textId="283C79E1">
            <w:pPr>
              <w:shd w:val="clear" w:color="auto" w:fill="FFFFFF"/>
              <w:ind w:left="59"/>
              <w:textAlignment w:val="baseline"/>
              <w:rPr>
                <w:color w:val="000000"/>
                <w:lang w:val="en-GB"/>
              </w:rPr>
            </w:pPr>
            <w:r w:rsidRPr="008D0341">
              <w:rPr>
                <w:color w:val="000000"/>
                <w:bdr w:val="none" w:color="auto" w:sz="0" w:space="0" w:frame="1"/>
                <w:lang w:val="en-GB"/>
              </w:rPr>
              <w:t>2.</w:t>
            </w:r>
            <w:r w:rsidRPr="008D0341" w:rsidR="009513D8">
              <w:rPr>
                <w:color w:val="000000"/>
                <w:bdr w:val="none" w:color="auto" w:sz="0" w:space="0" w:frame="1"/>
                <w:lang w:val="en-GB"/>
              </w:rPr>
              <w:t xml:space="preserve"> </w:t>
            </w:r>
            <w:r w:rsidRPr="008D0341">
              <w:rPr>
                <w:color w:val="000000"/>
                <w:bdr w:val="none" w:color="auto" w:sz="0" w:space="0" w:frame="1"/>
                <w:lang w:val="en-GB"/>
              </w:rPr>
              <w:t>The financial envelope shall be allocated as follows:</w:t>
            </w:r>
          </w:p>
          <w:p w:rsidRPr="008D0341" w:rsidR="00352E5C" w:rsidP="0063224B" w:rsidRDefault="00352E5C" w14:paraId="0C75122D" w14:textId="36305427">
            <w:pPr>
              <w:shd w:val="clear" w:color="auto" w:fill="FFFFFF"/>
              <w:ind w:left="59"/>
              <w:textAlignment w:val="baseline"/>
              <w:rPr>
                <w:b/>
                <w:bCs/>
                <w:i/>
                <w:iCs/>
                <w:color w:val="000000"/>
                <w:bdr w:val="none" w:color="auto" w:sz="0" w:space="0" w:frame="1"/>
                <w:lang w:val="en-GB"/>
              </w:rPr>
            </w:pPr>
            <w:r w:rsidRPr="0063224B">
              <w:rPr>
                <w:color w:val="000000"/>
                <w:bdr w:val="none" w:color="auto" w:sz="0" w:space="0" w:frame="1"/>
                <w:lang w:val="en-GB"/>
              </w:rPr>
              <w:t>(a)</w:t>
            </w:r>
            <w:r w:rsidRPr="008D0341" w:rsidR="009513D8">
              <w:rPr>
                <w:b/>
                <w:bCs/>
                <w:i/>
                <w:iCs/>
                <w:color w:val="000000"/>
                <w:bdr w:val="none" w:color="auto" w:sz="0" w:space="0" w:frame="1"/>
                <w:lang w:val="en-GB"/>
              </w:rPr>
              <w:t xml:space="preserve"> </w:t>
            </w:r>
            <w:r w:rsidRPr="008D0341">
              <w:rPr>
                <w:b/>
                <w:bCs/>
                <w:i/>
                <w:iCs/>
                <w:color w:val="000000"/>
                <w:bdr w:val="none" w:color="auto" w:sz="0" w:space="0" w:frame="1"/>
                <w:lang w:val="en-GB"/>
              </w:rPr>
              <w:t>EUR </w:t>
            </w:r>
            <w:r w:rsidRPr="008D0341" w:rsidR="00DA0819">
              <w:rPr>
                <w:b/>
                <w:bCs/>
                <w:i/>
                <w:iCs/>
                <w:color w:val="000000"/>
                <w:bdr w:val="none" w:color="auto" w:sz="0" w:space="0" w:frame="1"/>
                <w:lang w:val="en-GB"/>
              </w:rPr>
              <w:t>873</w:t>
            </w:r>
            <w:r w:rsidR="006924BC">
              <w:rPr>
                <w:b/>
                <w:bCs/>
                <w:i/>
                <w:iCs/>
                <w:color w:val="000000"/>
                <w:bdr w:val="none" w:color="auto" w:sz="0" w:space="0" w:frame="1"/>
                <w:lang w:val="en-GB"/>
              </w:rPr>
              <w:t> </w:t>
            </w:r>
            <w:r w:rsidRPr="008D0341" w:rsidR="00DA0819">
              <w:rPr>
                <w:b/>
                <w:bCs/>
                <w:i/>
                <w:iCs/>
                <w:color w:val="000000"/>
                <w:bdr w:val="none" w:color="auto" w:sz="0" w:space="0" w:frame="1"/>
                <w:lang w:val="en-GB"/>
              </w:rPr>
              <w:t>301</w:t>
            </w:r>
            <w:r w:rsidRPr="008D0341" w:rsidR="00337680">
              <w:rPr>
                <w:b/>
                <w:bCs/>
                <w:i/>
                <w:iCs/>
                <w:color w:val="000000"/>
                <w:bdr w:val="none" w:color="auto" w:sz="0" w:space="0" w:frame="1"/>
                <w:lang w:val="en-GB"/>
              </w:rPr>
              <w:t> </w:t>
            </w:r>
            <w:r w:rsidRPr="008D0341" w:rsidR="005D5A84">
              <w:rPr>
                <w:b/>
                <w:bCs/>
                <w:i/>
                <w:iCs/>
                <w:color w:val="000000"/>
                <w:bdr w:val="none" w:color="auto" w:sz="0" w:space="0" w:frame="1"/>
                <w:lang w:val="en-GB"/>
              </w:rPr>
              <w:t>000</w:t>
            </w:r>
            <w:r w:rsidRPr="008D0341" w:rsidR="00337680">
              <w:rPr>
                <w:b/>
                <w:bCs/>
                <w:i/>
                <w:iCs/>
                <w:color w:val="000000"/>
                <w:bdr w:val="none" w:color="auto" w:sz="0" w:space="0" w:frame="1"/>
                <w:lang w:val="en-GB"/>
              </w:rPr>
              <w:t> </w:t>
            </w:r>
            <w:r w:rsidRPr="008D0341" w:rsidR="005D5A84">
              <w:rPr>
                <w:b/>
                <w:bCs/>
                <w:i/>
                <w:iCs/>
                <w:color w:val="000000"/>
                <w:bdr w:val="none" w:color="auto" w:sz="0" w:space="0" w:frame="1"/>
                <w:lang w:val="en-GB"/>
              </w:rPr>
              <w:t>000</w:t>
            </w:r>
            <w:r w:rsidRPr="008D0341">
              <w:rPr>
                <w:b/>
                <w:bCs/>
                <w:i/>
                <w:iCs/>
                <w:color w:val="000000"/>
                <w:bdr w:val="none" w:color="auto" w:sz="0" w:space="0" w:frame="1"/>
                <w:lang w:val="en-GB"/>
              </w:rPr>
              <w:t xml:space="preserve"> </w:t>
            </w:r>
            <w:r w:rsidRPr="0063224B">
              <w:rPr>
                <w:color w:val="000000"/>
                <w:bdr w:val="none" w:color="auto" w:sz="0" w:space="0" w:frame="1"/>
                <w:lang w:val="en-GB"/>
              </w:rPr>
              <w:t>shall be allocated to the NRP Plans referred to in Title III in accordance with Annex I [Allocation key].</w:t>
            </w:r>
            <w:r w:rsidRPr="008D0341">
              <w:rPr>
                <w:b/>
                <w:bCs/>
                <w:i/>
                <w:iCs/>
                <w:color w:val="000000"/>
                <w:bdr w:val="none" w:color="auto" w:sz="0" w:space="0" w:frame="1"/>
                <w:lang w:val="en-GB"/>
              </w:rPr>
              <w:t xml:space="preserve"> The budget allocated for </w:t>
            </w:r>
            <w:r w:rsidRPr="008D0341" w:rsidR="00337680">
              <w:rPr>
                <w:b/>
                <w:bCs/>
                <w:i/>
                <w:iCs/>
                <w:color w:val="000000"/>
                <w:bdr w:val="none" w:color="auto" w:sz="0" w:space="0" w:frame="1"/>
                <w:lang w:val="en-GB"/>
              </w:rPr>
              <w:t>c</w:t>
            </w:r>
            <w:r w:rsidRPr="008D0341">
              <w:rPr>
                <w:b/>
                <w:bCs/>
                <w:i/>
                <w:iCs/>
                <w:color w:val="000000"/>
                <w:bdr w:val="none" w:color="auto" w:sz="0" w:space="0" w:frame="1"/>
                <w:lang w:val="en-GB"/>
              </w:rPr>
              <w:t>ohesion policy (i.e.</w:t>
            </w:r>
            <w:r w:rsidRPr="008D0341" w:rsidR="00D80D10">
              <w:rPr>
                <w:b/>
                <w:bCs/>
                <w:i/>
                <w:iCs/>
                <w:color w:val="000000"/>
                <w:bdr w:val="none" w:color="auto" w:sz="0" w:space="0" w:frame="1"/>
                <w:lang w:val="en-GB"/>
              </w:rPr>
              <w:t>,</w:t>
            </w:r>
            <w:r w:rsidRPr="008D0341">
              <w:rPr>
                <w:b/>
                <w:bCs/>
                <w:i/>
                <w:iCs/>
                <w:color w:val="000000"/>
                <w:bdr w:val="none" w:color="auto" w:sz="0" w:space="0" w:frame="1"/>
                <w:lang w:val="en-GB"/>
              </w:rPr>
              <w:t xml:space="preserve"> a total of EUR [</w:t>
            </w:r>
            <w:r w:rsidRPr="008D0341" w:rsidR="00DA0819">
              <w:rPr>
                <w:b/>
                <w:bCs/>
                <w:i/>
                <w:iCs/>
                <w:color w:val="000000"/>
                <w:bdr w:val="none" w:color="auto" w:sz="0" w:space="0" w:frame="1"/>
                <w:lang w:val="en-GB"/>
              </w:rPr>
              <w:t>396</w:t>
            </w:r>
            <w:r w:rsidR="006924BC">
              <w:rPr>
                <w:b/>
                <w:bCs/>
                <w:i/>
                <w:iCs/>
                <w:color w:val="000000"/>
                <w:bdr w:val="none" w:color="auto" w:sz="0" w:space="0" w:frame="1"/>
                <w:lang w:val="en-GB"/>
              </w:rPr>
              <w:t> </w:t>
            </w:r>
            <w:r w:rsidRPr="008D0341" w:rsidR="00DA0819">
              <w:rPr>
                <w:b/>
                <w:bCs/>
                <w:i/>
                <w:iCs/>
                <w:color w:val="000000"/>
                <w:bdr w:val="none" w:color="auto" w:sz="0" w:space="0" w:frame="1"/>
                <w:lang w:val="en-GB"/>
              </w:rPr>
              <w:t>400</w:t>
            </w:r>
            <w:r w:rsidRPr="008D0341" w:rsidR="00337680">
              <w:rPr>
                <w:b/>
                <w:bCs/>
                <w:i/>
                <w:iCs/>
                <w:color w:val="000000"/>
                <w:bdr w:val="none" w:color="auto" w:sz="0" w:space="0" w:frame="1"/>
                <w:lang w:val="en-GB"/>
              </w:rPr>
              <w:t> </w:t>
            </w:r>
            <w:r w:rsidRPr="008D0341" w:rsidR="0092321E">
              <w:rPr>
                <w:b/>
                <w:bCs/>
                <w:i/>
                <w:iCs/>
                <w:color w:val="000000"/>
                <w:bdr w:val="none" w:color="auto" w:sz="0" w:space="0" w:frame="1"/>
                <w:lang w:val="en-GB"/>
              </w:rPr>
              <w:t>000</w:t>
            </w:r>
            <w:r w:rsidRPr="008D0341" w:rsidR="00337680">
              <w:rPr>
                <w:b/>
                <w:bCs/>
                <w:i/>
                <w:iCs/>
                <w:color w:val="000000"/>
                <w:bdr w:val="none" w:color="auto" w:sz="0" w:space="0" w:frame="1"/>
                <w:lang w:val="en-GB"/>
              </w:rPr>
              <w:t> </w:t>
            </w:r>
            <w:r w:rsidRPr="008D0341" w:rsidR="0092321E">
              <w:rPr>
                <w:b/>
                <w:bCs/>
                <w:i/>
                <w:iCs/>
                <w:color w:val="000000"/>
                <w:bdr w:val="none" w:color="auto" w:sz="0" w:space="0" w:frame="1"/>
                <w:lang w:val="en-GB"/>
              </w:rPr>
              <w:t>000</w:t>
            </w:r>
            <w:r w:rsidRPr="008D0341">
              <w:rPr>
                <w:b/>
                <w:bCs/>
                <w:i/>
                <w:iCs/>
                <w:color w:val="000000"/>
                <w:bdr w:val="none" w:color="auto" w:sz="0" w:space="0" w:frame="1"/>
                <w:lang w:val="en-GB"/>
              </w:rPr>
              <w:t>]) shall be allocated as follow</w:t>
            </w:r>
            <w:r w:rsidRPr="008D0341" w:rsidR="00337680">
              <w:rPr>
                <w:b/>
                <w:bCs/>
                <w:i/>
                <w:iCs/>
                <w:color w:val="000000"/>
                <w:bdr w:val="none" w:color="auto" w:sz="0" w:space="0" w:frame="1"/>
                <w:lang w:val="en-GB"/>
              </w:rPr>
              <w:t>s</w:t>
            </w:r>
            <w:r w:rsidRPr="008D0341">
              <w:rPr>
                <w:b/>
                <w:bCs/>
                <w:i/>
                <w:iCs/>
                <w:color w:val="000000"/>
                <w:bdr w:val="none" w:color="auto" w:sz="0" w:space="0" w:frame="1"/>
                <w:lang w:val="en-GB"/>
              </w:rPr>
              <w:t>:</w:t>
            </w:r>
          </w:p>
          <w:p w:rsidRPr="008D0341" w:rsidR="00352E5C" w:rsidP="0063224B" w:rsidRDefault="00352E5C" w14:paraId="0246FA8E" w14:textId="1BF7CAE3">
            <w:pPr>
              <w:shd w:val="clear" w:color="auto" w:fill="FFFFFF"/>
              <w:ind w:left="59"/>
              <w:textAlignment w:val="baseline"/>
              <w:rPr>
                <w:b/>
                <w:bCs/>
                <w:i/>
                <w:iCs/>
                <w:color w:val="000000"/>
                <w:lang w:val="en-GB"/>
              </w:rPr>
            </w:pPr>
            <w:r w:rsidRPr="008D0341">
              <w:rPr>
                <w:b/>
                <w:bCs/>
                <w:i/>
                <w:iCs/>
                <w:color w:val="000000"/>
                <w:lang w:val="en-GB"/>
              </w:rPr>
              <w:t>(</w:t>
            </w:r>
            <w:r w:rsidRPr="008D0341" w:rsidR="00216432">
              <w:rPr>
                <w:b/>
                <w:bCs/>
                <w:i/>
                <w:iCs/>
                <w:color w:val="000000"/>
                <w:lang w:val="en-GB"/>
              </w:rPr>
              <w:t>a</w:t>
            </w:r>
            <w:r w:rsidRPr="008D0341">
              <w:rPr>
                <w:b/>
                <w:bCs/>
                <w:i/>
                <w:iCs/>
                <w:color w:val="000000"/>
                <w:lang w:val="en-GB"/>
              </w:rPr>
              <w:t xml:space="preserve">) </w:t>
            </w:r>
            <w:r w:rsidRPr="008D0341" w:rsidR="00DA0819">
              <w:rPr>
                <w:b/>
                <w:bCs/>
                <w:i/>
                <w:iCs/>
                <w:color w:val="000000"/>
                <w:lang w:val="en-GB"/>
              </w:rPr>
              <w:t>61</w:t>
            </w:r>
            <w:r w:rsidR="006924BC">
              <w:rPr>
                <w:b/>
                <w:bCs/>
                <w:i/>
                <w:iCs/>
                <w:color w:val="000000"/>
                <w:lang w:val="en-GB"/>
              </w:rPr>
              <w:t>.</w:t>
            </w:r>
            <w:r w:rsidRPr="008D0341" w:rsidR="00DA0819">
              <w:rPr>
                <w:b/>
                <w:bCs/>
                <w:i/>
                <w:iCs/>
                <w:color w:val="000000"/>
                <w:lang w:val="en-GB"/>
              </w:rPr>
              <w:t>3</w:t>
            </w:r>
            <w:r w:rsidRPr="008D0341">
              <w:rPr>
                <w:b/>
                <w:bCs/>
                <w:i/>
                <w:iCs/>
                <w:color w:val="000000"/>
                <w:lang w:val="en-GB"/>
              </w:rPr>
              <w:t xml:space="preserve">% </w:t>
            </w:r>
            <w:r w:rsidRPr="008D0341" w:rsidR="0092321E">
              <w:rPr>
                <w:b/>
                <w:bCs/>
                <w:i/>
                <w:iCs/>
                <w:color w:val="000000"/>
                <w:lang w:val="en-GB"/>
              </w:rPr>
              <w:t>(EUR 243</w:t>
            </w:r>
            <w:r w:rsidRPr="008D0341" w:rsidR="00337680">
              <w:rPr>
                <w:b/>
                <w:bCs/>
                <w:i/>
                <w:iCs/>
                <w:color w:val="000000"/>
                <w:lang w:val="en-GB"/>
              </w:rPr>
              <w:t> </w:t>
            </w:r>
            <w:r w:rsidRPr="008D0341" w:rsidR="0092321E">
              <w:rPr>
                <w:b/>
                <w:bCs/>
                <w:i/>
                <w:iCs/>
                <w:color w:val="000000"/>
                <w:lang w:val="en-GB"/>
              </w:rPr>
              <w:t>000</w:t>
            </w:r>
            <w:r w:rsidRPr="008D0341" w:rsidR="00337680">
              <w:rPr>
                <w:b/>
                <w:bCs/>
                <w:i/>
                <w:iCs/>
                <w:color w:val="000000"/>
                <w:lang w:val="en-GB"/>
              </w:rPr>
              <w:t> </w:t>
            </w:r>
            <w:r w:rsidRPr="008D0341" w:rsidR="0092321E">
              <w:rPr>
                <w:b/>
                <w:bCs/>
                <w:i/>
                <w:iCs/>
                <w:color w:val="000000"/>
                <w:lang w:val="en-GB"/>
              </w:rPr>
              <w:t>000</w:t>
            </w:r>
            <w:r w:rsidRPr="008D0341" w:rsidR="00337680">
              <w:rPr>
                <w:b/>
                <w:bCs/>
                <w:i/>
                <w:iCs/>
                <w:color w:val="000000"/>
                <w:lang w:val="en-GB"/>
              </w:rPr>
              <w:t> </w:t>
            </w:r>
            <w:r w:rsidRPr="008D0341" w:rsidR="0092321E">
              <w:rPr>
                <w:b/>
                <w:bCs/>
                <w:i/>
                <w:iCs/>
                <w:color w:val="000000"/>
                <w:lang w:val="en-GB"/>
              </w:rPr>
              <w:t>000)</w:t>
            </w:r>
            <w:r w:rsidRPr="008D0341" w:rsidR="0017365B">
              <w:rPr>
                <w:b/>
                <w:bCs/>
                <w:i/>
                <w:iCs/>
                <w:color w:val="000000"/>
                <w:lang w:val="en-GB"/>
              </w:rPr>
              <w:t xml:space="preserve"> </w:t>
            </w:r>
            <w:r w:rsidRPr="008D0341">
              <w:rPr>
                <w:b/>
                <w:bCs/>
                <w:i/>
                <w:iCs/>
                <w:color w:val="000000"/>
                <w:lang w:val="en-GB"/>
              </w:rPr>
              <w:t>for less developed regions;</w:t>
            </w:r>
          </w:p>
          <w:p w:rsidRPr="008D0341" w:rsidR="00352E5C" w:rsidP="0063224B" w:rsidRDefault="00352E5C" w14:paraId="7806C185" w14:textId="3493C7BE">
            <w:pPr>
              <w:shd w:val="clear" w:color="auto" w:fill="FFFFFF"/>
              <w:ind w:left="59"/>
              <w:textAlignment w:val="baseline"/>
              <w:rPr>
                <w:b/>
                <w:bCs/>
                <w:i/>
                <w:iCs/>
                <w:color w:val="000000"/>
                <w:lang w:val="en-GB"/>
              </w:rPr>
            </w:pPr>
            <w:r w:rsidRPr="008D0341">
              <w:rPr>
                <w:b/>
                <w:bCs/>
                <w:i/>
                <w:iCs/>
                <w:color w:val="000000"/>
                <w:lang w:val="en-GB"/>
              </w:rPr>
              <w:t>(</w:t>
            </w:r>
            <w:r w:rsidRPr="008D0341" w:rsidR="00216432">
              <w:rPr>
                <w:b/>
                <w:bCs/>
                <w:i/>
                <w:iCs/>
                <w:color w:val="000000"/>
                <w:lang w:val="en-GB"/>
              </w:rPr>
              <w:t>b</w:t>
            </w:r>
            <w:r w:rsidRPr="008D0341">
              <w:rPr>
                <w:b/>
                <w:bCs/>
                <w:i/>
                <w:iCs/>
                <w:color w:val="000000"/>
                <w:lang w:val="en-GB"/>
              </w:rPr>
              <w:t xml:space="preserve">) </w:t>
            </w:r>
            <w:r w:rsidRPr="008D0341" w:rsidR="0092321E">
              <w:rPr>
                <w:b/>
                <w:bCs/>
                <w:i/>
                <w:iCs/>
                <w:color w:val="000000"/>
                <w:lang w:val="en-GB"/>
              </w:rPr>
              <w:t>14</w:t>
            </w:r>
            <w:r w:rsidR="006924BC">
              <w:rPr>
                <w:b/>
                <w:bCs/>
                <w:i/>
                <w:iCs/>
                <w:color w:val="000000"/>
                <w:lang w:val="en-GB"/>
              </w:rPr>
              <w:t>.</w:t>
            </w:r>
            <w:r w:rsidRPr="008D0341" w:rsidR="00DA0819">
              <w:rPr>
                <w:b/>
                <w:bCs/>
                <w:i/>
                <w:iCs/>
                <w:color w:val="000000"/>
                <w:lang w:val="en-GB"/>
              </w:rPr>
              <w:t>5</w:t>
            </w:r>
            <w:r w:rsidRPr="008D0341">
              <w:rPr>
                <w:b/>
                <w:bCs/>
                <w:i/>
                <w:iCs/>
                <w:color w:val="000000"/>
                <w:lang w:val="en-GB"/>
              </w:rPr>
              <w:t xml:space="preserve">% </w:t>
            </w:r>
            <w:r w:rsidRPr="008D0341" w:rsidR="0092321E">
              <w:rPr>
                <w:b/>
                <w:bCs/>
                <w:i/>
                <w:iCs/>
                <w:color w:val="000000"/>
                <w:lang w:val="en-GB"/>
              </w:rPr>
              <w:t xml:space="preserve">(EUR </w:t>
            </w:r>
            <w:r w:rsidRPr="008D0341" w:rsidR="00DA0819">
              <w:rPr>
                <w:b/>
                <w:bCs/>
                <w:i/>
                <w:iCs/>
                <w:color w:val="000000"/>
                <w:lang w:val="en-GB"/>
              </w:rPr>
              <w:t>57</w:t>
            </w:r>
            <w:r w:rsidRPr="008D0341" w:rsidR="00337680">
              <w:rPr>
                <w:b/>
                <w:bCs/>
                <w:i/>
                <w:iCs/>
                <w:color w:val="000000"/>
                <w:lang w:val="en-GB"/>
              </w:rPr>
              <w:t> </w:t>
            </w:r>
            <w:r w:rsidRPr="008D0341" w:rsidR="00DA0819">
              <w:rPr>
                <w:b/>
                <w:bCs/>
                <w:i/>
                <w:iCs/>
                <w:color w:val="000000"/>
                <w:lang w:val="en-GB"/>
              </w:rPr>
              <w:t>480</w:t>
            </w:r>
            <w:r w:rsidRPr="008D0341" w:rsidR="00337680">
              <w:rPr>
                <w:b/>
                <w:bCs/>
                <w:i/>
                <w:iCs/>
                <w:color w:val="000000"/>
                <w:lang w:val="en-GB"/>
              </w:rPr>
              <w:t> </w:t>
            </w:r>
            <w:r w:rsidRPr="008D0341" w:rsidR="0092321E">
              <w:rPr>
                <w:b/>
                <w:bCs/>
                <w:i/>
                <w:iCs/>
                <w:color w:val="000000"/>
                <w:lang w:val="en-GB"/>
              </w:rPr>
              <w:t>000</w:t>
            </w:r>
            <w:r w:rsidRPr="008D0341" w:rsidR="00337680">
              <w:rPr>
                <w:b/>
                <w:bCs/>
                <w:i/>
                <w:iCs/>
                <w:color w:val="000000"/>
                <w:lang w:val="en-GB"/>
              </w:rPr>
              <w:t> </w:t>
            </w:r>
            <w:r w:rsidRPr="008D0341" w:rsidR="0092321E">
              <w:rPr>
                <w:b/>
                <w:bCs/>
                <w:i/>
                <w:iCs/>
                <w:color w:val="000000"/>
                <w:lang w:val="en-GB"/>
              </w:rPr>
              <w:t xml:space="preserve">000) </w:t>
            </w:r>
            <w:r w:rsidRPr="008D0341">
              <w:rPr>
                <w:b/>
                <w:bCs/>
                <w:i/>
                <w:iCs/>
                <w:color w:val="000000"/>
                <w:lang w:val="en-GB"/>
              </w:rPr>
              <w:t>for transition regions;</w:t>
            </w:r>
          </w:p>
          <w:p w:rsidRPr="008D0341" w:rsidR="00352E5C" w:rsidP="0063224B" w:rsidRDefault="00352E5C" w14:paraId="1124C25B" w14:textId="2DB41283">
            <w:pPr>
              <w:shd w:val="clear" w:color="auto" w:fill="FFFFFF"/>
              <w:ind w:left="59"/>
              <w:textAlignment w:val="baseline"/>
              <w:rPr>
                <w:b/>
                <w:bCs/>
                <w:i/>
                <w:iCs/>
                <w:color w:val="000000"/>
                <w:lang w:val="en-GB"/>
              </w:rPr>
            </w:pPr>
            <w:r w:rsidRPr="008D0341">
              <w:rPr>
                <w:b/>
                <w:bCs/>
                <w:i/>
                <w:iCs/>
                <w:color w:val="000000"/>
                <w:lang w:val="en-GB"/>
              </w:rPr>
              <w:t>(</w:t>
            </w:r>
            <w:r w:rsidRPr="008D0341" w:rsidR="00216432">
              <w:rPr>
                <w:b/>
                <w:bCs/>
                <w:i/>
                <w:iCs/>
                <w:color w:val="000000"/>
                <w:lang w:val="en-GB"/>
              </w:rPr>
              <w:t>c</w:t>
            </w:r>
            <w:r w:rsidRPr="008D0341">
              <w:rPr>
                <w:b/>
                <w:bCs/>
                <w:i/>
                <w:iCs/>
                <w:color w:val="000000"/>
                <w:lang w:val="en-GB"/>
              </w:rPr>
              <w:t xml:space="preserve">) </w:t>
            </w:r>
            <w:r w:rsidRPr="008D0341" w:rsidR="00DA0819">
              <w:rPr>
                <w:b/>
                <w:bCs/>
                <w:i/>
                <w:iCs/>
                <w:color w:val="000000"/>
                <w:lang w:val="en-GB"/>
              </w:rPr>
              <w:t>8</w:t>
            </w:r>
            <w:r w:rsidR="006924BC">
              <w:rPr>
                <w:b/>
                <w:bCs/>
                <w:i/>
                <w:iCs/>
                <w:color w:val="000000"/>
                <w:lang w:val="en-GB"/>
              </w:rPr>
              <w:t>.</w:t>
            </w:r>
            <w:r w:rsidRPr="008D0341" w:rsidR="00DA0819">
              <w:rPr>
                <w:b/>
                <w:bCs/>
                <w:i/>
                <w:iCs/>
                <w:color w:val="000000"/>
                <w:lang w:val="en-GB"/>
              </w:rPr>
              <w:t>3</w:t>
            </w:r>
            <w:r w:rsidRPr="008D0341">
              <w:rPr>
                <w:b/>
                <w:bCs/>
                <w:i/>
                <w:iCs/>
                <w:color w:val="000000"/>
                <w:lang w:val="en-GB"/>
              </w:rPr>
              <w:t xml:space="preserve">% </w:t>
            </w:r>
            <w:r w:rsidRPr="008D0341" w:rsidR="0092321E">
              <w:rPr>
                <w:b/>
                <w:bCs/>
                <w:i/>
                <w:iCs/>
                <w:color w:val="000000"/>
                <w:lang w:val="en-GB"/>
              </w:rPr>
              <w:t>(EUR 32</w:t>
            </w:r>
            <w:r w:rsidR="006924BC">
              <w:rPr>
                <w:b/>
                <w:bCs/>
                <w:i/>
                <w:iCs/>
                <w:color w:val="000000"/>
                <w:lang w:val="en-GB"/>
              </w:rPr>
              <w:t> </w:t>
            </w:r>
            <w:r w:rsidRPr="008D0341" w:rsidR="00DA0819">
              <w:rPr>
                <w:b/>
                <w:bCs/>
                <w:i/>
                <w:iCs/>
                <w:color w:val="000000"/>
                <w:lang w:val="en-GB"/>
              </w:rPr>
              <w:t>9</w:t>
            </w:r>
            <w:r w:rsidRPr="008D0341" w:rsidR="0092321E">
              <w:rPr>
                <w:b/>
                <w:bCs/>
                <w:i/>
                <w:iCs/>
                <w:color w:val="000000"/>
                <w:lang w:val="en-GB"/>
              </w:rPr>
              <w:t>00</w:t>
            </w:r>
            <w:r w:rsidRPr="008D0341" w:rsidR="00337680">
              <w:rPr>
                <w:b/>
                <w:bCs/>
                <w:i/>
                <w:iCs/>
                <w:color w:val="000000"/>
                <w:lang w:val="en-GB"/>
              </w:rPr>
              <w:t> </w:t>
            </w:r>
            <w:r w:rsidRPr="008D0341" w:rsidR="0092321E">
              <w:rPr>
                <w:b/>
                <w:bCs/>
                <w:i/>
                <w:iCs/>
                <w:color w:val="000000"/>
                <w:lang w:val="en-GB"/>
              </w:rPr>
              <w:t>000</w:t>
            </w:r>
            <w:r w:rsidRPr="008D0341" w:rsidR="00337680">
              <w:rPr>
                <w:b/>
                <w:bCs/>
                <w:i/>
                <w:iCs/>
                <w:color w:val="000000"/>
                <w:lang w:val="en-GB"/>
              </w:rPr>
              <w:t> </w:t>
            </w:r>
            <w:r w:rsidRPr="008D0341" w:rsidR="0092321E">
              <w:rPr>
                <w:b/>
                <w:bCs/>
                <w:i/>
                <w:iCs/>
                <w:color w:val="000000"/>
                <w:lang w:val="en-GB"/>
              </w:rPr>
              <w:t xml:space="preserve">000) </w:t>
            </w:r>
            <w:r w:rsidRPr="008D0341">
              <w:rPr>
                <w:b/>
                <w:bCs/>
                <w:i/>
                <w:iCs/>
                <w:color w:val="000000"/>
                <w:lang w:val="en-GB"/>
              </w:rPr>
              <w:t>for more developed regions</w:t>
            </w:r>
            <w:r w:rsidRPr="008D0341" w:rsidR="00D80D10">
              <w:rPr>
                <w:b/>
                <w:bCs/>
                <w:i/>
                <w:iCs/>
                <w:color w:val="000000"/>
                <w:lang w:val="en-GB"/>
              </w:rPr>
              <w:t>;</w:t>
            </w:r>
          </w:p>
          <w:p w:rsidRPr="008D0341" w:rsidR="002F67B8" w:rsidP="0063224B" w:rsidRDefault="00352E5C" w14:paraId="419011E1" w14:textId="0F4BC9EC">
            <w:pPr>
              <w:shd w:val="clear" w:color="auto" w:fill="FFFFFF"/>
              <w:ind w:left="59"/>
              <w:textAlignment w:val="baseline"/>
              <w:rPr>
                <w:b/>
                <w:bCs/>
                <w:i/>
                <w:iCs/>
                <w:color w:val="000000"/>
                <w:lang w:val="en-GB"/>
              </w:rPr>
            </w:pPr>
            <w:r w:rsidRPr="008D0341">
              <w:rPr>
                <w:b/>
                <w:bCs/>
                <w:i/>
                <w:iCs/>
                <w:color w:val="000000"/>
                <w:lang w:val="en-GB"/>
              </w:rPr>
              <w:t>(</w:t>
            </w:r>
            <w:r w:rsidRPr="008D0341" w:rsidR="00B75A1B">
              <w:rPr>
                <w:b/>
                <w:bCs/>
                <w:i/>
                <w:iCs/>
                <w:color w:val="000000"/>
                <w:lang w:val="en-GB"/>
              </w:rPr>
              <w:t>d</w:t>
            </w:r>
            <w:r w:rsidRPr="008D0341">
              <w:rPr>
                <w:b/>
                <w:bCs/>
                <w:i/>
                <w:iCs/>
                <w:color w:val="000000"/>
                <w:lang w:val="en-GB"/>
              </w:rPr>
              <w:t xml:space="preserve">) </w:t>
            </w:r>
            <w:r w:rsidRPr="008D0341" w:rsidR="00DA0819">
              <w:rPr>
                <w:b/>
                <w:bCs/>
                <w:i/>
                <w:iCs/>
                <w:color w:val="000000"/>
                <w:lang w:val="en-GB"/>
              </w:rPr>
              <w:t>12</w:t>
            </w:r>
            <w:r w:rsidR="006924BC">
              <w:rPr>
                <w:b/>
                <w:bCs/>
                <w:i/>
                <w:iCs/>
                <w:color w:val="000000"/>
                <w:lang w:val="en-GB"/>
              </w:rPr>
              <w:t>.</w:t>
            </w:r>
            <w:r w:rsidRPr="008D0341" w:rsidR="00DA0819">
              <w:rPr>
                <w:b/>
                <w:bCs/>
                <w:i/>
                <w:iCs/>
                <w:color w:val="000000"/>
                <w:lang w:val="en-GB"/>
              </w:rPr>
              <w:t>9% (i.e</w:t>
            </w:r>
            <w:r w:rsidR="00691635">
              <w:rPr>
                <w:b/>
                <w:bCs/>
                <w:i/>
                <w:iCs/>
                <w:color w:val="000000"/>
                <w:lang w:val="en-GB"/>
              </w:rPr>
              <w:t>.</w:t>
            </w:r>
            <w:r w:rsidRPr="008D0341" w:rsidR="00DA0819">
              <w:rPr>
                <w:b/>
                <w:bCs/>
                <w:i/>
                <w:iCs/>
                <w:color w:val="000000"/>
                <w:lang w:val="en-GB"/>
              </w:rPr>
              <w:t xml:space="preserve"> a total of EUR 51</w:t>
            </w:r>
            <w:r w:rsidR="006924BC">
              <w:rPr>
                <w:b/>
                <w:bCs/>
                <w:i/>
                <w:iCs/>
                <w:color w:val="000000"/>
                <w:lang w:val="en-GB"/>
              </w:rPr>
              <w:t> </w:t>
            </w:r>
            <w:r w:rsidRPr="008D0341" w:rsidR="00DA0819">
              <w:rPr>
                <w:b/>
                <w:bCs/>
                <w:i/>
                <w:iCs/>
                <w:color w:val="000000"/>
                <w:lang w:val="en-GB"/>
              </w:rPr>
              <w:t>140</w:t>
            </w:r>
            <w:r w:rsidR="006924BC">
              <w:rPr>
                <w:b/>
                <w:bCs/>
                <w:i/>
                <w:iCs/>
                <w:color w:val="000000"/>
                <w:lang w:val="en-GB"/>
              </w:rPr>
              <w:t> </w:t>
            </w:r>
            <w:r w:rsidRPr="008D0341" w:rsidR="00DA0819">
              <w:rPr>
                <w:b/>
                <w:bCs/>
                <w:i/>
                <w:iCs/>
                <w:color w:val="000000"/>
                <w:lang w:val="en-GB"/>
              </w:rPr>
              <w:t>000</w:t>
            </w:r>
            <w:r w:rsidR="006924BC">
              <w:rPr>
                <w:b/>
                <w:bCs/>
                <w:i/>
                <w:iCs/>
                <w:color w:val="000000"/>
                <w:lang w:val="en-GB"/>
              </w:rPr>
              <w:t> </w:t>
            </w:r>
            <w:r w:rsidRPr="008D0341" w:rsidR="00DA0819">
              <w:rPr>
                <w:b/>
                <w:bCs/>
                <w:i/>
                <w:iCs/>
                <w:color w:val="000000"/>
                <w:lang w:val="en-GB"/>
              </w:rPr>
              <w:t>000)</w:t>
            </w:r>
            <w:r w:rsidRPr="008D0341" w:rsidR="002F67B8">
              <w:rPr>
                <w:b/>
                <w:bCs/>
                <w:i/>
                <w:iCs/>
                <w:color w:val="000000"/>
                <w:lang w:val="en-GB"/>
              </w:rPr>
              <w:t xml:space="preserve"> for Member States supported by the Cohesion Fund;</w:t>
            </w:r>
          </w:p>
          <w:p w:rsidRPr="008D0341" w:rsidR="00352E5C" w:rsidP="0063224B" w:rsidRDefault="002F67B8" w14:paraId="4A40D5DB" w14:textId="55F27DDC">
            <w:pPr>
              <w:shd w:val="clear" w:color="auto" w:fill="FFFFFF"/>
              <w:ind w:left="59"/>
              <w:textAlignment w:val="baseline"/>
              <w:rPr>
                <w:b/>
                <w:bCs/>
                <w:i/>
                <w:iCs/>
                <w:color w:val="000000"/>
                <w:lang w:val="en-GB"/>
              </w:rPr>
            </w:pPr>
            <w:r w:rsidRPr="008D0341">
              <w:rPr>
                <w:b/>
                <w:bCs/>
                <w:i/>
                <w:iCs/>
                <w:color w:val="000000"/>
                <w:lang w:val="en-GB"/>
              </w:rPr>
              <w:t xml:space="preserve">(e) </w:t>
            </w:r>
            <w:r w:rsidRPr="008D0341" w:rsidR="00E90ADE">
              <w:rPr>
                <w:b/>
                <w:bCs/>
                <w:i/>
                <w:iCs/>
                <w:color w:val="000000"/>
                <w:sz w:val="21"/>
                <w:szCs w:val="21"/>
                <w:lang w:val="en-GB"/>
              </w:rPr>
              <w:t xml:space="preserve">EUR </w:t>
            </w:r>
            <w:r w:rsidRPr="008D0341" w:rsidR="00E90ADE">
              <w:rPr>
                <w:b/>
                <w:bCs/>
                <w:i/>
                <w:iCs/>
                <w:color w:val="000000"/>
                <w:sz w:val="21"/>
                <w:szCs w:val="21"/>
                <w:bdr w:val="none" w:color="auto" w:sz="0" w:space="0" w:frame="1"/>
                <w:lang w:val="en-GB"/>
              </w:rPr>
              <w:t>[2</w:t>
            </w:r>
            <w:r w:rsidRPr="008D0341" w:rsidR="00337680">
              <w:rPr>
                <w:b/>
                <w:bCs/>
                <w:i/>
                <w:iCs/>
                <w:color w:val="000000"/>
                <w:sz w:val="21"/>
                <w:szCs w:val="21"/>
                <w:bdr w:val="none" w:color="auto" w:sz="0" w:space="0" w:frame="1"/>
                <w:lang w:val="en-GB"/>
              </w:rPr>
              <w:t> </w:t>
            </w:r>
            <w:r w:rsidRPr="008D0341" w:rsidR="00E90ADE">
              <w:rPr>
                <w:b/>
                <w:bCs/>
                <w:i/>
                <w:iCs/>
                <w:color w:val="000000"/>
                <w:sz w:val="21"/>
                <w:szCs w:val="21"/>
                <w:bdr w:val="none" w:color="auto" w:sz="0" w:space="0" w:frame="1"/>
                <w:lang w:val="en-GB"/>
              </w:rPr>
              <w:t>151</w:t>
            </w:r>
            <w:r w:rsidRPr="008D0341" w:rsidR="00337680">
              <w:rPr>
                <w:b/>
                <w:bCs/>
                <w:i/>
                <w:iCs/>
                <w:color w:val="000000"/>
                <w:sz w:val="21"/>
                <w:szCs w:val="21"/>
                <w:bdr w:val="none" w:color="auto" w:sz="0" w:space="0" w:frame="1"/>
                <w:lang w:val="en-GB"/>
              </w:rPr>
              <w:t> </w:t>
            </w:r>
            <w:r w:rsidRPr="008D0341" w:rsidR="00E90ADE">
              <w:rPr>
                <w:b/>
                <w:bCs/>
                <w:i/>
                <w:iCs/>
                <w:color w:val="000000"/>
                <w:sz w:val="21"/>
                <w:szCs w:val="21"/>
                <w:bdr w:val="none" w:color="auto" w:sz="0" w:space="0" w:frame="1"/>
                <w:lang w:val="en-GB"/>
              </w:rPr>
              <w:t>000</w:t>
            </w:r>
            <w:r w:rsidRPr="008D0341" w:rsidR="00337680">
              <w:rPr>
                <w:b/>
                <w:bCs/>
                <w:i/>
                <w:iCs/>
                <w:color w:val="000000"/>
                <w:sz w:val="21"/>
                <w:szCs w:val="21"/>
                <w:bdr w:val="none" w:color="auto" w:sz="0" w:space="0" w:frame="1"/>
                <w:lang w:val="en-GB"/>
              </w:rPr>
              <w:t> </w:t>
            </w:r>
            <w:r w:rsidRPr="008D0341" w:rsidR="00E90ADE">
              <w:rPr>
                <w:b/>
                <w:bCs/>
                <w:i/>
                <w:iCs/>
                <w:color w:val="000000"/>
                <w:sz w:val="21"/>
                <w:szCs w:val="21"/>
                <w:bdr w:val="none" w:color="auto" w:sz="0" w:space="0" w:frame="1"/>
                <w:lang w:val="en-GB"/>
              </w:rPr>
              <w:t xml:space="preserve">000] </w:t>
            </w:r>
            <w:r w:rsidRPr="008D0341" w:rsidR="00352E5C">
              <w:rPr>
                <w:b/>
                <w:bCs/>
                <w:i/>
                <w:iCs/>
                <w:color w:val="000000"/>
                <w:lang w:val="en-GB"/>
              </w:rPr>
              <w:t xml:space="preserve">as additional funding for the outermost regions identified in Article 349 TFEU and the NUTS </w:t>
            </w:r>
            <w:r w:rsidRPr="008D0341" w:rsidR="00337680">
              <w:rPr>
                <w:b/>
                <w:bCs/>
                <w:i/>
                <w:iCs/>
                <w:color w:val="000000"/>
                <w:lang w:val="en-GB"/>
              </w:rPr>
              <w:t xml:space="preserve">2 </w:t>
            </w:r>
            <w:r w:rsidRPr="008D0341" w:rsidR="00352E5C">
              <w:rPr>
                <w:b/>
                <w:bCs/>
                <w:i/>
                <w:iCs/>
                <w:color w:val="000000"/>
                <w:lang w:val="en-GB"/>
              </w:rPr>
              <w:t>level regions fulfilling the criteria laid down in Article 2 of Protocol No 6 to the 1994 Act of Accession;</w:t>
            </w:r>
          </w:p>
          <w:p w:rsidRPr="008D0341" w:rsidR="00352E5C" w:rsidP="0063224B" w:rsidRDefault="00352E5C" w14:paraId="34590043" w14:textId="49A9E96C">
            <w:pPr>
              <w:shd w:val="clear" w:color="auto" w:fill="FFFFFF"/>
              <w:ind w:left="59"/>
              <w:textAlignment w:val="baseline"/>
              <w:rPr>
                <w:i/>
                <w:iCs/>
                <w:color w:val="000000"/>
                <w:lang w:val="en-GB"/>
              </w:rPr>
            </w:pPr>
            <w:r w:rsidRPr="008D0341">
              <w:rPr>
                <w:b/>
                <w:bCs/>
                <w:i/>
                <w:iCs/>
                <w:color w:val="000000"/>
                <w:bdr w:val="none" w:color="auto" w:sz="0" w:space="0" w:frame="1"/>
                <w:lang w:val="en-GB"/>
              </w:rPr>
              <w:t>(</w:t>
            </w:r>
            <w:r w:rsidRPr="008D0341" w:rsidR="002F67B8">
              <w:rPr>
                <w:b/>
                <w:bCs/>
                <w:i/>
                <w:iCs/>
                <w:color w:val="000000"/>
                <w:bdr w:val="none" w:color="auto" w:sz="0" w:space="0" w:frame="1"/>
                <w:lang w:val="en-GB"/>
              </w:rPr>
              <w:t>f</w:t>
            </w:r>
            <w:r w:rsidRPr="008D0341">
              <w:rPr>
                <w:b/>
                <w:bCs/>
                <w:i/>
                <w:iCs/>
                <w:color w:val="000000"/>
                <w:bdr w:val="none" w:color="auto" w:sz="0" w:space="0" w:frame="1"/>
                <w:lang w:val="en-GB"/>
              </w:rPr>
              <w:t>) EUR </w:t>
            </w:r>
            <w:r w:rsidRPr="008D0341" w:rsidR="000D4F2D">
              <w:rPr>
                <w:b/>
                <w:bCs/>
                <w:i/>
                <w:iCs/>
                <w:color w:val="000000"/>
                <w:bdr w:val="none" w:color="auto" w:sz="0" w:space="0" w:frame="1"/>
                <w:lang w:val="en-GB"/>
              </w:rPr>
              <w:t>[</w:t>
            </w:r>
            <w:r w:rsidRPr="008D0341">
              <w:rPr>
                <w:b/>
                <w:bCs/>
                <w:i/>
                <w:iCs/>
                <w:color w:val="000000"/>
                <w:bdr w:val="none" w:color="auto" w:sz="0" w:space="0" w:frame="1"/>
                <w:lang w:val="en-GB"/>
              </w:rPr>
              <w:t>1</w:t>
            </w:r>
            <w:r w:rsidRPr="008D0341" w:rsidR="0092321E">
              <w:rPr>
                <w:b/>
                <w:bCs/>
                <w:i/>
                <w:iCs/>
                <w:color w:val="000000"/>
                <w:bdr w:val="none" w:color="auto" w:sz="0" w:space="0" w:frame="1"/>
                <w:lang w:val="en-GB"/>
              </w:rPr>
              <w:t>1</w:t>
            </w:r>
            <w:r w:rsidRPr="008D0341">
              <w:rPr>
                <w:b/>
                <w:bCs/>
                <w:i/>
                <w:iCs/>
                <w:color w:val="000000"/>
                <w:bdr w:val="none" w:color="auto" w:sz="0" w:space="0" w:frame="1"/>
                <w:lang w:val="en-GB"/>
              </w:rPr>
              <w:t> </w:t>
            </w:r>
            <w:r w:rsidRPr="008D0341" w:rsidR="002F67B8">
              <w:rPr>
                <w:b/>
                <w:bCs/>
                <w:i/>
                <w:iCs/>
                <w:color w:val="000000"/>
                <w:bdr w:val="none" w:color="auto" w:sz="0" w:space="0" w:frame="1"/>
                <w:lang w:val="en-GB"/>
              </w:rPr>
              <w:t>449</w:t>
            </w:r>
            <w:r w:rsidR="006924BC">
              <w:rPr>
                <w:b/>
                <w:bCs/>
                <w:i/>
                <w:iCs/>
                <w:color w:val="000000"/>
                <w:bdr w:val="none" w:color="auto" w:sz="0" w:space="0" w:frame="1"/>
                <w:lang w:val="en-GB"/>
              </w:rPr>
              <w:t> </w:t>
            </w:r>
            <w:r w:rsidRPr="008D0341" w:rsidR="002F67B8">
              <w:rPr>
                <w:b/>
                <w:bCs/>
                <w:i/>
                <w:iCs/>
                <w:color w:val="000000"/>
                <w:bdr w:val="none" w:color="auto" w:sz="0" w:space="0" w:frame="1"/>
                <w:lang w:val="en-GB"/>
              </w:rPr>
              <w:t>000</w:t>
            </w:r>
            <w:r w:rsidR="006924BC">
              <w:rPr>
                <w:b/>
                <w:bCs/>
                <w:i/>
                <w:iCs/>
                <w:color w:val="000000"/>
                <w:bdr w:val="none" w:color="auto" w:sz="0" w:space="0" w:frame="1"/>
                <w:lang w:val="en-GB"/>
              </w:rPr>
              <w:t> </w:t>
            </w:r>
            <w:r w:rsidRPr="008D0341">
              <w:rPr>
                <w:b/>
                <w:bCs/>
                <w:i/>
                <w:iCs/>
                <w:color w:val="000000"/>
                <w:bdr w:val="none" w:color="auto" w:sz="0" w:space="0" w:frame="1"/>
                <w:lang w:val="en-GB"/>
              </w:rPr>
              <w:t>000</w:t>
            </w:r>
            <w:r w:rsidRPr="008D0341" w:rsidR="000D4F2D">
              <w:rPr>
                <w:b/>
                <w:bCs/>
                <w:i/>
                <w:iCs/>
                <w:color w:val="000000"/>
                <w:bdr w:val="none" w:color="auto" w:sz="0" w:space="0" w:frame="1"/>
                <w:lang w:val="en-GB"/>
              </w:rPr>
              <w:t>]</w:t>
            </w:r>
            <w:r w:rsidR="006924BC">
              <w:rPr>
                <w:b/>
                <w:bCs/>
                <w:i/>
                <w:iCs/>
                <w:color w:val="000000"/>
                <w:bdr w:val="none" w:color="auto" w:sz="0" w:space="0" w:frame="1"/>
                <w:lang w:val="en-GB"/>
              </w:rPr>
              <w:t xml:space="preserve"> </w:t>
            </w:r>
            <w:r w:rsidRPr="008D0341">
              <w:rPr>
                <w:b/>
                <w:bCs/>
                <w:i/>
                <w:iCs/>
                <w:color w:val="000000"/>
                <w:bdr w:val="none" w:color="auto" w:sz="0" w:space="0" w:frame="1"/>
                <w:lang w:val="en-GB"/>
              </w:rPr>
              <w:t>shall be allocated to the Interreg Plan referred to in Chapter II of Regulation XX [Regional development, Interreg Plan];</w:t>
            </w:r>
          </w:p>
          <w:p w:rsidRPr="008D0341" w:rsidR="00352E5C" w:rsidP="0063224B" w:rsidRDefault="00352E5C" w14:paraId="576168BE" w14:textId="100C3AC0">
            <w:pPr>
              <w:shd w:val="clear" w:color="auto" w:fill="FFFFFF"/>
              <w:textAlignment w:val="baseline"/>
              <w:rPr>
                <w:color w:val="000000"/>
                <w:lang w:val="en-GB"/>
              </w:rPr>
            </w:pPr>
            <w:r w:rsidRPr="008D0341">
              <w:rPr>
                <w:color w:val="000000"/>
                <w:bdr w:val="none" w:color="auto" w:sz="0" w:space="0" w:frame="1"/>
                <w:lang w:val="en-GB"/>
              </w:rPr>
              <w:t>(II)</w:t>
            </w:r>
            <w:r w:rsidRPr="008D0341" w:rsidR="009513D8">
              <w:rPr>
                <w:color w:val="000000"/>
                <w:bdr w:val="none" w:color="auto" w:sz="0" w:space="0" w:frame="1"/>
                <w:lang w:val="en-GB"/>
              </w:rPr>
              <w:t xml:space="preserve"> </w:t>
            </w:r>
            <w:r w:rsidRPr="008D0341">
              <w:rPr>
                <w:color w:val="000000"/>
                <w:bdr w:val="none" w:color="auto" w:sz="0" w:space="0" w:frame="1"/>
                <w:lang w:val="en-GB"/>
              </w:rPr>
              <w:t>At least EUR 295 700 000 000 for CAP interventions referred to in Article 35(1) [types of support], paragraph 1, points (a) to (k) and (r) and paragraph 10 and for interventions listed in article 35 paragraph 11</w:t>
            </w:r>
            <w:r w:rsidRPr="006A411D" w:rsidR="00DC2BA9">
              <w:rPr>
                <w:b/>
                <w:bCs/>
                <w:i/>
                <w:lang w:val="en-GB"/>
              </w:rPr>
              <w:t>; EUR 9</w:t>
            </w:r>
            <w:r w:rsidRPr="006A411D" w:rsidR="006924BC">
              <w:rPr>
                <w:b/>
                <w:bCs/>
                <w:i/>
                <w:lang w:val="en-GB"/>
              </w:rPr>
              <w:t> </w:t>
            </w:r>
            <w:r w:rsidRPr="006A411D" w:rsidR="00DC2BA9">
              <w:rPr>
                <w:b/>
                <w:bCs/>
                <w:i/>
                <w:lang w:val="en-GB"/>
              </w:rPr>
              <w:t>142</w:t>
            </w:r>
            <w:r w:rsidRPr="006A411D" w:rsidR="006924BC">
              <w:rPr>
                <w:b/>
                <w:bCs/>
                <w:i/>
                <w:lang w:val="en-GB"/>
              </w:rPr>
              <w:t> </w:t>
            </w:r>
            <w:r w:rsidRPr="006A411D" w:rsidR="00DC2BA9">
              <w:rPr>
                <w:b/>
                <w:bCs/>
                <w:i/>
                <w:lang w:val="en-GB"/>
              </w:rPr>
              <w:t>000</w:t>
            </w:r>
            <w:r w:rsidRPr="006A411D" w:rsidR="006924BC">
              <w:rPr>
                <w:b/>
                <w:bCs/>
                <w:i/>
                <w:lang w:val="en-GB"/>
              </w:rPr>
              <w:t> </w:t>
            </w:r>
            <w:r w:rsidRPr="006A411D" w:rsidR="00DC2BA9">
              <w:rPr>
                <w:b/>
                <w:bCs/>
                <w:i/>
                <w:lang w:val="en-GB"/>
              </w:rPr>
              <w:t>000 shall be allocated to keep the POSEI agricultural programme for the outermost regions, outside the NRPPs, under the same conditions as established in Regulation (EU) No 228/2013</w:t>
            </w:r>
            <w:r w:rsidRPr="00FE63EB">
              <w:rPr>
                <w:color w:val="000000"/>
                <w:bdr w:val="none" w:color="auto" w:sz="0" w:space="0" w:frame="1"/>
                <w:lang w:val="en-GB"/>
              </w:rPr>
              <w:t>;</w:t>
            </w:r>
            <w:r w:rsidRPr="008D0341" w:rsidR="00DC2BA9">
              <w:rPr>
                <w:color w:val="000000"/>
                <w:bdr w:val="none" w:color="auto" w:sz="0" w:space="0" w:frame="1"/>
                <w:lang w:val="en-GB"/>
              </w:rPr>
              <w:t xml:space="preserve"> </w:t>
            </w:r>
            <w:r w:rsidRPr="008D0341">
              <w:rPr>
                <w:color w:val="000000"/>
                <w:bdr w:val="none" w:color="auto" w:sz="0" w:space="0" w:frame="1"/>
                <w:lang w:val="en-GB"/>
              </w:rPr>
              <w:t>(III)</w:t>
            </w:r>
            <w:r w:rsidRPr="008D0341" w:rsidR="009513D8">
              <w:rPr>
                <w:color w:val="000000"/>
                <w:bdr w:val="none" w:color="auto" w:sz="0" w:space="0" w:frame="1"/>
                <w:lang w:val="en-GB"/>
              </w:rPr>
              <w:t xml:space="preserve"> </w:t>
            </w:r>
            <w:r w:rsidRPr="008D0341">
              <w:rPr>
                <w:color w:val="000000"/>
                <w:bdr w:val="none" w:color="auto" w:sz="0" w:space="0" w:frame="1"/>
                <w:lang w:val="en-GB"/>
              </w:rPr>
              <w:t>At least EUR 34 215 510 000 as follows: EUR 11 975 428 500 as set out in Article 4 of Regulation (EU) 202X/XXX [establishing the Union support for asylum, migration and integration for the period from 2028 to 2034], EUR 15 396 750 000 as set out in Article 4 of Regulation (EU) 202X/XXX [Establishing the Union support for the Schengen area, for European integrated border management and for the common policy on visas for the period from 2028 to 2034] and EUR 6 843 331 500 as set out in Article 4 of Regulation (EU) 202X/XXX [establishing the Union support for internal security for the period from 2028-2034] for the objectives set out in Article 3 of those Regulations.</w:t>
            </w:r>
          </w:p>
          <w:p w:rsidRPr="008D0341" w:rsidR="00407804" w:rsidP="0063224B" w:rsidRDefault="00352E5C" w14:paraId="6961F3FB" w14:textId="164C7944">
            <w:pPr>
              <w:shd w:val="clear" w:color="auto" w:fill="FFFFFF"/>
              <w:ind w:left="59"/>
              <w:textAlignment w:val="baseline"/>
              <w:rPr>
                <w:color w:val="000000"/>
                <w:bdr w:val="none" w:color="auto" w:sz="0" w:space="0" w:frame="1"/>
                <w:lang w:val="en-GB"/>
              </w:rPr>
            </w:pPr>
            <w:r w:rsidRPr="008D0341">
              <w:rPr>
                <w:color w:val="000000"/>
                <w:bdr w:val="none" w:color="auto" w:sz="0" w:space="0" w:frame="1"/>
                <w:lang w:val="en-GB"/>
              </w:rPr>
              <w:t>(b)</w:t>
            </w:r>
            <w:r w:rsidRPr="008D0341" w:rsidR="009513D8">
              <w:rPr>
                <w:color w:val="000000"/>
                <w:bdr w:val="none" w:color="auto" w:sz="0" w:space="0" w:frame="1"/>
                <w:lang w:val="en-GB"/>
              </w:rPr>
              <w:t xml:space="preserve"> </w:t>
            </w:r>
            <w:r w:rsidRPr="008D0341">
              <w:rPr>
                <w:color w:val="000000"/>
                <w:bdr w:val="none" w:color="auto" w:sz="0" w:space="0" w:frame="1"/>
                <w:lang w:val="en-GB"/>
              </w:rPr>
              <w:t>EUR 71 933 000 000 shall be allocated to the Facility referred to in Title IV;</w:t>
            </w:r>
          </w:p>
          <w:p w:rsidRPr="008D0341" w:rsidR="00407804" w:rsidP="0063224B" w:rsidRDefault="002D75FD" w14:paraId="65245968" w14:textId="319296BC">
            <w:pPr>
              <w:shd w:val="clear" w:color="auto" w:fill="FFFFFF"/>
              <w:ind w:left="59"/>
              <w:textAlignment w:val="baseline"/>
              <w:rPr>
                <w:color w:val="000000"/>
                <w:bdr w:val="none" w:color="auto" w:sz="0" w:space="0" w:frame="1"/>
                <w:lang w:val="en-GB"/>
              </w:rPr>
            </w:pPr>
            <w:r w:rsidRPr="008D0341">
              <w:rPr>
                <w:color w:val="000000"/>
                <w:bdr w:val="none" w:color="auto" w:sz="0" w:space="0" w:frame="1"/>
                <w:lang w:val="en-GB"/>
              </w:rPr>
              <w:t>[…]</w:t>
            </w:r>
          </w:p>
          <w:p w:rsidRPr="008D0341" w:rsidR="00352E5C" w:rsidP="0063224B" w:rsidRDefault="00407804" w14:paraId="76C64D34" w14:textId="0634D102">
            <w:pPr>
              <w:shd w:val="clear" w:color="auto" w:fill="FFFFFF"/>
              <w:ind w:left="59"/>
              <w:textAlignment w:val="baseline"/>
              <w:rPr>
                <w:color w:val="000000"/>
                <w:bdr w:val="none" w:color="auto" w:sz="0" w:space="0" w:frame="1"/>
                <w:lang w:val="en-GB"/>
              </w:rPr>
            </w:pPr>
            <w:r w:rsidRPr="008D0341">
              <w:rPr>
                <w:color w:val="000000"/>
                <w:bdr w:val="none" w:color="auto" w:sz="0" w:space="0" w:frame="1"/>
                <w:lang w:val="en-GB"/>
              </w:rPr>
              <w:t>5. At least 14 % of the financial envelope referred to in paragraph 2 and of the amount referred to in paragraph 4 shall be dedicated to meeting the Union’s social objectives, calculated by using the coefficients referred to in Article 6(1) of Regulation (EU) [Performance Regulation]. The amount set out in paragraph 2, point (a) letter (ii), as well as the external assigned revenue from the Social Climate Fund, shall be excluded from the basis for the calculation of this minimum allocation.</w:t>
            </w:r>
          </w:p>
          <w:p w:rsidRPr="008D0341" w:rsidR="00352E5C" w:rsidP="0063224B" w:rsidRDefault="00352E5C" w14:paraId="05FB47DD" w14:textId="77C4CF4E">
            <w:pPr>
              <w:shd w:val="clear" w:color="auto" w:fill="FFFFFF"/>
              <w:ind w:left="59"/>
              <w:textAlignment w:val="baseline"/>
              <w:rPr>
                <w:rFonts w:eastAsia="Myriad Pro"/>
                <w:b/>
                <w:bCs/>
                <w:lang w:val="en-GB"/>
              </w:rPr>
            </w:pPr>
            <w:r w:rsidRPr="008D0341">
              <w:rPr>
                <w:b/>
                <w:bCs/>
                <w:i/>
                <w:iCs/>
                <w:lang w:val="en-GB"/>
              </w:rPr>
              <w:t xml:space="preserve">6. At least </w:t>
            </w:r>
            <w:r w:rsidRPr="008D0341" w:rsidR="003A587B">
              <w:rPr>
                <w:b/>
                <w:bCs/>
                <w:i/>
                <w:iCs/>
                <w:lang w:val="en-GB"/>
              </w:rPr>
              <w:t>20</w:t>
            </w:r>
            <w:r w:rsidRPr="008D0341">
              <w:rPr>
                <w:b/>
                <w:bCs/>
                <w:i/>
                <w:iCs/>
                <w:lang w:val="en-GB"/>
              </w:rPr>
              <w:t xml:space="preserve">% of the financial envelope referred to in paragraph 2(a) and of the amount referred to in paragraph 4 shall be dedicated to </w:t>
            </w:r>
            <w:r w:rsidRPr="008D0341" w:rsidR="0092321E">
              <w:rPr>
                <w:b/>
                <w:bCs/>
                <w:i/>
                <w:iCs/>
                <w:lang w:val="en-GB"/>
              </w:rPr>
              <w:t>the territorial initiative and local cooperation dimension 01, 02 and 03 (Integrated territorial and urban development</w:t>
            </w:r>
            <w:r w:rsidRPr="008D0341" w:rsidR="00337680">
              <w:rPr>
                <w:b/>
                <w:bCs/>
                <w:i/>
                <w:iCs/>
                <w:lang w:val="en-GB"/>
              </w:rPr>
              <w:t>;</w:t>
            </w:r>
            <w:r w:rsidRPr="008D0341" w:rsidR="0092321E">
              <w:rPr>
                <w:b/>
                <w:bCs/>
                <w:i/>
                <w:iCs/>
                <w:lang w:val="en-GB"/>
              </w:rPr>
              <w:t xml:space="preserve"> Community-led local development / LEADER</w:t>
            </w:r>
            <w:r w:rsidRPr="008D0341" w:rsidR="00337680">
              <w:rPr>
                <w:b/>
                <w:bCs/>
                <w:i/>
                <w:iCs/>
                <w:lang w:val="en-GB"/>
              </w:rPr>
              <w:t>;</w:t>
            </w:r>
            <w:r w:rsidRPr="008D0341" w:rsidR="0092321E">
              <w:rPr>
                <w:b/>
                <w:bCs/>
                <w:i/>
                <w:iCs/>
                <w:lang w:val="en-GB"/>
              </w:rPr>
              <w:t xml:space="preserve"> Other territorial tools) </w:t>
            </w:r>
            <w:r w:rsidRPr="008D0341">
              <w:rPr>
                <w:b/>
                <w:bCs/>
                <w:i/>
                <w:iCs/>
                <w:lang w:val="en-GB"/>
              </w:rPr>
              <w:t xml:space="preserve">as referred to in Part I of Annex II of Regulation (EU) [Performance Regulation]. The amount set out in paragraph 2, point (a) </w:t>
            </w:r>
            <w:r w:rsidRPr="008D0341" w:rsidR="001C46EF">
              <w:rPr>
                <w:b/>
                <w:bCs/>
                <w:i/>
                <w:iCs/>
                <w:lang w:val="en-GB"/>
              </w:rPr>
              <w:t>subpoint</w:t>
            </w:r>
            <w:r w:rsidRPr="008D0341">
              <w:rPr>
                <w:b/>
                <w:bCs/>
                <w:i/>
                <w:iCs/>
                <w:lang w:val="en-GB"/>
              </w:rPr>
              <w:t xml:space="preserve"> (ii), as well as the external assigned revenue from the Social Climate Fund, shall be excluded from the basis for the calculation of this minimum allocation.</w:t>
            </w:r>
          </w:p>
        </w:tc>
      </w:tr>
    </w:tbl>
    <w:p w:rsidRPr="008D0341" w:rsidR="00352E5C" w:rsidP="00066365" w:rsidRDefault="00352E5C" w14:paraId="78F79A93"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CB5DB8" w14:paraId="55C54F48"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DF1F15D" w14:textId="77777777">
            <w:pPr>
              <w:jc w:val="center"/>
              <w:rPr>
                <w:b/>
                <w:bCs/>
                <w:i/>
                <w:iCs/>
                <w:lang w:val="en-GB"/>
              </w:rPr>
            </w:pPr>
            <w:r w:rsidRPr="008D0341">
              <w:rPr>
                <w:b/>
                <w:bCs/>
                <w:i/>
                <w:iCs/>
                <w:lang w:val="en-GB"/>
              </w:rPr>
              <w:t>Reason</w:t>
            </w:r>
          </w:p>
        </w:tc>
      </w:tr>
      <w:tr w:rsidRPr="008D0341" w:rsidR="00352E5C" w:rsidTr="00CB5DB8" w14:paraId="69252736"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213ED2" w14:paraId="0D7F5679" w14:textId="1D5CCF00">
            <w:pPr>
              <w:rPr>
                <w:rFonts w:eastAsia="Calibri"/>
                <w:lang w:val="en-GB"/>
              </w:rPr>
            </w:pPr>
            <w:r w:rsidRPr="008D0341">
              <w:rPr>
                <w:rFonts w:eastAsia="Calibri"/>
                <w:lang w:val="en-GB"/>
              </w:rPr>
              <w:t>Based on t</w:t>
            </w:r>
            <w:r w:rsidRPr="008D0341" w:rsidR="00352E5C">
              <w:rPr>
                <w:rFonts w:eastAsia="Calibri"/>
                <w:lang w:val="en-GB"/>
              </w:rPr>
              <w:t xml:space="preserve">he 2021-2027 CPR </w:t>
            </w:r>
            <w:r w:rsidRPr="008D0341">
              <w:rPr>
                <w:rFonts w:eastAsia="Calibri"/>
                <w:lang w:val="en-GB"/>
              </w:rPr>
              <w:t>to establish</w:t>
            </w:r>
            <w:r w:rsidRPr="008D0341" w:rsidR="00352E5C">
              <w:rPr>
                <w:rFonts w:eastAsia="Calibri"/>
                <w:lang w:val="en-GB"/>
              </w:rPr>
              <w:t xml:space="preserve"> a similar budgetary framework with EU</w:t>
            </w:r>
            <w:r w:rsidRPr="008D0341" w:rsidR="00C6681F">
              <w:rPr>
                <w:rFonts w:eastAsia="Calibri"/>
                <w:lang w:val="en-GB"/>
              </w:rPr>
              <w:t>-</w:t>
            </w:r>
            <w:r w:rsidRPr="008D0341" w:rsidR="00352E5C">
              <w:rPr>
                <w:rFonts w:eastAsia="Calibri"/>
                <w:lang w:val="en-GB"/>
              </w:rPr>
              <w:t xml:space="preserve">level guarantees for </w:t>
            </w:r>
            <w:r w:rsidRPr="008D0341" w:rsidR="001C46EF">
              <w:rPr>
                <w:rFonts w:eastAsia="Calibri"/>
                <w:lang w:val="en-GB"/>
              </w:rPr>
              <w:t>c</w:t>
            </w:r>
            <w:r w:rsidRPr="008D0341" w:rsidR="00352E5C">
              <w:rPr>
                <w:rFonts w:eastAsia="Calibri"/>
                <w:lang w:val="en-GB"/>
              </w:rPr>
              <w:t xml:space="preserve">ohesion policy support to all regions. </w:t>
            </w:r>
            <w:r w:rsidRPr="008D0341">
              <w:rPr>
                <w:rFonts w:eastAsia="Calibri"/>
                <w:lang w:val="en-GB"/>
              </w:rPr>
              <w:t>R</w:t>
            </w:r>
            <w:r w:rsidRPr="008D0341" w:rsidR="00352E5C">
              <w:rPr>
                <w:rFonts w:eastAsia="Calibri"/>
                <w:lang w:val="en-GB"/>
              </w:rPr>
              <w:t>eintroduces the special allocations</w:t>
            </w:r>
            <w:r w:rsidRPr="008D0341" w:rsidR="001C46EF">
              <w:rPr>
                <w:rFonts w:eastAsia="Calibri"/>
                <w:lang w:val="en-GB"/>
              </w:rPr>
              <w:t xml:space="preserve"> to </w:t>
            </w:r>
            <w:r w:rsidRPr="008D0341" w:rsidR="00973D89">
              <w:rPr>
                <w:rFonts w:eastAsia="Calibri"/>
                <w:lang w:val="en-GB"/>
              </w:rPr>
              <w:t xml:space="preserve">northern sparsely populated areas (NSPA) and to </w:t>
            </w:r>
            <w:r w:rsidRPr="008D0341" w:rsidR="001C46EF">
              <w:rPr>
                <w:rFonts w:eastAsia="Calibri"/>
                <w:lang w:val="en-GB"/>
              </w:rPr>
              <w:t>outermost regions</w:t>
            </w:r>
            <w:r w:rsidRPr="008D0341" w:rsidR="00352E5C">
              <w:rPr>
                <w:rFonts w:eastAsia="Calibri"/>
                <w:lang w:val="en-GB"/>
              </w:rPr>
              <w:t>.</w:t>
            </w:r>
          </w:p>
        </w:tc>
      </w:tr>
    </w:tbl>
    <w:p w:rsidR="002E4A3C" w:rsidP="00066365" w:rsidRDefault="002E4A3C" w14:paraId="5C273DEB" w14:textId="77777777">
      <w:pPr>
        <w:jc w:val="center"/>
        <w:rPr>
          <w:rFonts w:eastAsia="Myriad Pro" w:cs="Myriad Pro"/>
          <w:b/>
          <w:bCs/>
          <w:sz w:val="21"/>
          <w:szCs w:val="21"/>
          <w:lang w:val="en-GB"/>
        </w:rPr>
      </w:pPr>
    </w:p>
    <w:p w:rsidR="009E00CB" w:rsidP="00066365" w:rsidRDefault="009E00CB" w14:paraId="3938C0C7" w14:textId="77777777">
      <w:pPr>
        <w:jc w:val="center"/>
        <w:rPr>
          <w:rFonts w:eastAsia="Myriad Pro" w:cs="Myriad Pro"/>
          <w:b/>
          <w:bCs/>
          <w:sz w:val="21"/>
          <w:szCs w:val="21"/>
          <w:lang w:val="en-GB"/>
        </w:rPr>
      </w:pPr>
    </w:p>
    <w:p w:rsidRPr="008D0341" w:rsidR="003A2E37" w:rsidP="003F40F8" w:rsidRDefault="003A2E37" w14:paraId="11909EBB" w14:textId="27B0ED81">
      <w:pPr>
        <w:keepNext/>
        <w:keepLines/>
        <w:jc w:val="center"/>
        <w:rPr>
          <w:b/>
          <w:bCs/>
          <w:lang w:val="en-GB"/>
        </w:rPr>
      </w:pPr>
      <w:r w:rsidRPr="008D0341">
        <w:rPr>
          <w:b/>
          <w:bCs/>
          <w:lang w:val="en-GB"/>
        </w:rPr>
        <w:t>Amendment 5</w:t>
      </w:r>
    </w:p>
    <w:p w:rsidRPr="008D0341" w:rsidR="003A2E37" w:rsidP="003F40F8" w:rsidRDefault="003A2E37" w14:paraId="74262B2C" w14:textId="3E4A7978">
      <w:pPr>
        <w:keepNext/>
        <w:keepLines/>
        <w:jc w:val="center"/>
        <w:rPr>
          <w:lang w:val="en-GB"/>
        </w:rPr>
      </w:pPr>
      <w:r w:rsidRPr="008D0341">
        <w:rPr>
          <w:lang w:val="en-GB"/>
        </w:rPr>
        <w:t>Article 14.2</w:t>
      </w:r>
    </w:p>
    <w:p w:rsidRPr="008D0341" w:rsidR="003A2E37" w:rsidP="003F40F8" w:rsidRDefault="003A2E37" w14:paraId="77531C82" w14:textId="77777777">
      <w:pPr>
        <w:keepNext/>
        <w:keepLines/>
        <w:rPr>
          <w:lang w:val="en-GB"/>
        </w:rP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80"/>
      </w:tblGrid>
      <w:tr w:rsidRPr="008D0341" w:rsidR="003A2E37" w:rsidTr="00CB5DB8" w14:paraId="42A4911D" w14:textId="77777777">
        <w:tc>
          <w:tcPr>
            <w:tcW w:w="4642" w:type="dxa"/>
          </w:tcPr>
          <w:p w:rsidRPr="008D0341" w:rsidR="003A2E37" w:rsidP="00066365" w:rsidRDefault="003A2E37" w14:paraId="4A79AC39" w14:textId="77777777">
            <w:pPr>
              <w:jc w:val="center"/>
              <w:rPr>
                <w:b/>
                <w:bCs/>
                <w:i/>
                <w:iCs/>
                <w:lang w:val="en-GB"/>
              </w:rPr>
            </w:pPr>
            <w:r w:rsidRPr="008D0341">
              <w:rPr>
                <w:b/>
                <w:bCs/>
                <w:i/>
                <w:iCs/>
                <w:lang w:val="en-GB"/>
              </w:rPr>
              <w:t>Text proposed by the European Commission</w:t>
            </w:r>
          </w:p>
        </w:tc>
        <w:tc>
          <w:tcPr>
            <w:tcW w:w="4680" w:type="dxa"/>
          </w:tcPr>
          <w:p w:rsidRPr="008D0341" w:rsidR="003A2E37" w:rsidP="00066365" w:rsidRDefault="003A2E37" w14:paraId="38D0F06E" w14:textId="77777777">
            <w:pPr>
              <w:jc w:val="center"/>
              <w:rPr>
                <w:b/>
                <w:i/>
                <w:lang w:val="en-GB"/>
              </w:rPr>
            </w:pPr>
            <w:r w:rsidRPr="008D0341">
              <w:rPr>
                <w:b/>
                <w:bCs/>
                <w:i/>
                <w:iCs/>
                <w:color w:val="000000"/>
                <w:lang w:val="en-GB"/>
              </w:rPr>
              <w:t>CoR amendment</w:t>
            </w:r>
          </w:p>
        </w:tc>
      </w:tr>
      <w:tr w:rsidRPr="008D0341" w:rsidR="003A2E37" w:rsidTr="00CB5DB8" w14:paraId="01E64F3A" w14:textId="77777777">
        <w:tc>
          <w:tcPr>
            <w:tcW w:w="4642" w:type="dxa"/>
          </w:tcPr>
          <w:p w:rsidRPr="008D0341" w:rsidR="003A2E37" w:rsidP="00066365" w:rsidRDefault="003A2E37" w14:paraId="21B3C066" w14:textId="1DB79002">
            <w:pPr>
              <w:ind w:left="40" w:right="40"/>
              <w:rPr>
                <w:lang w:val="en-GB"/>
              </w:rPr>
            </w:pPr>
            <w:r w:rsidRPr="008D0341">
              <w:rPr>
                <w:lang w:val="en-GB"/>
              </w:rPr>
              <w:t>2.</w:t>
            </w:r>
            <w:r w:rsidR="008C42DB">
              <w:rPr>
                <w:lang w:val="en-GB"/>
              </w:rPr>
              <w:t xml:space="preserve"> </w:t>
            </w:r>
            <w:r w:rsidRPr="008D0341">
              <w:rPr>
                <w:lang w:val="en-GB"/>
              </w:rPr>
              <w:t xml:space="preserve">A flexibility amount, corresponding to </w:t>
            </w:r>
            <w:r w:rsidRPr="008D0341">
              <w:rPr>
                <w:b/>
                <w:bCs/>
                <w:i/>
                <w:lang w:val="en-GB"/>
              </w:rPr>
              <w:t>25</w:t>
            </w:r>
            <w:r w:rsidRPr="008D0341">
              <w:rPr>
                <w:lang w:val="en-GB"/>
              </w:rPr>
              <w:t>% of the Union financial contribution of a Member State as set out in Annex I [allocation method], shall only be available for programming as follows:</w:t>
            </w:r>
          </w:p>
          <w:p w:rsidRPr="008D0341" w:rsidR="003A2E37" w:rsidP="00066365" w:rsidRDefault="003A2E37" w14:paraId="07E8C12E" w14:textId="2D6DCBA5">
            <w:pPr>
              <w:ind w:left="40" w:right="40"/>
              <w:rPr>
                <w:lang w:val="en-GB"/>
              </w:rPr>
            </w:pPr>
            <w:r w:rsidRPr="008D0341">
              <w:rPr>
                <w:lang w:val="en-GB"/>
              </w:rPr>
              <w:t>(a)</w:t>
            </w:r>
            <w:r w:rsidR="008C42DB">
              <w:rPr>
                <w:lang w:val="en-GB"/>
              </w:rPr>
              <w:t xml:space="preserve"> </w:t>
            </w:r>
            <w:r w:rsidRPr="008D0341">
              <w:rPr>
                <w:lang w:val="en-GB"/>
              </w:rPr>
              <w:t>Up to one fifth may be requested by a Member State in accordance with Article 34 (Amendment of the plan in case of crisis situations), with the remaining amount to be programmed in accordance with Article 25 (mid-term review);</w:t>
            </w:r>
          </w:p>
          <w:p w:rsidRPr="008D0341" w:rsidR="003A2E37" w:rsidP="00066365" w:rsidRDefault="003A2E37" w14:paraId="0747B710" w14:textId="33B5C66C">
            <w:pPr>
              <w:ind w:left="40" w:right="40"/>
              <w:rPr>
                <w:lang w:val="en-GB"/>
              </w:rPr>
            </w:pPr>
            <w:r w:rsidRPr="008D0341">
              <w:rPr>
                <w:lang w:val="en-GB"/>
              </w:rPr>
              <w:t>(b)</w:t>
            </w:r>
            <w:r w:rsidR="008C42DB">
              <w:rPr>
                <w:lang w:val="en-GB"/>
              </w:rPr>
              <w:t xml:space="preserve"> </w:t>
            </w:r>
            <w:r w:rsidRPr="008D0341">
              <w:rPr>
                <w:lang w:val="en-GB"/>
              </w:rPr>
              <w:t>three fifths may be requested by a Member State in accordance with Article 25 [midterm review] of which a part may be requested before the mid-term review in duly justified and exceptional circumstances;</w:t>
            </w:r>
          </w:p>
          <w:p w:rsidRPr="008D0341" w:rsidR="003A2E37" w:rsidP="00066365" w:rsidRDefault="003A2E37" w14:paraId="3E5FE79E" w14:textId="6101B57D">
            <w:pPr>
              <w:rPr>
                <w:lang w:val="en-GB"/>
              </w:rPr>
            </w:pPr>
            <w:r w:rsidRPr="008D0341">
              <w:rPr>
                <w:lang w:val="en-GB"/>
              </w:rPr>
              <w:t>(c)</w:t>
            </w:r>
            <w:r w:rsidR="008C42DB">
              <w:rPr>
                <w:lang w:val="en-GB"/>
              </w:rPr>
              <w:t xml:space="preserve"> </w:t>
            </w:r>
            <w:r w:rsidRPr="008D0341">
              <w:rPr>
                <w:lang w:val="en-GB"/>
              </w:rPr>
              <w:t>one fifth may only be requested by the Member State as of 2031, in accordance with Article 34 (Amendment of the plan in case of crisis situations). As of 30 June 2033, any unprogrammed amount shall be available for programming for any amendment of the Plan.</w:t>
            </w:r>
          </w:p>
        </w:tc>
        <w:tc>
          <w:tcPr>
            <w:tcW w:w="4680" w:type="dxa"/>
          </w:tcPr>
          <w:p w:rsidRPr="008D0341" w:rsidR="003A2E37" w:rsidP="00066365" w:rsidRDefault="003A2E37" w14:paraId="596D8F32" w14:textId="70060DF1">
            <w:pPr>
              <w:ind w:left="40" w:right="40"/>
              <w:rPr>
                <w:lang w:val="en-GB"/>
              </w:rPr>
            </w:pPr>
            <w:r w:rsidRPr="008D0341">
              <w:rPr>
                <w:lang w:val="en-GB"/>
              </w:rPr>
              <w:t>2.</w:t>
            </w:r>
            <w:r w:rsidR="008C42DB">
              <w:rPr>
                <w:lang w:val="en-GB"/>
              </w:rPr>
              <w:t xml:space="preserve"> </w:t>
            </w:r>
            <w:r w:rsidRPr="008D0341">
              <w:rPr>
                <w:lang w:val="en-GB"/>
              </w:rPr>
              <w:t xml:space="preserve">A flexibility amount, corresponding to </w:t>
            </w:r>
            <w:r w:rsidRPr="008D0341">
              <w:rPr>
                <w:b/>
                <w:bCs/>
                <w:i/>
                <w:lang w:val="en-GB"/>
              </w:rPr>
              <w:t>10</w:t>
            </w:r>
            <w:r w:rsidRPr="008D0341">
              <w:rPr>
                <w:lang w:val="en-GB"/>
              </w:rPr>
              <w:t>% of the Union financial contribution of a Member State as set out in Annex I [allocation method], shall only be available for programming as follows:</w:t>
            </w:r>
          </w:p>
          <w:p w:rsidRPr="008D0341" w:rsidR="003A2E37" w:rsidP="00066365" w:rsidRDefault="003A2E37" w14:paraId="5B1B6779" w14:textId="511A79C2">
            <w:pPr>
              <w:ind w:left="40" w:right="40"/>
              <w:rPr>
                <w:lang w:val="en-GB"/>
              </w:rPr>
            </w:pPr>
            <w:r w:rsidRPr="008D0341">
              <w:rPr>
                <w:lang w:val="en-GB"/>
              </w:rPr>
              <w:t>(a)</w:t>
            </w:r>
            <w:r w:rsidR="008C42DB">
              <w:rPr>
                <w:lang w:val="en-GB"/>
              </w:rPr>
              <w:t xml:space="preserve"> </w:t>
            </w:r>
            <w:r w:rsidRPr="008D0341">
              <w:rPr>
                <w:lang w:val="en-GB"/>
              </w:rPr>
              <w:t>Up to one fifth may be requested by a Member State in accordance with Article 34 (Amendment of the plan in case of crisis situations), with the remaining amount to be programmed in accordance with Article 25 (mid-term review);</w:t>
            </w:r>
          </w:p>
          <w:p w:rsidRPr="008D0341" w:rsidR="003A2E37" w:rsidP="00066365" w:rsidRDefault="003A2E37" w14:paraId="455D85E4" w14:textId="03FEC0F1">
            <w:pPr>
              <w:ind w:left="40" w:right="40"/>
              <w:rPr>
                <w:lang w:val="en-GB"/>
              </w:rPr>
            </w:pPr>
            <w:r w:rsidRPr="008D0341">
              <w:rPr>
                <w:lang w:val="en-GB"/>
              </w:rPr>
              <w:t>(b)</w:t>
            </w:r>
            <w:r w:rsidR="008C42DB">
              <w:rPr>
                <w:lang w:val="en-GB"/>
              </w:rPr>
              <w:t xml:space="preserve"> </w:t>
            </w:r>
            <w:r w:rsidRPr="008D0341">
              <w:rPr>
                <w:lang w:val="en-GB"/>
              </w:rPr>
              <w:t>three fifths may be requested by a Member State in accordance with Article 25 [midterm review] of which a part may be requested before the mid-term review in duly justified and exceptional circumstances;</w:t>
            </w:r>
          </w:p>
          <w:p w:rsidRPr="008D0341" w:rsidR="003A2E37" w:rsidP="00066365" w:rsidRDefault="003A2E37" w14:paraId="00456953" w14:textId="740DBB27">
            <w:pPr>
              <w:rPr>
                <w:lang w:val="en-GB"/>
              </w:rPr>
            </w:pPr>
            <w:r w:rsidRPr="008D0341">
              <w:rPr>
                <w:lang w:val="en-GB"/>
              </w:rPr>
              <w:t>(c)</w:t>
            </w:r>
            <w:r w:rsidR="008C42DB">
              <w:rPr>
                <w:lang w:val="en-GB"/>
              </w:rPr>
              <w:t xml:space="preserve"> </w:t>
            </w:r>
            <w:r w:rsidRPr="008D0341">
              <w:rPr>
                <w:lang w:val="en-GB"/>
              </w:rPr>
              <w:t>one fifth may only be requested by the Member State as of 2031, in accordance with Article 34 (Amendment of the plan in case of crisis situations). As of 30 June 2033, any unprogrammed amount shall be available for programming for any amendment of the Plan.</w:t>
            </w:r>
          </w:p>
        </w:tc>
      </w:tr>
    </w:tbl>
    <w:p w:rsidRPr="008D0341" w:rsidR="003A2E37" w:rsidP="00066365" w:rsidRDefault="003A2E37" w14:paraId="7B7A0EC7" w14:textId="77777777">
      <w:pPr>
        <w:rPr>
          <w:lang w:val="en-GB"/>
        </w:rP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322"/>
      </w:tblGrid>
      <w:tr w:rsidRPr="008D0341" w:rsidR="003A2E37" w:rsidTr="00CB5DB8" w14:paraId="558074E4" w14:textId="77777777">
        <w:tc>
          <w:tcPr>
            <w:tcW w:w="9322" w:type="dxa"/>
          </w:tcPr>
          <w:p w:rsidRPr="008D0341" w:rsidR="003A2E37" w:rsidP="00066365" w:rsidRDefault="003A2E37" w14:paraId="1495E50A" w14:textId="77777777">
            <w:pPr>
              <w:jc w:val="center"/>
              <w:rPr>
                <w:b/>
                <w:i/>
                <w:lang w:val="en-GB"/>
              </w:rPr>
            </w:pPr>
            <w:r w:rsidRPr="008D0341">
              <w:rPr>
                <w:b/>
                <w:bCs/>
                <w:i/>
                <w:lang w:val="en-GB"/>
              </w:rPr>
              <w:t>Reason</w:t>
            </w:r>
          </w:p>
        </w:tc>
      </w:tr>
      <w:tr w:rsidRPr="008D0341" w:rsidR="003A2E37" w:rsidTr="00CB5DB8" w14:paraId="7C0C7A5D" w14:textId="77777777">
        <w:tc>
          <w:tcPr>
            <w:tcW w:w="9322" w:type="dxa"/>
          </w:tcPr>
          <w:p w:rsidRPr="008D0341" w:rsidR="003A2E37" w:rsidP="00066365" w:rsidRDefault="003A2E37" w14:paraId="3C113AE0" w14:textId="4B6E3EBB">
            <w:pPr>
              <w:rPr>
                <w:lang w:val="en-GB"/>
              </w:rPr>
            </w:pPr>
            <w:r w:rsidRPr="008D0341">
              <w:rPr>
                <w:lang w:val="en-GB"/>
              </w:rPr>
              <w:t>While the Regions recognise the value of flexibility provisions, they also point out that too much flexibility is not compatible with a long-term policy and that the flexibility amount of 25% is far too high. The flexibility amount should be reduced to 10% like in the 2021-2027 mid-term review.</w:t>
            </w:r>
          </w:p>
        </w:tc>
      </w:tr>
    </w:tbl>
    <w:p w:rsidR="00350468" w:rsidP="00066365" w:rsidRDefault="00350468" w14:paraId="6835541E" w14:textId="77777777">
      <w:pPr>
        <w:keepNext/>
        <w:jc w:val="center"/>
        <w:rPr>
          <w:rFonts w:eastAsia="Myriad Pro" w:cs="Myriad Pro"/>
          <w:b/>
          <w:bCs/>
          <w:sz w:val="21"/>
          <w:szCs w:val="21"/>
          <w:lang w:val="en-GB"/>
        </w:rPr>
      </w:pPr>
    </w:p>
    <w:p w:rsidRPr="0009381E" w:rsidR="009E00CB" w:rsidP="00066365" w:rsidRDefault="009E00CB" w14:paraId="1DB9B975" w14:textId="77777777">
      <w:pPr>
        <w:keepNext/>
        <w:jc w:val="center"/>
        <w:rPr>
          <w:rFonts w:eastAsia="Myriad Pro"/>
        </w:rPr>
      </w:pPr>
    </w:p>
    <w:p w:rsidRPr="008D0341" w:rsidR="0051403D" w:rsidP="00066365" w:rsidRDefault="0051403D" w14:paraId="1A8379A3" w14:textId="3342E051">
      <w:pPr>
        <w:keepNext/>
        <w:jc w:val="center"/>
        <w:rPr>
          <w:sz w:val="21"/>
          <w:szCs w:val="21"/>
          <w:lang w:val="en-GB"/>
        </w:rPr>
      </w:pPr>
      <w:r w:rsidRPr="008D0341">
        <w:rPr>
          <w:rFonts w:eastAsia="Myriad Pro" w:cs="Myriad Pro"/>
          <w:b/>
          <w:bCs/>
          <w:sz w:val="21"/>
          <w:szCs w:val="21"/>
          <w:lang w:val="en-GB"/>
        </w:rPr>
        <w:t xml:space="preserve">Amendment </w:t>
      </w:r>
      <w:r w:rsidRPr="008D0341" w:rsidR="008B5EAB">
        <w:rPr>
          <w:rFonts w:eastAsia="Myriad Pro" w:cs="Myriad Pro"/>
          <w:b/>
          <w:bCs/>
          <w:sz w:val="21"/>
          <w:szCs w:val="21"/>
          <w:lang w:val="en-GB"/>
        </w:rPr>
        <w:t>6</w:t>
      </w:r>
    </w:p>
    <w:p w:rsidRPr="008D0341" w:rsidR="0051403D" w:rsidP="00066365" w:rsidRDefault="0051403D" w14:paraId="40DE1192" w14:textId="7F43851A">
      <w:pPr>
        <w:keepNext/>
        <w:jc w:val="center"/>
        <w:rPr>
          <w:rFonts w:eastAsia="Myriad Pro"/>
          <w:sz w:val="21"/>
          <w:szCs w:val="21"/>
          <w:lang w:val="en-GB"/>
        </w:rPr>
      </w:pPr>
      <w:r w:rsidRPr="008D0341">
        <w:rPr>
          <w:rFonts w:eastAsia="Myriad Pro"/>
          <w:sz w:val="21"/>
          <w:szCs w:val="21"/>
          <w:lang w:val="en-GB"/>
        </w:rPr>
        <w:t>Article 14</w:t>
      </w:r>
      <w:r w:rsidRPr="008D0341" w:rsidR="002D75FD">
        <w:rPr>
          <w:rFonts w:eastAsia="Myriad Pro"/>
          <w:sz w:val="21"/>
          <w:szCs w:val="21"/>
          <w:lang w:val="en-GB"/>
        </w:rPr>
        <w:t xml:space="preserve"> add new paragraph 3 (after paragraph 2)</w:t>
      </w:r>
      <w:r w:rsidRPr="008D0341">
        <w:rPr>
          <w:rFonts w:eastAsia="Myriad Pro"/>
          <w:sz w:val="21"/>
          <w:szCs w:val="21"/>
          <w:lang w:val="en-GB"/>
        </w:rPr>
        <w:t xml:space="preserve"> – Budgetary commitments</w:t>
      </w:r>
    </w:p>
    <w:p w:rsidRPr="008D0341" w:rsidR="007A0032" w:rsidP="00066365" w:rsidRDefault="007A0032" w14:paraId="0EAAA340" w14:textId="77777777">
      <w:pPr>
        <w:keepNext/>
        <w:jc w:val="center"/>
        <w:rPr>
          <w:sz w:val="21"/>
          <w:szCs w:val="21"/>
          <w:lang w:val="en-GB"/>
        </w:rPr>
      </w:pPr>
    </w:p>
    <w:tbl>
      <w:tblPr>
        <w:tblW w:w="0" w:type="auto"/>
        <w:tblLook w:val="04A0" w:firstRow="1" w:lastRow="0" w:firstColumn="1" w:lastColumn="0" w:noHBand="0" w:noVBand="1"/>
      </w:tblPr>
      <w:tblGrid>
        <w:gridCol w:w="4644"/>
        <w:gridCol w:w="4645"/>
      </w:tblGrid>
      <w:tr w:rsidRPr="008D0341" w:rsidR="0051403D" w:rsidTr="0032178D" w14:paraId="12F3B4E8" w14:textId="77777777">
        <w:trPr>
          <w:trHeight w:val="300"/>
        </w:trPr>
        <w:tc>
          <w:tcPr>
            <w:tcW w:w="465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51403D" w:rsidP="003F40F8" w:rsidRDefault="008C42DB" w14:paraId="2254E016" w14:textId="26AFFCDE">
            <w:pPr>
              <w:jc w:val="center"/>
              <w:rPr>
                <w:sz w:val="21"/>
                <w:szCs w:val="21"/>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5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51403D" w:rsidP="00066365" w:rsidRDefault="0051403D" w14:paraId="2D2581DD" w14:textId="77777777">
            <w:pPr>
              <w:keepNext/>
              <w:jc w:val="center"/>
              <w:rPr>
                <w:sz w:val="21"/>
                <w:szCs w:val="21"/>
                <w:lang w:val="en-GB"/>
              </w:rPr>
            </w:pPr>
            <w:r w:rsidRPr="008D0341">
              <w:rPr>
                <w:b/>
                <w:bCs/>
                <w:i/>
                <w:iCs/>
                <w:sz w:val="21"/>
                <w:szCs w:val="21"/>
                <w:lang w:val="en-GB"/>
              </w:rPr>
              <w:t>CoR amendment</w:t>
            </w:r>
          </w:p>
        </w:tc>
      </w:tr>
      <w:tr w:rsidRPr="008D0341" w:rsidR="0051403D" w:rsidTr="0032178D" w14:paraId="599761DC" w14:textId="77777777">
        <w:trPr>
          <w:trHeight w:val="5083"/>
        </w:trPr>
        <w:tc>
          <w:tcPr>
            <w:tcW w:w="465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2D75FD" w:rsidP="003F40F8" w:rsidRDefault="002D75FD" w14:paraId="2A6FF5E9" w14:textId="79B64A0E">
            <w:pPr>
              <w:rPr>
                <w:sz w:val="21"/>
                <w:szCs w:val="21"/>
                <w:lang w:val="en-GB"/>
              </w:rPr>
            </w:pPr>
          </w:p>
        </w:tc>
        <w:tc>
          <w:tcPr>
            <w:tcW w:w="465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2D75FD" w:rsidP="00066365" w:rsidRDefault="00966BBC" w14:paraId="5F889C42" w14:textId="5C6B1B10">
            <w:pPr>
              <w:pStyle w:val="NormalWeb"/>
              <w:keepNext/>
              <w:spacing w:before="0" w:beforeAutospacing="0" w:after="0" w:afterAutospacing="0" w:line="288" w:lineRule="auto"/>
              <w:jc w:val="both"/>
              <w:rPr>
                <w:rFonts w:eastAsia="Calibri"/>
                <w:sz w:val="22"/>
                <w:szCs w:val="22"/>
                <w:lang w:val="en-GB"/>
              </w:rPr>
            </w:pPr>
            <w:r w:rsidRPr="008D0341">
              <w:rPr>
                <w:rFonts w:eastAsia="Calibri"/>
                <w:sz w:val="22"/>
                <w:szCs w:val="22"/>
                <w:lang w:val="en-GB"/>
              </w:rPr>
              <w:t>[…]</w:t>
            </w:r>
          </w:p>
          <w:p w:rsidRPr="008D0341" w:rsidR="008509BC" w:rsidP="00066365" w:rsidRDefault="0051403D" w14:paraId="760B7AB8" w14:textId="2FC97B36">
            <w:pPr>
              <w:pStyle w:val="NormalWeb"/>
              <w:keepNext/>
              <w:spacing w:before="0" w:beforeAutospacing="0" w:after="0" w:afterAutospacing="0" w:line="288" w:lineRule="auto"/>
              <w:jc w:val="both"/>
              <w:rPr>
                <w:rFonts w:eastAsia="Calibri"/>
                <w:b/>
                <w:bCs/>
                <w:i/>
                <w:iCs/>
                <w:sz w:val="22"/>
                <w:szCs w:val="22"/>
                <w:lang w:val="en-GB"/>
              </w:rPr>
            </w:pPr>
            <w:r w:rsidRPr="008D0341">
              <w:rPr>
                <w:rFonts w:eastAsia="Calibri"/>
                <w:b/>
                <w:bCs/>
                <w:i/>
                <w:iCs/>
                <w:sz w:val="22"/>
                <w:szCs w:val="22"/>
                <w:lang w:val="en-GB"/>
              </w:rPr>
              <w:t xml:space="preserve">3. Access to the flexibility amount referred to in paragraph 2 shall be conditional upon Member State </w:t>
            </w:r>
            <w:r w:rsidRPr="008D0341" w:rsidR="00F72F45">
              <w:rPr>
                <w:rFonts w:eastAsia="Calibri"/>
                <w:b/>
                <w:bCs/>
                <w:i/>
                <w:iCs/>
                <w:sz w:val="22"/>
                <w:szCs w:val="22"/>
                <w:lang w:val="en-GB"/>
              </w:rPr>
              <w:t>demonstrating</w:t>
            </w:r>
            <w:r w:rsidRPr="008D0341" w:rsidR="001C46EF">
              <w:rPr>
                <w:rFonts w:eastAsia="Calibri"/>
                <w:b/>
                <w:bCs/>
                <w:i/>
                <w:iCs/>
                <w:sz w:val="22"/>
                <w:szCs w:val="22"/>
                <w:lang w:val="en-GB"/>
              </w:rPr>
              <w:t xml:space="preserve"> that</w:t>
            </w:r>
            <w:r w:rsidRPr="008D0341" w:rsidR="00F72F45">
              <w:rPr>
                <w:rFonts w:eastAsia="Calibri"/>
                <w:b/>
                <w:bCs/>
                <w:i/>
                <w:iCs/>
                <w:sz w:val="22"/>
                <w:szCs w:val="22"/>
                <w:lang w:val="en-GB"/>
              </w:rPr>
              <w:t>:</w:t>
            </w:r>
          </w:p>
          <w:p w:rsidR="001B04AC" w:rsidP="00066365" w:rsidRDefault="0051403D" w14:paraId="39CC8551" w14:textId="77777777">
            <w:pPr>
              <w:pStyle w:val="NormalWeb"/>
              <w:keepNext/>
              <w:spacing w:before="0" w:beforeAutospacing="0" w:after="0" w:afterAutospacing="0" w:line="288" w:lineRule="auto"/>
              <w:jc w:val="both"/>
              <w:rPr>
                <w:b/>
                <w:bCs/>
                <w:i/>
                <w:iCs/>
                <w:sz w:val="22"/>
                <w:szCs w:val="22"/>
                <w:lang w:val="en-GB"/>
              </w:rPr>
            </w:pPr>
            <w:r w:rsidRPr="008D0341">
              <w:rPr>
                <w:rFonts w:eastAsia="Calibri"/>
                <w:b/>
                <w:bCs/>
                <w:i/>
                <w:iCs/>
                <w:sz w:val="22"/>
                <w:szCs w:val="22"/>
                <w:lang w:val="en-GB"/>
              </w:rPr>
              <w:t>(a)</w:t>
            </w:r>
            <w:r w:rsidRPr="008D0341">
              <w:rPr>
                <w:b/>
                <w:bCs/>
                <w:i/>
                <w:iCs/>
                <w:sz w:val="22"/>
                <w:szCs w:val="22"/>
                <w:lang w:val="en-GB"/>
              </w:rPr>
              <w:t xml:space="preserve"> competent regional authorities and other partners referred to in Article 6 were meaningfully involved in the preparation, justification and territorial allocation of the flexibility amount;</w:t>
            </w:r>
          </w:p>
          <w:p w:rsidR="001B04AC" w:rsidP="00066365" w:rsidRDefault="0051403D" w14:paraId="05F7C1C4" w14:textId="13D72EB0">
            <w:pPr>
              <w:pStyle w:val="NormalWeb"/>
              <w:keepNext/>
              <w:spacing w:before="0" w:beforeAutospacing="0" w:after="0" w:afterAutospacing="0" w:line="288" w:lineRule="auto"/>
              <w:jc w:val="both"/>
              <w:rPr>
                <w:b/>
                <w:bCs/>
                <w:i/>
                <w:iCs/>
                <w:sz w:val="22"/>
                <w:szCs w:val="22"/>
                <w:lang w:val="en-GB"/>
              </w:rPr>
            </w:pPr>
            <w:r w:rsidRPr="008D0341">
              <w:rPr>
                <w:rFonts w:eastAsia="Calibri"/>
                <w:b/>
                <w:bCs/>
                <w:i/>
                <w:iCs/>
                <w:sz w:val="22"/>
                <w:szCs w:val="22"/>
                <w:lang w:val="en-GB"/>
              </w:rPr>
              <w:t>(b)</w:t>
            </w:r>
            <w:r w:rsidRPr="008D0341">
              <w:rPr>
                <w:b/>
                <w:bCs/>
                <w:i/>
                <w:iCs/>
                <w:sz w:val="22"/>
                <w:szCs w:val="22"/>
                <w:lang w:val="en-GB"/>
              </w:rPr>
              <w:t xml:space="preserve"> the programming or re-programming of the flexibility amount </w:t>
            </w:r>
            <w:r w:rsidRPr="0063224B" w:rsidR="00D8398A">
              <w:rPr>
                <w:b/>
                <w:bCs/>
                <w:i/>
                <w:sz w:val="22"/>
                <w:szCs w:val="22"/>
                <w:lang w:val="en-GB"/>
              </w:rPr>
              <w:t>, affecting allocations of local and regional authorities, including integrated territorial instruments, should only be made</w:t>
            </w:r>
            <w:r w:rsidRPr="0063224B" w:rsidR="00D8398A">
              <w:rPr>
                <w:sz w:val="22"/>
                <w:szCs w:val="22"/>
                <w:lang w:val="en-GB"/>
              </w:rPr>
              <w:t xml:space="preserve"> </w:t>
            </w:r>
            <w:r w:rsidRPr="0063224B" w:rsidR="00D8398A">
              <w:rPr>
                <w:b/>
                <w:bCs/>
                <w:i/>
                <w:sz w:val="22"/>
                <w:szCs w:val="22"/>
                <w:lang w:val="en-GB"/>
              </w:rPr>
              <w:t>with the consent</w:t>
            </w:r>
            <w:r w:rsidRPr="0063224B" w:rsidR="00D8398A">
              <w:rPr>
                <w:sz w:val="22"/>
                <w:szCs w:val="22"/>
                <w:lang w:val="en-GB"/>
              </w:rPr>
              <w:t xml:space="preserve"> </w:t>
            </w:r>
            <w:r w:rsidRPr="0063224B" w:rsidR="00D8398A">
              <w:rPr>
                <w:b/>
                <w:bCs/>
                <w:i/>
                <w:sz w:val="22"/>
                <w:szCs w:val="22"/>
                <w:lang w:val="en-GB"/>
              </w:rPr>
              <w:t>of territorial partners, in line with the principles of</w:t>
            </w:r>
            <w:r w:rsidRPr="0063224B" w:rsidR="00D8398A">
              <w:rPr>
                <w:sz w:val="22"/>
                <w:szCs w:val="22"/>
                <w:lang w:val="en-GB"/>
              </w:rPr>
              <w:t xml:space="preserve"> </w:t>
            </w:r>
            <w:r w:rsidRPr="008D0341">
              <w:rPr>
                <w:rFonts w:eastAsia="Calibri"/>
                <w:b/>
                <w:bCs/>
                <w:i/>
                <w:iCs/>
                <w:sz w:val="22"/>
                <w:szCs w:val="22"/>
                <w:lang w:val="en-GB"/>
              </w:rPr>
              <w:t>subsidiarity</w:t>
            </w:r>
            <w:r w:rsidRPr="008D0341" w:rsidR="00D8398A">
              <w:rPr>
                <w:b/>
                <w:bCs/>
                <w:i/>
                <w:iCs/>
                <w:sz w:val="22"/>
                <w:szCs w:val="22"/>
                <w:lang w:val="en-GB"/>
              </w:rPr>
              <w:t>,</w:t>
            </w:r>
            <w:r w:rsidRPr="008D0341" w:rsidR="002B02EB">
              <w:rPr>
                <w:b/>
                <w:bCs/>
                <w:i/>
                <w:iCs/>
                <w:sz w:val="22"/>
                <w:szCs w:val="22"/>
                <w:lang w:val="en-GB"/>
              </w:rPr>
              <w:t xml:space="preserve"> </w:t>
            </w:r>
            <w:r w:rsidRPr="008D0341">
              <w:rPr>
                <w:rFonts w:eastAsia="Calibri"/>
                <w:b/>
                <w:bCs/>
                <w:i/>
                <w:iCs/>
                <w:sz w:val="22"/>
                <w:szCs w:val="22"/>
                <w:lang w:val="en-GB"/>
              </w:rPr>
              <w:t>partnership</w:t>
            </w:r>
            <w:r w:rsidRPr="008D0341" w:rsidR="00D8398A">
              <w:rPr>
                <w:rFonts w:eastAsia="Calibri"/>
                <w:b/>
                <w:bCs/>
                <w:i/>
                <w:iCs/>
                <w:sz w:val="22"/>
                <w:szCs w:val="22"/>
                <w:lang w:val="en-GB"/>
              </w:rPr>
              <w:t xml:space="preserve"> and multi-level governance</w:t>
            </w:r>
            <w:r w:rsidRPr="008D0341">
              <w:rPr>
                <w:b/>
                <w:bCs/>
                <w:i/>
                <w:iCs/>
                <w:sz w:val="22"/>
                <w:szCs w:val="22"/>
                <w:lang w:val="en-GB"/>
              </w:rPr>
              <w:t>;</w:t>
            </w:r>
          </w:p>
          <w:p w:rsidR="001B04AC" w:rsidP="00066365" w:rsidRDefault="0051403D" w14:paraId="2D1615BF" w14:textId="77777777">
            <w:pPr>
              <w:pStyle w:val="NormalWeb"/>
              <w:keepNext/>
              <w:spacing w:before="0" w:beforeAutospacing="0" w:after="0" w:afterAutospacing="0" w:line="288" w:lineRule="auto"/>
              <w:jc w:val="both"/>
              <w:rPr>
                <w:b/>
                <w:bCs/>
                <w:i/>
                <w:iCs/>
                <w:sz w:val="22"/>
                <w:szCs w:val="22"/>
                <w:lang w:val="en-GB"/>
              </w:rPr>
            </w:pPr>
            <w:r w:rsidRPr="008D0341">
              <w:rPr>
                <w:rFonts w:eastAsia="Calibri"/>
                <w:b/>
                <w:bCs/>
                <w:i/>
                <w:iCs/>
                <w:sz w:val="22"/>
                <w:szCs w:val="22"/>
                <w:lang w:val="en-GB"/>
              </w:rPr>
              <w:t>(c)</w:t>
            </w:r>
            <w:r w:rsidRPr="008D0341">
              <w:rPr>
                <w:b/>
                <w:bCs/>
                <w:i/>
                <w:iCs/>
                <w:sz w:val="22"/>
                <w:szCs w:val="22"/>
                <w:lang w:val="en-GB"/>
              </w:rPr>
              <w:t xml:space="preserve"> the proposed use of the flexibility amount is consistent with the governance and territorial responsibilities verified during the </w:t>
            </w:r>
            <w:r w:rsidRPr="008D0341">
              <w:rPr>
                <w:rFonts w:eastAsia="Calibri"/>
                <w:b/>
                <w:bCs/>
                <w:i/>
                <w:iCs/>
                <w:sz w:val="22"/>
                <w:szCs w:val="22"/>
                <w:lang w:val="en-GB"/>
              </w:rPr>
              <w:t>multilevel governance assessment as defined in Article X</w:t>
            </w:r>
            <w:r w:rsidRPr="008D0341">
              <w:rPr>
                <w:b/>
                <w:bCs/>
                <w:i/>
                <w:iCs/>
                <w:sz w:val="22"/>
                <w:szCs w:val="22"/>
                <w:lang w:val="en-GB"/>
              </w:rPr>
              <w:t>;</w:t>
            </w:r>
          </w:p>
          <w:p w:rsidRPr="008D0341" w:rsidR="0007523F" w:rsidP="00066365" w:rsidRDefault="0051403D" w14:paraId="2DCF41BB" w14:textId="4126CA3D">
            <w:pPr>
              <w:pStyle w:val="NormalWeb"/>
              <w:keepNext/>
              <w:spacing w:before="0" w:beforeAutospacing="0" w:after="0" w:afterAutospacing="0" w:line="288" w:lineRule="auto"/>
              <w:jc w:val="both"/>
              <w:rPr>
                <w:b/>
                <w:bCs/>
                <w:i/>
                <w:iCs/>
                <w:sz w:val="22"/>
                <w:szCs w:val="22"/>
                <w:lang w:val="en-GB"/>
              </w:rPr>
            </w:pPr>
            <w:r w:rsidRPr="008D0341">
              <w:rPr>
                <w:rFonts w:eastAsia="Calibri"/>
                <w:b/>
                <w:bCs/>
                <w:i/>
                <w:iCs/>
                <w:sz w:val="22"/>
                <w:szCs w:val="22"/>
                <w:lang w:val="en-GB"/>
              </w:rPr>
              <w:t>(d)</w:t>
            </w:r>
            <w:r w:rsidRPr="008D0341">
              <w:rPr>
                <w:b/>
                <w:bCs/>
                <w:i/>
                <w:iCs/>
                <w:sz w:val="22"/>
                <w:szCs w:val="22"/>
                <w:lang w:val="en-GB"/>
              </w:rPr>
              <w:t xml:space="preserve"> any changes to the Plan associated with the use of the flexibility amount have been reflected in an updated </w:t>
            </w:r>
            <w:r w:rsidRPr="008D0341">
              <w:rPr>
                <w:rFonts w:eastAsia="Calibri"/>
                <w:b/>
                <w:bCs/>
                <w:i/>
                <w:iCs/>
                <w:sz w:val="22"/>
                <w:szCs w:val="22"/>
                <w:lang w:val="en-GB"/>
              </w:rPr>
              <w:t>Regional Check Report</w:t>
            </w:r>
            <w:r w:rsidRPr="008D0341">
              <w:rPr>
                <w:b/>
                <w:bCs/>
                <w:i/>
                <w:iCs/>
                <w:sz w:val="22"/>
                <w:szCs w:val="22"/>
                <w:lang w:val="en-GB"/>
              </w:rPr>
              <w:t>, submitted to the Commission together with the request.</w:t>
            </w:r>
          </w:p>
          <w:p w:rsidRPr="008D0341" w:rsidR="0051403D" w:rsidP="00066365" w:rsidRDefault="0051403D" w14:paraId="45FB6D28" w14:textId="77777777">
            <w:pPr>
              <w:pStyle w:val="NormalWeb"/>
              <w:keepNext/>
              <w:spacing w:before="0" w:beforeAutospacing="0" w:after="0" w:afterAutospacing="0" w:line="288" w:lineRule="auto"/>
              <w:jc w:val="both"/>
              <w:rPr>
                <w:b/>
                <w:bCs/>
                <w:i/>
                <w:iCs/>
                <w:sz w:val="22"/>
                <w:szCs w:val="22"/>
                <w:lang w:val="en-GB"/>
              </w:rPr>
            </w:pPr>
            <w:r w:rsidRPr="008D0341">
              <w:rPr>
                <w:rFonts w:eastAsia="Calibri"/>
                <w:b/>
                <w:bCs/>
                <w:i/>
                <w:iCs/>
                <w:sz w:val="22"/>
                <w:szCs w:val="22"/>
                <w:lang w:val="en-GB"/>
              </w:rPr>
              <w:t>The Commission shall refuse a request to programme or amend the Plan using the flexibility amount where the Member State has not fulfilled the requirements of this paragraph.</w:t>
            </w:r>
          </w:p>
        </w:tc>
      </w:tr>
    </w:tbl>
    <w:p w:rsidRPr="008D0341" w:rsidR="0051403D" w:rsidP="00066365" w:rsidRDefault="0051403D" w14:paraId="1F9215F5" w14:textId="77777777">
      <w:pPr>
        <w:rPr>
          <w:sz w:val="21"/>
          <w:szCs w:val="21"/>
          <w:lang w:val="en-GB"/>
        </w:rPr>
      </w:pPr>
      <w:r w:rsidRPr="008D0341">
        <w:rPr>
          <w:rFonts w:eastAsia="Myriad Pro" w:cs="Myriad Pro"/>
          <w:sz w:val="21"/>
          <w:szCs w:val="21"/>
          <w:lang w:val="en-GB"/>
        </w:rPr>
        <w:t xml:space="preserve"> </w:t>
      </w:r>
    </w:p>
    <w:tbl>
      <w:tblPr>
        <w:tblW w:w="0" w:type="auto"/>
        <w:tblLook w:val="04A0" w:firstRow="1" w:lastRow="0" w:firstColumn="1" w:lastColumn="0" w:noHBand="0" w:noVBand="1"/>
      </w:tblPr>
      <w:tblGrid>
        <w:gridCol w:w="9285"/>
      </w:tblGrid>
      <w:tr w:rsidRPr="008D0341" w:rsidR="0051403D" w:rsidTr="0032178D" w14:paraId="214CD07C" w14:textId="77777777">
        <w:trPr>
          <w:trHeight w:val="300"/>
        </w:trPr>
        <w:tc>
          <w:tcPr>
            <w:tcW w:w="9285"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51403D" w:rsidP="00066365" w:rsidRDefault="0051403D" w14:paraId="42611419" w14:textId="77777777">
            <w:pPr>
              <w:jc w:val="center"/>
              <w:rPr>
                <w:sz w:val="21"/>
                <w:szCs w:val="21"/>
                <w:lang w:val="en-GB"/>
              </w:rPr>
            </w:pPr>
            <w:r w:rsidRPr="008D0341">
              <w:rPr>
                <w:b/>
                <w:bCs/>
                <w:i/>
                <w:iCs/>
                <w:sz w:val="21"/>
                <w:szCs w:val="21"/>
                <w:lang w:val="en-GB"/>
              </w:rPr>
              <w:t>Reason</w:t>
            </w:r>
          </w:p>
        </w:tc>
      </w:tr>
      <w:tr w:rsidRPr="008D0341" w:rsidR="0051403D" w:rsidTr="0032178D" w14:paraId="28B39453" w14:textId="77777777">
        <w:trPr>
          <w:trHeight w:val="300"/>
        </w:trPr>
        <w:tc>
          <w:tcPr>
            <w:tcW w:w="9285"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51403D" w:rsidP="00066365" w:rsidRDefault="00213ED2" w14:paraId="1AE6F0E0" w14:textId="24636B23">
            <w:pPr>
              <w:rPr>
                <w:lang w:val="en-GB"/>
              </w:rPr>
            </w:pPr>
            <w:r w:rsidRPr="008D0341">
              <w:rPr>
                <w:rFonts w:eastAsia="Calibri"/>
                <w:lang w:val="en-GB"/>
              </w:rPr>
              <w:t>O</w:t>
            </w:r>
            <w:r w:rsidRPr="008D0341" w:rsidR="0051403D">
              <w:rPr>
                <w:rFonts w:eastAsia="Calibri"/>
                <w:lang w:val="en-GB"/>
              </w:rPr>
              <w:t>bligation for Member States to consult and involve regional authorities in the process of tapping into the 25% flexibility amount, as per the</w:t>
            </w:r>
            <w:r w:rsidRPr="008D0341" w:rsidR="006C03B8">
              <w:rPr>
                <w:lang w:val="en-GB"/>
              </w:rPr>
              <w:t xml:space="preserve"> </w:t>
            </w:r>
            <w:r w:rsidRPr="008D0341" w:rsidR="006C03B8">
              <w:rPr>
                <w:rFonts w:eastAsia="Calibri"/>
                <w:lang w:val="en-GB"/>
              </w:rPr>
              <w:t>multilevel governance assessment.</w:t>
            </w:r>
          </w:p>
        </w:tc>
      </w:tr>
    </w:tbl>
    <w:p w:rsidR="00352E5C" w:rsidP="00066365" w:rsidRDefault="00352E5C" w14:paraId="4BFBBC7B" w14:textId="77777777">
      <w:pPr>
        <w:rPr>
          <w:lang w:val="en-GB"/>
        </w:rPr>
      </w:pPr>
    </w:p>
    <w:p w:rsidR="009E00CB" w:rsidP="00066365" w:rsidRDefault="009E00CB" w14:paraId="19CC35D5" w14:textId="77777777">
      <w:pPr>
        <w:rPr>
          <w:lang w:val="en-GB"/>
        </w:rPr>
      </w:pPr>
    </w:p>
    <w:p w:rsidRPr="008D0341" w:rsidR="00487A62" w:rsidP="003F40F8" w:rsidRDefault="00487A62" w14:paraId="3534710E" w14:textId="082957C3">
      <w:pPr>
        <w:keepNext/>
        <w:keepLines/>
        <w:jc w:val="center"/>
        <w:rPr>
          <w:b/>
          <w:bCs/>
          <w:lang w:val="en-GB"/>
        </w:rPr>
      </w:pPr>
      <w:r w:rsidRPr="008D0341">
        <w:rPr>
          <w:b/>
          <w:bCs/>
          <w:lang w:val="en-GB"/>
        </w:rPr>
        <w:t xml:space="preserve">Amendment </w:t>
      </w:r>
      <w:r w:rsidRPr="008D0341" w:rsidR="008B5EAB">
        <w:rPr>
          <w:b/>
          <w:bCs/>
          <w:lang w:val="en-GB"/>
        </w:rPr>
        <w:t>7</w:t>
      </w:r>
    </w:p>
    <w:p w:rsidRPr="008D0341" w:rsidR="00487A62" w:rsidP="003F40F8" w:rsidRDefault="00487A62" w14:paraId="37E1F79C" w14:textId="41CDB6BE">
      <w:pPr>
        <w:keepNext/>
        <w:keepLines/>
        <w:jc w:val="center"/>
        <w:rPr>
          <w:lang w:val="en-GB"/>
        </w:rPr>
      </w:pPr>
      <w:r w:rsidRPr="008D0341">
        <w:rPr>
          <w:lang w:val="en-GB"/>
        </w:rPr>
        <w:t>Article 17</w:t>
      </w:r>
    </w:p>
    <w:p w:rsidRPr="008D0341" w:rsidR="00487A62" w:rsidP="003F40F8" w:rsidRDefault="00487A62" w14:paraId="72E4E71F"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487A62" w:rsidTr="00CF66AD" w14:paraId="7A36F7F7" w14:textId="77777777">
        <w:tc>
          <w:tcPr>
            <w:tcW w:w="4642" w:type="dxa"/>
          </w:tcPr>
          <w:p w:rsidRPr="008D0341" w:rsidR="00487A62" w:rsidP="00066365" w:rsidRDefault="00487A62" w14:paraId="52838D17" w14:textId="77777777">
            <w:pPr>
              <w:jc w:val="center"/>
              <w:rPr>
                <w:b/>
                <w:bCs/>
                <w:i/>
                <w:iCs/>
                <w:lang w:val="en-GB"/>
              </w:rPr>
            </w:pPr>
            <w:r w:rsidRPr="008D0341">
              <w:rPr>
                <w:b/>
                <w:bCs/>
                <w:i/>
                <w:iCs/>
                <w:lang w:val="en-GB"/>
              </w:rPr>
              <w:t>Text proposed by the European Commission</w:t>
            </w:r>
          </w:p>
        </w:tc>
        <w:tc>
          <w:tcPr>
            <w:tcW w:w="4645" w:type="dxa"/>
          </w:tcPr>
          <w:p w:rsidRPr="008D0341" w:rsidR="00487A62" w:rsidP="00066365" w:rsidRDefault="00487A62" w14:paraId="1BC89CE0" w14:textId="77777777">
            <w:pPr>
              <w:jc w:val="center"/>
              <w:rPr>
                <w:b/>
                <w:i/>
                <w:lang w:val="en-GB"/>
              </w:rPr>
            </w:pPr>
            <w:r w:rsidRPr="008D0341">
              <w:rPr>
                <w:b/>
                <w:bCs/>
                <w:i/>
                <w:iCs/>
                <w:color w:val="000000"/>
                <w:lang w:val="en-GB"/>
              </w:rPr>
              <w:t>CoR amendment</w:t>
            </w:r>
          </w:p>
        </w:tc>
      </w:tr>
      <w:tr w:rsidRPr="008D0341" w:rsidR="00487A62" w:rsidTr="00CF66AD" w14:paraId="1A6CE2FE" w14:textId="77777777">
        <w:tc>
          <w:tcPr>
            <w:tcW w:w="4642" w:type="dxa"/>
          </w:tcPr>
          <w:p w:rsidRPr="008D0341" w:rsidR="00487A62" w:rsidP="00066365" w:rsidRDefault="00487A62" w14:paraId="29D3C095" w14:textId="2509A6D3">
            <w:pPr>
              <w:rPr>
                <w:lang w:val="en-GB"/>
              </w:rPr>
            </w:pPr>
            <w:r w:rsidRPr="008D0341">
              <w:rPr>
                <w:lang w:val="en-GB"/>
              </w:rPr>
              <w:t xml:space="preserve">1. Subject to the adoption by the Council of the implementing decision referred to in Article 23 and to the availability of funds, the Commission shall make a pre-financing payment. The amount of pre-financing shall be </w:t>
            </w:r>
            <w:r w:rsidRPr="008D0341">
              <w:rPr>
                <w:b/>
                <w:bCs/>
                <w:i/>
                <w:lang w:val="en-GB"/>
              </w:rPr>
              <w:t>10</w:t>
            </w:r>
            <w:r w:rsidRPr="008D0341">
              <w:rPr>
                <w:lang w:val="en-GB"/>
              </w:rPr>
              <w:t>% of the Union financial allocation referred to in Article 14 [budgetary commitments] and shall be paid in tranches over three consecutive years, as follows: 4% in 2028, 3% in 2029, and 3% in 2030. Where the implementing decision is adopted by the Council after 31 July 2028, only the tranches of 2029 and 2030 shall be paid.</w:t>
            </w:r>
          </w:p>
        </w:tc>
        <w:tc>
          <w:tcPr>
            <w:tcW w:w="4645" w:type="dxa"/>
          </w:tcPr>
          <w:p w:rsidRPr="008D0341" w:rsidR="00487A62" w:rsidP="00066365" w:rsidRDefault="00487A62" w14:paraId="3B8FE5BA" w14:textId="2BA9740C">
            <w:pPr>
              <w:rPr>
                <w:lang w:val="en-GB"/>
              </w:rPr>
            </w:pPr>
            <w:r w:rsidRPr="008D0341">
              <w:rPr>
                <w:lang w:val="en-GB"/>
              </w:rPr>
              <w:t xml:space="preserve">1. Subject to the adoption by the Council of the implementing decision referred to in Article 23 and to the availability of funds, the Commission shall make a pre-financing payment. The amount of pre-financing shall be </w:t>
            </w:r>
            <w:r w:rsidRPr="008D0341">
              <w:rPr>
                <w:b/>
                <w:bCs/>
                <w:i/>
                <w:lang w:val="en-GB"/>
              </w:rPr>
              <w:t>13</w:t>
            </w:r>
            <w:r w:rsidRPr="008D0341">
              <w:rPr>
                <w:lang w:val="en-GB"/>
              </w:rPr>
              <w:t>% of the Union financial allocation referred to in Article 14 [budgetary commitments] and shall be paid in tranches over three consecutive years, as follows: 4% in 2028, 3% in 2029, and 3% in 2030. Where the implementing decision is adopted by the Council after 31 July 2028, only the tranches of 2029 and 2030 shall be paid.</w:t>
            </w:r>
          </w:p>
        </w:tc>
      </w:tr>
    </w:tbl>
    <w:p w:rsidR="00350468" w:rsidP="00066365" w:rsidRDefault="00350468" w14:paraId="7AC10AD7" w14:textId="77777777">
      <w:pPr>
        <w:rPr>
          <w:lang w:val="en-GB"/>
        </w:rPr>
      </w:pPr>
    </w:p>
    <w:p w:rsidRPr="008D0341" w:rsidR="009E00CB" w:rsidP="00066365" w:rsidRDefault="009E00CB" w14:paraId="47463797" w14:textId="77777777">
      <w:pPr>
        <w:rPr>
          <w:lang w:val="en-GB"/>
        </w:rPr>
      </w:pPr>
    </w:p>
    <w:p w:rsidRPr="008D0341" w:rsidR="00352E5C" w:rsidP="003F40F8" w:rsidRDefault="00352E5C" w14:paraId="137AA742" w14:textId="35187FE6">
      <w:pPr>
        <w:keepNext/>
        <w:keepLines/>
        <w:jc w:val="center"/>
        <w:rPr>
          <w:lang w:val="en-GB"/>
        </w:rPr>
      </w:pPr>
      <w:r w:rsidRPr="008D0341">
        <w:rPr>
          <w:rFonts w:eastAsia="Myriad Pro"/>
          <w:b/>
          <w:bCs/>
          <w:lang w:val="en-GB"/>
        </w:rPr>
        <w:t xml:space="preserve">Amendment </w:t>
      </w:r>
      <w:r w:rsidRPr="008D0341" w:rsidR="008B5EAB">
        <w:rPr>
          <w:rFonts w:eastAsia="Myriad Pro"/>
          <w:b/>
          <w:bCs/>
          <w:lang w:val="en-GB"/>
        </w:rPr>
        <w:t>8</w:t>
      </w:r>
    </w:p>
    <w:p w:rsidRPr="008D0341" w:rsidR="00352E5C" w:rsidP="003F40F8" w:rsidRDefault="00352E5C" w14:paraId="636F4A05" w14:textId="609C449B">
      <w:pPr>
        <w:keepNext/>
        <w:keepLines/>
        <w:jc w:val="center"/>
        <w:rPr>
          <w:rFonts w:eastAsia="Myriad Pro"/>
          <w:lang w:val="en-GB"/>
        </w:rPr>
      </w:pPr>
      <w:r w:rsidRPr="008D0341">
        <w:rPr>
          <w:rFonts w:eastAsia="Myriad Pro"/>
          <w:lang w:val="en-GB"/>
        </w:rPr>
        <w:t>New article</w:t>
      </w:r>
      <w:r w:rsidRPr="008D0341" w:rsidR="0066396F">
        <w:rPr>
          <w:rFonts w:eastAsia="Myriad Pro"/>
          <w:lang w:val="en-GB"/>
        </w:rPr>
        <w:t xml:space="preserve"> Title III, Chapter 1, article </w:t>
      </w:r>
      <w:r w:rsidRPr="008D0341" w:rsidR="001236C0">
        <w:rPr>
          <w:rFonts w:eastAsia="Myriad Pro"/>
          <w:lang w:val="en-GB"/>
        </w:rPr>
        <w:t xml:space="preserve">20b </w:t>
      </w:r>
      <w:r w:rsidRPr="008D0341">
        <w:rPr>
          <w:rFonts w:eastAsia="Myriad Pro"/>
          <w:lang w:val="en-GB"/>
        </w:rPr>
        <w:t>–</w:t>
      </w:r>
      <w:r w:rsidRPr="008D0341" w:rsidR="00937284">
        <w:rPr>
          <w:rFonts w:eastAsia="Myriad Pro"/>
          <w:b/>
          <w:bCs/>
          <w:i/>
          <w:iCs/>
          <w:lang w:val="en-GB"/>
        </w:rPr>
        <w:t xml:space="preserve"> Multilevel governance assessment</w:t>
      </w:r>
    </w:p>
    <w:p w:rsidRPr="008D0341" w:rsidR="00352E5C" w:rsidP="003F40F8" w:rsidRDefault="00352E5C" w14:paraId="3F7780C0"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CB5DB8" w14:paraId="17DB33AC"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BC7019" w14:paraId="669324E8" w14:textId="6B391D57">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35FBCC59" w14:textId="77777777">
            <w:pPr>
              <w:jc w:val="center"/>
              <w:rPr>
                <w:b/>
                <w:bCs/>
                <w:i/>
                <w:iCs/>
                <w:lang w:val="en-GB"/>
              </w:rPr>
            </w:pPr>
            <w:r w:rsidRPr="008D0341">
              <w:rPr>
                <w:b/>
                <w:bCs/>
                <w:i/>
                <w:iCs/>
                <w:lang w:val="en-GB"/>
              </w:rPr>
              <w:t>CoR amendment</w:t>
            </w:r>
          </w:p>
        </w:tc>
      </w:tr>
      <w:tr w:rsidRPr="008D0341" w:rsidR="00352E5C" w:rsidTr="00CB5DB8" w14:paraId="6E7A70CB"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F5A0FF2" w14:textId="74E97E17">
            <w:pPr>
              <w:shd w:val="clear" w:color="auto" w:fill="FFFFFF"/>
              <w:ind w:left="468"/>
              <w:textAlignment w:val="baseline"/>
              <w:rPr>
                <w:lang w:val="en-GB"/>
              </w:rPr>
            </w:pP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2C1A628" w14:textId="55FBAC15">
            <w:pPr>
              <w:shd w:val="clear" w:color="auto" w:fill="FFFFFF"/>
              <w:textAlignment w:val="baseline"/>
              <w:rPr>
                <w:rFonts w:eastAsia="Myriad Pro"/>
                <w:b/>
                <w:bCs/>
                <w:i/>
                <w:iCs/>
                <w:lang w:val="en-GB"/>
              </w:rPr>
            </w:pPr>
            <w:r w:rsidRPr="008D0341">
              <w:rPr>
                <w:rFonts w:eastAsia="Myriad Pro"/>
                <w:b/>
                <w:bCs/>
                <w:i/>
                <w:iCs/>
                <w:lang w:val="en-GB"/>
              </w:rPr>
              <w:t>1. As a first procedural step in the preparation of the National and Regional Partnership Plan (NRPP), each Member State shall conduct</w:t>
            </w:r>
            <w:r w:rsidRPr="008D0341" w:rsidR="000D53B4">
              <w:rPr>
                <w:rFonts w:eastAsia="Myriad Pro"/>
                <w:b/>
                <w:bCs/>
                <w:i/>
                <w:iCs/>
                <w:lang w:val="en-GB"/>
              </w:rPr>
              <w:t xml:space="preserve">, according to </w:t>
            </w:r>
            <w:r w:rsidRPr="008D0341" w:rsidR="002C5C63">
              <w:rPr>
                <w:rFonts w:eastAsia="Myriad Pro"/>
                <w:b/>
                <w:bCs/>
                <w:i/>
                <w:iCs/>
                <w:lang w:val="en-GB"/>
              </w:rPr>
              <w:t>its</w:t>
            </w:r>
            <w:r w:rsidRPr="008D0341" w:rsidR="000D53B4">
              <w:rPr>
                <w:rFonts w:eastAsia="Myriad Pro"/>
                <w:b/>
                <w:bCs/>
                <w:i/>
                <w:iCs/>
                <w:lang w:val="en-GB"/>
              </w:rPr>
              <w:t xml:space="preserve"> internal </w:t>
            </w:r>
            <w:r w:rsidRPr="008D0341" w:rsidR="000D2085">
              <w:rPr>
                <w:rFonts w:eastAsia="Myriad Pro"/>
                <w:b/>
                <w:bCs/>
                <w:i/>
                <w:iCs/>
                <w:lang w:val="en-GB"/>
              </w:rPr>
              <w:t>constitutional</w:t>
            </w:r>
            <w:r w:rsidRPr="008D0341" w:rsidR="002C5C63">
              <w:rPr>
                <w:rFonts w:eastAsia="Myriad Pro"/>
                <w:b/>
                <w:bCs/>
                <w:i/>
                <w:iCs/>
                <w:lang w:val="en-GB"/>
              </w:rPr>
              <w:t xml:space="preserve">, political and territorial </w:t>
            </w:r>
            <w:r w:rsidRPr="008D0341" w:rsidR="000D53B4">
              <w:rPr>
                <w:rFonts w:eastAsia="Myriad Pro"/>
                <w:b/>
                <w:bCs/>
                <w:i/>
                <w:iCs/>
                <w:lang w:val="en-GB"/>
              </w:rPr>
              <w:t>organi</w:t>
            </w:r>
            <w:r w:rsidRPr="008D0341" w:rsidR="001C46EF">
              <w:rPr>
                <w:rFonts w:eastAsia="Myriad Pro"/>
                <w:b/>
                <w:bCs/>
                <w:i/>
                <w:iCs/>
                <w:lang w:val="en-GB"/>
              </w:rPr>
              <w:t>s</w:t>
            </w:r>
            <w:r w:rsidRPr="008D0341" w:rsidR="000D53B4">
              <w:rPr>
                <w:rFonts w:eastAsia="Myriad Pro"/>
                <w:b/>
                <w:bCs/>
                <w:i/>
                <w:iCs/>
                <w:lang w:val="en-GB"/>
              </w:rPr>
              <w:t>ation</w:t>
            </w:r>
            <w:r w:rsidRPr="008D0341" w:rsidR="00012791">
              <w:rPr>
                <w:i/>
                <w:iCs/>
                <w:lang w:val="en-GB"/>
              </w:rPr>
              <w:t xml:space="preserve"> </w:t>
            </w:r>
            <w:r w:rsidRPr="008D0341" w:rsidR="00012791">
              <w:rPr>
                <w:rFonts w:eastAsia="Myriad Pro"/>
                <w:b/>
                <w:bCs/>
                <w:i/>
                <w:iCs/>
                <w:lang w:val="en-GB"/>
              </w:rPr>
              <w:t>as guaranteed under Article 4(2) TEU</w:t>
            </w:r>
            <w:r w:rsidRPr="008D0341" w:rsidR="002C5C63">
              <w:rPr>
                <w:rFonts w:eastAsia="Myriad Pro"/>
                <w:b/>
                <w:bCs/>
                <w:i/>
                <w:iCs/>
                <w:lang w:val="en-GB"/>
              </w:rPr>
              <w:t>,</w:t>
            </w:r>
            <w:r w:rsidRPr="008D0341">
              <w:rPr>
                <w:rFonts w:eastAsia="Myriad Pro"/>
                <w:b/>
                <w:bCs/>
                <w:i/>
                <w:iCs/>
                <w:lang w:val="en-GB"/>
              </w:rPr>
              <w:t xml:space="preserve"> a comprehensive </w:t>
            </w:r>
            <w:r w:rsidRPr="008D0341" w:rsidR="002D6A56">
              <w:rPr>
                <w:rFonts w:eastAsia="Myriad Pro"/>
                <w:b/>
                <w:bCs/>
                <w:i/>
                <w:iCs/>
                <w:lang w:val="en-GB"/>
              </w:rPr>
              <w:t>assessment</w:t>
            </w:r>
            <w:r w:rsidRPr="008D0341">
              <w:rPr>
                <w:rFonts w:eastAsia="Myriad Pro"/>
                <w:b/>
                <w:bCs/>
                <w:i/>
                <w:iCs/>
                <w:lang w:val="en-GB"/>
              </w:rPr>
              <w:t xml:space="preserve"> to ensure the early, structured and meaningful involvement of the competent sub-national authorities identified in accordance with Article 6 of this Regulation.</w:t>
            </w:r>
          </w:p>
          <w:p w:rsidRPr="008D0341" w:rsidR="00352E5C" w:rsidP="00066365" w:rsidRDefault="00352E5C" w14:paraId="1A1018F6" w14:textId="1F110E1D">
            <w:pPr>
              <w:shd w:val="clear" w:color="auto" w:fill="FFFFFF"/>
              <w:textAlignment w:val="baseline"/>
              <w:rPr>
                <w:rFonts w:eastAsia="Myriad Pro"/>
                <w:b/>
                <w:bCs/>
                <w:i/>
                <w:iCs/>
                <w:lang w:val="en-GB"/>
              </w:rPr>
            </w:pPr>
            <w:r w:rsidRPr="008D0341">
              <w:rPr>
                <w:rFonts w:eastAsia="Myriad Pro"/>
                <w:b/>
                <w:bCs/>
                <w:i/>
                <w:iCs/>
                <w:lang w:val="en-GB"/>
              </w:rPr>
              <w:t xml:space="preserve">2. The </w:t>
            </w:r>
            <w:r w:rsidRPr="008D0341" w:rsidR="004A4EE1">
              <w:rPr>
                <w:rFonts w:eastAsia="Myriad Pro"/>
                <w:b/>
                <w:bCs/>
                <w:i/>
                <w:iCs/>
                <w:lang w:val="en-GB"/>
              </w:rPr>
              <w:t xml:space="preserve">assessment </w:t>
            </w:r>
            <w:r w:rsidRPr="008D0341">
              <w:rPr>
                <w:rFonts w:eastAsia="Myriad Pro"/>
                <w:b/>
                <w:bCs/>
                <w:i/>
                <w:iCs/>
                <w:lang w:val="en-GB"/>
              </w:rPr>
              <w:t>shall verify that:</w:t>
            </w:r>
          </w:p>
          <w:p w:rsidRPr="008D0341" w:rsidR="00352E5C" w:rsidP="00066365" w:rsidRDefault="00352E5C" w14:paraId="769A5354" w14:textId="77777777">
            <w:pPr>
              <w:shd w:val="clear" w:color="auto" w:fill="FFFFFF"/>
              <w:textAlignment w:val="baseline"/>
              <w:rPr>
                <w:rFonts w:eastAsia="Myriad Pro"/>
                <w:b/>
                <w:bCs/>
                <w:i/>
                <w:iCs/>
                <w:lang w:val="en-GB"/>
              </w:rPr>
            </w:pPr>
            <w:r w:rsidRPr="008D0341">
              <w:rPr>
                <w:rFonts w:eastAsia="Myriad Pro"/>
                <w:b/>
                <w:bCs/>
                <w:i/>
                <w:iCs/>
                <w:lang w:val="en-GB"/>
              </w:rPr>
              <w:t>(a) the relevant sub-national authorities are involved from the earliest stages of drafting the NRPP, including the territorial analysis, needs assessment, prioritisation of objectives, resource allocation and the design of governance and delivery structures;</w:t>
            </w:r>
          </w:p>
          <w:p w:rsidRPr="008D0341" w:rsidR="00352E5C" w:rsidP="00066365" w:rsidRDefault="00352E5C" w14:paraId="197BC60A" w14:textId="3B948CE7">
            <w:pPr>
              <w:shd w:val="clear" w:color="auto" w:fill="FFFFFF"/>
              <w:textAlignment w:val="baseline"/>
              <w:rPr>
                <w:rFonts w:eastAsia="Myriad Pro"/>
                <w:b/>
                <w:bCs/>
                <w:i/>
                <w:iCs/>
                <w:lang w:val="en-GB"/>
              </w:rPr>
            </w:pPr>
            <w:r w:rsidRPr="008D0341">
              <w:rPr>
                <w:rFonts w:eastAsia="Myriad Pro"/>
                <w:b/>
                <w:bCs/>
                <w:i/>
                <w:iCs/>
                <w:lang w:val="en-GB"/>
              </w:rPr>
              <w:t>(b) the principles of subsidiarity, proportionality, partnership and multilevel governance have been fully applied in determining the allocation of responsibilities between national and sub-national levels, including regional</w:t>
            </w:r>
            <w:r w:rsidRPr="008D0341" w:rsidR="001C46EF">
              <w:rPr>
                <w:rFonts w:eastAsia="Myriad Pro"/>
                <w:b/>
                <w:bCs/>
                <w:i/>
                <w:iCs/>
                <w:lang w:val="en-GB"/>
              </w:rPr>
              <w:t xml:space="preserve"> levels</w:t>
            </w:r>
            <w:r w:rsidRPr="008D0341">
              <w:rPr>
                <w:rFonts w:eastAsia="Myriad Pro"/>
                <w:b/>
                <w:bCs/>
                <w:i/>
                <w:iCs/>
                <w:lang w:val="en-GB"/>
              </w:rPr>
              <w:t>;</w:t>
            </w:r>
          </w:p>
          <w:p w:rsidRPr="008D0341" w:rsidR="00352E5C" w:rsidP="00066365" w:rsidRDefault="00352E5C" w14:paraId="3C691F50" w14:textId="4CEE4585">
            <w:pPr>
              <w:shd w:val="clear" w:color="auto" w:fill="FFFFFF"/>
              <w:textAlignment w:val="baseline"/>
              <w:rPr>
                <w:rFonts w:eastAsia="Myriad Pro"/>
                <w:b/>
                <w:bCs/>
                <w:i/>
                <w:iCs/>
                <w:lang w:val="en-GB"/>
              </w:rPr>
            </w:pPr>
            <w:r w:rsidRPr="008D0341">
              <w:rPr>
                <w:rFonts w:eastAsia="Myriad Pro"/>
                <w:b/>
                <w:bCs/>
                <w:i/>
                <w:iCs/>
                <w:lang w:val="en-GB"/>
              </w:rPr>
              <w:t>(c) sub</w:t>
            </w:r>
            <w:r w:rsidRPr="008D0341" w:rsidR="001C46EF">
              <w:rPr>
                <w:rFonts w:eastAsia="Myriad Pro"/>
                <w:b/>
                <w:bCs/>
                <w:i/>
                <w:iCs/>
                <w:lang w:val="en-GB"/>
              </w:rPr>
              <w:t>-</w:t>
            </w:r>
            <w:r w:rsidRPr="008D0341">
              <w:rPr>
                <w:rFonts w:eastAsia="Myriad Pro"/>
                <w:b/>
                <w:bCs/>
                <w:i/>
                <w:iCs/>
                <w:lang w:val="en-GB"/>
              </w:rPr>
              <w:t>national authorities have had timely access to all relevant preparatory documents and are granted sufficient time and accessible channels to contribute effectively;</w:t>
            </w:r>
          </w:p>
          <w:p w:rsidRPr="008D0341" w:rsidR="00352E5C" w:rsidP="00066365" w:rsidRDefault="00352E5C" w14:paraId="27E303F3" w14:textId="6BEDE3B8">
            <w:pPr>
              <w:shd w:val="clear" w:color="auto" w:fill="FFFFFF"/>
              <w:textAlignment w:val="baseline"/>
              <w:rPr>
                <w:rFonts w:eastAsia="Myriad Pro"/>
                <w:b/>
                <w:bCs/>
                <w:i/>
                <w:iCs/>
                <w:lang w:val="en-GB"/>
              </w:rPr>
            </w:pPr>
            <w:r w:rsidRPr="008D0341">
              <w:rPr>
                <w:rFonts w:eastAsia="Myriad Pro"/>
                <w:b/>
                <w:bCs/>
                <w:i/>
                <w:iCs/>
                <w:lang w:val="en-GB"/>
              </w:rPr>
              <w:t>(d) Member States have duly considered contributions from sub</w:t>
            </w:r>
            <w:r w:rsidRPr="008D0341" w:rsidR="001C46EF">
              <w:rPr>
                <w:rFonts w:eastAsia="Myriad Pro"/>
                <w:b/>
                <w:bCs/>
                <w:i/>
                <w:iCs/>
                <w:lang w:val="en-GB"/>
              </w:rPr>
              <w:t>-</w:t>
            </w:r>
            <w:r w:rsidRPr="008D0341">
              <w:rPr>
                <w:rFonts w:eastAsia="Myriad Pro"/>
                <w:b/>
                <w:bCs/>
                <w:i/>
                <w:iCs/>
                <w:lang w:val="en-GB"/>
              </w:rPr>
              <w:t>national authorities and explained how these contributions were reflected in the NRPP;</w:t>
            </w:r>
          </w:p>
          <w:p w:rsidRPr="008D0341" w:rsidR="00352E5C" w:rsidP="00066365" w:rsidRDefault="00352E5C" w14:paraId="70E669B3" w14:textId="595C024B">
            <w:pPr>
              <w:shd w:val="clear" w:color="auto" w:fill="FFFFFF"/>
              <w:textAlignment w:val="baseline"/>
              <w:rPr>
                <w:rFonts w:eastAsia="Myriad Pro"/>
                <w:b/>
                <w:bCs/>
                <w:i/>
                <w:iCs/>
                <w:lang w:val="en-GB"/>
              </w:rPr>
            </w:pPr>
            <w:r w:rsidRPr="008D0341">
              <w:rPr>
                <w:rFonts w:eastAsia="Myriad Pro"/>
                <w:b/>
                <w:bCs/>
                <w:i/>
                <w:iCs/>
                <w:lang w:val="en-GB"/>
              </w:rPr>
              <w:t>(e) the governance arrangements proposed in the NRPP enable sub</w:t>
            </w:r>
            <w:r w:rsidRPr="008D0341" w:rsidR="007B7DBD">
              <w:rPr>
                <w:rFonts w:eastAsia="Myriad Pro"/>
                <w:b/>
                <w:bCs/>
                <w:i/>
                <w:iCs/>
                <w:lang w:val="en-GB"/>
              </w:rPr>
              <w:t>-</w:t>
            </w:r>
            <w:r w:rsidRPr="008D0341">
              <w:rPr>
                <w:rFonts w:eastAsia="Myriad Pro"/>
                <w:b/>
                <w:bCs/>
                <w:i/>
                <w:iCs/>
                <w:lang w:val="en-GB"/>
              </w:rPr>
              <w:t>national authorities to exercise the responsibilities falling within their competences;</w:t>
            </w:r>
          </w:p>
          <w:p w:rsidRPr="008D0341" w:rsidR="00352E5C" w:rsidP="00066365" w:rsidRDefault="00352E5C" w14:paraId="769AE037" w14:textId="60012EB9">
            <w:pPr>
              <w:shd w:val="clear" w:color="auto" w:fill="FFFFFF" w:themeFill="background1"/>
              <w:textAlignment w:val="baseline"/>
              <w:rPr>
                <w:rFonts w:eastAsia="Myriad Pro"/>
                <w:b/>
                <w:bCs/>
                <w:i/>
                <w:iCs/>
                <w:lang w:val="en-GB"/>
              </w:rPr>
            </w:pPr>
            <w:r w:rsidRPr="008D0341">
              <w:rPr>
                <w:rFonts w:eastAsia="Myriad Pro"/>
                <w:b/>
                <w:bCs/>
                <w:i/>
                <w:iCs/>
                <w:lang w:val="en-GB"/>
              </w:rPr>
              <w:t xml:space="preserve">3. The outcomes of the </w:t>
            </w:r>
            <w:r w:rsidRPr="008D0341" w:rsidR="00F775EF">
              <w:rPr>
                <w:rFonts w:eastAsia="Myriad Pro"/>
                <w:b/>
                <w:bCs/>
                <w:i/>
                <w:iCs/>
                <w:lang w:val="en-GB"/>
              </w:rPr>
              <w:t>assessment</w:t>
            </w:r>
            <w:r w:rsidRPr="008D0341" w:rsidR="003E14E6">
              <w:rPr>
                <w:rFonts w:eastAsia="Myriad Pro"/>
                <w:b/>
                <w:bCs/>
                <w:i/>
                <w:iCs/>
                <w:lang w:val="en-GB"/>
              </w:rPr>
              <w:t xml:space="preserve"> </w:t>
            </w:r>
            <w:r w:rsidRPr="008D0341">
              <w:rPr>
                <w:rFonts w:eastAsia="Myriad Pro"/>
                <w:b/>
                <w:bCs/>
                <w:i/>
                <w:iCs/>
                <w:lang w:val="en-GB"/>
              </w:rPr>
              <w:t>shall be documented in a dedicated report prepared in accordance with paragraph</w:t>
            </w:r>
            <w:r w:rsidR="004C3C7C">
              <w:rPr>
                <w:rFonts w:eastAsia="Myriad Pro"/>
                <w:b/>
                <w:bCs/>
                <w:i/>
                <w:iCs/>
                <w:lang w:val="en-GB"/>
              </w:rPr>
              <w:t xml:space="preserve"> 8</w:t>
            </w:r>
            <w:r w:rsidRPr="008D0341">
              <w:rPr>
                <w:rFonts w:eastAsia="Myriad Pro"/>
                <w:b/>
                <w:bCs/>
                <w:i/>
                <w:iCs/>
                <w:lang w:val="en-GB"/>
              </w:rPr>
              <w:t xml:space="preserve"> of this Article</w:t>
            </w:r>
            <w:r w:rsidRPr="008D0341" w:rsidR="00175297">
              <w:rPr>
                <w:rFonts w:eastAsia="Myriad Pro"/>
                <w:b/>
                <w:bCs/>
                <w:i/>
                <w:iCs/>
                <w:lang w:val="en-GB"/>
              </w:rPr>
              <w:t xml:space="preserve"> and included in Annex [XX]</w:t>
            </w:r>
            <w:r w:rsidRPr="008D0341">
              <w:rPr>
                <w:rFonts w:eastAsia="Myriad Pro"/>
                <w:b/>
                <w:bCs/>
                <w:i/>
                <w:iCs/>
                <w:lang w:val="en-GB"/>
              </w:rPr>
              <w:t>.</w:t>
            </w:r>
          </w:p>
          <w:p w:rsidRPr="008D0341" w:rsidR="00352E5C" w:rsidP="00066365" w:rsidRDefault="00352E5C" w14:paraId="2FB16621" w14:textId="07EF6CE8">
            <w:pPr>
              <w:shd w:val="clear" w:color="auto" w:fill="FFFFFF"/>
              <w:textAlignment w:val="baseline"/>
              <w:rPr>
                <w:rFonts w:eastAsia="Myriad Pro"/>
                <w:b/>
                <w:bCs/>
                <w:i/>
                <w:iCs/>
                <w:lang w:val="en-GB"/>
              </w:rPr>
            </w:pPr>
            <w:r w:rsidRPr="008D0341">
              <w:rPr>
                <w:rFonts w:eastAsia="Myriad Pro"/>
                <w:b/>
                <w:bCs/>
                <w:i/>
                <w:iCs/>
                <w:lang w:val="en-GB"/>
              </w:rPr>
              <w:t xml:space="preserve">4. In accordance with </w:t>
            </w:r>
            <w:r w:rsidRPr="008D0341" w:rsidR="00A45AEA">
              <w:rPr>
                <w:rFonts w:eastAsia="Myriad Pro"/>
                <w:b/>
                <w:bCs/>
                <w:i/>
                <w:iCs/>
                <w:lang w:val="en-GB"/>
              </w:rPr>
              <w:t>their</w:t>
            </w:r>
            <w:r w:rsidRPr="008D0341" w:rsidR="00FD619C">
              <w:rPr>
                <w:rFonts w:eastAsia="Myriad Pro"/>
                <w:b/>
                <w:bCs/>
                <w:i/>
                <w:iCs/>
                <w:lang w:val="en-GB"/>
              </w:rPr>
              <w:t xml:space="preserve"> internal constitutional, political and territorial organi</w:t>
            </w:r>
            <w:r w:rsidRPr="008D0341" w:rsidR="007B7DBD">
              <w:rPr>
                <w:rFonts w:eastAsia="Myriad Pro"/>
                <w:b/>
                <w:bCs/>
                <w:i/>
                <w:iCs/>
                <w:lang w:val="en-GB"/>
              </w:rPr>
              <w:t>s</w:t>
            </w:r>
            <w:r w:rsidRPr="008D0341" w:rsidR="00FD619C">
              <w:rPr>
                <w:rFonts w:eastAsia="Myriad Pro"/>
                <w:b/>
                <w:bCs/>
                <w:i/>
                <w:iCs/>
                <w:lang w:val="en-GB"/>
              </w:rPr>
              <w:t xml:space="preserve">ation </w:t>
            </w:r>
            <w:r w:rsidRPr="008D0341">
              <w:rPr>
                <w:rFonts w:eastAsia="Myriad Pro"/>
                <w:b/>
                <w:bCs/>
                <w:i/>
                <w:iCs/>
                <w:lang w:val="en-GB"/>
              </w:rPr>
              <w:t>as guaranteed under Article</w:t>
            </w:r>
            <w:r w:rsidRPr="008D0341" w:rsidR="007B7DBD">
              <w:rPr>
                <w:rFonts w:eastAsia="Myriad Pro"/>
                <w:b/>
                <w:bCs/>
                <w:i/>
                <w:iCs/>
                <w:lang w:val="en-GB"/>
              </w:rPr>
              <w:t> </w:t>
            </w:r>
            <w:r w:rsidRPr="008D0341">
              <w:rPr>
                <w:rFonts w:eastAsia="Myriad Pro"/>
                <w:b/>
                <w:bCs/>
                <w:i/>
                <w:iCs/>
                <w:lang w:val="en-GB"/>
              </w:rPr>
              <w:t>4(2)</w:t>
            </w:r>
            <w:r w:rsidRPr="008D0341" w:rsidR="007B7DBD">
              <w:rPr>
                <w:rFonts w:eastAsia="Myriad Pro"/>
                <w:b/>
                <w:bCs/>
                <w:i/>
                <w:iCs/>
                <w:lang w:val="en-GB"/>
              </w:rPr>
              <w:t> </w:t>
            </w:r>
            <w:r w:rsidRPr="008D0341">
              <w:rPr>
                <w:rFonts w:eastAsia="Myriad Pro"/>
                <w:b/>
                <w:bCs/>
                <w:i/>
                <w:iCs/>
                <w:lang w:val="en-GB"/>
              </w:rPr>
              <w:t xml:space="preserve">TEU, Member States </w:t>
            </w:r>
            <w:r w:rsidRPr="008D0341" w:rsidR="00284449">
              <w:rPr>
                <w:rFonts w:eastAsia="Myriad Pro"/>
                <w:b/>
                <w:bCs/>
                <w:i/>
                <w:iCs/>
                <w:lang w:val="en-GB"/>
              </w:rPr>
              <w:t xml:space="preserve">shall designate these competent </w:t>
            </w:r>
            <w:r w:rsidRPr="008D0341" w:rsidR="003F5E5C">
              <w:rPr>
                <w:rFonts w:eastAsia="Myriad Pro"/>
                <w:b/>
                <w:bCs/>
                <w:i/>
                <w:iCs/>
                <w:lang w:val="en-GB"/>
              </w:rPr>
              <w:t>sub-national</w:t>
            </w:r>
            <w:r w:rsidRPr="008D0341" w:rsidR="00284449">
              <w:rPr>
                <w:rFonts w:eastAsia="Myriad Pro"/>
                <w:b/>
                <w:bCs/>
                <w:i/>
                <w:iCs/>
                <w:lang w:val="en-GB"/>
              </w:rPr>
              <w:t xml:space="preserve"> authorities as managing authorities for the dedicated NRPP </w:t>
            </w:r>
            <w:r w:rsidRPr="008D0341" w:rsidR="000441A1">
              <w:rPr>
                <w:rFonts w:eastAsia="Myriad Pro"/>
                <w:b/>
                <w:bCs/>
                <w:i/>
                <w:iCs/>
                <w:lang w:val="en-GB"/>
              </w:rPr>
              <w:t>r</w:t>
            </w:r>
            <w:r w:rsidRPr="008D0341" w:rsidR="009A0192">
              <w:rPr>
                <w:rFonts w:eastAsia="Myriad Pro"/>
                <w:b/>
                <w:bCs/>
                <w:i/>
                <w:iCs/>
                <w:lang w:val="en-GB"/>
              </w:rPr>
              <w:t xml:space="preserve">egional or </w:t>
            </w:r>
            <w:r w:rsidRPr="008D0341" w:rsidR="000441A1">
              <w:rPr>
                <w:rFonts w:eastAsia="Myriad Pro"/>
                <w:b/>
                <w:bCs/>
                <w:i/>
                <w:iCs/>
                <w:lang w:val="en-GB"/>
              </w:rPr>
              <w:t>t</w:t>
            </w:r>
            <w:r w:rsidRPr="008D0341" w:rsidR="00284449">
              <w:rPr>
                <w:rFonts w:eastAsia="Myriad Pro"/>
                <w:b/>
                <w:bCs/>
                <w:i/>
                <w:iCs/>
                <w:lang w:val="en-GB"/>
              </w:rPr>
              <w:t xml:space="preserve">erritorial </w:t>
            </w:r>
            <w:r w:rsidRPr="008D0341" w:rsidR="000441A1">
              <w:rPr>
                <w:rFonts w:eastAsia="Myriad Pro"/>
                <w:b/>
                <w:bCs/>
                <w:i/>
                <w:iCs/>
                <w:lang w:val="en-GB"/>
              </w:rPr>
              <w:t>c</w:t>
            </w:r>
            <w:r w:rsidRPr="008D0341" w:rsidR="00284449">
              <w:rPr>
                <w:rFonts w:eastAsia="Myriad Pro"/>
                <w:b/>
                <w:bCs/>
                <w:i/>
                <w:iCs/>
                <w:lang w:val="en-GB"/>
              </w:rPr>
              <w:t xml:space="preserve">hapters, </w:t>
            </w:r>
            <w:r w:rsidRPr="008D0341" w:rsidR="009905F7">
              <w:rPr>
                <w:rFonts w:eastAsia="Myriad Pro"/>
                <w:b/>
                <w:bCs/>
                <w:i/>
                <w:iCs/>
                <w:lang w:val="en-GB"/>
              </w:rPr>
              <w:t xml:space="preserve">in line with </w:t>
            </w:r>
            <w:r w:rsidRPr="008D0341" w:rsidR="00284449">
              <w:rPr>
                <w:rFonts w:eastAsia="Myriad Pro"/>
                <w:b/>
                <w:bCs/>
                <w:i/>
                <w:iCs/>
                <w:lang w:val="en-GB"/>
              </w:rPr>
              <w:t>their constitutional arrangements. Such designation shall reflect the principles of subsidiarity and territorial proximity, ensuring that decisions are taken at the level closest to the citizens and territories concerned.</w:t>
            </w:r>
          </w:p>
          <w:p w:rsidRPr="008D0341" w:rsidR="00B522D4" w:rsidP="00066365" w:rsidRDefault="007C69DA" w14:paraId="626FA23F" w14:textId="7FC78D18">
            <w:pPr>
              <w:shd w:val="clear" w:color="auto" w:fill="FFFFFF"/>
              <w:textAlignment w:val="baseline"/>
              <w:rPr>
                <w:rFonts w:eastAsia="Myriad Pro"/>
                <w:b/>
                <w:bCs/>
                <w:i/>
                <w:iCs/>
                <w:lang w:val="en-GB"/>
              </w:rPr>
            </w:pPr>
            <w:r w:rsidRPr="008D0341">
              <w:rPr>
                <w:rFonts w:eastAsia="Myriad Pro"/>
                <w:b/>
                <w:bCs/>
                <w:i/>
                <w:iCs/>
                <w:lang w:val="en-GB"/>
              </w:rPr>
              <w:t>5. Where regional authorities do not exist or do not hold competences relevant to the NRPP, Member States shall ensure that appropriate sub</w:t>
            </w:r>
            <w:r w:rsidRPr="008D0341" w:rsidR="007B7DBD">
              <w:rPr>
                <w:rFonts w:eastAsia="Myriad Pro"/>
                <w:b/>
                <w:bCs/>
                <w:i/>
                <w:iCs/>
                <w:lang w:val="en-GB"/>
              </w:rPr>
              <w:t>-</w:t>
            </w:r>
            <w:r w:rsidRPr="008D0341">
              <w:rPr>
                <w:rFonts w:eastAsia="Myriad Pro"/>
                <w:b/>
                <w:bCs/>
                <w:i/>
                <w:iCs/>
                <w:lang w:val="en-GB"/>
              </w:rPr>
              <w:t>national structures are involved in the governance, design and delivery of the NRPP.</w:t>
            </w:r>
          </w:p>
          <w:p w:rsidRPr="008D0341" w:rsidR="00B522D4" w:rsidP="00066365" w:rsidRDefault="00B522D4" w14:paraId="6FB04491" w14:textId="77777777">
            <w:pPr>
              <w:shd w:val="clear" w:color="auto" w:fill="FFFFFF"/>
              <w:textAlignment w:val="baseline"/>
              <w:rPr>
                <w:rFonts w:eastAsia="Myriad Pro"/>
                <w:b/>
                <w:bCs/>
                <w:i/>
                <w:iCs/>
                <w:lang w:val="en-GB"/>
              </w:rPr>
            </w:pPr>
            <w:r w:rsidRPr="008D0341">
              <w:rPr>
                <w:rFonts w:eastAsia="Myriad Pro"/>
                <w:b/>
                <w:bCs/>
                <w:i/>
                <w:iCs/>
                <w:lang w:val="en-GB"/>
              </w:rPr>
              <w:t>7. The consultation process shall include:</w:t>
            </w:r>
          </w:p>
          <w:p w:rsidRPr="008D0341" w:rsidR="00B522D4" w:rsidP="00066365" w:rsidRDefault="00B522D4" w14:paraId="58436E47" w14:textId="77777777">
            <w:pPr>
              <w:shd w:val="clear" w:color="auto" w:fill="FFFFFF"/>
              <w:textAlignment w:val="baseline"/>
              <w:rPr>
                <w:rFonts w:eastAsia="Myriad Pro"/>
                <w:b/>
                <w:bCs/>
                <w:i/>
                <w:iCs/>
                <w:lang w:val="en-GB"/>
              </w:rPr>
            </w:pPr>
            <w:r w:rsidRPr="008D0341">
              <w:rPr>
                <w:rFonts w:eastAsia="Myriad Pro"/>
                <w:b/>
                <w:bCs/>
                <w:i/>
                <w:iCs/>
                <w:lang w:val="en-GB"/>
              </w:rPr>
              <w:t>(a) timely disclosure of relevant information and access to draft NRPP documents;</w:t>
            </w:r>
          </w:p>
          <w:p w:rsidRPr="008D0341" w:rsidR="00B522D4" w:rsidP="00066365" w:rsidRDefault="00B522D4" w14:paraId="2DEA8085" w14:textId="77777777">
            <w:pPr>
              <w:shd w:val="clear" w:color="auto" w:fill="FFFFFF"/>
              <w:textAlignment w:val="baseline"/>
              <w:rPr>
                <w:rFonts w:eastAsia="Myriad Pro"/>
                <w:b/>
                <w:bCs/>
                <w:i/>
                <w:iCs/>
                <w:lang w:val="en-GB"/>
              </w:rPr>
            </w:pPr>
            <w:r w:rsidRPr="008D0341">
              <w:rPr>
                <w:rFonts w:eastAsia="Myriad Pro"/>
                <w:b/>
                <w:bCs/>
                <w:i/>
                <w:iCs/>
                <w:lang w:val="en-GB"/>
              </w:rPr>
              <w:t>(b) adequate time for partners to analyse and comment on all key elements of the NRPP;</w:t>
            </w:r>
          </w:p>
          <w:p w:rsidRPr="008D0341" w:rsidR="00B522D4" w:rsidP="00066365" w:rsidRDefault="00B522D4" w14:paraId="18514948" w14:textId="41DB9B08">
            <w:pPr>
              <w:shd w:val="clear" w:color="auto" w:fill="FFFFFF"/>
              <w:textAlignment w:val="baseline"/>
              <w:rPr>
                <w:rFonts w:eastAsia="Myriad Pro"/>
                <w:b/>
                <w:bCs/>
                <w:i/>
                <w:iCs/>
                <w:lang w:val="en-GB"/>
              </w:rPr>
            </w:pPr>
            <w:r w:rsidRPr="008D0341">
              <w:rPr>
                <w:rFonts w:eastAsia="Myriad Pro"/>
                <w:b/>
                <w:bCs/>
                <w:i/>
                <w:iCs/>
                <w:lang w:val="en-GB"/>
              </w:rPr>
              <w:t xml:space="preserve">(c) accessible channels for submitting contributions and receiving </w:t>
            </w:r>
            <w:r w:rsidRPr="008D0341" w:rsidR="007B7DBD">
              <w:rPr>
                <w:rFonts w:eastAsia="Myriad Pro"/>
                <w:b/>
                <w:bCs/>
                <w:i/>
                <w:iCs/>
                <w:lang w:val="en-GB"/>
              </w:rPr>
              <w:t>proof of</w:t>
            </w:r>
            <w:r w:rsidRPr="008D0341">
              <w:rPr>
                <w:rFonts w:eastAsia="Myriad Pro"/>
                <w:b/>
                <w:bCs/>
                <w:i/>
                <w:iCs/>
                <w:lang w:val="en-GB"/>
              </w:rPr>
              <w:t xml:space="preserve"> how these have been taken into account;</w:t>
            </w:r>
          </w:p>
          <w:p w:rsidRPr="008D0341" w:rsidR="00B522D4" w:rsidP="00066365" w:rsidRDefault="00B522D4" w14:paraId="03E3F0A5" w14:textId="778DAF09">
            <w:pPr>
              <w:shd w:val="clear" w:color="auto" w:fill="FFFFFF"/>
              <w:textAlignment w:val="baseline"/>
              <w:rPr>
                <w:rFonts w:eastAsia="Myriad Pro"/>
                <w:b/>
                <w:bCs/>
                <w:i/>
                <w:iCs/>
                <w:lang w:val="en-GB"/>
              </w:rPr>
            </w:pPr>
            <w:r w:rsidRPr="008D0341">
              <w:rPr>
                <w:rFonts w:eastAsia="Myriad Pro"/>
                <w:b/>
                <w:bCs/>
                <w:i/>
                <w:iCs/>
                <w:lang w:val="en-GB"/>
              </w:rPr>
              <w:t>(d) the publication of the outcomes of the consultation.</w:t>
            </w:r>
          </w:p>
          <w:p w:rsidRPr="008D0341" w:rsidR="00B522D4" w:rsidP="00066365" w:rsidRDefault="00B522D4" w14:paraId="5A93976C" w14:textId="4E7F4FA4">
            <w:pPr>
              <w:shd w:val="clear" w:color="auto" w:fill="FFFFFF"/>
              <w:textAlignment w:val="baseline"/>
              <w:rPr>
                <w:rFonts w:eastAsia="Myriad Pro"/>
                <w:b/>
                <w:bCs/>
                <w:i/>
                <w:iCs/>
                <w:lang w:val="en-GB"/>
              </w:rPr>
            </w:pPr>
            <w:r w:rsidRPr="008D0341">
              <w:rPr>
                <w:rFonts w:eastAsia="Myriad Pro"/>
                <w:b/>
                <w:bCs/>
                <w:i/>
                <w:iCs/>
                <w:lang w:val="en-GB"/>
              </w:rPr>
              <w:t>8. The assessment shall cover at least the following dimensions of the NRPP:</w:t>
            </w:r>
          </w:p>
          <w:p w:rsidRPr="008D0341" w:rsidR="00B522D4" w:rsidP="00066365" w:rsidRDefault="00B522D4" w14:paraId="6B24F962" w14:textId="77777777">
            <w:pPr>
              <w:shd w:val="clear" w:color="auto" w:fill="FFFFFF"/>
              <w:textAlignment w:val="baseline"/>
              <w:rPr>
                <w:rFonts w:eastAsia="Myriad Pro"/>
                <w:b/>
                <w:bCs/>
                <w:i/>
                <w:iCs/>
                <w:lang w:val="en-GB"/>
              </w:rPr>
            </w:pPr>
            <w:r w:rsidRPr="008D0341">
              <w:rPr>
                <w:rFonts w:eastAsia="Myriad Pro"/>
                <w:b/>
                <w:bCs/>
                <w:i/>
                <w:iCs/>
                <w:lang w:val="en-GB"/>
              </w:rPr>
              <w:t>(a) the territorial analysis underpinning the NRPP, including disparities, development needs and territorial potential;</w:t>
            </w:r>
          </w:p>
          <w:p w:rsidRPr="008D0341" w:rsidR="00B522D4" w:rsidP="00066365" w:rsidRDefault="00B522D4" w14:paraId="04801BD1" w14:textId="77777777">
            <w:pPr>
              <w:shd w:val="clear" w:color="auto" w:fill="FFFFFF"/>
              <w:textAlignment w:val="baseline"/>
              <w:rPr>
                <w:rFonts w:eastAsia="Myriad Pro"/>
                <w:b/>
                <w:bCs/>
                <w:i/>
                <w:iCs/>
                <w:lang w:val="en-GB"/>
              </w:rPr>
            </w:pPr>
            <w:r w:rsidRPr="008D0341">
              <w:rPr>
                <w:rFonts w:eastAsia="Myriad Pro"/>
                <w:b/>
                <w:bCs/>
                <w:i/>
                <w:iCs/>
                <w:lang w:val="en-GB"/>
              </w:rPr>
              <w:t>(b) the selection and territorial justification of NRPP objectives;</w:t>
            </w:r>
          </w:p>
          <w:p w:rsidRPr="008D0341" w:rsidR="00B522D4" w:rsidP="00066365" w:rsidRDefault="00B522D4" w14:paraId="41B7D41A" w14:textId="0731A54D">
            <w:pPr>
              <w:shd w:val="clear" w:color="auto" w:fill="FFFFFF"/>
              <w:textAlignment w:val="baseline"/>
              <w:rPr>
                <w:rFonts w:eastAsia="Myriad Pro"/>
                <w:b/>
                <w:bCs/>
                <w:i/>
                <w:iCs/>
                <w:lang w:val="en-GB"/>
              </w:rPr>
            </w:pPr>
            <w:r w:rsidRPr="008D0341">
              <w:rPr>
                <w:rFonts w:eastAsia="Myriad Pro"/>
                <w:b/>
                <w:bCs/>
                <w:i/>
                <w:iCs/>
                <w:lang w:val="en-GB"/>
              </w:rPr>
              <w:t xml:space="preserve">(c) the indicative allocation of resources </w:t>
            </w:r>
            <w:r w:rsidRPr="0063224B" w:rsidR="001763A3">
              <w:rPr>
                <w:b/>
                <w:bCs/>
                <w:i/>
                <w:lang w:val="en-GB"/>
              </w:rPr>
              <w:t>to each region or territory, at least at NUTS 2 level</w:t>
            </w:r>
            <w:r w:rsidRPr="008D0341">
              <w:rPr>
                <w:rFonts w:eastAsia="Myriad Pro"/>
                <w:b/>
                <w:bCs/>
                <w:i/>
                <w:iCs/>
                <w:lang w:val="en-GB"/>
              </w:rPr>
              <w:t>;</w:t>
            </w:r>
          </w:p>
          <w:p w:rsidRPr="008D0341" w:rsidR="00B522D4" w:rsidP="00066365" w:rsidRDefault="00B522D4" w14:paraId="4450C59B" w14:textId="77777777">
            <w:pPr>
              <w:shd w:val="clear" w:color="auto" w:fill="FFFFFF"/>
              <w:textAlignment w:val="baseline"/>
              <w:rPr>
                <w:rFonts w:eastAsia="Myriad Pro"/>
                <w:b/>
                <w:bCs/>
                <w:i/>
                <w:iCs/>
                <w:lang w:val="en-GB"/>
              </w:rPr>
            </w:pPr>
            <w:r w:rsidRPr="008D0341">
              <w:rPr>
                <w:rFonts w:eastAsia="Myriad Pro"/>
                <w:b/>
                <w:bCs/>
                <w:i/>
                <w:iCs/>
                <w:lang w:val="en-GB"/>
              </w:rPr>
              <w:t>(d) the NRPP governance model, including designation of managing, coordinating and implementing bodies at national and regional level;</w:t>
            </w:r>
          </w:p>
          <w:p w:rsidRPr="008D0341" w:rsidR="00B522D4" w:rsidP="00066365" w:rsidRDefault="00B522D4" w14:paraId="69B9B52E" w14:textId="77777777">
            <w:pPr>
              <w:shd w:val="clear" w:color="auto" w:fill="FFFFFF"/>
              <w:textAlignment w:val="baseline"/>
              <w:rPr>
                <w:rFonts w:eastAsia="Myriad Pro"/>
                <w:b/>
                <w:bCs/>
                <w:i/>
                <w:iCs/>
                <w:lang w:val="en-GB"/>
              </w:rPr>
            </w:pPr>
            <w:r w:rsidRPr="008D0341">
              <w:rPr>
                <w:rFonts w:eastAsia="Myriad Pro"/>
                <w:b/>
                <w:bCs/>
                <w:i/>
                <w:iCs/>
                <w:lang w:val="en-GB"/>
              </w:rPr>
              <w:t>(e) the mechanisms ensuring coordination with other Union and national instruments;</w:t>
            </w:r>
          </w:p>
          <w:p w:rsidRPr="008D0341" w:rsidR="00B522D4" w:rsidP="00066365" w:rsidRDefault="00B522D4" w14:paraId="146898CE" w14:textId="77777777">
            <w:pPr>
              <w:shd w:val="clear" w:color="auto" w:fill="FFFFFF"/>
              <w:textAlignment w:val="baseline"/>
              <w:rPr>
                <w:rFonts w:eastAsia="Myriad Pro"/>
                <w:b/>
                <w:bCs/>
                <w:i/>
                <w:iCs/>
                <w:lang w:val="en-GB"/>
              </w:rPr>
            </w:pPr>
            <w:r w:rsidRPr="008D0341">
              <w:rPr>
                <w:rFonts w:eastAsia="Myriad Pro"/>
                <w:b/>
                <w:bCs/>
                <w:i/>
                <w:iCs/>
                <w:lang w:val="en-GB"/>
              </w:rPr>
              <w:t>(f) the approach to integrated, place-based and territorial development;</w:t>
            </w:r>
          </w:p>
          <w:p w:rsidRPr="008D0341" w:rsidR="00B522D4" w:rsidP="00066365" w:rsidRDefault="00B522D4" w14:paraId="0BBACA51" w14:textId="20D75574">
            <w:pPr>
              <w:shd w:val="clear" w:color="auto" w:fill="FFFFFF"/>
              <w:textAlignment w:val="baseline"/>
              <w:rPr>
                <w:rFonts w:eastAsia="Myriad Pro"/>
                <w:b/>
                <w:bCs/>
                <w:i/>
                <w:iCs/>
                <w:lang w:val="en-GB"/>
              </w:rPr>
            </w:pPr>
            <w:r w:rsidRPr="008D0341">
              <w:rPr>
                <w:rFonts w:eastAsia="Myriad Pro"/>
                <w:b/>
                <w:bCs/>
                <w:i/>
                <w:iCs/>
                <w:lang w:val="en-GB"/>
              </w:rPr>
              <w:t xml:space="preserve">(g) the design, content and implementation arrangements of </w:t>
            </w:r>
            <w:r w:rsidRPr="008D0341" w:rsidR="001A06FB">
              <w:rPr>
                <w:rFonts w:eastAsia="Myriad Pro"/>
                <w:b/>
                <w:bCs/>
                <w:i/>
                <w:iCs/>
                <w:lang w:val="en-GB"/>
              </w:rPr>
              <w:t xml:space="preserve">the integrated territorial dimension as referred to in </w:t>
            </w:r>
            <w:r w:rsidRPr="008D0341" w:rsidR="007B7DBD">
              <w:rPr>
                <w:rFonts w:eastAsia="Myriad Pro"/>
                <w:b/>
                <w:bCs/>
                <w:i/>
                <w:iCs/>
                <w:lang w:val="en-GB"/>
              </w:rPr>
              <w:t>A</w:t>
            </w:r>
            <w:r w:rsidRPr="008D0341" w:rsidR="001A06FB">
              <w:rPr>
                <w:rFonts w:eastAsia="Myriad Pro"/>
                <w:b/>
                <w:bCs/>
                <w:i/>
                <w:iCs/>
                <w:lang w:val="en-GB"/>
              </w:rPr>
              <w:t>rticle 10, paragraph 6</w:t>
            </w:r>
            <w:r w:rsidRPr="008D0341">
              <w:rPr>
                <w:rFonts w:eastAsia="Myriad Pro"/>
                <w:b/>
                <w:bCs/>
                <w:i/>
                <w:iCs/>
                <w:lang w:val="en-GB"/>
              </w:rPr>
              <w:t>;</w:t>
            </w:r>
          </w:p>
          <w:p w:rsidRPr="008D0341" w:rsidR="00B522D4" w:rsidP="00066365" w:rsidRDefault="00B522D4" w14:paraId="17F030BD" w14:textId="77777777">
            <w:pPr>
              <w:shd w:val="clear" w:color="auto" w:fill="FFFFFF"/>
              <w:textAlignment w:val="baseline"/>
              <w:rPr>
                <w:rFonts w:eastAsia="Myriad Pro"/>
                <w:b/>
                <w:bCs/>
                <w:i/>
                <w:iCs/>
                <w:lang w:val="en-GB"/>
              </w:rPr>
            </w:pPr>
            <w:r w:rsidRPr="008D0341">
              <w:rPr>
                <w:rFonts w:eastAsia="Myriad Pro"/>
                <w:b/>
                <w:bCs/>
                <w:i/>
                <w:iCs/>
                <w:lang w:val="en-GB"/>
              </w:rPr>
              <w:t>(h) measures addressing areas facing persistent poverty, exclusion or discrimination;</w:t>
            </w:r>
          </w:p>
          <w:p w:rsidRPr="008D0341" w:rsidR="00B522D4" w:rsidP="00066365" w:rsidRDefault="00B522D4" w14:paraId="5AF7DFDC" w14:textId="4469153B">
            <w:pPr>
              <w:shd w:val="clear" w:color="auto" w:fill="FFFFFF"/>
              <w:textAlignment w:val="baseline"/>
              <w:rPr>
                <w:rFonts w:eastAsia="Myriad Pro"/>
                <w:b/>
                <w:bCs/>
                <w:i/>
                <w:iCs/>
                <w:lang w:val="en-GB"/>
              </w:rPr>
            </w:pPr>
            <w:r w:rsidRPr="008D0341">
              <w:rPr>
                <w:rFonts w:eastAsia="Myriad Pro"/>
                <w:b/>
                <w:bCs/>
                <w:i/>
                <w:iCs/>
                <w:lang w:val="en-GB"/>
              </w:rPr>
              <w:t>(i) the implementation of horizontal principles, including gender equality, non-discrimination, accessibility, sustainable development and climate mainstreaming.</w:t>
            </w:r>
          </w:p>
          <w:p w:rsidRPr="008D0341" w:rsidR="00352E5C" w:rsidP="00066365" w:rsidRDefault="00AA6921" w14:paraId="55F33664" w14:textId="3771ED60">
            <w:pPr>
              <w:shd w:val="clear" w:color="auto" w:fill="FFFFFF"/>
              <w:textAlignment w:val="baseline"/>
              <w:rPr>
                <w:rFonts w:eastAsia="Myriad Pro"/>
                <w:b/>
                <w:bCs/>
                <w:i/>
                <w:iCs/>
                <w:lang w:val="en-GB"/>
              </w:rPr>
            </w:pPr>
            <w:r w:rsidRPr="008D0341">
              <w:rPr>
                <w:rFonts w:eastAsia="Myriad Pro"/>
                <w:b/>
                <w:bCs/>
                <w:i/>
                <w:iCs/>
                <w:lang w:val="en-GB"/>
              </w:rPr>
              <w:t>9</w:t>
            </w:r>
            <w:r w:rsidRPr="008D0341" w:rsidR="00B522D4">
              <w:rPr>
                <w:rFonts w:eastAsia="Myriad Pro"/>
                <w:b/>
                <w:bCs/>
                <w:i/>
                <w:iCs/>
                <w:lang w:val="en-GB"/>
              </w:rPr>
              <w:t xml:space="preserve">. The Commission shall assess compliance with this Article as part of its examination of the NRPP. Where the Commission identifies deficiencies, contradictions or insufficient application of subsidiarity, it may request the Member State to amend its NRPP or its governance arrangements prior to approval, in accordance with Article XXX </w:t>
            </w:r>
            <w:r w:rsidRPr="008D0341" w:rsidR="007B7DBD">
              <w:rPr>
                <w:rFonts w:eastAsia="Myriad Pro"/>
                <w:b/>
                <w:bCs/>
                <w:i/>
                <w:iCs/>
                <w:lang w:val="en-GB"/>
              </w:rPr>
              <w:t>‘</w:t>
            </w:r>
            <w:r w:rsidRPr="008D0341" w:rsidR="00B522D4">
              <w:rPr>
                <w:rFonts w:eastAsia="Myriad Pro"/>
                <w:b/>
                <w:bCs/>
                <w:i/>
                <w:iCs/>
                <w:lang w:val="en-GB"/>
              </w:rPr>
              <w:t xml:space="preserve">Subsidiarity </w:t>
            </w:r>
            <w:r w:rsidRPr="008D0341" w:rsidR="007B7DBD">
              <w:rPr>
                <w:rFonts w:eastAsia="Myriad Pro"/>
                <w:b/>
                <w:bCs/>
                <w:i/>
                <w:iCs/>
                <w:lang w:val="en-GB"/>
              </w:rPr>
              <w:t>c</w:t>
            </w:r>
            <w:r w:rsidRPr="008D0341" w:rsidR="00B522D4">
              <w:rPr>
                <w:rFonts w:eastAsia="Myriad Pro"/>
                <w:b/>
                <w:bCs/>
                <w:i/>
                <w:iCs/>
                <w:lang w:val="en-GB"/>
              </w:rPr>
              <w:t>lause</w:t>
            </w:r>
            <w:r w:rsidRPr="008D0341" w:rsidR="007B7DBD">
              <w:rPr>
                <w:rFonts w:eastAsia="Myriad Pro"/>
                <w:b/>
                <w:bCs/>
                <w:i/>
                <w:iCs/>
                <w:lang w:val="en-GB"/>
              </w:rPr>
              <w:t>’</w:t>
            </w:r>
            <w:r w:rsidRPr="008D0341" w:rsidR="00B522D4">
              <w:rPr>
                <w:rFonts w:eastAsia="Myriad Pro"/>
                <w:b/>
                <w:bCs/>
                <w:i/>
                <w:iCs/>
                <w:lang w:val="en-GB"/>
              </w:rPr>
              <w:t>.</w:t>
            </w:r>
          </w:p>
        </w:tc>
      </w:tr>
    </w:tbl>
    <w:p w:rsidRPr="008D0341" w:rsidR="00352E5C" w:rsidP="00066365" w:rsidRDefault="00352E5C" w14:paraId="6A460D1C"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CB5DB8" w14:paraId="585CDF2F"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C71E4A2" w14:textId="77777777">
            <w:pPr>
              <w:jc w:val="center"/>
              <w:rPr>
                <w:b/>
                <w:bCs/>
                <w:i/>
                <w:iCs/>
                <w:lang w:val="en-GB"/>
              </w:rPr>
            </w:pPr>
            <w:r w:rsidRPr="008D0341">
              <w:rPr>
                <w:b/>
                <w:bCs/>
                <w:i/>
                <w:iCs/>
                <w:lang w:val="en-GB"/>
              </w:rPr>
              <w:t>Reason</w:t>
            </w:r>
          </w:p>
        </w:tc>
      </w:tr>
      <w:tr w:rsidRPr="008D0341" w:rsidR="00352E5C" w:rsidTr="00CB5DB8" w14:paraId="3B95A23A"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FB3E13" w14:paraId="7DEB0116" w14:textId="1B3C3B2E">
            <w:pPr>
              <w:rPr>
                <w:rFonts w:eastAsia="Calibri"/>
                <w:lang w:val="en-GB"/>
              </w:rPr>
            </w:pPr>
            <w:r w:rsidRPr="008D0341">
              <w:rPr>
                <w:rFonts w:eastAsia="Calibri"/>
                <w:lang w:val="en-GB"/>
              </w:rPr>
              <w:t>Builds on</w:t>
            </w:r>
            <w:r w:rsidRPr="008D0341" w:rsidR="00352E5C">
              <w:rPr>
                <w:rFonts w:eastAsia="Calibri"/>
                <w:lang w:val="en-GB"/>
              </w:rPr>
              <w:t xml:space="preserve"> </w:t>
            </w:r>
            <w:r w:rsidRPr="008D0341" w:rsidR="001A06FB">
              <w:rPr>
                <w:rFonts w:eastAsia="Calibri"/>
                <w:lang w:val="en-GB"/>
              </w:rPr>
              <w:t xml:space="preserve">the </w:t>
            </w:r>
            <w:r w:rsidRPr="008D0341" w:rsidR="007B7DBD">
              <w:rPr>
                <w:rFonts w:eastAsia="Calibri"/>
                <w:lang w:val="en-GB"/>
              </w:rPr>
              <w:t>‘</w:t>
            </w:r>
            <w:r w:rsidRPr="008D0341" w:rsidR="001A06FB">
              <w:rPr>
                <w:rFonts w:eastAsia="Calibri"/>
                <w:lang w:val="en-GB"/>
              </w:rPr>
              <w:t>regional check</w:t>
            </w:r>
            <w:r w:rsidRPr="008D0341" w:rsidR="007B7DBD">
              <w:rPr>
                <w:rFonts w:eastAsia="Calibri"/>
                <w:lang w:val="en-GB"/>
              </w:rPr>
              <w:t>’</w:t>
            </w:r>
            <w:r w:rsidRPr="008D0341">
              <w:rPr>
                <w:rFonts w:eastAsia="Calibri"/>
                <w:lang w:val="en-GB"/>
              </w:rPr>
              <w:t xml:space="preserve"> concept</w:t>
            </w:r>
            <w:r w:rsidRPr="008D0341" w:rsidR="001429B6">
              <w:rPr>
                <w:rFonts w:eastAsia="Calibri"/>
                <w:lang w:val="en-GB"/>
              </w:rPr>
              <w:t xml:space="preserve"> </w:t>
            </w:r>
            <w:r w:rsidRPr="008D0341" w:rsidR="001A06FB">
              <w:rPr>
                <w:rFonts w:eastAsia="Calibri"/>
                <w:lang w:val="en-GB"/>
              </w:rPr>
              <w:t xml:space="preserve">proposed by the </w:t>
            </w:r>
            <w:r w:rsidRPr="008D0341">
              <w:rPr>
                <w:rFonts w:eastAsia="Calibri"/>
                <w:lang w:val="en-GB"/>
              </w:rPr>
              <w:t xml:space="preserve">European Commission President to define clear </w:t>
            </w:r>
            <w:r w:rsidRPr="008D0341" w:rsidR="00352E5C">
              <w:rPr>
                <w:rFonts w:eastAsia="Calibri"/>
                <w:lang w:val="en-GB"/>
              </w:rPr>
              <w:t xml:space="preserve">Member State requirements </w:t>
            </w:r>
            <w:r w:rsidRPr="008D0341" w:rsidR="007B7DBD">
              <w:rPr>
                <w:rFonts w:eastAsia="Calibri"/>
                <w:lang w:val="en-GB"/>
              </w:rPr>
              <w:t>on</w:t>
            </w:r>
            <w:r w:rsidRPr="008D0341">
              <w:rPr>
                <w:rFonts w:eastAsia="Calibri"/>
                <w:lang w:val="en-GB"/>
              </w:rPr>
              <w:t xml:space="preserve"> involv</w:t>
            </w:r>
            <w:r w:rsidRPr="008D0341" w:rsidR="007B7DBD">
              <w:rPr>
                <w:rFonts w:eastAsia="Calibri"/>
                <w:lang w:val="en-GB"/>
              </w:rPr>
              <w:t>ing</w:t>
            </w:r>
            <w:r w:rsidRPr="008D0341" w:rsidR="005B54DB">
              <w:rPr>
                <w:rFonts w:eastAsia="Calibri"/>
                <w:lang w:val="en-GB"/>
              </w:rPr>
              <w:t xml:space="preserve"> </w:t>
            </w:r>
            <w:r w:rsidRPr="008D0341" w:rsidR="00352E5C">
              <w:rPr>
                <w:rFonts w:eastAsia="Calibri"/>
                <w:lang w:val="en-GB"/>
              </w:rPr>
              <w:t>regions</w:t>
            </w:r>
            <w:r w:rsidRPr="008D0341" w:rsidR="005F2A5D">
              <w:rPr>
                <w:rFonts w:eastAsia="Calibri"/>
                <w:lang w:val="en-GB"/>
              </w:rPr>
              <w:t xml:space="preserve"> in the NRPPs</w:t>
            </w:r>
            <w:r w:rsidRPr="008D0341" w:rsidR="00352E5C">
              <w:rPr>
                <w:rFonts w:eastAsia="Calibri"/>
                <w:lang w:val="en-GB"/>
              </w:rPr>
              <w:t xml:space="preserve">. </w:t>
            </w:r>
            <w:r w:rsidRPr="008D0341" w:rsidR="005B54DB">
              <w:rPr>
                <w:rFonts w:eastAsia="Calibri"/>
                <w:lang w:val="en-GB"/>
              </w:rPr>
              <w:t>I</w:t>
            </w:r>
            <w:r w:rsidRPr="008D0341" w:rsidR="00352E5C">
              <w:rPr>
                <w:rFonts w:eastAsia="Calibri"/>
                <w:lang w:val="en-GB"/>
              </w:rPr>
              <w:t>ntroduces key aspects of the European Code of Conduct on partnership</w:t>
            </w:r>
            <w:r w:rsidRPr="008D0341" w:rsidR="0041292F">
              <w:rPr>
                <w:rFonts w:eastAsia="Calibri"/>
                <w:lang w:val="en-GB"/>
              </w:rPr>
              <w:t>.</w:t>
            </w:r>
          </w:p>
        </w:tc>
      </w:tr>
    </w:tbl>
    <w:p w:rsidR="00352E5C" w:rsidP="00066365" w:rsidRDefault="00352E5C" w14:paraId="767D6103" w14:textId="77777777">
      <w:pPr>
        <w:rPr>
          <w:lang w:val="en-GB"/>
        </w:rPr>
      </w:pPr>
    </w:p>
    <w:p w:rsidRPr="008D0341" w:rsidR="009E00CB" w:rsidP="00066365" w:rsidRDefault="009E00CB" w14:paraId="4D8990CE" w14:textId="77777777">
      <w:pPr>
        <w:rPr>
          <w:lang w:val="en-GB"/>
        </w:rPr>
      </w:pPr>
    </w:p>
    <w:p w:rsidRPr="008D0341" w:rsidR="00352E5C" w:rsidP="00066365" w:rsidRDefault="00352E5C" w14:paraId="42FF970B" w14:textId="169F241C">
      <w:pPr>
        <w:keepNext/>
        <w:jc w:val="center"/>
        <w:rPr>
          <w:lang w:val="en-GB"/>
        </w:rPr>
      </w:pPr>
      <w:r w:rsidRPr="008D0341">
        <w:rPr>
          <w:rFonts w:eastAsia="Myriad Pro"/>
          <w:b/>
          <w:bCs/>
          <w:lang w:val="en-GB"/>
        </w:rPr>
        <w:t xml:space="preserve">Amendment </w:t>
      </w:r>
      <w:r w:rsidRPr="008D0341" w:rsidR="008B5EAB">
        <w:rPr>
          <w:rFonts w:eastAsia="Myriad Pro"/>
          <w:b/>
          <w:bCs/>
          <w:lang w:val="en-GB"/>
        </w:rPr>
        <w:t>9</w:t>
      </w:r>
    </w:p>
    <w:p w:rsidRPr="008D0341" w:rsidR="00352E5C" w:rsidP="00066365" w:rsidRDefault="00352E5C" w14:paraId="62524AA6" w14:textId="72CB3F82">
      <w:pPr>
        <w:keepNext/>
        <w:jc w:val="center"/>
        <w:rPr>
          <w:rFonts w:eastAsia="Myriad Pro"/>
          <w:lang w:val="en-GB"/>
        </w:rPr>
      </w:pPr>
      <w:r w:rsidRPr="008D0341">
        <w:rPr>
          <w:rFonts w:eastAsia="Myriad Pro"/>
          <w:lang w:val="en-GB"/>
        </w:rPr>
        <w:t>New article</w:t>
      </w:r>
      <w:r w:rsidRPr="008D0341" w:rsidR="0066396F">
        <w:rPr>
          <w:lang w:val="en-GB"/>
        </w:rPr>
        <w:t xml:space="preserve"> </w:t>
      </w:r>
      <w:r w:rsidRPr="008D0341" w:rsidR="0066396F">
        <w:rPr>
          <w:rFonts w:eastAsia="Myriad Pro"/>
          <w:lang w:val="en-GB"/>
        </w:rPr>
        <w:t xml:space="preserve">Title III, Chapter 1, article </w:t>
      </w:r>
      <w:r w:rsidRPr="008D0341" w:rsidR="001236C0">
        <w:rPr>
          <w:rFonts w:eastAsia="Myriad Pro"/>
          <w:lang w:val="en-GB"/>
        </w:rPr>
        <w:t xml:space="preserve">20c </w:t>
      </w:r>
      <w:r w:rsidRPr="008D0341">
        <w:rPr>
          <w:rFonts w:eastAsia="Myriad Pro"/>
          <w:lang w:val="en-GB"/>
        </w:rPr>
        <w:t xml:space="preserve">– Subsidiarity </w:t>
      </w:r>
      <w:r w:rsidRPr="008D0341" w:rsidR="007B7DBD">
        <w:rPr>
          <w:rFonts w:eastAsia="Myriad Pro"/>
          <w:lang w:val="en-GB"/>
        </w:rPr>
        <w:t>c</w:t>
      </w:r>
      <w:r w:rsidRPr="008D0341">
        <w:rPr>
          <w:rFonts w:eastAsia="Myriad Pro"/>
          <w:lang w:val="en-GB"/>
        </w:rPr>
        <w:t>lause</w:t>
      </w:r>
    </w:p>
    <w:p w:rsidRPr="008D0341" w:rsidR="007A0032" w:rsidP="00066365" w:rsidRDefault="007A0032" w14:paraId="7A8717D4" w14:textId="77777777">
      <w:pPr>
        <w:keepNext/>
        <w:jc w:val="center"/>
        <w:rPr>
          <w:rFonts w:eastAsia="Myriad Pro"/>
          <w:lang w:val="en-GB"/>
        </w:rPr>
      </w:pPr>
    </w:p>
    <w:tbl>
      <w:tblPr>
        <w:tblW w:w="9322" w:type="dxa"/>
        <w:tblLook w:val="04A0" w:firstRow="1" w:lastRow="0" w:firstColumn="1" w:lastColumn="0" w:noHBand="0" w:noVBand="1"/>
      </w:tblPr>
      <w:tblGrid>
        <w:gridCol w:w="4502"/>
        <w:gridCol w:w="4820"/>
      </w:tblGrid>
      <w:tr w:rsidRPr="008D0341" w:rsidR="00352E5C" w:rsidTr="00CB5DB8" w14:paraId="36BE85FC"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3F40F8" w:rsidRDefault="00BC7019" w14:paraId="0A06B15A" w14:textId="27192A6C">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3DCE8484" w14:textId="77777777">
            <w:pPr>
              <w:keepNext/>
              <w:jc w:val="center"/>
              <w:rPr>
                <w:b/>
                <w:bCs/>
                <w:i/>
                <w:iCs/>
                <w:lang w:val="en-GB"/>
              </w:rPr>
            </w:pPr>
            <w:r w:rsidRPr="008D0341">
              <w:rPr>
                <w:b/>
                <w:bCs/>
                <w:i/>
                <w:iCs/>
                <w:lang w:val="en-GB"/>
              </w:rPr>
              <w:t>CoR amendment</w:t>
            </w:r>
          </w:p>
        </w:tc>
      </w:tr>
      <w:tr w:rsidRPr="008D0341" w:rsidR="00352E5C" w:rsidTr="00CB5DB8" w14:paraId="7C0902BB"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626D9B5" w14:textId="77777777">
            <w:pPr>
              <w:shd w:val="clear" w:color="auto" w:fill="FFFFFF"/>
              <w:ind w:left="468"/>
              <w:textAlignment w:val="baseline"/>
              <w:rPr>
                <w:lang w:val="en-GB"/>
              </w:rPr>
            </w:pP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1B04AC" w:rsidR="00352E5C" w:rsidP="00066365" w:rsidRDefault="00352E5C" w14:paraId="0F57A5C9" w14:textId="5700A6F4">
            <w:pPr>
              <w:pStyle w:val="NormalWeb"/>
              <w:spacing w:before="0" w:beforeAutospacing="0" w:after="0" w:afterAutospacing="0" w:line="288" w:lineRule="auto"/>
              <w:jc w:val="both"/>
              <w:rPr>
                <w:rFonts w:eastAsia="Myriad Pro"/>
                <w:b/>
                <w:bCs/>
                <w:i/>
                <w:iCs/>
                <w:sz w:val="22"/>
                <w:szCs w:val="22"/>
                <w:lang w:val="en-GB"/>
              </w:rPr>
            </w:pPr>
            <w:r w:rsidRPr="008D0341">
              <w:rPr>
                <w:b/>
                <w:bCs/>
                <w:i/>
                <w:iCs/>
                <w:sz w:val="22"/>
                <w:szCs w:val="22"/>
                <w:lang w:val="en-GB"/>
              </w:rPr>
              <w:t>1. The preparation, governance and delivery of the National and Regional Partnership Plan (NRPP) shall respect the principle of subsidiarity as set out in Article 5(3) TEU, ensuring that decisions are taken as closely as possible to the citizens and that competences are exercised at the most appropriate territorial level.</w:t>
            </w:r>
          </w:p>
          <w:p w:rsidRPr="008D0341" w:rsidR="00352E5C" w:rsidP="00066365" w:rsidRDefault="00352E5C" w14:paraId="307E90AE" w14:textId="51FC6439">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2. The distribution of responsibilities between national and sub</w:t>
            </w:r>
            <w:r w:rsidRPr="008D0341" w:rsidR="003F5E5C">
              <w:rPr>
                <w:b/>
                <w:bCs/>
                <w:i/>
                <w:iCs/>
                <w:sz w:val="22"/>
                <w:szCs w:val="22"/>
                <w:lang w:val="en-GB"/>
              </w:rPr>
              <w:t>-</w:t>
            </w:r>
            <w:r w:rsidRPr="008D0341">
              <w:rPr>
                <w:b/>
                <w:bCs/>
                <w:i/>
                <w:iCs/>
                <w:sz w:val="22"/>
                <w:szCs w:val="22"/>
                <w:lang w:val="en-GB"/>
              </w:rPr>
              <w:t>national authorities within the NRPP</w:t>
            </w:r>
            <w:r w:rsidRPr="008D0341" w:rsidR="00F14171">
              <w:rPr>
                <w:b/>
                <w:bCs/>
                <w:i/>
                <w:iCs/>
                <w:sz w:val="22"/>
                <w:szCs w:val="22"/>
                <w:lang w:val="en-GB"/>
              </w:rPr>
              <w:t>, including design, monitoring, audit and payment applications</w:t>
            </w:r>
            <w:r w:rsidRPr="008D0341">
              <w:rPr>
                <w:b/>
                <w:bCs/>
                <w:i/>
                <w:iCs/>
                <w:sz w:val="22"/>
                <w:szCs w:val="22"/>
                <w:lang w:val="en-GB"/>
              </w:rPr>
              <w:t xml:space="preserve"> shall reflect the allocation of competences under the Member State’s constitutional arrangements, in accordance with Article</w:t>
            </w:r>
            <w:r w:rsidRPr="008D0341" w:rsidR="003F5E5C">
              <w:rPr>
                <w:b/>
                <w:bCs/>
                <w:i/>
                <w:iCs/>
                <w:sz w:val="22"/>
                <w:szCs w:val="22"/>
                <w:lang w:val="en-GB"/>
              </w:rPr>
              <w:t> </w:t>
            </w:r>
            <w:r w:rsidRPr="008D0341">
              <w:rPr>
                <w:b/>
                <w:bCs/>
                <w:i/>
                <w:iCs/>
                <w:sz w:val="22"/>
                <w:szCs w:val="22"/>
                <w:lang w:val="en-GB"/>
              </w:rPr>
              <w:t>4(2)</w:t>
            </w:r>
            <w:r w:rsidRPr="008D0341" w:rsidR="003F5E5C">
              <w:rPr>
                <w:b/>
                <w:bCs/>
                <w:i/>
                <w:iCs/>
                <w:sz w:val="22"/>
                <w:szCs w:val="22"/>
                <w:lang w:val="en-GB"/>
              </w:rPr>
              <w:t> </w:t>
            </w:r>
            <w:r w:rsidRPr="008D0341">
              <w:rPr>
                <w:b/>
                <w:bCs/>
                <w:i/>
                <w:iCs/>
                <w:sz w:val="22"/>
                <w:szCs w:val="22"/>
                <w:lang w:val="en-GB"/>
              </w:rPr>
              <w:t>TEU.</w:t>
            </w:r>
          </w:p>
          <w:p w:rsidRPr="008D0341" w:rsidR="00352E5C" w:rsidP="00066365" w:rsidRDefault="00352E5C" w14:paraId="0281387C" w14:textId="77777777">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3. When assessing the NRPP under Articles X and Z of this Regulation, the Commission shall verify whether:</w:t>
            </w:r>
          </w:p>
          <w:p w:rsidRPr="008D0341" w:rsidR="00352E5C" w:rsidP="00066365" w:rsidRDefault="00352E5C" w14:paraId="32609549" w14:textId="77777777">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(a) the NRPP entrusts the preparation, coordination, management and delivery tasks to competent regional authorities where they hold relevant legislative or administrative competences;</w:t>
            </w:r>
          </w:p>
          <w:p w:rsidRPr="008D0341" w:rsidR="00352E5C" w:rsidP="00066365" w:rsidRDefault="00352E5C" w14:paraId="3E4BD9C1" w14:textId="36B90540">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(b) the Member State has demonstrated that decisions are exercised at a level consistent with subsidiarity and proportionality as required by Article</w:t>
            </w:r>
            <w:r w:rsidRPr="008D0341" w:rsidR="003F5E5C">
              <w:rPr>
                <w:b/>
                <w:bCs/>
                <w:i/>
                <w:iCs/>
                <w:sz w:val="22"/>
                <w:szCs w:val="22"/>
                <w:lang w:val="en-GB"/>
              </w:rPr>
              <w:t> </w:t>
            </w:r>
            <w:r w:rsidRPr="008D0341">
              <w:rPr>
                <w:b/>
                <w:bCs/>
                <w:i/>
                <w:iCs/>
                <w:sz w:val="22"/>
                <w:szCs w:val="22"/>
                <w:lang w:val="en-GB"/>
              </w:rPr>
              <w:t>5</w:t>
            </w:r>
            <w:r w:rsidRPr="008D0341" w:rsidR="003F5E5C">
              <w:rPr>
                <w:b/>
                <w:bCs/>
                <w:i/>
                <w:iCs/>
                <w:sz w:val="22"/>
                <w:szCs w:val="22"/>
                <w:lang w:val="en-GB"/>
              </w:rPr>
              <w:t> </w:t>
            </w:r>
            <w:r w:rsidRPr="008D0341">
              <w:rPr>
                <w:b/>
                <w:bCs/>
                <w:i/>
                <w:iCs/>
                <w:sz w:val="22"/>
                <w:szCs w:val="22"/>
                <w:lang w:val="en-GB"/>
              </w:rPr>
              <w:t>TEU;</w:t>
            </w:r>
          </w:p>
          <w:p w:rsidRPr="008D0341" w:rsidR="00352E5C" w:rsidP="00066365" w:rsidRDefault="00352E5C" w14:paraId="7EED8F7C" w14:textId="730B374C">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 xml:space="preserve">(c) national-level intervention has been justified where regional or </w:t>
            </w:r>
            <w:r w:rsidRPr="008D0341" w:rsidR="003F5E5C">
              <w:rPr>
                <w:b/>
                <w:bCs/>
                <w:i/>
                <w:iCs/>
                <w:sz w:val="22"/>
                <w:szCs w:val="22"/>
                <w:lang w:val="en-GB"/>
              </w:rPr>
              <w:t>sub-national</w:t>
            </w:r>
            <w:r w:rsidRPr="008D0341">
              <w:rPr>
                <w:b/>
                <w:bCs/>
                <w:i/>
                <w:iCs/>
                <w:sz w:val="22"/>
                <w:szCs w:val="22"/>
                <w:lang w:val="en-GB"/>
              </w:rPr>
              <w:t xml:space="preserve"> authorities hold relevant functions;</w:t>
            </w:r>
          </w:p>
          <w:p w:rsidRPr="008D0341" w:rsidR="00352E5C" w:rsidP="00066365" w:rsidRDefault="00352E5C" w14:paraId="7AA68819" w14:textId="10555C1E">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 xml:space="preserve">(d) the </w:t>
            </w:r>
            <w:r w:rsidRPr="008D0341" w:rsidR="003F5E5C">
              <w:rPr>
                <w:b/>
                <w:bCs/>
                <w:i/>
                <w:iCs/>
                <w:sz w:val="22"/>
                <w:szCs w:val="22"/>
                <w:lang w:val="en-GB"/>
              </w:rPr>
              <w:t>m</w:t>
            </w:r>
            <w:r w:rsidRPr="008D0341" w:rsidR="00205B44">
              <w:rPr>
                <w:b/>
                <w:bCs/>
                <w:i/>
                <w:iCs/>
                <w:sz w:val="22"/>
                <w:szCs w:val="22"/>
                <w:lang w:val="en-GB"/>
              </w:rPr>
              <w:t>ultilevel governance assessment</w:t>
            </w:r>
            <w:r w:rsidRPr="008D0341">
              <w:rPr>
                <w:b/>
                <w:bCs/>
                <w:i/>
                <w:iCs/>
                <w:sz w:val="22"/>
                <w:szCs w:val="22"/>
                <w:lang w:val="en-GB"/>
              </w:rPr>
              <w:t xml:space="preserve"> shows meaningful and effective involvement of regional authorities and partners within the scope of Article X;</w:t>
            </w:r>
          </w:p>
          <w:p w:rsidRPr="008D0341" w:rsidR="00352E5C" w:rsidP="00066365" w:rsidRDefault="00352E5C" w14:paraId="2062D34A" w14:textId="2D7CE959">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(e) the NRPP governance structure enables the Commission to fulfil its obligations under Articles 174 and 175 TFEU relating to economic, social and territorial cohesion.</w:t>
            </w:r>
          </w:p>
          <w:p w:rsidRPr="001B04AC" w:rsidR="00352E5C" w:rsidP="00066365" w:rsidRDefault="00352E5C" w14:paraId="4F6C564D" w14:textId="7239154B">
            <w:pPr>
              <w:pStyle w:val="NormalWeb"/>
              <w:spacing w:before="0" w:beforeAutospacing="0" w:after="0" w:afterAutospacing="0" w:line="288" w:lineRule="auto"/>
              <w:jc w:val="both"/>
              <w:rPr>
                <w:b/>
                <w:bCs/>
                <w:i/>
                <w:iCs/>
                <w:sz w:val="20"/>
                <w:szCs w:val="20"/>
                <w:lang w:val="en-GB"/>
              </w:rPr>
            </w:pPr>
            <w:r w:rsidRPr="008D0341">
              <w:rPr>
                <w:b/>
                <w:bCs/>
                <w:i/>
                <w:iCs/>
                <w:sz w:val="22"/>
                <w:szCs w:val="22"/>
                <w:lang w:val="en-GB"/>
              </w:rPr>
              <w:t>4. The Commission shall also verify whether the NRPP allows it to fulfil its responsibilities for the execution of the Union budget under Article</w:t>
            </w:r>
            <w:r w:rsidRPr="008D0341" w:rsidR="00F8592A">
              <w:rPr>
                <w:b/>
                <w:bCs/>
                <w:i/>
                <w:iCs/>
                <w:sz w:val="22"/>
                <w:szCs w:val="22"/>
                <w:lang w:val="en-GB"/>
              </w:rPr>
              <w:t> </w:t>
            </w:r>
            <w:r w:rsidRPr="008D0341">
              <w:rPr>
                <w:b/>
                <w:bCs/>
                <w:i/>
                <w:iCs/>
                <w:sz w:val="22"/>
                <w:szCs w:val="22"/>
                <w:lang w:val="en-GB"/>
              </w:rPr>
              <w:t>317</w:t>
            </w:r>
            <w:r w:rsidRPr="008D0341" w:rsidR="00F8592A">
              <w:rPr>
                <w:b/>
                <w:bCs/>
                <w:i/>
                <w:iCs/>
                <w:sz w:val="22"/>
                <w:szCs w:val="22"/>
                <w:lang w:val="en-GB"/>
              </w:rPr>
              <w:t> </w:t>
            </w:r>
            <w:r w:rsidRPr="008D0341">
              <w:rPr>
                <w:b/>
                <w:bCs/>
                <w:i/>
                <w:iCs/>
                <w:sz w:val="22"/>
                <w:szCs w:val="22"/>
                <w:lang w:val="en-GB"/>
              </w:rPr>
              <w:t>TFEU, including sound financial management, transparency and accountability at all levels of implementation.</w:t>
            </w:r>
            <w:r w:rsidRPr="0063224B" w:rsidR="00963966">
              <w:rPr>
                <w:b/>
                <w:bCs/>
                <w:i/>
                <w:iCs/>
                <w:sz w:val="20"/>
                <w:szCs w:val="20"/>
                <w:lang w:val="en-GB"/>
              </w:rPr>
              <w:t xml:space="preserve"> </w:t>
            </w:r>
            <w:r w:rsidRPr="0063224B" w:rsidR="00963966">
              <w:rPr>
                <w:b/>
                <w:bCs/>
                <w:i/>
                <w:sz w:val="22"/>
                <w:szCs w:val="22"/>
                <w:lang w:val="en-GB"/>
              </w:rPr>
              <w:t>The Commission should collect all the data that allows comparative and overall monitoring of the progress towards treaty objectives of economic social and territorial cohesion.</w:t>
            </w:r>
          </w:p>
          <w:p w:rsidRPr="008D0341" w:rsidR="00352E5C" w:rsidP="00066365" w:rsidRDefault="00352E5C" w14:paraId="0A37BA04" w14:textId="77777777">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5. The Commission shall refuse to approve the NRPP where the Member State has not ensured compliance with the principle of subsidiarity under Article 5 TEU, in particular where:</w:t>
            </w:r>
          </w:p>
          <w:p w:rsidRPr="008D0341" w:rsidR="00352E5C" w:rsidP="00066365" w:rsidRDefault="00352E5C" w14:paraId="16E7F077" w14:textId="45385488">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(a) competent regional authorities have not been entrusted with responsibilities that fall within their constitutional competences</w:t>
            </w:r>
            <w:r w:rsidRPr="008D0341" w:rsidR="00605EE8">
              <w:rPr>
                <w:b/>
                <w:bCs/>
                <w:i/>
                <w:iCs/>
                <w:sz w:val="22"/>
                <w:szCs w:val="22"/>
                <w:lang w:val="en-GB"/>
              </w:rPr>
              <w:t xml:space="preserve"> and have activated the subsidiarity clause</w:t>
            </w:r>
            <w:r w:rsidRPr="008D0341">
              <w:rPr>
                <w:b/>
                <w:bCs/>
                <w:i/>
                <w:iCs/>
                <w:sz w:val="22"/>
                <w:szCs w:val="22"/>
                <w:lang w:val="en-GB"/>
              </w:rPr>
              <w:t>;</w:t>
            </w:r>
          </w:p>
          <w:p w:rsidRPr="008D0341" w:rsidR="00352E5C" w:rsidP="00066365" w:rsidRDefault="00352E5C" w14:paraId="5B00C3DF" w14:textId="12F2D742">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(b) centralised governance is proposed demonstrating that the objectives of the NRPP cannot be sufficiently achieved at regional level;</w:t>
            </w:r>
          </w:p>
          <w:p w:rsidRPr="008D0341" w:rsidR="00352E5C" w:rsidP="00066365" w:rsidRDefault="00352E5C" w14:paraId="47671628" w14:textId="25DA6D82">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 xml:space="preserve">(c) the Member State has failed to complete the </w:t>
            </w:r>
            <w:r w:rsidRPr="008D0341" w:rsidR="00F8592A">
              <w:rPr>
                <w:b/>
                <w:bCs/>
                <w:i/>
                <w:iCs/>
                <w:sz w:val="22"/>
                <w:szCs w:val="22"/>
                <w:lang w:val="en-GB"/>
              </w:rPr>
              <w:t>m</w:t>
            </w:r>
            <w:r w:rsidRPr="008D0341" w:rsidR="00205B44">
              <w:rPr>
                <w:b/>
                <w:bCs/>
                <w:i/>
                <w:iCs/>
                <w:sz w:val="22"/>
                <w:szCs w:val="22"/>
                <w:lang w:val="en-GB"/>
              </w:rPr>
              <w:t>ultilevel governance assessment</w:t>
            </w:r>
            <w:r w:rsidRPr="008D0341">
              <w:rPr>
                <w:b/>
                <w:bCs/>
                <w:i/>
                <w:iCs/>
                <w:sz w:val="22"/>
                <w:szCs w:val="22"/>
                <w:lang w:val="en-GB"/>
              </w:rPr>
              <w:t xml:space="preserve">, or the </w:t>
            </w:r>
            <w:r w:rsidRPr="008D0341" w:rsidR="00F8592A">
              <w:rPr>
                <w:b/>
                <w:bCs/>
                <w:i/>
                <w:iCs/>
                <w:sz w:val="22"/>
                <w:szCs w:val="22"/>
                <w:lang w:val="en-GB"/>
              </w:rPr>
              <w:t>m</w:t>
            </w:r>
            <w:r w:rsidRPr="008D0341" w:rsidR="00205B44">
              <w:rPr>
                <w:b/>
                <w:bCs/>
                <w:i/>
                <w:iCs/>
                <w:sz w:val="22"/>
                <w:szCs w:val="22"/>
                <w:lang w:val="en-GB"/>
              </w:rPr>
              <w:t>ultilevel governance assessment</w:t>
            </w:r>
            <w:r w:rsidRPr="008D0341">
              <w:rPr>
                <w:b/>
                <w:bCs/>
                <w:i/>
                <w:iCs/>
                <w:sz w:val="22"/>
                <w:szCs w:val="22"/>
                <w:lang w:val="en-GB"/>
              </w:rPr>
              <w:t xml:space="preserve"> report shows substantial shortcomings as defined in Article X;</w:t>
            </w:r>
          </w:p>
          <w:p w:rsidRPr="008D0341" w:rsidR="00352E5C" w:rsidP="00066365" w:rsidRDefault="00352E5C" w14:paraId="58C9D5B2" w14:textId="46AB18CF">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(d) the NRPP governance system prevents the Commission from ensuring effective coordination and fulfilment of cohesion policy under Articles</w:t>
            </w:r>
            <w:r w:rsidRPr="008D0341" w:rsidR="00F8592A">
              <w:rPr>
                <w:b/>
                <w:bCs/>
                <w:i/>
                <w:iCs/>
                <w:sz w:val="22"/>
                <w:szCs w:val="22"/>
                <w:lang w:val="en-GB"/>
              </w:rPr>
              <w:t> </w:t>
            </w:r>
            <w:r w:rsidRPr="008D0341">
              <w:rPr>
                <w:b/>
                <w:bCs/>
                <w:i/>
                <w:iCs/>
                <w:sz w:val="22"/>
                <w:szCs w:val="22"/>
                <w:lang w:val="en-GB"/>
              </w:rPr>
              <w:t>174</w:t>
            </w:r>
            <w:r w:rsidRPr="008D0341" w:rsidR="00F8592A">
              <w:rPr>
                <w:b/>
                <w:bCs/>
                <w:i/>
                <w:iCs/>
                <w:sz w:val="22"/>
                <w:szCs w:val="22"/>
                <w:lang w:val="en-GB"/>
              </w:rPr>
              <w:t> </w:t>
            </w:r>
            <w:r w:rsidRPr="008D0341">
              <w:rPr>
                <w:b/>
                <w:bCs/>
                <w:i/>
                <w:iCs/>
                <w:sz w:val="22"/>
                <w:szCs w:val="22"/>
                <w:lang w:val="en-GB"/>
              </w:rPr>
              <w:t>and</w:t>
            </w:r>
            <w:r w:rsidRPr="008D0341" w:rsidR="00F8592A">
              <w:rPr>
                <w:b/>
                <w:bCs/>
                <w:i/>
                <w:iCs/>
                <w:sz w:val="22"/>
                <w:szCs w:val="22"/>
                <w:lang w:val="en-GB"/>
              </w:rPr>
              <w:t> </w:t>
            </w:r>
            <w:r w:rsidRPr="008D0341">
              <w:rPr>
                <w:b/>
                <w:bCs/>
                <w:i/>
                <w:iCs/>
                <w:sz w:val="22"/>
                <w:szCs w:val="22"/>
                <w:lang w:val="en-GB"/>
              </w:rPr>
              <w:t>175</w:t>
            </w:r>
            <w:r w:rsidRPr="008D0341" w:rsidR="00F8592A">
              <w:rPr>
                <w:b/>
                <w:bCs/>
                <w:i/>
                <w:iCs/>
                <w:sz w:val="22"/>
                <w:szCs w:val="22"/>
                <w:lang w:val="en-GB"/>
              </w:rPr>
              <w:t> </w:t>
            </w:r>
            <w:r w:rsidRPr="008D0341">
              <w:rPr>
                <w:b/>
                <w:bCs/>
                <w:i/>
                <w:iCs/>
                <w:sz w:val="22"/>
                <w:szCs w:val="22"/>
                <w:lang w:val="en-GB"/>
              </w:rPr>
              <w:t>TFEU;</w:t>
            </w:r>
          </w:p>
          <w:p w:rsidRPr="008D0341" w:rsidR="00352E5C" w:rsidP="00066365" w:rsidRDefault="00352E5C" w14:paraId="5217ED59" w14:textId="2CE387D4">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(e) the proposed implementation arrangements undermine multilevel governance or representative participation as referred to in Article 10 TEU</w:t>
            </w:r>
            <w:r w:rsidRPr="008D0341" w:rsidR="00F8592A">
              <w:rPr>
                <w:b/>
                <w:bCs/>
                <w:i/>
                <w:iCs/>
                <w:sz w:val="22"/>
                <w:szCs w:val="22"/>
                <w:lang w:val="en-GB"/>
              </w:rPr>
              <w:t>;</w:t>
            </w:r>
          </w:p>
          <w:p w:rsidRPr="008D0341" w:rsidR="00352E5C" w:rsidP="00066365" w:rsidRDefault="00D049F6" w14:paraId="7AF94772" w14:textId="247A556E">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 xml:space="preserve">(f) when the </w:t>
            </w:r>
            <w:r w:rsidRPr="008D0341" w:rsidR="003F5E5C">
              <w:rPr>
                <w:b/>
                <w:bCs/>
                <w:i/>
                <w:iCs/>
                <w:sz w:val="22"/>
                <w:szCs w:val="22"/>
                <w:lang w:val="en-GB"/>
              </w:rPr>
              <w:t>sub-national</w:t>
            </w:r>
            <w:r w:rsidRPr="008D0341">
              <w:rPr>
                <w:b/>
                <w:bCs/>
                <w:i/>
                <w:iCs/>
                <w:sz w:val="22"/>
                <w:szCs w:val="22"/>
                <w:lang w:val="en-GB"/>
              </w:rPr>
              <w:t xml:space="preserve"> authorities concerned activate the subsidiarity clause</w:t>
            </w:r>
            <w:r w:rsidRPr="008D0341" w:rsidR="00F8592A">
              <w:rPr>
                <w:b/>
                <w:bCs/>
                <w:i/>
                <w:iCs/>
                <w:sz w:val="22"/>
                <w:szCs w:val="22"/>
                <w:lang w:val="en-GB"/>
              </w:rPr>
              <w:t>.</w:t>
            </w:r>
          </w:p>
          <w:p w:rsidRPr="008D0341" w:rsidR="00352E5C" w:rsidP="00066365" w:rsidRDefault="00352E5C" w14:paraId="7A14F902" w14:textId="33364277">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6. In such cases, the Commission shall notify the Member State of the specific subsidiarity-related deficiencies and request corrective measures.</w:t>
            </w:r>
          </w:p>
          <w:p w:rsidRPr="008D0341" w:rsidR="00352E5C" w:rsidP="00066365" w:rsidRDefault="00352E5C" w14:paraId="039CD02D" w14:textId="63D1ECC6">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7. The NRPP shall not be approved until the Member State has addressed the identified shortcomings to the satisfaction of the Commission.</w:t>
            </w:r>
          </w:p>
          <w:p w:rsidRPr="008D0341" w:rsidR="00352E5C" w:rsidP="00066365" w:rsidRDefault="00352E5C" w14:paraId="21CB5524" w14:textId="48F1AF2E">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8. This Article shall be applied with full respect for the Member State’s constitutional structures under Article 4(2) TEU</w:t>
            </w:r>
            <w:r w:rsidRPr="008D0341" w:rsidR="00F8592A">
              <w:rPr>
                <w:b/>
                <w:bCs/>
                <w:i/>
                <w:iCs/>
                <w:sz w:val="22"/>
                <w:szCs w:val="22"/>
                <w:lang w:val="en-GB"/>
              </w:rPr>
              <w:t>.</w:t>
            </w:r>
          </w:p>
          <w:p w:rsidRPr="008D0341" w:rsidR="00352E5C" w:rsidP="00066365" w:rsidRDefault="00352E5C" w14:paraId="36D8B2A4" w14:textId="471E7079">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9. Where justified under Article</w:t>
            </w:r>
            <w:r w:rsidRPr="008D0341" w:rsidR="00F8592A">
              <w:rPr>
                <w:b/>
                <w:bCs/>
                <w:i/>
                <w:iCs/>
                <w:sz w:val="22"/>
                <w:szCs w:val="22"/>
                <w:lang w:val="en-GB"/>
              </w:rPr>
              <w:t> </w:t>
            </w:r>
            <w:r w:rsidRPr="008D0341">
              <w:rPr>
                <w:b/>
                <w:bCs/>
                <w:i/>
                <w:iCs/>
                <w:sz w:val="22"/>
                <w:szCs w:val="22"/>
                <w:lang w:val="en-GB"/>
              </w:rPr>
              <w:t>5(4)</w:t>
            </w:r>
            <w:r w:rsidRPr="008D0341" w:rsidR="00F8592A">
              <w:rPr>
                <w:b/>
                <w:bCs/>
                <w:i/>
                <w:iCs/>
                <w:sz w:val="22"/>
                <w:szCs w:val="22"/>
                <w:lang w:val="en-GB"/>
              </w:rPr>
              <w:t> </w:t>
            </w:r>
            <w:r w:rsidRPr="008D0341">
              <w:rPr>
                <w:b/>
                <w:bCs/>
                <w:i/>
                <w:iCs/>
                <w:sz w:val="22"/>
                <w:szCs w:val="22"/>
                <w:lang w:val="en-GB"/>
              </w:rPr>
              <w:t>TEU, the Commission may accept proportionate adaptations after verifying that the essential requirements of subsidiarity, multilevel governance and effective territorial involvement remain fulfilled.</w:t>
            </w:r>
          </w:p>
          <w:p w:rsidRPr="001B04AC" w:rsidR="00352E5C" w:rsidP="00066365" w:rsidRDefault="00352E5C" w14:paraId="5C6078D9" w14:textId="182D6F43">
            <w:pPr>
              <w:pStyle w:val="NormalWeb"/>
              <w:spacing w:before="0" w:beforeAutospacing="0" w:after="0" w:afterAutospacing="0" w:line="288" w:lineRule="auto"/>
              <w:jc w:val="both"/>
              <w:rPr>
                <w:b/>
                <w:bCs/>
                <w:i/>
                <w:iCs/>
                <w:sz w:val="22"/>
                <w:szCs w:val="22"/>
                <w:lang w:val="en-GB"/>
              </w:rPr>
            </w:pPr>
            <w:r w:rsidRPr="008D0341">
              <w:rPr>
                <w:b/>
                <w:bCs/>
                <w:i/>
                <w:iCs/>
                <w:sz w:val="22"/>
                <w:szCs w:val="22"/>
                <w:lang w:val="en-GB"/>
              </w:rPr>
              <w:t>10. Where an NRPP is refused on subsidiarity grounds, the Commission shall publish a summary of its assessment, specifying the legal reasons for refusal under this Article and Article</w:t>
            </w:r>
            <w:r w:rsidRPr="008D0341" w:rsidR="00F8592A">
              <w:rPr>
                <w:b/>
                <w:bCs/>
                <w:i/>
                <w:iCs/>
                <w:sz w:val="22"/>
                <w:szCs w:val="22"/>
                <w:lang w:val="en-GB"/>
              </w:rPr>
              <w:t> </w:t>
            </w:r>
            <w:r w:rsidRPr="008D0341">
              <w:rPr>
                <w:b/>
                <w:bCs/>
                <w:i/>
                <w:iCs/>
                <w:sz w:val="22"/>
                <w:szCs w:val="22"/>
                <w:lang w:val="en-GB"/>
              </w:rPr>
              <w:t>5</w:t>
            </w:r>
            <w:r w:rsidRPr="008D0341" w:rsidR="00F8592A">
              <w:rPr>
                <w:b/>
                <w:bCs/>
                <w:i/>
                <w:iCs/>
                <w:sz w:val="22"/>
                <w:szCs w:val="22"/>
                <w:lang w:val="en-GB"/>
              </w:rPr>
              <w:t> </w:t>
            </w:r>
            <w:r w:rsidRPr="008D0341">
              <w:rPr>
                <w:b/>
                <w:bCs/>
                <w:i/>
                <w:iCs/>
                <w:sz w:val="22"/>
                <w:szCs w:val="22"/>
                <w:lang w:val="en-GB"/>
              </w:rPr>
              <w:t>TEU.</w:t>
            </w:r>
          </w:p>
        </w:tc>
      </w:tr>
    </w:tbl>
    <w:p w:rsidRPr="008D0341" w:rsidR="00352E5C" w:rsidP="00066365" w:rsidRDefault="00352E5C" w14:paraId="00BAC157"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CB5DB8" w14:paraId="35D5BD7A"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797CE65" w14:textId="77777777">
            <w:pPr>
              <w:jc w:val="center"/>
              <w:rPr>
                <w:b/>
                <w:bCs/>
                <w:i/>
                <w:iCs/>
                <w:lang w:val="en-GB"/>
              </w:rPr>
            </w:pPr>
            <w:r w:rsidRPr="008D0341">
              <w:rPr>
                <w:b/>
                <w:bCs/>
                <w:i/>
                <w:iCs/>
                <w:lang w:val="en-GB"/>
              </w:rPr>
              <w:t>Reason</w:t>
            </w:r>
          </w:p>
        </w:tc>
      </w:tr>
      <w:tr w:rsidRPr="008D0341" w:rsidR="00352E5C" w:rsidTr="00CB5DB8" w14:paraId="290C4291"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DA6320" w14:paraId="63D2CCEB" w14:textId="0938BFF1">
            <w:pPr>
              <w:rPr>
                <w:rFonts w:eastAsia="Calibri"/>
                <w:lang w:val="en-GB"/>
              </w:rPr>
            </w:pPr>
            <w:r w:rsidRPr="008D0341">
              <w:rPr>
                <w:rFonts w:eastAsia="Calibri"/>
                <w:lang w:val="en-GB"/>
              </w:rPr>
              <w:t>S</w:t>
            </w:r>
            <w:r w:rsidRPr="008D0341" w:rsidR="00FA68B7">
              <w:rPr>
                <w:rFonts w:eastAsia="Calibri"/>
                <w:lang w:val="en-GB"/>
              </w:rPr>
              <w:t xml:space="preserve">ubstantiates </w:t>
            </w:r>
            <w:r w:rsidRPr="008D0341" w:rsidR="001A06FB">
              <w:rPr>
                <w:rFonts w:eastAsia="Calibri"/>
                <w:lang w:val="en-GB"/>
              </w:rPr>
              <w:t xml:space="preserve">the </w:t>
            </w:r>
            <w:r w:rsidRPr="008D0341" w:rsidR="005F2A5D">
              <w:rPr>
                <w:rFonts w:eastAsia="Calibri"/>
                <w:lang w:val="en-GB"/>
              </w:rPr>
              <w:t xml:space="preserve">concept </w:t>
            </w:r>
            <w:r w:rsidRPr="008D0341" w:rsidR="00F8592A">
              <w:rPr>
                <w:rFonts w:eastAsia="Calibri"/>
                <w:lang w:val="en-GB"/>
              </w:rPr>
              <w:t>of</w:t>
            </w:r>
            <w:r w:rsidRPr="008D0341" w:rsidR="005F2A5D">
              <w:rPr>
                <w:rFonts w:eastAsia="Calibri"/>
                <w:lang w:val="en-GB"/>
              </w:rPr>
              <w:t xml:space="preserve"> </w:t>
            </w:r>
            <w:r w:rsidRPr="008D0341" w:rsidR="00F8592A">
              <w:rPr>
                <w:rFonts w:eastAsia="Calibri"/>
                <w:lang w:val="en-GB"/>
              </w:rPr>
              <w:t>‘</w:t>
            </w:r>
            <w:r w:rsidRPr="008D0341" w:rsidR="001A06FB">
              <w:rPr>
                <w:rFonts w:eastAsia="Calibri"/>
                <w:lang w:val="en-GB"/>
              </w:rPr>
              <w:t>regional check</w:t>
            </w:r>
            <w:r w:rsidRPr="008D0341" w:rsidR="005F2A5D">
              <w:rPr>
                <w:rFonts w:eastAsia="Calibri"/>
                <w:lang w:val="en-GB"/>
              </w:rPr>
              <w:t>s</w:t>
            </w:r>
            <w:r w:rsidRPr="008D0341" w:rsidR="00F8592A">
              <w:rPr>
                <w:rFonts w:eastAsia="Calibri"/>
                <w:lang w:val="en-GB"/>
              </w:rPr>
              <w:t>’</w:t>
            </w:r>
            <w:r w:rsidRPr="008D0341" w:rsidR="001A06FB">
              <w:rPr>
                <w:rFonts w:eastAsia="Calibri"/>
                <w:lang w:val="en-GB"/>
              </w:rPr>
              <w:t xml:space="preserve"> proposed by</w:t>
            </w:r>
            <w:r w:rsidRPr="008D0341" w:rsidR="005F2A5D">
              <w:rPr>
                <w:rFonts w:eastAsia="Calibri"/>
                <w:lang w:val="en-GB"/>
              </w:rPr>
              <w:t xml:space="preserve"> the European Commission President</w:t>
            </w:r>
            <w:r w:rsidRPr="008D0341" w:rsidR="00A527A4">
              <w:rPr>
                <w:rFonts w:eastAsia="Calibri"/>
                <w:lang w:val="en-GB"/>
              </w:rPr>
              <w:t>. D</w:t>
            </w:r>
            <w:r w:rsidRPr="008D0341" w:rsidR="007452FA">
              <w:rPr>
                <w:rFonts w:eastAsia="Calibri"/>
                <w:lang w:val="en-GB"/>
              </w:rPr>
              <w:t xml:space="preserve">etails </w:t>
            </w:r>
            <w:r w:rsidRPr="008D0341" w:rsidR="00352E5C">
              <w:rPr>
                <w:rFonts w:eastAsia="Calibri"/>
                <w:lang w:val="en-GB"/>
              </w:rPr>
              <w:t>the legal basis which would lead to the NRP plans being rejected on the grounds of subsidiarity.</w:t>
            </w:r>
            <w:r w:rsidRPr="008D0341" w:rsidR="001A06FB">
              <w:rPr>
                <w:rFonts w:eastAsia="Calibri"/>
                <w:lang w:val="en-GB"/>
              </w:rPr>
              <w:t xml:space="preserve"> </w:t>
            </w:r>
            <w:r w:rsidRPr="0063224B" w:rsidR="004C6663">
              <w:rPr>
                <w:iCs/>
                <w:lang w:val="en-GB"/>
              </w:rPr>
              <w:t>Clarif</w:t>
            </w:r>
            <w:r w:rsidR="00C07D82">
              <w:rPr>
                <w:iCs/>
                <w:lang w:val="en-GB"/>
              </w:rPr>
              <w:t>ies</w:t>
            </w:r>
            <w:r w:rsidRPr="0063224B" w:rsidR="004C6663">
              <w:rPr>
                <w:iCs/>
                <w:lang w:val="en-GB"/>
              </w:rPr>
              <w:t xml:space="preserve"> the responsibilities distributed between national and sub-national authorities. The Commission should be able to monitor data relating to investments at European level.</w:t>
            </w:r>
          </w:p>
        </w:tc>
      </w:tr>
    </w:tbl>
    <w:p w:rsidRPr="008D0341" w:rsidR="00352E5C" w:rsidP="00066365" w:rsidRDefault="00352E5C" w14:paraId="1B72CD1D" w14:textId="77777777">
      <w:pPr>
        <w:rPr>
          <w:lang w:val="en-GB"/>
        </w:rPr>
      </w:pPr>
    </w:p>
    <w:p w:rsidRPr="008D0341" w:rsidR="00352E5C" w:rsidP="003F40F8" w:rsidRDefault="00352E5C" w14:paraId="1E339772" w14:textId="61284688">
      <w:pPr>
        <w:keepNext/>
        <w:keepLines/>
        <w:jc w:val="center"/>
        <w:rPr>
          <w:lang w:val="en-GB"/>
        </w:rPr>
      </w:pPr>
      <w:r w:rsidRPr="008D0341">
        <w:rPr>
          <w:rFonts w:eastAsia="Myriad Pro"/>
          <w:b/>
          <w:bCs/>
          <w:lang w:val="en-GB"/>
        </w:rPr>
        <w:t xml:space="preserve">Amendment </w:t>
      </w:r>
      <w:r w:rsidRPr="008D0341" w:rsidR="008B5EAB">
        <w:rPr>
          <w:rFonts w:eastAsia="Myriad Pro"/>
          <w:b/>
          <w:bCs/>
          <w:lang w:val="en-GB"/>
        </w:rPr>
        <w:t>10</w:t>
      </w:r>
    </w:p>
    <w:p w:rsidRPr="008D0341" w:rsidR="00352E5C" w:rsidP="003F40F8" w:rsidRDefault="00352E5C" w14:paraId="3C45B5F3" w14:textId="765348AF">
      <w:pPr>
        <w:keepNext/>
        <w:keepLines/>
        <w:jc w:val="center"/>
        <w:rPr>
          <w:rFonts w:eastAsia="Myriad Pro"/>
          <w:lang w:val="en-GB"/>
        </w:rPr>
      </w:pPr>
      <w:r w:rsidRPr="008D0341">
        <w:rPr>
          <w:rFonts w:eastAsia="Myriad Pro"/>
          <w:lang w:val="en-GB"/>
        </w:rPr>
        <w:t>Article 15</w:t>
      </w:r>
      <w:r w:rsidRPr="008D0341" w:rsidR="00B4127B">
        <w:rPr>
          <w:rFonts w:eastAsia="Myriad Pro"/>
          <w:lang w:val="en-GB"/>
        </w:rPr>
        <w:t>.1</w:t>
      </w:r>
      <w:r w:rsidRPr="008D0341">
        <w:rPr>
          <w:rFonts w:eastAsia="Myriad Pro"/>
          <w:lang w:val="en-GB"/>
        </w:rPr>
        <w:t xml:space="preserve"> – Decommitment</w:t>
      </w:r>
    </w:p>
    <w:p w:rsidRPr="008D0341" w:rsidR="007A0032" w:rsidP="003F40F8" w:rsidRDefault="007A0032" w14:paraId="26FA3FF2" w14:textId="77777777">
      <w:pPr>
        <w:keepNext/>
        <w:keepLines/>
        <w:jc w:val="center"/>
        <w:rPr>
          <w:rFonts w:eastAsia="Myriad Pro"/>
          <w:lang w:val="en-GB"/>
        </w:rPr>
      </w:pPr>
    </w:p>
    <w:tbl>
      <w:tblPr>
        <w:tblW w:w="9322" w:type="dxa"/>
        <w:tblLook w:val="04A0" w:firstRow="1" w:lastRow="0" w:firstColumn="1" w:lastColumn="0" w:noHBand="0" w:noVBand="1"/>
      </w:tblPr>
      <w:tblGrid>
        <w:gridCol w:w="4502"/>
        <w:gridCol w:w="4820"/>
      </w:tblGrid>
      <w:tr w:rsidRPr="008D0341" w:rsidR="00352E5C" w:rsidTr="00CB5DB8" w14:paraId="4B570FEB"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BC7019" w14:paraId="5961F455" w14:textId="2783C44D">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DE73E8B" w14:textId="77777777">
            <w:pPr>
              <w:jc w:val="center"/>
              <w:rPr>
                <w:b/>
                <w:bCs/>
                <w:i/>
                <w:iCs/>
                <w:lang w:val="en-GB"/>
              </w:rPr>
            </w:pPr>
            <w:r w:rsidRPr="008D0341">
              <w:rPr>
                <w:b/>
                <w:bCs/>
                <w:i/>
                <w:iCs/>
                <w:lang w:val="en-GB"/>
              </w:rPr>
              <w:t>CoR amendment</w:t>
            </w:r>
          </w:p>
        </w:tc>
      </w:tr>
      <w:tr w:rsidRPr="008D0341" w:rsidR="00352E5C" w:rsidTr="00CB5DB8" w14:paraId="3F068FBC"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1B04AC" w:rsidR="00352E5C" w:rsidP="00066365" w:rsidRDefault="00DE0213" w14:paraId="1A7A237C" w14:textId="58E4C780">
            <w:pPr>
              <w:shd w:val="clear" w:color="auto" w:fill="FFFFFF"/>
              <w:textAlignment w:val="baseline"/>
              <w:rPr>
                <w:color w:val="000000"/>
                <w:bdr w:val="none" w:color="auto" w:sz="0" w:space="0" w:frame="1"/>
                <w:lang w:val="en-GB"/>
              </w:rPr>
            </w:pPr>
            <w:r w:rsidRPr="008D0341">
              <w:rPr>
                <w:color w:val="000000"/>
                <w:bdr w:val="none" w:color="auto" w:sz="0" w:space="0" w:frame="1"/>
                <w:lang w:val="en-GB"/>
              </w:rPr>
              <w:t xml:space="preserve">1. </w:t>
            </w:r>
            <w:r w:rsidRPr="008D0341" w:rsidR="00352E5C">
              <w:rPr>
                <w:color w:val="000000"/>
                <w:bdr w:val="none" w:color="auto" w:sz="0" w:space="0" w:frame="1"/>
                <w:lang w:val="en-GB"/>
              </w:rPr>
              <w:t>The Commission shall decommit any amount in an NRP Plan and the Interreg Plan chapter which has not been used for pre-financing, in accordance with Article 17 [pre-financing] or for which a payment application has not been submitted in accordance with Articles 65 [submission and assessment of payment applications]</w:t>
            </w:r>
            <w:r w:rsidRPr="008D0341" w:rsidR="00352E5C">
              <w:rPr>
                <w:b/>
                <w:bCs/>
                <w:i/>
                <w:iCs/>
                <w:color w:val="000000"/>
                <w:bdr w:val="none" w:color="auto" w:sz="0" w:space="0" w:frame="1"/>
                <w:lang w:val="en-GB"/>
              </w:rPr>
              <w:t xml:space="preserve">, by 31 October of the calendar year </w:t>
            </w:r>
            <w:r w:rsidRPr="008D0341" w:rsidR="00352E5C">
              <w:rPr>
                <w:color w:val="000000"/>
                <w:bdr w:val="none" w:color="auto" w:sz="0" w:space="0" w:frame="1"/>
                <w:lang w:val="en-GB"/>
              </w:rPr>
              <w:t>following the year of the budgetary commitments.</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1B04AC" w:rsidR="00352E5C" w:rsidP="00066365" w:rsidRDefault="00DE0213" w14:paraId="1D5E2037" w14:textId="0DAC6634">
            <w:pPr>
              <w:shd w:val="clear" w:color="auto" w:fill="FFFFFF"/>
              <w:textAlignment w:val="baseline"/>
              <w:rPr>
                <w:color w:val="000000"/>
                <w:bdr w:val="none" w:color="auto" w:sz="0" w:space="0" w:frame="1"/>
                <w:lang w:val="en-GB"/>
              </w:rPr>
            </w:pPr>
            <w:r w:rsidRPr="008D0341">
              <w:rPr>
                <w:color w:val="000000"/>
                <w:bdr w:val="none" w:color="auto" w:sz="0" w:space="0" w:frame="1"/>
                <w:lang w:val="en-GB"/>
              </w:rPr>
              <w:t xml:space="preserve">1. </w:t>
            </w:r>
            <w:r w:rsidRPr="008D0341" w:rsidR="00352E5C">
              <w:rPr>
                <w:color w:val="000000"/>
                <w:bdr w:val="none" w:color="auto" w:sz="0" w:space="0" w:frame="1"/>
                <w:lang w:val="en-GB"/>
              </w:rPr>
              <w:t>The Commission shall decommit any amount in an NRP Plan and the Interreg Plan chapter which has not been used for pre-financing, in accordance with Article 17 [pre-financing] or for which a payment application has not been submitted in accordance with Articles 65 [submission and assessment of payment applications]</w:t>
            </w:r>
            <w:r w:rsidRPr="008D0341" w:rsidR="00352E5C">
              <w:rPr>
                <w:b/>
                <w:bCs/>
                <w:i/>
                <w:iCs/>
                <w:color w:val="000000"/>
                <w:bdr w:val="none" w:color="auto" w:sz="0" w:space="0" w:frame="1"/>
                <w:lang w:val="en-GB"/>
              </w:rPr>
              <w:t xml:space="preserve">, by 31 December of the </w:t>
            </w:r>
            <w:r w:rsidRPr="008D0341" w:rsidR="007F146F">
              <w:rPr>
                <w:b/>
                <w:bCs/>
                <w:i/>
                <w:iCs/>
                <w:color w:val="000000"/>
                <w:bdr w:val="none" w:color="auto" w:sz="0" w:space="0" w:frame="1"/>
                <w:lang w:val="en-GB"/>
              </w:rPr>
              <w:t>second</w:t>
            </w:r>
            <w:r w:rsidRPr="008D0341" w:rsidR="00352E5C">
              <w:rPr>
                <w:b/>
                <w:bCs/>
                <w:i/>
                <w:iCs/>
                <w:color w:val="000000"/>
                <w:bdr w:val="none" w:color="auto" w:sz="0" w:space="0" w:frame="1"/>
                <w:lang w:val="en-GB"/>
              </w:rPr>
              <w:t xml:space="preserve"> calendar year</w:t>
            </w:r>
            <w:r w:rsidRPr="008D0341" w:rsidR="00352E5C">
              <w:rPr>
                <w:i/>
                <w:iCs/>
                <w:color w:val="000000"/>
                <w:bdr w:val="none" w:color="auto" w:sz="0" w:space="0" w:frame="1"/>
                <w:lang w:val="en-GB"/>
              </w:rPr>
              <w:t xml:space="preserve"> </w:t>
            </w:r>
            <w:r w:rsidRPr="008D0341" w:rsidR="00352E5C">
              <w:rPr>
                <w:color w:val="000000"/>
                <w:bdr w:val="none" w:color="auto" w:sz="0" w:space="0" w:frame="1"/>
                <w:lang w:val="en-GB"/>
              </w:rPr>
              <w:t>following the year of the budgetary commitments.</w:t>
            </w:r>
          </w:p>
        </w:tc>
      </w:tr>
    </w:tbl>
    <w:p w:rsidRPr="008D0341" w:rsidR="00352E5C" w:rsidP="00066365" w:rsidRDefault="00352E5C" w14:paraId="79C4EA26"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CB5DB8" w14:paraId="4685465F"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2579F41" w14:textId="77777777">
            <w:pPr>
              <w:jc w:val="center"/>
              <w:rPr>
                <w:b/>
                <w:bCs/>
                <w:i/>
                <w:iCs/>
                <w:lang w:val="en-GB"/>
              </w:rPr>
            </w:pPr>
            <w:r w:rsidRPr="008D0341">
              <w:rPr>
                <w:b/>
                <w:bCs/>
                <w:i/>
                <w:iCs/>
                <w:lang w:val="en-GB"/>
              </w:rPr>
              <w:t>Reason</w:t>
            </w:r>
          </w:p>
        </w:tc>
      </w:tr>
      <w:tr w:rsidRPr="008D0341" w:rsidR="00352E5C" w:rsidTr="00CB5DB8" w14:paraId="77255B40"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DA6320" w14:paraId="01E9887A" w14:textId="14C42B5B">
            <w:pPr>
              <w:rPr>
                <w:rFonts w:eastAsia="Calibri"/>
                <w:lang w:val="en-GB"/>
              </w:rPr>
            </w:pPr>
            <w:r w:rsidRPr="008D0341">
              <w:rPr>
                <w:rFonts w:eastAsia="Calibri"/>
                <w:lang w:val="en-GB"/>
              </w:rPr>
              <w:t>Extends</w:t>
            </w:r>
            <w:r w:rsidRPr="008D0341" w:rsidR="00352E5C">
              <w:rPr>
                <w:rFonts w:eastAsia="Calibri"/>
                <w:lang w:val="en-GB"/>
              </w:rPr>
              <w:t xml:space="preserve"> the decommitment from N+10 months to N+</w:t>
            </w:r>
            <w:r w:rsidRPr="008D0341" w:rsidR="007F146F">
              <w:rPr>
                <w:rFonts w:eastAsia="Calibri"/>
                <w:lang w:val="en-GB"/>
              </w:rPr>
              <w:t>2</w:t>
            </w:r>
            <w:r w:rsidRPr="008D0341" w:rsidR="00352E5C">
              <w:rPr>
                <w:rFonts w:eastAsia="Calibri"/>
                <w:lang w:val="en-GB"/>
              </w:rPr>
              <w:t xml:space="preserve"> years (like the decommitment rule </w:t>
            </w:r>
            <w:r w:rsidRPr="008D0341" w:rsidR="00CA31AB">
              <w:rPr>
                <w:rFonts w:eastAsia="Calibri"/>
                <w:lang w:val="en-GB"/>
              </w:rPr>
              <w:t>before</w:t>
            </w:r>
            <w:r w:rsidRPr="008D0341" w:rsidR="00A457D6">
              <w:rPr>
                <w:rFonts w:eastAsia="Calibri"/>
                <w:lang w:val="en-GB"/>
              </w:rPr>
              <w:t xml:space="preserve"> the</w:t>
            </w:r>
            <w:r w:rsidRPr="008D0341" w:rsidR="00CA31AB">
              <w:rPr>
                <w:rFonts w:eastAsia="Calibri"/>
                <w:lang w:val="en-GB"/>
              </w:rPr>
              <w:t xml:space="preserve"> COVID pandemic)</w:t>
            </w:r>
            <w:r w:rsidRPr="008D0341" w:rsidR="00A457D6">
              <w:rPr>
                <w:rFonts w:eastAsia="Calibri"/>
                <w:lang w:val="en-GB"/>
              </w:rPr>
              <w:t>.</w:t>
            </w:r>
          </w:p>
        </w:tc>
      </w:tr>
    </w:tbl>
    <w:p w:rsidRPr="008D0341" w:rsidR="00352E5C" w:rsidP="00066365" w:rsidRDefault="00352E5C" w14:paraId="6F2AA986" w14:textId="77777777">
      <w:pPr>
        <w:rPr>
          <w:lang w:val="en-GB"/>
        </w:rPr>
      </w:pPr>
    </w:p>
    <w:p w:rsidRPr="008D0341" w:rsidR="00352E5C" w:rsidP="003F40F8" w:rsidRDefault="00352E5C" w14:paraId="52B67396" w14:textId="6126C245">
      <w:pPr>
        <w:keepNext/>
        <w:keepLines/>
        <w:jc w:val="center"/>
        <w:rPr>
          <w:lang w:val="en-GB"/>
        </w:rPr>
      </w:pPr>
      <w:r w:rsidRPr="008D0341">
        <w:rPr>
          <w:rFonts w:eastAsia="Myriad Pro"/>
          <w:b/>
          <w:bCs/>
          <w:lang w:val="en-GB"/>
        </w:rPr>
        <w:t xml:space="preserve">Amendment </w:t>
      </w:r>
      <w:r w:rsidRPr="008D0341" w:rsidR="008B5EAB">
        <w:rPr>
          <w:rFonts w:eastAsia="Myriad Pro"/>
          <w:b/>
          <w:bCs/>
          <w:lang w:val="en-GB"/>
        </w:rPr>
        <w:t>11</w:t>
      </w:r>
    </w:p>
    <w:p w:rsidRPr="008D0341" w:rsidR="00352E5C" w:rsidP="003F40F8" w:rsidRDefault="00352E5C" w14:paraId="3C7D2FB6" w14:textId="07AF0BB5">
      <w:pPr>
        <w:keepNext/>
        <w:keepLines/>
        <w:jc w:val="center"/>
        <w:rPr>
          <w:rFonts w:eastAsia="Myriad Pro"/>
          <w:lang w:val="en-GB"/>
        </w:rPr>
      </w:pPr>
      <w:r w:rsidRPr="008D0341">
        <w:rPr>
          <w:rFonts w:eastAsia="Myriad Pro"/>
          <w:lang w:val="en-GB"/>
        </w:rPr>
        <w:t xml:space="preserve">Article 20 </w:t>
      </w:r>
      <w:r w:rsidRPr="008D0341" w:rsidR="00404D71">
        <w:rPr>
          <w:rFonts w:eastAsia="Myriad Pro"/>
          <w:lang w:val="en-GB"/>
        </w:rPr>
        <w:t xml:space="preserve">add new paragraph 5 (after paragraph 4) </w:t>
      </w:r>
      <w:r w:rsidRPr="008D0341">
        <w:rPr>
          <w:rFonts w:eastAsia="Myriad Pro"/>
          <w:lang w:val="en-GB"/>
        </w:rPr>
        <w:t>– National contribution to estimated costs</w:t>
      </w:r>
    </w:p>
    <w:p w:rsidRPr="008D0341" w:rsidR="007A0032" w:rsidP="003F40F8" w:rsidRDefault="007A0032" w14:paraId="2F2EDF71" w14:textId="77777777">
      <w:pPr>
        <w:keepNext/>
        <w:keepLines/>
        <w:jc w:val="center"/>
        <w:rPr>
          <w:rFonts w:eastAsia="Myriad Pro"/>
          <w:lang w:val="en-GB"/>
        </w:rPr>
      </w:pPr>
    </w:p>
    <w:tbl>
      <w:tblPr>
        <w:tblW w:w="9322" w:type="dxa"/>
        <w:tblLook w:val="04A0" w:firstRow="1" w:lastRow="0" w:firstColumn="1" w:lastColumn="0" w:noHBand="0" w:noVBand="1"/>
      </w:tblPr>
      <w:tblGrid>
        <w:gridCol w:w="4502"/>
        <w:gridCol w:w="4820"/>
      </w:tblGrid>
      <w:tr w:rsidRPr="008D0341" w:rsidR="00352E5C" w:rsidTr="00CB5DB8" w14:paraId="461D636A"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BC7019" w14:paraId="299C3A60" w14:textId="09253A49">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697845DF" w14:textId="77777777">
            <w:pPr>
              <w:jc w:val="center"/>
              <w:rPr>
                <w:b/>
                <w:bCs/>
                <w:i/>
                <w:iCs/>
                <w:lang w:val="en-GB"/>
              </w:rPr>
            </w:pPr>
            <w:r w:rsidRPr="008D0341">
              <w:rPr>
                <w:b/>
                <w:bCs/>
                <w:i/>
                <w:iCs/>
                <w:lang w:val="en-GB"/>
              </w:rPr>
              <w:t>CoR amendment</w:t>
            </w:r>
          </w:p>
        </w:tc>
      </w:tr>
      <w:tr w:rsidRPr="008D0341" w:rsidR="00352E5C" w:rsidTr="00CB5DB8" w14:paraId="270DC542"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2F20B97D" w14:textId="7AA3EFA0">
            <w:pPr>
              <w:shd w:val="clear" w:color="auto" w:fill="FFFFFF"/>
              <w:textAlignment w:val="baseline"/>
              <w:rPr>
                <w:lang w:val="en-GB"/>
              </w:rPr>
            </w:pP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404D71" w:rsidP="00066365" w:rsidRDefault="00404D71" w14:paraId="35BD6136" w14:textId="3B3C6F76">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p>
          <w:p w:rsidRPr="008D0341" w:rsidR="00352E5C" w:rsidP="00066365" w:rsidRDefault="00352E5C" w14:paraId="6285189A" w14:textId="5067D5B1">
            <w:pPr>
              <w:shd w:val="clear" w:color="auto" w:fill="FFFFFF"/>
              <w:textAlignment w:val="baseline"/>
              <w:rPr>
                <w:rFonts w:eastAsia="Myriad Pro"/>
                <w:b/>
                <w:bCs/>
                <w:i/>
                <w:iCs/>
                <w:lang w:val="en-GB"/>
              </w:rPr>
            </w:pPr>
            <w:r w:rsidRPr="008D0341">
              <w:rPr>
                <w:rFonts w:eastAsia="Myriad Pro"/>
                <w:b/>
                <w:bCs/>
                <w:i/>
                <w:iCs/>
                <w:lang w:val="en-GB"/>
              </w:rPr>
              <w:t>5.</w:t>
            </w:r>
            <w:r w:rsidRPr="008D0341" w:rsidR="007A0032">
              <w:rPr>
                <w:rFonts w:eastAsia="Myriad Pro"/>
                <w:b/>
                <w:bCs/>
                <w:i/>
                <w:iCs/>
                <w:lang w:val="en-GB"/>
              </w:rPr>
              <w:t xml:space="preserve"> </w:t>
            </w:r>
            <w:r w:rsidRPr="008D0341">
              <w:rPr>
                <w:rFonts w:eastAsia="Myriad Pro"/>
                <w:b/>
                <w:bCs/>
                <w:i/>
                <w:iCs/>
                <w:lang w:val="en-GB"/>
              </w:rPr>
              <w:t>Member States may allow private co-financing for interventions supported under the Plan, provided that such contributions complement</w:t>
            </w:r>
            <w:r w:rsidRPr="008D0341" w:rsidR="00F8592A">
              <w:rPr>
                <w:rFonts w:eastAsia="Myriad Pro"/>
                <w:b/>
                <w:bCs/>
                <w:i/>
                <w:iCs/>
                <w:lang w:val="en-GB"/>
              </w:rPr>
              <w:t>,</w:t>
            </w:r>
            <w:r w:rsidRPr="008D0341">
              <w:rPr>
                <w:rFonts w:eastAsia="Myriad Pro"/>
                <w:b/>
                <w:bCs/>
                <w:i/>
                <w:iCs/>
                <w:lang w:val="en-GB"/>
              </w:rPr>
              <w:t xml:space="preserve"> and do not replace</w:t>
            </w:r>
            <w:r w:rsidRPr="008D0341" w:rsidR="00F8592A">
              <w:rPr>
                <w:rFonts w:eastAsia="Myriad Pro"/>
                <w:b/>
                <w:bCs/>
                <w:i/>
                <w:iCs/>
                <w:lang w:val="en-GB"/>
              </w:rPr>
              <w:t>,</w:t>
            </w:r>
            <w:r w:rsidRPr="008D0341">
              <w:rPr>
                <w:rFonts w:eastAsia="Myriad Pro"/>
                <w:b/>
                <w:bCs/>
                <w:i/>
                <w:iCs/>
                <w:lang w:val="en-GB"/>
              </w:rPr>
              <w:t xml:space="preserve"> public national funding, and are mobilised in a manner consistent with the territorial development objectives of the Plan, ensuring that private investment contributes to long-term regional development, strengthens local economic ecosystems and supports cohesion objectives rather than short-term commercial interests. Private contributions shall be transparent, traceable and co</w:t>
            </w:r>
            <w:r w:rsidRPr="008D0341" w:rsidR="00F8592A">
              <w:rPr>
                <w:rFonts w:eastAsia="Myriad Pro"/>
                <w:b/>
                <w:bCs/>
                <w:i/>
                <w:iCs/>
                <w:lang w:val="en-GB"/>
              </w:rPr>
              <w:t>nsistent</w:t>
            </w:r>
            <w:r w:rsidRPr="008D0341">
              <w:rPr>
                <w:rFonts w:eastAsia="Myriad Pro"/>
                <w:b/>
                <w:bCs/>
                <w:i/>
                <w:iCs/>
                <w:lang w:val="en-GB"/>
              </w:rPr>
              <w:t xml:space="preserve"> with State-aid rules and public-interest considerations.</w:t>
            </w:r>
          </w:p>
        </w:tc>
      </w:tr>
    </w:tbl>
    <w:p w:rsidRPr="008D0341" w:rsidR="00352E5C" w:rsidP="00066365" w:rsidRDefault="00352E5C" w14:paraId="56552B60"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CB5DB8" w14:paraId="3CD515B0"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C6DD6C5" w14:textId="77777777">
            <w:pPr>
              <w:jc w:val="center"/>
              <w:rPr>
                <w:b/>
                <w:bCs/>
                <w:i/>
                <w:iCs/>
                <w:lang w:val="en-GB"/>
              </w:rPr>
            </w:pPr>
            <w:r w:rsidRPr="008D0341">
              <w:rPr>
                <w:b/>
                <w:bCs/>
                <w:i/>
                <w:iCs/>
                <w:lang w:val="en-GB"/>
              </w:rPr>
              <w:t>Reason</w:t>
            </w:r>
          </w:p>
        </w:tc>
      </w:tr>
      <w:tr w:rsidRPr="008D0341" w:rsidR="00352E5C" w:rsidTr="00CB5DB8" w14:paraId="0A21D0CC"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DA6320" w14:paraId="55ADDDC6" w14:textId="06663A71">
            <w:pPr>
              <w:rPr>
                <w:rFonts w:eastAsia="Calibri"/>
                <w:lang w:val="en-GB"/>
              </w:rPr>
            </w:pPr>
            <w:r w:rsidRPr="008D0341">
              <w:rPr>
                <w:rFonts w:eastAsia="Calibri"/>
                <w:lang w:val="en-GB"/>
              </w:rPr>
              <w:t>R</w:t>
            </w:r>
            <w:r w:rsidRPr="008D0341" w:rsidR="00352E5C">
              <w:rPr>
                <w:rFonts w:eastAsia="Calibri"/>
                <w:lang w:val="en-GB"/>
              </w:rPr>
              <w:t xml:space="preserve">eintroduces the possibility of private co-financing following the broad lines of the CoR </w:t>
            </w:r>
            <w:r w:rsidRPr="008D0341" w:rsidR="00C62132">
              <w:rPr>
                <w:rFonts w:eastAsia="Calibri"/>
                <w:lang w:val="en-GB"/>
              </w:rPr>
              <w:t>o</w:t>
            </w:r>
            <w:r w:rsidRPr="008D0341" w:rsidR="00260052">
              <w:rPr>
                <w:rFonts w:eastAsia="Calibri"/>
                <w:lang w:val="en-GB"/>
              </w:rPr>
              <w:t xml:space="preserve">pinion </w:t>
            </w:r>
            <w:r w:rsidRPr="008D0341" w:rsidR="008509BC">
              <w:rPr>
                <w:rFonts w:eastAsia="Calibri"/>
                <w:lang w:val="en-GB"/>
              </w:rPr>
              <w:t>ՙ</w:t>
            </w:r>
            <w:r w:rsidRPr="008D0341" w:rsidR="00260052">
              <w:rPr>
                <w:rFonts w:eastAsia="Calibri"/>
                <w:lang w:val="en-GB"/>
              </w:rPr>
              <w:t>Exploring the role of the private sector in reinforcing cohesion policy post-2027</w:t>
            </w:r>
            <w:r w:rsidRPr="008D0341" w:rsidR="00C62132">
              <w:rPr>
                <w:rFonts w:eastAsia="Calibri"/>
                <w:lang w:val="en-GB"/>
              </w:rPr>
              <w:t>՚</w:t>
            </w:r>
            <w:r w:rsidRPr="008D0341" w:rsidR="00260052">
              <w:rPr>
                <w:rFonts w:eastAsia="Calibri"/>
                <w:lang w:val="en-GB"/>
              </w:rPr>
              <w:t>.</w:t>
            </w:r>
          </w:p>
        </w:tc>
      </w:tr>
    </w:tbl>
    <w:p w:rsidRPr="008D0341" w:rsidR="00352E5C" w:rsidP="00066365" w:rsidRDefault="00352E5C" w14:paraId="4E53C9BF" w14:textId="77777777">
      <w:pPr>
        <w:rPr>
          <w:lang w:val="en-GB"/>
        </w:rPr>
      </w:pPr>
    </w:p>
    <w:p w:rsidRPr="008D0341" w:rsidR="00352E5C" w:rsidP="003F40F8" w:rsidRDefault="00352E5C" w14:paraId="73CBA2EB" w14:textId="26F7BC5E">
      <w:pPr>
        <w:keepNext/>
        <w:keepLines/>
        <w:jc w:val="center"/>
        <w:rPr>
          <w:lang w:val="en-GB"/>
        </w:rPr>
      </w:pPr>
      <w:r w:rsidRPr="008D0341">
        <w:rPr>
          <w:rFonts w:eastAsia="Myriad Pro"/>
          <w:b/>
          <w:bCs/>
          <w:lang w:val="en-GB"/>
        </w:rPr>
        <w:t xml:space="preserve">Amendment </w:t>
      </w:r>
      <w:r w:rsidRPr="008D0341" w:rsidR="008B5EAB">
        <w:rPr>
          <w:rFonts w:eastAsia="Myriad Pro"/>
          <w:b/>
          <w:bCs/>
          <w:lang w:val="en-GB"/>
        </w:rPr>
        <w:t>12</w:t>
      </w:r>
    </w:p>
    <w:p w:rsidRPr="008D0341" w:rsidR="00352E5C" w:rsidP="003F40F8" w:rsidRDefault="00352E5C" w14:paraId="66361791" w14:textId="6E4DDB18">
      <w:pPr>
        <w:keepNext/>
        <w:keepLines/>
        <w:jc w:val="center"/>
        <w:rPr>
          <w:rFonts w:eastAsia="Myriad Pro"/>
          <w:lang w:val="en-GB"/>
        </w:rPr>
      </w:pPr>
      <w:r w:rsidRPr="008D0341">
        <w:rPr>
          <w:rFonts w:eastAsia="Myriad Pro"/>
          <w:lang w:val="en-GB"/>
        </w:rPr>
        <w:t>Article 21</w:t>
      </w:r>
      <w:r w:rsidRPr="008D0341" w:rsidR="00B4127B">
        <w:rPr>
          <w:rFonts w:eastAsia="Myriad Pro"/>
          <w:lang w:val="en-GB"/>
        </w:rPr>
        <w:t>.2</w:t>
      </w:r>
      <w:r w:rsidRPr="008D0341">
        <w:rPr>
          <w:rFonts w:eastAsia="Myriad Pro"/>
          <w:lang w:val="en-GB"/>
        </w:rPr>
        <w:t xml:space="preserve"> – Preparation and submission of the Plan</w:t>
      </w:r>
    </w:p>
    <w:p w:rsidRPr="008D0341" w:rsidR="007A0032" w:rsidP="003F40F8" w:rsidRDefault="007A0032" w14:paraId="48C4CFD4" w14:textId="77777777">
      <w:pPr>
        <w:keepNext/>
        <w:keepLines/>
        <w:jc w:val="center"/>
        <w:rPr>
          <w:rFonts w:eastAsia="Myriad Pro"/>
          <w:lang w:val="en-GB"/>
        </w:rPr>
      </w:pPr>
    </w:p>
    <w:tbl>
      <w:tblPr>
        <w:tblW w:w="9322" w:type="dxa"/>
        <w:tblLook w:val="04A0" w:firstRow="1" w:lastRow="0" w:firstColumn="1" w:lastColumn="0" w:noHBand="0" w:noVBand="1"/>
      </w:tblPr>
      <w:tblGrid>
        <w:gridCol w:w="4502"/>
        <w:gridCol w:w="4820"/>
      </w:tblGrid>
      <w:tr w:rsidRPr="008D0341" w:rsidR="00352E5C" w:rsidTr="00CB5DB8" w14:paraId="693EE595"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BC7019" w14:paraId="4432FBCE" w14:textId="525F410B">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72F2D76A" w14:textId="77777777">
            <w:pPr>
              <w:jc w:val="center"/>
              <w:rPr>
                <w:b/>
                <w:bCs/>
                <w:i/>
                <w:iCs/>
                <w:lang w:val="en-GB"/>
              </w:rPr>
            </w:pPr>
            <w:r w:rsidRPr="008D0341">
              <w:rPr>
                <w:b/>
                <w:bCs/>
                <w:i/>
                <w:iCs/>
                <w:lang w:val="en-GB"/>
              </w:rPr>
              <w:t>CoR amendment</w:t>
            </w:r>
          </w:p>
        </w:tc>
      </w:tr>
      <w:tr w:rsidRPr="008D0341" w:rsidR="00352E5C" w:rsidTr="00CB5DB8" w14:paraId="26AA08DF"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1B04AC" w:rsidR="00352E5C" w:rsidP="00066365" w:rsidRDefault="00352E5C" w14:paraId="293685FC" w14:textId="2CE7D469">
            <w:pPr>
              <w:shd w:val="clear" w:color="auto" w:fill="FFFFFF"/>
              <w:textAlignment w:val="baseline"/>
              <w:rPr>
                <w:color w:val="000000"/>
                <w:bdr w:val="none" w:color="auto" w:sz="0" w:space="0" w:frame="1"/>
                <w:lang w:val="en-GB"/>
              </w:rPr>
            </w:pPr>
            <w:r w:rsidRPr="008D0341">
              <w:rPr>
                <w:color w:val="000000"/>
                <w:bdr w:val="none" w:color="auto" w:sz="0" w:space="0" w:frame="1"/>
                <w:lang w:val="en-GB"/>
              </w:rPr>
              <w:t>2.</w:t>
            </w:r>
            <w:r w:rsidRPr="008D0341" w:rsidR="009513D8">
              <w:rPr>
                <w:color w:val="000000"/>
                <w:bdr w:val="none" w:color="auto" w:sz="0" w:space="0" w:frame="1"/>
                <w:lang w:val="en-GB"/>
              </w:rPr>
              <w:t xml:space="preserve"> </w:t>
            </w:r>
            <w:r w:rsidRPr="008D0341">
              <w:rPr>
                <w:color w:val="000000"/>
                <w:bdr w:val="none" w:color="auto" w:sz="0" w:space="0" w:frame="1"/>
                <w:lang w:val="en-GB"/>
              </w:rPr>
              <w:t>Each Member State shall prepare and implement the Plan in partnership with partners as set out in Article 6 [Partnership], including regional and local authorities, and in accordance with their institutional, legal and financial framework. The Plan shall include national, sectoral and, where relevant, regional and territorial chapters.</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1B04AC" w:rsidR="00352E5C" w:rsidP="00066365" w:rsidRDefault="00352E5C" w14:paraId="1F980950" w14:textId="7E9CEE52">
            <w:pPr>
              <w:shd w:val="clear" w:color="auto" w:fill="FFFFFF"/>
              <w:textAlignment w:val="baseline"/>
              <w:rPr>
                <w:color w:val="000000"/>
                <w:bdr w:val="none" w:color="auto" w:sz="0" w:space="0" w:frame="1"/>
                <w:lang w:val="en-GB"/>
              </w:rPr>
            </w:pPr>
            <w:r w:rsidRPr="008D0341">
              <w:rPr>
                <w:color w:val="000000"/>
                <w:bdr w:val="none" w:color="auto" w:sz="0" w:space="0" w:frame="1"/>
                <w:lang w:val="en-GB"/>
              </w:rPr>
              <w:t>2.</w:t>
            </w:r>
            <w:r w:rsidRPr="008D0341" w:rsidR="009513D8">
              <w:rPr>
                <w:color w:val="000000"/>
                <w:bdr w:val="none" w:color="auto" w:sz="0" w:space="0" w:frame="1"/>
                <w:lang w:val="en-GB"/>
              </w:rPr>
              <w:t xml:space="preserve"> </w:t>
            </w:r>
            <w:r w:rsidRPr="008D0341">
              <w:rPr>
                <w:color w:val="000000"/>
                <w:bdr w:val="none" w:color="auto" w:sz="0" w:space="0" w:frame="1"/>
                <w:lang w:val="en-GB"/>
              </w:rPr>
              <w:t xml:space="preserve">Each Member State shall prepare and implement the Plan in partnership with partners as set out in Article 6 [Partnership], including regional and local authorities, and in accordance with their institutional, legal and financial framework. </w:t>
            </w:r>
            <w:r w:rsidRPr="008D0341">
              <w:rPr>
                <w:b/>
                <w:bCs/>
                <w:i/>
                <w:iCs/>
                <w:color w:val="000000"/>
                <w:bdr w:val="none" w:color="auto" w:sz="0" w:space="0" w:frame="1"/>
                <w:lang w:val="en-GB"/>
              </w:rPr>
              <w:t xml:space="preserve">Regional and local authorities shall be fully involved in the preparation, implementation and evaluation of the NRP Plan in accordance with Article XXX </w:t>
            </w:r>
            <w:r w:rsidRPr="008D0341" w:rsidR="00F8592A">
              <w:rPr>
                <w:b/>
                <w:bCs/>
                <w:i/>
                <w:iCs/>
                <w:color w:val="000000"/>
                <w:bdr w:val="none" w:color="auto" w:sz="0" w:space="0" w:frame="1"/>
                <w:lang w:val="en-GB"/>
              </w:rPr>
              <w:t>‘</w:t>
            </w:r>
            <w:r w:rsidRPr="008D0341">
              <w:rPr>
                <w:b/>
                <w:bCs/>
                <w:i/>
                <w:iCs/>
                <w:color w:val="000000"/>
                <w:bdr w:val="none" w:color="auto" w:sz="0" w:space="0" w:frame="1"/>
                <w:lang w:val="en-GB"/>
              </w:rPr>
              <w:t xml:space="preserve">Multilevel governance </w:t>
            </w:r>
            <w:r w:rsidRPr="008D0341" w:rsidR="005E174D">
              <w:rPr>
                <w:b/>
                <w:bCs/>
                <w:i/>
                <w:iCs/>
                <w:color w:val="000000"/>
                <w:bdr w:val="none" w:color="auto" w:sz="0" w:space="0" w:frame="1"/>
                <w:lang w:val="en-GB"/>
              </w:rPr>
              <w:t>assessment</w:t>
            </w:r>
            <w:r w:rsidRPr="008D0341" w:rsidR="00F8592A">
              <w:rPr>
                <w:b/>
                <w:bCs/>
                <w:i/>
                <w:iCs/>
                <w:color w:val="000000"/>
                <w:bdr w:val="none" w:color="auto" w:sz="0" w:space="0" w:frame="1"/>
                <w:lang w:val="en-GB"/>
              </w:rPr>
              <w:t>’</w:t>
            </w:r>
            <w:r w:rsidRPr="008D0341">
              <w:rPr>
                <w:b/>
                <w:bCs/>
                <w:i/>
                <w:iCs/>
                <w:color w:val="000000"/>
                <w:bdr w:val="none" w:color="auto" w:sz="0" w:space="0" w:frame="1"/>
                <w:lang w:val="en-GB"/>
              </w:rPr>
              <w:t>.</w:t>
            </w:r>
            <w:r w:rsidRPr="008D0341">
              <w:rPr>
                <w:i/>
                <w:iCs/>
                <w:color w:val="000000"/>
                <w:bdr w:val="none" w:color="auto" w:sz="0" w:space="0" w:frame="1"/>
                <w:lang w:val="en-GB"/>
              </w:rPr>
              <w:t xml:space="preserve"> </w:t>
            </w:r>
            <w:r w:rsidRPr="008D0341">
              <w:rPr>
                <w:color w:val="000000"/>
                <w:bdr w:val="none" w:color="auto" w:sz="0" w:space="0" w:frame="1"/>
                <w:lang w:val="en-GB"/>
              </w:rPr>
              <w:t>The Plan shall include national, sectoral and, where relevant, regional and territorial chapters.</w:t>
            </w:r>
          </w:p>
        </w:tc>
      </w:tr>
    </w:tbl>
    <w:p w:rsidRPr="008D0341" w:rsidR="00352E5C" w:rsidP="00066365" w:rsidRDefault="00352E5C" w14:paraId="64231F70" w14:textId="11C8B92E">
      <w:pPr>
        <w:rPr>
          <w:rFonts w:eastAsia="Myriad Pro"/>
          <w:lang w:val="en-GB"/>
        </w:rPr>
      </w:pPr>
    </w:p>
    <w:tbl>
      <w:tblPr>
        <w:tblW w:w="9322" w:type="dxa"/>
        <w:tblLook w:val="04A0" w:firstRow="1" w:lastRow="0" w:firstColumn="1" w:lastColumn="0" w:noHBand="0" w:noVBand="1"/>
      </w:tblPr>
      <w:tblGrid>
        <w:gridCol w:w="9322"/>
      </w:tblGrid>
      <w:tr w:rsidRPr="008D0341" w:rsidR="00352E5C" w:rsidTr="00CB5DB8" w14:paraId="0AF9AB9D"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3279F005" w14:textId="77777777">
            <w:pPr>
              <w:jc w:val="center"/>
              <w:rPr>
                <w:b/>
                <w:bCs/>
                <w:i/>
                <w:iCs/>
                <w:lang w:val="en-GB"/>
              </w:rPr>
            </w:pPr>
            <w:r w:rsidRPr="008D0341">
              <w:rPr>
                <w:b/>
                <w:bCs/>
                <w:i/>
                <w:iCs/>
                <w:lang w:val="en-GB"/>
              </w:rPr>
              <w:t>Reason</w:t>
            </w:r>
          </w:p>
        </w:tc>
      </w:tr>
      <w:tr w:rsidRPr="008D0341" w:rsidR="00352E5C" w:rsidTr="00CB5DB8" w14:paraId="5DE10B9F"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DA6320" w14:paraId="27395791" w14:textId="4196C51C">
            <w:pPr>
              <w:rPr>
                <w:rFonts w:eastAsia="Calibri"/>
                <w:lang w:val="en-GB"/>
              </w:rPr>
            </w:pPr>
            <w:r w:rsidRPr="008D0341">
              <w:rPr>
                <w:rFonts w:eastAsia="Calibri"/>
                <w:lang w:val="en-GB"/>
              </w:rPr>
              <w:t>B</w:t>
            </w:r>
            <w:r w:rsidRPr="008D0341" w:rsidR="00352E5C">
              <w:rPr>
                <w:rFonts w:eastAsia="Calibri"/>
                <w:lang w:val="en-GB"/>
              </w:rPr>
              <w:t xml:space="preserve">uilds on one of the proposals </w:t>
            </w:r>
            <w:r w:rsidRPr="008D0341" w:rsidR="00F8592A">
              <w:rPr>
                <w:rFonts w:eastAsia="Calibri"/>
                <w:lang w:val="en-GB"/>
              </w:rPr>
              <w:t xml:space="preserve">appended </w:t>
            </w:r>
            <w:r w:rsidRPr="008D0341" w:rsidR="00352E5C">
              <w:rPr>
                <w:rFonts w:eastAsia="Calibri"/>
                <w:lang w:val="en-GB"/>
              </w:rPr>
              <w:t>to the letter sen</w:t>
            </w:r>
            <w:r w:rsidRPr="008D0341" w:rsidR="00F3012B">
              <w:rPr>
                <w:rFonts w:eastAsia="Calibri"/>
                <w:lang w:val="en-GB"/>
              </w:rPr>
              <w:t>t</w:t>
            </w:r>
            <w:r w:rsidRPr="008D0341" w:rsidR="00352E5C">
              <w:rPr>
                <w:rFonts w:eastAsia="Calibri"/>
                <w:lang w:val="en-GB"/>
              </w:rPr>
              <w:t xml:space="preserve"> by the Commission President </w:t>
            </w:r>
            <w:r w:rsidRPr="008D0341" w:rsidR="00F3012B">
              <w:rPr>
                <w:rFonts w:eastAsia="Calibri"/>
                <w:lang w:val="en-GB"/>
              </w:rPr>
              <w:t xml:space="preserve">in November 2024 </w:t>
            </w:r>
            <w:r w:rsidRPr="008D0341" w:rsidR="00352E5C">
              <w:rPr>
                <w:rFonts w:eastAsia="Calibri"/>
                <w:lang w:val="en-GB"/>
              </w:rPr>
              <w:t xml:space="preserve">for regional and local authorities to be </w:t>
            </w:r>
            <w:r w:rsidRPr="008D0341" w:rsidR="00F8592A">
              <w:rPr>
                <w:rFonts w:eastAsia="Calibri"/>
                <w:lang w:val="en-GB"/>
              </w:rPr>
              <w:t>‘</w:t>
            </w:r>
            <w:r w:rsidRPr="008D0341" w:rsidR="00352E5C">
              <w:rPr>
                <w:rFonts w:eastAsia="Calibri"/>
                <w:lang w:val="en-GB"/>
              </w:rPr>
              <w:t>involved</w:t>
            </w:r>
            <w:r w:rsidRPr="008D0341" w:rsidR="00F8592A">
              <w:rPr>
                <w:rFonts w:eastAsia="Calibri"/>
                <w:lang w:val="en-GB"/>
              </w:rPr>
              <w:t>’</w:t>
            </w:r>
            <w:r w:rsidRPr="008D0341" w:rsidR="00E259E8">
              <w:rPr>
                <w:rFonts w:eastAsia="Calibri"/>
                <w:lang w:val="en-GB"/>
              </w:rPr>
              <w:t>. R</w:t>
            </w:r>
            <w:r w:rsidRPr="008D0341" w:rsidR="00352E5C">
              <w:rPr>
                <w:rFonts w:eastAsia="Calibri"/>
                <w:lang w:val="en-GB"/>
              </w:rPr>
              <w:t xml:space="preserve">efers to a new article on </w:t>
            </w:r>
            <w:r w:rsidRPr="008D0341" w:rsidR="00F8592A">
              <w:rPr>
                <w:rFonts w:eastAsia="Calibri"/>
                <w:lang w:val="en-GB"/>
              </w:rPr>
              <w:t>‘</w:t>
            </w:r>
            <w:r w:rsidRPr="008D0341" w:rsidR="00205B44">
              <w:rPr>
                <w:rFonts w:eastAsia="Calibri"/>
                <w:lang w:val="en-GB"/>
              </w:rPr>
              <w:t>Multilevel governance assessment</w:t>
            </w:r>
            <w:r w:rsidRPr="008D0341" w:rsidR="00F8592A">
              <w:rPr>
                <w:rFonts w:eastAsia="Calibri"/>
                <w:lang w:val="en-GB"/>
              </w:rPr>
              <w:t>’</w:t>
            </w:r>
            <w:r w:rsidRPr="008D0341" w:rsidR="00352E5C">
              <w:rPr>
                <w:rFonts w:eastAsia="Calibri"/>
                <w:lang w:val="en-GB"/>
              </w:rPr>
              <w:t>.</w:t>
            </w:r>
          </w:p>
        </w:tc>
      </w:tr>
    </w:tbl>
    <w:p w:rsidRPr="008D0341" w:rsidR="00352E5C" w:rsidP="00066365" w:rsidRDefault="00352E5C" w14:paraId="1D87CA93" w14:textId="375673E2">
      <w:pPr>
        <w:rPr>
          <w:lang w:val="en-GB"/>
        </w:rPr>
      </w:pPr>
    </w:p>
    <w:p w:rsidRPr="008D0341" w:rsidR="00175297" w:rsidP="003F40F8" w:rsidRDefault="00175297" w14:paraId="7D7990F4" w14:textId="090219D3">
      <w:pPr>
        <w:keepNext/>
        <w:keepLines/>
        <w:jc w:val="center"/>
        <w:rPr>
          <w:sz w:val="21"/>
          <w:szCs w:val="21"/>
          <w:lang w:val="en-GB"/>
        </w:rPr>
      </w:pPr>
      <w:r w:rsidRPr="008D0341">
        <w:rPr>
          <w:rFonts w:eastAsia="Myriad Pro" w:cs="Myriad Pro"/>
          <w:b/>
          <w:bCs/>
          <w:sz w:val="21"/>
          <w:szCs w:val="21"/>
          <w:lang w:val="en-GB"/>
        </w:rPr>
        <w:t xml:space="preserve">Amendment </w:t>
      </w:r>
      <w:r w:rsidRPr="008D0341" w:rsidR="008B5EAB">
        <w:rPr>
          <w:rFonts w:eastAsia="Myriad Pro" w:cs="Myriad Pro"/>
          <w:b/>
          <w:bCs/>
          <w:sz w:val="21"/>
          <w:szCs w:val="21"/>
          <w:lang w:val="en-GB"/>
        </w:rPr>
        <w:t>13</w:t>
      </w:r>
    </w:p>
    <w:p w:rsidR="00175297" w:rsidP="003F40F8" w:rsidRDefault="00175297" w14:paraId="3BBACB7D" w14:textId="14F590EE">
      <w:pPr>
        <w:keepNext/>
        <w:keepLines/>
        <w:jc w:val="center"/>
        <w:rPr>
          <w:rFonts w:eastAsia="Myriad Pro"/>
          <w:sz w:val="21"/>
          <w:szCs w:val="21"/>
          <w:lang w:val="en-GB"/>
        </w:rPr>
      </w:pPr>
      <w:r w:rsidRPr="008D0341">
        <w:rPr>
          <w:rFonts w:eastAsia="Myriad Pro"/>
          <w:sz w:val="21"/>
          <w:szCs w:val="21"/>
          <w:lang w:val="en-GB"/>
        </w:rPr>
        <w:t xml:space="preserve">New article </w:t>
      </w:r>
      <w:r w:rsidRPr="008D0341" w:rsidR="001236C0">
        <w:rPr>
          <w:rFonts w:eastAsia="Myriad Pro"/>
          <w:sz w:val="21"/>
          <w:szCs w:val="21"/>
          <w:lang w:val="en-GB"/>
        </w:rPr>
        <w:t>Title II, Chapter 1, article 20a</w:t>
      </w:r>
      <w:r w:rsidRPr="008D0341" w:rsidR="00966BBC">
        <w:rPr>
          <w:rFonts w:eastAsia="Myriad Pro"/>
          <w:sz w:val="21"/>
          <w:szCs w:val="21"/>
          <w:lang w:val="en-GB"/>
        </w:rPr>
        <w:t xml:space="preserve"> </w:t>
      </w:r>
      <w:r w:rsidR="003F40F8">
        <w:rPr>
          <w:rFonts w:eastAsia="Myriad Pro"/>
          <w:sz w:val="21"/>
          <w:szCs w:val="21"/>
          <w:lang w:val="en-GB"/>
        </w:rPr>
        <w:t>–</w:t>
      </w:r>
      <w:r w:rsidRPr="008D0341">
        <w:rPr>
          <w:rFonts w:eastAsia="Myriad Pro"/>
          <w:sz w:val="21"/>
          <w:szCs w:val="21"/>
          <w:lang w:val="en-GB"/>
        </w:rPr>
        <w:t xml:space="preserve"> Additionality</w:t>
      </w:r>
    </w:p>
    <w:p w:rsidRPr="008D0341" w:rsidR="003F40F8" w:rsidP="003F40F8" w:rsidRDefault="003F40F8" w14:paraId="0E6FBCA3" w14:textId="77777777">
      <w:pPr>
        <w:keepNext/>
        <w:keepLines/>
        <w:jc w:val="center"/>
        <w:rPr>
          <w:sz w:val="21"/>
          <w:szCs w:val="21"/>
          <w:lang w:val="en-GB"/>
        </w:rPr>
      </w:pPr>
    </w:p>
    <w:tbl>
      <w:tblPr>
        <w:tblW w:w="0" w:type="auto"/>
        <w:tblLook w:val="04A0" w:firstRow="1" w:lastRow="0" w:firstColumn="1" w:lastColumn="0" w:noHBand="0" w:noVBand="1"/>
      </w:tblPr>
      <w:tblGrid>
        <w:gridCol w:w="4504"/>
        <w:gridCol w:w="4502"/>
      </w:tblGrid>
      <w:tr w:rsidRPr="008D0341" w:rsidR="008C42DB" w:rsidTr="009542EF" w14:paraId="40297B86" w14:textId="77777777">
        <w:trPr>
          <w:trHeight w:val="300"/>
        </w:trPr>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8C42DB" w:rsidP="009542EF" w:rsidRDefault="008C42DB" w14:paraId="432C53C9" w14:textId="77777777">
            <w:pPr>
              <w:jc w:val="center"/>
              <w:rPr>
                <w:sz w:val="21"/>
                <w:szCs w:val="21"/>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8C42DB" w:rsidP="009542EF" w:rsidRDefault="008C42DB" w14:paraId="169729C0" w14:textId="77777777">
            <w:pPr>
              <w:jc w:val="center"/>
              <w:rPr>
                <w:sz w:val="21"/>
                <w:szCs w:val="21"/>
                <w:lang w:val="en-GB"/>
              </w:rPr>
            </w:pPr>
            <w:r w:rsidRPr="008D0341">
              <w:rPr>
                <w:b/>
                <w:bCs/>
                <w:i/>
                <w:iCs/>
                <w:sz w:val="21"/>
                <w:szCs w:val="21"/>
                <w:lang w:val="en-GB"/>
              </w:rPr>
              <w:t>CoR amendment</w:t>
            </w:r>
          </w:p>
        </w:tc>
      </w:tr>
      <w:tr w:rsidRPr="008D0341" w:rsidR="008C42DB" w:rsidTr="009542EF" w14:paraId="34DE6A35" w14:textId="77777777">
        <w:trPr>
          <w:trHeight w:val="300"/>
        </w:trPr>
        <w:tc>
          <w:tcPr>
            <w:tcW w:w="450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8C42DB" w:rsidP="009542EF" w:rsidRDefault="008C42DB" w14:paraId="431CB44B" w14:textId="77777777">
            <w:pPr>
              <w:jc w:val="center"/>
              <w:rPr>
                <w:b/>
                <w:bCs/>
                <w:i/>
                <w:iCs/>
                <w:sz w:val="21"/>
                <w:szCs w:val="21"/>
                <w:lang w:val="en-GB"/>
              </w:rPr>
            </w:pPr>
          </w:p>
        </w:tc>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008C42DB" w:rsidP="008C42DB" w:rsidRDefault="008C42DB" w14:paraId="2CB491E4" w14:textId="77777777">
            <w:pPr>
              <w:rPr>
                <w:rFonts w:eastAsia="Myriad Pro"/>
                <w:b/>
                <w:bCs/>
                <w:i/>
                <w:iCs/>
                <w:lang w:val="en-GB"/>
              </w:rPr>
            </w:pPr>
            <w:r w:rsidRPr="008D0341">
              <w:rPr>
                <w:rFonts w:eastAsia="Myriad Pro"/>
                <w:b/>
                <w:bCs/>
                <w:i/>
                <w:iCs/>
                <w:lang w:val="en-GB"/>
              </w:rPr>
              <w:t>1. In accordance with Article 174 TFEU, support provided under the National and Regional Partnership Plan shall respect the principle of additionality.</w:t>
            </w:r>
          </w:p>
          <w:p w:rsidRPr="008D0341" w:rsidR="008C42DB" w:rsidP="008C42DB" w:rsidRDefault="008C42DB" w14:paraId="3F3D7C82" w14:textId="70DB5601">
            <w:pPr>
              <w:rPr>
                <w:b/>
                <w:bCs/>
                <w:i/>
                <w:iCs/>
                <w:sz w:val="21"/>
                <w:szCs w:val="21"/>
                <w:lang w:val="en-GB"/>
              </w:rPr>
            </w:pPr>
            <w:r w:rsidRPr="008D0341">
              <w:rPr>
                <w:rFonts w:eastAsia="Myriad Pro"/>
                <w:b/>
                <w:bCs/>
                <w:i/>
                <w:iCs/>
                <w:lang w:val="en-GB"/>
              </w:rPr>
              <w:t>2. EU funding under the NRPP shall not replace or reduce equivalent national, regional or local public expenditure, but shall complement it and contribute to strengthening long-term economic, social and territorial cohesion. Member States shall ensure that investments supported under the NRPP generate genuine added value at territorial level, in line with the objectives and priorities set out in the Plan.</w:t>
            </w:r>
          </w:p>
        </w:tc>
      </w:tr>
    </w:tbl>
    <w:p w:rsidRPr="008D0341" w:rsidR="00175297" w:rsidP="00066365" w:rsidRDefault="00175297" w14:paraId="400760E9" w14:textId="3CFCFA9E">
      <w:pPr>
        <w:rPr>
          <w:sz w:val="21"/>
          <w:szCs w:val="21"/>
          <w:lang w:val="en-GB"/>
        </w:rPr>
      </w:pPr>
    </w:p>
    <w:tbl>
      <w:tblPr>
        <w:tblW w:w="0" w:type="auto"/>
        <w:tblLook w:val="04A0" w:firstRow="1" w:lastRow="0" w:firstColumn="1" w:lastColumn="0" w:noHBand="0" w:noVBand="1"/>
      </w:tblPr>
      <w:tblGrid>
        <w:gridCol w:w="9006"/>
      </w:tblGrid>
      <w:tr w:rsidRPr="008D0341" w:rsidR="00175297" w:rsidTr="004244C1" w14:paraId="67BAF78E"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75297" w:rsidP="00066365" w:rsidRDefault="00175297" w14:paraId="761D93C6" w14:textId="77777777">
            <w:pPr>
              <w:jc w:val="center"/>
              <w:rPr>
                <w:sz w:val="21"/>
                <w:szCs w:val="21"/>
                <w:lang w:val="en-GB"/>
              </w:rPr>
            </w:pPr>
            <w:r w:rsidRPr="008D0341">
              <w:rPr>
                <w:b/>
                <w:bCs/>
                <w:i/>
                <w:iCs/>
                <w:sz w:val="21"/>
                <w:szCs w:val="21"/>
                <w:lang w:val="en-GB"/>
              </w:rPr>
              <w:t>Reason</w:t>
            </w:r>
          </w:p>
        </w:tc>
      </w:tr>
      <w:tr w:rsidRPr="008D0341" w:rsidR="00175297" w:rsidTr="004244C1" w14:paraId="4FFF54AD" w14:textId="77777777">
        <w:trPr>
          <w:trHeight w:val="300"/>
        </w:trPr>
        <w:tc>
          <w:tcPr>
            <w:tcW w:w="9006"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75297" w:rsidP="00066365" w:rsidRDefault="00DA6320" w14:paraId="0AB800B2" w14:textId="50E0C4BE">
            <w:pPr>
              <w:rPr>
                <w:sz w:val="21"/>
                <w:szCs w:val="21"/>
                <w:lang w:val="en-GB"/>
              </w:rPr>
            </w:pPr>
            <w:r w:rsidRPr="008D0341">
              <w:rPr>
                <w:rFonts w:eastAsia="Calibri"/>
                <w:lang w:val="en-GB"/>
              </w:rPr>
              <w:t>Introduces</w:t>
            </w:r>
            <w:r w:rsidRPr="008D0341" w:rsidR="00175297">
              <w:rPr>
                <w:rFonts w:eastAsia="Calibri"/>
                <w:lang w:val="en-GB"/>
              </w:rPr>
              <w:t xml:space="preserve"> the concept of additionality of EU funding, as </w:t>
            </w:r>
            <w:r w:rsidRPr="008D0341" w:rsidR="00F8592A">
              <w:rPr>
                <w:rFonts w:eastAsia="Calibri"/>
                <w:lang w:val="en-GB"/>
              </w:rPr>
              <w:t>this</w:t>
            </w:r>
            <w:r w:rsidRPr="008D0341" w:rsidR="00175297">
              <w:rPr>
                <w:rFonts w:eastAsia="Calibri"/>
                <w:lang w:val="en-GB"/>
              </w:rPr>
              <w:t xml:space="preserve"> is not present in the 2028-2034 NRPP Fund regulation proposal.</w:t>
            </w:r>
          </w:p>
        </w:tc>
      </w:tr>
    </w:tbl>
    <w:p w:rsidR="00747871" w:rsidP="00066365" w:rsidRDefault="00747871" w14:paraId="55E62A5D" w14:textId="77777777">
      <w:pPr>
        <w:jc w:val="center"/>
        <w:rPr>
          <w:rFonts w:eastAsia="Myriad Pro"/>
          <w:b/>
          <w:bCs/>
          <w:lang w:val="en-GB"/>
        </w:rPr>
      </w:pPr>
    </w:p>
    <w:p w:rsidR="009E00CB" w:rsidP="00066365" w:rsidRDefault="009E00CB" w14:paraId="2E069E25" w14:textId="77777777">
      <w:pPr>
        <w:jc w:val="center"/>
        <w:rPr>
          <w:rFonts w:eastAsia="Myriad Pro"/>
          <w:b/>
          <w:bCs/>
          <w:lang w:val="en-GB"/>
        </w:rPr>
      </w:pPr>
    </w:p>
    <w:p w:rsidRPr="008D0341" w:rsidR="007F44C3" w:rsidP="003F40F8" w:rsidRDefault="007F44C3" w14:paraId="37B3CCE4" w14:textId="30A5658E">
      <w:pPr>
        <w:keepNext/>
        <w:keepLines/>
        <w:jc w:val="center"/>
        <w:rPr>
          <w:rFonts w:eastAsia="Myriad Pro"/>
          <w:b/>
          <w:bCs/>
          <w:lang w:val="en-GB"/>
        </w:rPr>
      </w:pPr>
      <w:r w:rsidRPr="008D0341">
        <w:rPr>
          <w:rFonts w:eastAsia="Myriad Pro"/>
          <w:b/>
          <w:bCs/>
          <w:lang w:val="en-GB"/>
        </w:rPr>
        <w:t>Amendment 1</w:t>
      </w:r>
      <w:r w:rsidRPr="008D0341" w:rsidR="008B5EAB">
        <w:rPr>
          <w:rFonts w:eastAsia="Myriad Pro"/>
          <w:b/>
          <w:bCs/>
          <w:lang w:val="en-GB"/>
        </w:rPr>
        <w:t>4</w:t>
      </w:r>
    </w:p>
    <w:p w:rsidRPr="0063224B" w:rsidR="007F44C3" w:rsidP="003F40F8" w:rsidRDefault="007F44C3" w14:paraId="07C8228B" w14:textId="2A8F0017">
      <w:pPr>
        <w:keepNext/>
        <w:keepLines/>
        <w:jc w:val="center"/>
        <w:rPr>
          <w:rFonts w:eastAsia="Myriad Pro"/>
          <w:lang w:val="en-GB"/>
        </w:rPr>
      </w:pPr>
      <w:r w:rsidRPr="0063224B">
        <w:rPr>
          <w:rFonts w:eastAsia="Myriad Pro"/>
          <w:lang w:val="en-GB"/>
        </w:rPr>
        <w:t xml:space="preserve">Article </w:t>
      </w:r>
      <w:r w:rsidRPr="008D0341">
        <w:rPr>
          <w:rFonts w:eastAsia="Myriad Pro"/>
          <w:lang w:val="en-GB"/>
        </w:rPr>
        <w:t>22.2</w:t>
      </w:r>
    </w:p>
    <w:p w:rsidRPr="008D0341" w:rsidR="007F44C3" w:rsidP="003F40F8" w:rsidRDefault="007F44C3" w14:paraId="23E1EE90" w14:textId="77777777">
      <w:pPr>
        <w:keepNext/>
        <w:keepLines/>
        <w:jc w:val="center"/>
        <w:rPr>
          <w:rFonts w:eastAsia="Myriad Pro"/>
          <w:b/>
          <w:bCs/>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7F44C3" w:rsidTr="0016115B" w14:paraId="1870CF88" w14:textId="77777777">
        <w:tc>
          <w:tcPr>
            <w:tcW w:w="4642" w:type="dxa"/>
          </w:tcPr>
          <w:p w:rsidRPr="008D0341" w:rsidR="007F44C3" w:rsidP="00066365" w:rsidRDefault="007F44C3" w14:paraId="2D89C967" w14:textId="77777777">
            <w:pPr>
              <w:jc w:val="center"/>
              <w:rPr>
                <w:rFonts w:eastAsia="Myriad Pro"/>
                <w:b/>
                <w:bCs/>
                <w:i/>
                <w:iCs/>
                <w:lang w:val="en-GB"/>
              </w:rPr>
            </w:pPr>
            <w:r w:rsidRPr="008D0341">
              <w:rPr>
                <w:rFonts w:eastAsia="Myriad Pro"/>
                <w:b/>
                <w:bCs/>
                <w:i/>
                <w:iCs/>
                <w:lang w:val="en-GB"/>
              </w:rPr>
              <w:t>Text proposed by the European Commission</w:t>
            </w:r>
          </w:p>
        </w:tc>
        <w:tc>
          <w:tcPr>
            <w:tcW w:w="4645" w:type="dxa"/>
          </w:tcPr>
          <w:p w:rsidRPr="008D0341" w:rsidR="007F44C3" w:rsidP="00066365" w:rsidRDefault="007F44C3" w14:paraId="1A004C03" w14:textId="77777777">
            <w:pPr>
              <w:jc w:val="center"/>
              <w:rPr>
                <w:rFonts w:eastAsia="Myriad Pro"/>
                <w:b/>
                <w:bCs/>
                <w:i/>
                <w:lang w:val="en-GB"/>
              </w:rPr>
            </w:pPr>
            <w:r w:rsidRPr="008D0341">
              <w:rPr>
                <w:rFonts w:eastAsia="Myriad Pro"/>
                <w:b/>
                <w:bCs/>
                <w:i/>
                <w:iCs/>
                <w:lang w:val="en-GB"/>
              </w:rPr>
              <w:t>CoR amendment</w:t>
            </w:r>
          </w:p>
        </w:tc>
      </w:tr>
      <w:tr w:rsidRPr="008D0341" w:rsidR="007F44C3" w:rsidTr="0016115B" w14:paraId="4C778383" w14:textId="77777777">
        <w:tc>
          <w:tcPr>
            <w:tcW w:w="4642" w:type="dxa"/>
          </w:tcPr>
          <w:p w:rsidRPr="008D0341" w:rsidR="007F44C3" w:rsidP="0063224B" w:rsidRDefault="007F626C" w14:paraId="3AD64FFA" w14:textId="35DC1596">
            <w:pPr>
              <w:rPr>
                <w:rFonts w:eastAsia="Myriad Pro"/>
                <w:b/>
                <w:bCs/>
                <w:lang w:val="en-GB"/>
              </w:rPr>
            </w:pPr>
            <w:r w:rsidRPr="008D0341">
              <w:rPr>
                <w:lang w:val="en-GB"/>
              </w:rPr>
              <w:t>(b) effectively address all or a significant subset of challenges identified: (i) in the context of the European Semester, in particular in the relevant country-specific recommendations addressed to the Member State, including those related to the European Pillar of Social Rights;</w:t>
            </w:r>
          </w:p>
        </w:tc>
        <w:tc>
          <w:tcPr>
            <w:tcW w:w="4645" w:type="dxa"/>
          </w:tcPr>
          <w:p w:rsidRPr="008D0341" w:rsidR="007F44C3" w:rsidP="0063224B" w:rsidRDefault="00990507" w14:paraId="4AC6ECCE" w14:textId="5435D160">
            <w:pPr>
              <w:rPr>
                <w:rFonts w:eastAsia="Myriad Pro"/>
                <w:b/>
                <w:bCs/>
                <w:lang w:val="en-GB"/>
              </w:rPr>
            </w:pPr>
            <w:r w:rsidRPr="008D0341">
              <w:rPr>
                <w:lang w:val="en-GB"/>
              </w:rPr>
              <w:t>(b) effectively address all or a significant subset of challenges identified: (i) in the context of the European Semester, in particular in the relevant country-specific recommendations addressed to the Member State, including those related to the European Pillar of Social Rights</w:t>
            </w:r>
            <w:r w:rsidRPr="008D0341">
              <w:rPr>
                <w:b/>
                <w:bCs/>
                <w:i/>
                <w:lang w:val="en-GB"/>
              </w:rPr>
              <w:t xml:space="preserve"> and taking into account the territorial dimension in partnership with regional authorities</w:t>
            </w:r>
            <w:r w:rsidRPr="0063224B">
              <w:rPr>
                <w:iCs/>
                <w:lang w:val="en-GB"/>
              </w:rPr>
              <w:t>;</w:t>
            </w:r>
          </w:p>
        </w:tc>
      </w:tr>
    </w:tbl>
    <w:p w:rsidRPr="008D0341" w:rsidR="007F44C3" w:rsidP="00066365" w:rsidRDefault="007F44C3" w14:paraId="1FFD08EA" w14:textId="77777777">
      <w:pPr>
        <w:jc w:val="center"/>
        <w:rPr>
          <w:rFonts w:eastAsia="Myriad Pro"/>
          <w:b/>
          <w:bCs/>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7F44C3" w:rsidTr="0016115B" w14:paraId="7B46B320" w14:textId="77777777">
        <w:tc>
          <w:tcPr>
            <w:tcW w:w="9287" w:type="dxa"/>
          </w:tcPr>
          <w:p w:rsidRPr="008D0341" w:rsidR="007F44C3" w:rsidP="00066365" w:rsidRDefault="007F44C3" w14:paraId="494BC80F" w14:textId="77777777">
            <w:pPr>
              <w:jc w:val="center"/>
              <w:rPr>
                <w:rFonts w:eastAsia="Myriad Pro"/>
                <w:b/>
                <w:bCs/>
                <w:i/>
                <w:lang w:val="en-GB"/>
              </w:rPr>
            </w:pPr>
            <w:r w:rsidRPr="008D0341">
              <w:rPr>
                <w:rFonts w:eastAsia="Myriad Pro"/>
                <w:b/>
                <w:bCs/>
                <w:i/>
                <w:lang w:val="en-GB"/>
              </w:rPr>
              <w:t>Reason</w:t>
            </w:r>
          </w:p>
        </w:tc>
      </w:tr>
      <w:tr w:rsidRPr="008D0341" w:rsidR="007F44C3" w:rsidTr="0016115B" w14:paraId="1B4FC4B8" w14:textId="77777777">
        <w:tc>
          <w:tcPr>
            <w:tcW w:w="9287" w:type="dxa"/>
          </w:tcPr>
          <w:p w:rsidRPr="008D0341" w:rsidR="007F44C3" w:rsidP="0063224B" w:rsidRDefault="003D7856" w14:paraId="6252BDFF" w14:textId="7E927E06">
            <w:pPr>
              <w:rPr>
                <w:rFonts w:eastAsia="Myriad Pro"/>
                <w:b/>
                <w:bCs/>
                <w:lang w:val="en-GB"/>
              </w:rPr>
            </w:pPr>
            <w:r w:rsidRPr="008D0341">
              <w:rPr>
                <w:lang w:val="en-GB"/>
              </w:rPr>
              <w:t>The European Semester should take into account a territorial dimension in partnership with regional authorities in respect of their competences.</w:t>
            </w:r>
          </w:p>
        </w:tc>
      </w:tr>
    </w:tbl>
    <w:p w:rsidR="00747871" w:rsidP="00066365" w:rsidRDefault="00747871" w14:paraId="22354D63" w14:textId="77777777">
      <w:pPr>
        <w:jc w:val="center"/>
        <w:rPr>
          <w:rFonts w:eastAsia="Myriad Pro"/>
          <w:b/>
          <w:bCs/>
          <w:lang w:val="en-GB"/>
        </w:rPr>
      </w:pPr>
    </w:p>
    <w:p w:rsidR="009E00CB" w:rsidP="00066365" w:rsidRDefault="009E00CB" w14:paraId="0F05D7B5" w14:textId="77777777">
      <w:pPr>
        <w:jc w:val="center"/>
        <w:rPr>
          <w:rFonts w:eastAsia="Myriad Pro"/>
          <w:b/>
          <w:bCs/>
          <w:lang w:val="en-GB"/>
        </w:rPr>
      </w:pPr>
    </w:p>
    <w:p w:rsidRPr="008D0341" w:rsidR="00352E5C" w:rsidP="003F40F8" w:rsidRDefault="00352E5C" w14:paraId="7D732DE2" w14:textId="48EA72FD">
      <w:pPr>
        <w:keepNext/>
        <w:keepLines/>
        <w:jc w:val="center"/>
        <w:rPr>
          <w:lang w:val="en-GB"/>
        </w:rPr>
      </w:pPr>
      <w:r w:rsidRPr="008D0341">
        <w:rPr>
          <w:rFonts w:eastAsia="Myriad Pro"/>
          <w:b/>
          <w:bCs/>
          <w:lang w:val="en-GB"/>
        </w:rPr>
        <w:t>Amendment 1</w:t>
      </w:r>
      <w:r w:rsidRPr="008D0341" w:rsidR="008B5EAB">
        <w:rPr>
          <w:rFonts w:eastAsia="Myriad Pro"/>
          <w:b/>
          <w:bCs/>
          <w:lang w:val="en-GB"/>
        </w:rPr>
        <w:t>5</w:t>
      </w:r>
    </w:p>
    <w:p w:rsidRPr="008D0341" w:rsidR="00352E5C" w:rsidP="003F40F8" w:rsidRDefault="00352E5C" w14:paraId="46B4380E" w14:textId="0EA064DB">
      <w:pPr>
        <w:keepNext/>
        <w:keepLines/>
        <w:jc w:val="center"/>
        <w:rPr>
          <w:rFonts w:eastAsia="Myriad Pro"/>
          <w:lang w:val="en-GB"/>
        </w:rPr>
      </w:pPr>
      <w:r w:rsidRPr="008D0341">
        <w:rPr>
          <w:rFonts w:eastAsia="Myriad Pro"/>
          <w:lang w:val="en-GB"/>
        </w:rPr>
        <w:t>Article 22</w:t>
      </w:r>
      <w:r w:rsidRPr="008D0341" w:rsidR="00B4127B">
        <w:rPr>
          <w:rFonts w:eastAsia="Myriad Pro"/>
          <w:lang w:val="en-GB"/>
        </w:rPr>
        <w:t>.2</w:t>
      </w:r>
      <w:r w:rsidRPr="008D0341">
        <w:rPr>
          <w:rFonts w:eastAsia="Myriad Pro"/>
          <w:lang w:val="en-GB"/>
        </w:rPr>
        <w:t xml:space="preserve"> – Requirements for the NRP plan</w:t>
      </w:r>
    </w:p>
    <w:p w:rsidRPr="008D0341" w:rsidR="007A0032" w:rsidP="003F40F8" w:rsidRDefault="007A0032" w14:paraId="39338833"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B119C7" w14:paraId="4F72CC0B"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BC7019" w14:paraId="0AD73BCB" w14:textId="12CB5A99">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7E1D91E4" w14:textId="77777777">
            <w:pPr>
              <w:jc w:val="center"/>
              <w:rPr>
                <w:b/>
                <w:bCs/>
                <w:i/>
                <w:iCs/>
                <w:lang w:val="en-GB"/>
              </w:rPr>
            </w:pPr>
            <w:r w:rsidRPr="008D0341">
              <w:rPr>
                <w:b/>
                <w:bCs/>
                <w:i/>
                <w:iCs/>
                <w:lang w:val="en-GB"/>
              </w:rPr>
              <w:t>CoR amendment</w:t>
            </w:r>
          </w:p>
        </w:tc>
      </w:tr>
      <w:tr w:rsidRPr="008D0341" w:rsidR="00352E5C" w:rsidTr="00B119C7" w14:paraId="780B8178"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B4127B" w:rsidP="00066365" w:rsidRDefault="00B4127B" w14:paraId="5DD7A9EA" w14:textId="793D5754">
            <w:pPr>
              <w:shd w:val="clear" w:color="auto" w:fill="FFFFFF"/>
              <w:textAlignment w:val="baseline"/>
              <w:rPr>
                <w:color w:val="000000"/>
                <w:bdr w:val="none" w:color="auto" w:sz="0" w:space="0" w:frame="1"/>
                <w:lang w:val="en-GB"/>
              </w:rPr>
            </w:pPr>
            <w:r w:rsidRPr="008D0341">
              <w:rPr>
                <w:color w:val="000000"/>
                <w:bdr w:val="none" w:color="auto" w:sz="0" w:space="0" w:frame="1"/>
                <w:lang w:val="en-GB"/>
              </w:rPr>
              <w:t>2. The NRP Plan shall:</w:t>
            </w:r>
          </w:p>
          <w:p w:rsidRPr="008D0341" w:rsidR="005707C3" w:rsidP="00066365" w:rsidRDefault="005707C3" w14:paraId="0FEAA6E3" w14:textId="4D520005">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p>
          <w:p w:rsidRPr="0063224B" w:rsidR="00F71DC2" w:rsidP="00066365" w:rsidRDefault="00352E5C" w14:paraId="4EC63085" w14:textId="3AF6B22E">
            <w:pPr>
              <w:shd w:val="clear" w:color="auto" w:fill="FFFFFF"/>
              <w:textAlignment w:val="baseline"/>
              <w:rPr>
                <w:color w:val="000000"/>
                <w:bdr w:val="none" w:color="auto" w:sz="0" w:space="0" w:frame="1"/>
                <w:lang w:val="en-GB"/>
              </w:rPr>
            </w:pPr>
            <w:r w:rsidRPr="008D0341">
              <w:rPr>
                <w:color w:val="000000"/>
                <w:bdr w:val="none" w:color="auto" w:sz="0" w:space="0" w:frame="1"/>
                <w:lang w:val="en-GB"/>
              </w:rPr>
              <w:t>(c)</w:t>
            </w:r>
            <w:r w:rsidRPr="008D0341" w:rsidR="009513D8">
              <w:rPr>
                <w:color w:val="000000"/>
                <w:bdr w:val="none" w:color="auto" w:sz="0" w:space="0" w:frame="1"/>
                <w:lang w:val="en-GB"/>
              </w:rPr>
              <w:t xml:space="preserve"> </w:t>
            </w:r>
            <w:r w:rsidRPr="008D0341">
              <w:rPr>
                <w:color w:val="000000"/>
                <w:bdr w:val="none" w:color="auto" w:sz="0" w:space="0" w:frame="1"/>
                <w:lang w:val="en-GB"/>
              </w:rPr>
              <w:t>provide the list and description of measures grouped in chapters, including the general and specific objectives that each of them primarily pursues and the list of envisaged milestones and targets, with their indicative completion date during the programming period, including the additional measures and related milestones and targets in case the Member State concerned requests loan support.</w:t>
            </w:r>
          </w:p>
          <w:p w:rsidRPr="006A411D" w:rsidR="00B4127B" w:rsidP="00066365" w:rsidRDefault="00B4127B" w14:paraId="0B4E9DD5" w14:textId="19248E6A">
            <w:pPr>
              <w:shd w:val="clear" w:color="auto" w:fill="FFFFFF"/>
              <w:textAlignment w:val="baseline"/>
              <w:rPr>
                <w:b/>
                <w:bCs/>
                <w:i/>
                <w:iCs/>
                <w:color w:val="000000"/>
                <w:bdr w:val="none" w:color="auto" w:sz="0" w:space="0" w:frame="1"/>
                <w:lang w:val="en-GB"/>
              </w:rPr>
            </w:pPr>
            <w:r w:rsidRPr="006A411D">
              <w:rPr>
                <w:b/>
                <w:bCs/>
                <w:i/>
                <w:iCs/>
                <w:color w:val="000000"/>
                <w:bdr w:val="none" w:color="auto" w:sz="0" w:space="0" w:frame="1"/>
                <w:lang w:val="en-GB"/>
              </w:rPr>
              <w:t>(d) set out the total estimated costs of the measures in accordance with the template set out in Annex V, as part of the Plan or of a request for its amendment, for a total amount at least equivalent to the sum of the</w:t>
            </w:r>
            <w:r w:rsidRPr="006A411D" w:rsidR="008C42DB">
              <w:rPr>
                <w:b/>
                <w:bCs/>
                <w:i/>
                <w:iCs/>
                <w:color w:val="000000"/>
                <w:bdr w:val="none" w:color="auto" w:sz="0" w:space="0" w:frame="1"/>
                <w:lang w:val="en-GB"/>
              </w:rPr>
              <w:t xml:space="preserve"> </w:t>
            </w:r>
            <w:r w:rsidRPr="006A411D">
              <w:rPr>
                <w:b/>
                <w:bCs/>
                <w:i/>
                <w:iCs/>
                <w:color w:val="000000"/>
                <w:bdr w:val="none" w:color="auto" w:sz="0" w:space="0" w:frame="1"/>
                <w:lang w:val="en-GB"/>
              </w:rPr>
              <w:t>Union</w:t>
            </w:r>
            <w:r w:rsidRPr="006A411D" w:rsidR="008C42DB">
              <w:rPr>
                <w:b/>
                <w:bCs/>
                <w:i/>
                <w:iCs/>
                <w:color w:val="000000"/>
                <w:bdr w:val="none" w:color="auto" w:sz="0" w:space="0" w:frame="1"/>
                <w:lang w:val="en-GB"/>
              </w:rPr>
              <w:t xml:space="preserve"> </w:t>
            </w:r>
            <w:r w:rsidRPr="006A411D">
              <w:rPr>
                <w:b/>
                <w:bCs/>
                <w:i/>
                <w:iCs/>
                <w:color w:val="000000"/>
                <w:bdr w:val="none" w:color="auto" w:sz="0" w:space="0" w:frame="1"/>
                <w:lang w:val="en-GB"/>
              </w:rPr>
              <w:t>financial contribution, any requested loans, and national contribution, together with information on existing or planned Union financing where relevant, backed up by appropriate justification and by explanations of how it is plausible and reasonable and in line with the principle of cost efficiency, sound financial management and commensurate to the expected economic and social impact. The non-programmed amount set aside as flexibility amount shall be considered as part of the total estimated costs of the measures;</w:t>
            </w:r>
          </w:p>
          <w:p w:rsidRPr="008D0341" w:rsidR="00352E5C" w:rsidP="00066365" w:rsidRDefault="00112717" w14:paraId="06E8D300" w14:textId="3F2C5AF3">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p>
          <w:p w:rsidRPr="00BC7019" w:rsidR="00352E5C" w:rsidP="00066365" w:rsidRDefault="00352E5C" w14:paraId="4C23F697" w14:textId="654A1CE3">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r w:rsidRPr="008D0341" w:rsidR="009C58A8">
              <w:rPr>
                <w:color w:val="000000"/>
                <w:bdr w:val="none" w:color="auto" w:sz="0" w:space="0" w:frame="1"/>
                <w:lang w:val="en-GB"/>
              </w:rPr>
              <w:t>i</w:t>
            </w:r>
            <w:r w:rsidRPr="008D0341">
              <w:rPr>
                <w:color w:val="000000"/>
                <w:bdr w:val="none" w:color="auto" w:sz="0" w:space="0" w:frame="1"/>
                <w:lang w:val="en-GB"/>
              </w:rPr>
              <w:t>)</w:t>
            </w:r>
            <w:r w:rsidRPr="008D0341" w:rsidR="009513D8">
              <w:rPr>
                <w:color w:val="000000"/>
                <w:bdr w:val="none" w:color="auto" w:sz="0" w:space="0" w:frame="1"/>
                <w:lang w:val="en-GB"/>
              </w:rPr>
              <w:t xml:space="preserve"> </w:t>
            </w:r>
            <w:r w:rsidRPr="008D0341">
              <w:rPr>
                <w:color w:val="000000"/>
                <w:bdr w:val="none" w:color="auto" w:sz="0" w:space="0" w:frame="1"/>
                <w:lang w:val="en-GB"/>
              </w:rPr>
              <w:t xml:space="preserve">which stakeholders have been consulted, how these were selected, how their representativeness and prevention of conflict of interest has been ensured and how their input is reflected in the Plan </w:t>
            </w:r>
            <w:r w:rsidRPr="008D0341">
              <w:rPr>
                <w:b/>
                <w:bCs/>
                <w:i/>
                <w:iCs/>
                <w:color w:val="000000"/>
                <w:bdr w:val="none" w:color="auto" w:sz="0" w:space="0" w:frame="1"/>
                <w:lang w:val="en-GB"/>
              </w:rPr>
              <w:t>in line with the code of conduct on partnership 22, and by including a summary of the consultation process conducted for the preparation of the Plan and each chapter;</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B4127B" w:rsidP="00066365" w:rsidRDefault="00B4127B" w14:paraId="5A5EBCEF" w14:textId="62A1AC44">
            <w:pPr>
              <w:shd w:val="clear" w:color="auto" w:fill="FFFFFF"/>
              <w:textAlignment w:val="baseline"/>
              <w:rPr>
                <w:color w:val="000000"/>
                <w:bdr w:val="none" w:color="auto" w:sz="0" w:space="0" w:frame="1"/>
                <w:lang w:val="en-GB"/>
              </w:rPr>
            </w:pPr>
            <w:r w:rsidRPr="008D0341">
              <w:rPr>
                <w:color w:val="000000"/>
                <w:bdr w:val="none" w:color="auto" w:sz="0" w:space="0" w:frame="1"/>
                <w:lang w:val="en-GB"/>
              </w:rPr>
              <w:t>2. The NRP Plan shall:</w:t>
            </w:r>
          </w:p>
          <w:p w:rsidRPr="008D0341" w:rsidR="00352E5C" w:rsidP="00066365" w:rsidRDefault="00CC703A" w14:paraId="7CBB9FCD" w14:textId="5FA86605">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p>
          <w:p w:rsidRPr="008D0341" w:rsidR="00352E5C" w:rsidP="00066365" w:rsidRDefault="00352E5C" w14:paraId="44EE7F32" w14:textId="32E8FF23">
            <w:pPr>
              <w:shd w:val="clear" w:color="auto" w:fill="FFFFFF"/>
              <w:textAlignment w:val="baseline"/>
              <w:rPr>
                <w:b/>
                <w:bCs/>
                <w:i/>
                <w:iCs/>
                <w:color w:val="000000"/>
                <w:bdr w:val="none" w:color="auto" w:sz="0" w:space="0" w:frame="1"/>
                <w:lang w:val="en-GB"/>
              </w:rPr>
            </w:pPr>
            <w:r w:rsidRPr="008D0341">
              <w:rPr>
                <w:color w:val="000000"/>
                <w:bdr w:val="none" w:color="auto" w:sz="0" w:space="0" w:frame="1"/>
                <w:lang w:val="en-GB"/>
              </w:rPr>
              <w:t>(c)</w:t>
            </w:r>
            <w:r w:rsidRPr="008D0341">
              <w:rPr>
                <w:b/>
                <w:bCs/>
                <w:i/>
                <w:iCs/>
                <w:color w:val="000000"/>
                <w:bdr w:val="none" w:color="auto" w:sz="0" w:space="0" w:frame="1"/>
                <w:lang w:val="en-GB"/>
              </w:rPr>
              <w:t xml:space="preserve"> </w:t>
            </w:r>
            <w:r w:rsidRPr="008D0341" w:rsidR="000F6AC8">
              <w:rPr>
                <w:b/>
                <w:bCs/>
                <w:i/>
                <w:iCs/>
                <w:color w:val="000000"/>
                <w:bdr w:val="none" w:color="auto" w:sz="0" w:space="0" w:frame="1"/>
                <w:lang w:val="en-GB"/>
              </w:rPr>
              <w:t xml:space="preserve">detail how integrated territorial initiatives in accordance with Article 10, paragraph 6 [20% for territorial initiatives] will be implemented. In the absence of regional chapters, in accordance with </w:t>
            </w:r>
            <w:r w:rsidRPr="008D0341" w:rsidR="00A424F9">
              <w:rPr>
                <w:b/>
                <w:bCs/>
                <w:i/>
                <w:iCs/>
                <w:color w:val="000000"/>
                <w:bdr w:val="none" w:color="auto" w:sz="0" w:space="0" w:frame="1"/>
                <w:lang w:val="en-GB"/>
              </w:rPr>
              <w:t>A</w:t>
            </w:r>
            <w:r w:rsidRPr="008D0341" w:rsidR="000F6AC8">
              <w:rPr>
                <w:b/>
                <w:bCs/>
                <w:i/>
                <w:iCs/>
                <w:color w:val="000000"/>
                <w:bdr w:val="none" w:color="auto" w:sz="0" w:space="0" w:frame="1"/>
                <w:lang w:val="en-GB"/>
              </w:rPr>
              <w:t xml:space="preserve">rticle [Multilevel governance assessment], paragraph 5 [Regional and Territorial chapters], the NRP Plan shall </w:t>
            </w:r>
            <w:r w:rsidRPr="008D0341">
              <w:rPr>
                <w:b/>
                <w:bCs/>
                <w:i/>
                <w:iCs/>
                <w:color w:val="000000"/>
                <w:bdr w:val="none" w:color="auto" w:sz="0" w:space="0" w:frame="1"/>
                <w:lang w:val="en-GB"/>
              </w:rPr>
              <w:t xml:space="preserve">include in its National and Regional Partnership Plan </w:t>
            </w:r>
            <w:r w:rsidRPr="008D0341" w:rsidR="00781B83">
              <w:rPr>
                <w:b/>
                <w:bCs/>
                <w:i/>
                <w:iCs/>
                <w:color w:val="000000"/>
                <w:bdr w:val="none" w:color="auto" w:sz="0" w:space="0" w:frame="1"/>
                <w:lang w:val="en-GB"/>
              </w:rPr>
              <w:t xml:space="preserve">at least </w:t>
            </w:r>
            <w:r w:rsidRPr="008D0341">
              <w:rPr>
                <w:b/>
                <w:bCs/>
                <w:i/>
                <w:iCs/>
                <w:color w:val="000000"/>
                <w:bdr w:val="none" w:color="auto" w:sz="0" w:space="0" w:frame="1"/>
                <w:lang w:val="en-GB"/>
              </w:rPr>
              <w:t>one Territorial Chapter</w:t>
            </w:r>
            <w:r w:rsidRPr="008D0341" w:rsidR="005E4236">
              <w:rPr>
                <w:b/>
                <w:bCs/>
                <w:i/>
                <w:iCs/>
                <w:color w:val="000000"/>
                <w:bdr w:val="none" w:color="auto" w:sz="0" w:space="0" w:frame="1"/>
                <w:lang w:val="en-GB"/>
              </w:rPr>
              <w:t xml:space="preserve"> representing 20% of its funds and</w:t>
            </w:r>
            <w:r w:rsidRPr="008D0341">
              <w:rPr>
                <w:b/>
                <w:bCs/>
                <w:i/>
                <w:iCs/>
                <w:color w:val="000000"/>
                <w:bdr w:val="none" w:color="auto" w:sz="0" w:space="0" w:frame="1"/>
                <w:lang w:val="en-GB"/>
              </w:rPr>
              <w:t xml:space="preserve"> </w:t>
            </w:r>
            <w:r w:rsidRPr="008D0341" w:rsidR="003F6EC7">
              <w:rPr>
                <w:b/>
                <w:bCs/>
                <w:i/>
                <w:iCs/>
                <w:color w:val="000000"/>
                <w:bdr w:val="none" w:color="auto" w:sz="0" w:space="0" w:frame="1"/>
                <w:lang w:val="en-GB"/>
              </w:rPr>
              <w:t xml:space="preserve">linked </w:t>
            </w:r>
            <w:r w:rsidRPr="008D0341" w:rsidR="00EF20D4">
              <w:rPr>
                <w:b/>
                <w:bCs/>
                <w:i/>
                <w:iCs/>
                <w:color w:val="000000"/>
                <w:bdr w:val="none" w:color="auto" w:sz="0" w:space="0" w:frame="1"/>
                <w:lang w:val="en-GB"/>
              </w:rPr>
              <w:t>to the territorial initiative and local cooperation dimension 01, 02 and 03 (Integrated territorial and urban development</w:t>
            </w:r>
            <w:r w:rsidRPr="008D0341" w:rsidR="00A424F9">
              <w:rPr>
                <w:b/>
                <w:bCs/>
                <w:i/>
                <w:iCs/>
                <w:color w:val="000000"/>
                <w:bdr w:val="none" w:color="auto" w:sz="0" w:space="0" w:frame="1"/>
                <w:lang w:val="en-GB"/>
              </w:rPr>
              <w:t>;</w:t>
            </w:r>
            <w:r w:rsidRPr="008D0341" w:rsidR="00EF20D4">
              <w:rPr>
                <w:b/>
                <w:bCs/>
                <w:i/>
                <w:iCs/>
                <w:color w:val="000000"/>
                <w:bdr w:val="none" w:color="auto" w:sz="0" w:space="0" w:frame="1"/>
                <w:lang w:val="en-GB"/>
              </w:rPr>
              <w:t xml:space="preserve"> Community-led local development / LEADER</w:t>
            </w:r>
            <w:r w:rsidRPr="008D0341" w:rsidR="00A424F9">
              <w:rPr>
                <w:b/>
                <w:bCs/>
                <w:i/>
                <w:iCs/>
                <w:color w:val="000000"/>
                <w:bdr w:val="none" w:color="auto" w:sz="0" w:space="0" w:frame="1"/>
                <w:lang w:val="en-GB"/>
              </w:rPr>
              <w:t>;</w:t>
            </w:r>
            <w:r w:rsidRPr="008D0341" w:rsidR="00EF20D4">
              <w:rPr>
                <w:b/>
                <w:bCs/>
                <w:i/>
                <w:iCs/>
                <w:color w:val="000000"/>
                <w:bdr w:val="none" w:color="auto" w:sz="0" w:space="0" w:frame="1"/>
                <w:lang w:val="en-GB"/>
              </w:rPr>
              <w:t xml:space="preserve"> Other territorial tools)</w:t>
            </w:r>
            <w:r w:rsidRPr="008D0341" w:rsidR="003F6EC7">
              <w:rPr>
                <w:b/>
                <w:bCs/>
                <w:i/>
                <w:iCs/>
                <w:color w:val="000000"/>
                <w:bdr w:val="none" w:color="auto" w:sz="0" w:space="0" w:frame="1"/>
                <w:lang w:val="en-GB"/>
              </w:rPr>
              <w:t xml:space="preserve"> and </w:t>
            </w:r>
            <w:r w:rsidRPr="008D0341">
              <w:rPr>
                <w:b/>
                <w:bCs/>
                <w:i/>
                <w:iCs/>
                <w:color w:val="000000"/>
                <w:bdr w:val="none" w:color="auto" w:sz="0" w:space="0" w:frame="1"/>
                <w:lang w:val="en-GB"/>
              </w:rPr>
              <w:t>addressing specific territorial development needs and potentials.</w:t>
            </w:r>
          </w:p>
          <w:p w:rsidRPr="008D0341" w:rsidR="00352E5C" w:rsidP="00066365" w:rsidRDefault="00352E5C" w14:paraId="6C68914E" w14:textId="283674E5">
            <w:pPr>
              <w:shd w:val="clear" w:color="auto" w:fill="FFFFFF"/>
              <w:textAlignment w:val="baseline"/>
              <w:rPr>
                <w:color w:val="000000"/>
                <w:bdr w:val="none" w:color="auto" w:sz="0" w:space="0" w:frame="1"/>
                <w:lang w:val="en-GB"/>
              </w:rPr>
            </w:pPr>
            <w:r w:rsidRPr="008D0341">
              <w:rPr>
                <w:b/>
                <w:bCs/>
                <w:i/>
                <w:iCs/>
                <w:color w:val="000000"/>
                <w:bdr w:val="none" w:color="auto" w:sz="0" w:space="0" w:frame="1"/>
                <w:lang w:val="en-GB"/>
              </w:rPr>
              <w:t xml:space="preserve">The </w:t>
            </w:r>
            <w:r w:rsidRPr="008D0341" w:rsidR="000441A1">
              <w:rPr>
                <w:b/>
                <w:bCs/>
                <w:i/>
                <w:iCs/>
                <w:color w:val="000000"/>
                <w:bdr w:val="none" w:color="auto" w:sz="0" w:space="0" w:frame="1"/>
                <w:lang w:val="en-GB"/>
              </w:rPr>
              <w:t>t</w:t>
            </w:r>
            <w:r w:rsidRPr="008D0341">
              <w:rPr>
                <w:b/>
                <w:bCs/>
                <w:i/>
                <w:iCs/>
                <w:color w:val="000000"/>
                <w:bdr w:val="none" w:color="auto" w:sz="0" w:space="0" w:frame="1"/>
                <w:lang w:val="en-GB"/>
              </w:rPr>
              <w:t xml:space="preserve">erritorial </w:t>
            </w:r>
            <w:r w:rsidRPr="008D0341" w:rsidR="000441A1">
              <w:rPr>
                <w:b/>
                <w:bCs/>
                <w:i/>
                <w:iCs/>
                <w:color w:val="000000"/>
                <w:bdr w:val="none" w:color="auto" w:sz="0" w:space="0" w:frame="1"/>
                <w:lang w:val="en-GB"/>
              </w:rPr>
              <w:t>c</w:t>
            </w:r>
            <w:r w:rsidRPr="008D0341">
              <w:rPr>
                <w:b/>
                <w:bCs/>
                <w:i/>
                <w:iCs/>
                <w:color w:val="000000"/>
                <w:bdr w:val="none" w:color="auto" w:sz="0" w:space="0" w:frame="1"/>
                <w:lang w:val="en-GB"/>
              </w:rPr>
              <w:t xml:space="preserve">hapter shall be co-designed and co-implemented with the competent regional and local authorities, in accordance with the principles of partnership, multilevel governance and subsidiarity. Its preparation and implementation shall comply with the requirements set out in Article XXX </w:t>
            </w:r>
            <w:r w:rsidRPr="008D0341" w:rsidR="00A424F9">
              <w:rPr>
                <w:b/>
                <w:bCs/>
                <w:i/>
                <w:iCs/>
                <w:color w:val="000000"/>
                <w:bdr w:val="none" w:color="auto" w:sz="0" w:space="0" w:frame="1"/>
                <w:lang w:val="en-GB"/>
              </w:rPr>
              <w:t>‘</w:t>
            </w:r>
            <w:r w:rsidRPr="008D0341">
              <w:rPr>
                <w:b/>
                <w:bCs/>
                <w:i/>
                <w:iCs/>
                <w:color w:val="000000"/>
                <w:bdr w:val="none" w:color="auto" w:sz="0" w:space="0" w:frame="1"/>
                <w:lang w:val="en-GB"/>
              </w:rPr>
              <w:t xml:space="preserve">Multilevel </w:t>
            </w:r>
            <w:r w:rsidRPr="008D0341" w:rsidR="00A424F9">
              <w:rPr>
                <w:b/>
                <w:bCs/>
                <w:i/>
                <w:iCs/>
                <w:color w:val="000000"/>
                <w:bdr w:val="none" w:color="auto" w:sz="0" w:space="0" w:frame="1"/>
                <w:lang w:val="en-GB"/>
              </w:rPr>
              <w:t>g</w:t>
            </w:r>
            <w:r w:rsidRPr="008D0341">
              <w:rPr>
                <w:b/>
                <w:bCs/>
                <w:i/>
                <w:iCs/>
                <w:color w:val="000000"/>
                <w:bdr w:val="none" w:color="auto" w:sz="0" w:space="0" w:frame="1"/>
                <w:lang w:val="en-GB"/>
              </w:rPr>
              <w:t xml:space="preserve">overnance </w:t>
            </w:r>
            <w:r w:rsidRPr="008D0341" w:rsidR="00CD10EF">
              <w:rPr>
                <w:b/>
                <w:bCs/>
                <w:i/>
                <w:iCs/>
                <w:color w:val="000000"/>
                <w:bdr w:val="none" w:color="auto" w:sz="0" w:space="0" w:frame="1"/>
                <w:lang w:val="en-GB"/>
              </w:rPr>
              <w:t>assessment</w:t>
            </w:r>
            <w:r w:rsidRPr="008D0341" w:rsidR="00A424F9">
              <w:rPr>
                <w:b/>
                <w:bCs/>
                <w:i/>
                <w:iCs/>
                <w:color w:val="000000"/>
                <w:bdr w:val="none" w:color="auto" w:sz="0" w:space="0" w:frame="1"/>
                <w:lang w:val="en-GB"/>
              </w:rPr>
              <w:t>’,</w:t>
            </w:r>
            <w:r w:rsidRPr="008D0341">
              <w:rPr>
                <w:b/>
                <w:bCs/>
                <w:i/>
                <w:iCs/>
                <w:color w:val="000000"/>
                <w:bdr w:val="none" w:color="auto" w:sz="0" w:space="0" w:frame="1"/>
                <w:lang w:val="en-GB"/>
              </w:rPr>
              <w:t xml:space="preserve"> ensuring early, meaningful and structured involvement of territorial partners.</w:t>
            </w:r>
          </w:p>
          <w:p w:rsidRPr="008D0341" w:rsidR="00352E5C" w:rsidP="0063224B" w:rsidRDefault="00352E5C" w14:paraId="27BA6420" w14:textId="7F4263B5">
            <w:pPr>
              <w:pStyle w:val="NormalWeb"/>
              <w:spacing w:before="0" w:beforeAutospacing="0" w:after="0" w:afterAutospacing="0" w:line="288" w:lineRule="auto"/>
              <w:jc w:val="both"/>
              <w:rPr>
                <w:b/>
                <w:bCs/>
                <w:i/>
                <w:iCs/>
                <w:sz w:val="22"/>
                <w:szCs w:val="22"/>
                <w:lang w:val="en-GB"/>
              </w:rPr>
            </w:pPr>
            <w:r w:rsidRPr="006A411D">
              <w:rPr>
                <w:b/>
                <w:bCs/>
                <w:i/>
                <w:iCs/>
                <w:color w:val="000000"/>
                <w:sz w:val="22"/>
                <w:szCs w:val="22"/>
                <w:bdr w:val="none" w:color="auto" w:sz="0" w:space="0" w:frame="1"/>
                <w:lang w:val="en-GB"/>
              </w:rPr>
              <w:t>(</w:t>
            </w:r>
            <w:r w:rsidRPr="006A411D" w:rsidR="00A424F9">
              <w:rPr>
                <w:b/>
                <w:bCs/>
                <w:i/>
                <w:iCs/>
                <w:color w:val="000000"/>
                <w:sz w:val="22"/>
                <w:szCs w:val="22"/>
                <w:bdr w:val="none" w:color="auto" w:sz="0" w:space="0" w:frame="1"/>
                <w:lang w:val="en-GB"/>
              </w:rPr>
              <w:t>d</w:t>
            </w:r>
            <w:r w:rsidRPr="006A411D">
              <w:rPr>
                <w:b/>
                <w:bCs/>
                <w:i/>
                <w:iCs/>
                <w:color w:val="000000"/>
                <w:sz w:val="22"/>
                <w:szCs w:val="22"/>
                <w:bdr w:val="none" w:color="auto" w:sz="0" w:space="0" w:frame="1"/>
                <w:lang w:val="en-GB"/>
              </w:rPr>
              <w:t>)</w:t>
            </w:r>
            <w:r w:rsidRPr="008D0341" w:rsidR="00A424F9">
              <w:rPr>
                <w:b/>
                <w:bCs/>
                <w:i/>
                <w:iCs/>
                <w:color w:val="000000"/>
                <w:sz w:val="22"/>
                <w:szCs w:val="22"/>
                <w:bdr w:val="none" w:color="auto" w:sz="0" w:space="0" w:frame="1"/>
                <w:lang w:val="en-GB"/>
              </w:rPr>
              <w:t xml:space="preserve"> </w:t>
            </w:r>
            <w:r w:rsidRPr="008D0341">
              <w:rPr>
                <w:color w:val="000000"/>
                <w:sz w:val="22"/>
                <w:szCs w:val="22"/>
                <w:bdr w:val="none" w:color="auto" w:sz="0" w:space="0" w:frame="1"/>
                <w:lang w:val="en-GB"/>
              </w:rPr>
              <w:t xml:space="preserve">provide the list and description of measures grouped in chapters, including the general and specific objectives that each of them primarily pursues and the list of envisaged milestones and targets, with their indicative completion date during the programming period, including the additional measures and related milestones and targets in case the Member State concerned requests loan support. </w:t>
            </w:r>
            <w:r w:rsidRPr="008D0341">
              <w:rPr>
                <w:b/>
                <w:bCs/>
                <w:i/>
                <w:iCs/>
                <w:sz w:val="22"/>
                <w:szCs w:val="22"/>
                <w:lang w:val="en-GB"/>
              </w:rPr>
              <w:t xml:space="preserve">Milestones and targets shall be designed in a manner that reflects the distribution of legislative, administrative and financial competences across levels of government within the Member State. </w:t>
            </w:r>
            <w:r w:rsidRPr="008D0341" w:rsidR="00A424F9">
              <w:rPr>
                <w:b/>
                <w:bCs/>
                <w:i/>
                <w:iCs/>
                <w:sz w:val="22"/>
                <w:szCs w:val="22"/>
                <w:lang w:val="en-GB"/>
              </w:rPr>
              <w:t>As</w:t>
            </w:r>
            <w:r w:rsidRPr="008D0341">
              <w:rPr>
                <w:b/>
                <w:bCs/>
                <w:i/>
                <w:iCs/>
                <w:sz w:val="22"/>
                <w:szCs w:val="22"/>
                <w:lang w:val="en-GB"/>
              </w:rPr>
              <w:t xml:space="preserve"> </w:t>
            </w:r>
            <w:r w:rsidRPr="008D0341" w:rsidR="00A424F9">
              <w:rPr>
                <w:b/>
                <w:bCs/>
                <w:i/>
                <w:iCs/>
                <w:sz w:val="22"/>
                <w:szCs w:val="22"/>
                <w:lang w:val="en-GB"/>
              </w:rPr>
              <w:t xml:space="preserve">regards </w:t>
            </w:r>
            <w:r w:rsidRPr="008D0341">
              <w:rPr>
                <w:b/>
                <w:bCs/>
                <w:i/>
                <w:iCs/>
                <w:sz w:val="22"/>
                <w:szCs w:val="22"/>
                <w:lang w:val="en-GB"/>
              </w:rPr>
              <w:t xml:space="preserve">territorial chapters of NRP plans, milestones shall be explicitly aligned with the competences and implementation responsibilities of the relevant </w:t>
            </w:r>
            <w:r w:rsidRPr="008D0341" w:rsidR="003F5E5C">
              <w:rPr>
                <w:b/>
                <w:bCs/>
                <w:i/>
                <w:iCs/>
                <w:sz w:val="22"/>
                <w:szCs w:val="22"/>
                <w:lang w:val="en-GB"/>
              </w:rPr>
              <w:t>sub-national</w:t>
            </w:r>
            <w:r w:rsidRPr="008D0341">
              <w:rPr>
                <w:b/>
                <w:bCs/>
                <w:i/>
                <w:iCs/>
                <w:sz w:val="22"/>
                <w:szCs w:val="22"/>
                <w:lang w:val="en-GB"/>
              </w:rPr>
              <w:t xml:space="preserve"> </w:t>
            </w:r>
            <w:r w:rsidRPr="0063224B" w:rsidR="001D7843">
              <w:rPr>
                <w:b/>
                <w:bCs/>
                <w:i/>
                <w:sz w:val="22"/>
                <w:szCs w:val="22"/>
                <w:lang w:val="en-GB"/>
              </w:rPr>
              <w:t>authorities and chosen by those</w:t>
            </w:r>
            <w:r w:rsidRPr="0063224B" w:rsidR="001D7843">
              <w:rPr>
                <w:sz w:val="22"/>
                <w:szCs w:val="22"/>
                <w:lang w:val="en-GB"/>
              </w:rPr>
              <w:t xml:space="preserve"> </w:t>
            </w:r>
            <w:r w:rsidRPr="008D0341">
              <w:rPr>
                <w:b/>
                <w:bCs/>
                <w:i/>
                <w:iCs/>
                <w:sz w:val="22"/>
                <w:szCs w:val="22"/>
                <w:lang w:val="en-GB"/>
              </w:rPr>
              <w:t>authorities.</w:t>
            </w:r>
            <w:r w:rsidRPr="008D0341">
              <w:rPr>
                <w:i/>
                <w:iCs/>
                <w:sz w:val="22"/>
                <w:szCs w:val="22"/>
                <w:lang w:val="en-GB"/>
              </w:rPr>
              <w:t xml:space="preserve"> </w:t>
            </w:r>
            <w:r w:rsidRPr="008D0341">
              <w:rPr>
                <w:b/>
                <w:bCs/>
                <w:i/>
                <w:iCs/>
                <w:sz w:val="22"/>
                <w:szCs w:val="22"/>
                <w:lang w:val="en-GB"/>
              </w:rPr>
              <w:t xml:space="preserve">For interventions implemented at </w:t>
            </w:r>
            <w:r w:rsidRPr="008D0341" w:rsidR="003F5E5C">
              <w:rPr>
                <w:b/>
                <w:bCs/>
                <w:i/>
                <w:iCs/>
                <w:sz w:val="22"/>
                <w:szCs w:val="22"/>
                <w:lang w:val="en-GB"/>
              </w:rPr>
              <w:t>sub-national</w:t>
            </w:r>
            <w:r w:rsidRPr="008D0341">
              <w:rPr>
                <w:b/>
                <w:bCs/>
                <w:i/>
                <w:iCs/>
                <w:sz w:val="22"/>
                <w:szCs w:val="22"/>
                <w:lang w:val="en-GB"/>
              </w:rPr>
              <w:t xml:space="preserve"> level, milestones shall include qualitative implementation steps that correspond to the governance, coordination, institutional capacity or delivery functions exercised by regional and local authorities. Such milestones shall be developed in close cooperation with the competent regional authorities and other partners identified pursuant to Article 6 and in accordance with Article XXX </w:t>
            </w:r>
            <w:r w:rsidRPr="008D0341" w:rsidR="00A424F9">
              <w:rPr>
                <w:b/>
                <w:bCs/>
                <w:i/>
                <w:iCs/>
                <w:sz w:val="22"/>
                <w:szCs w:val="22"/>
                <w:lang w:val="en-GB"/>
              </w:rPr>
              <w:t>‘M</w:t>
            </w:r>
            <w:r w:rsidRPr="008D0341">
              <w:rPr>
                <w:b/>
                <w:bCs/>
                <w:i/>
                <w:iCs/>
                <w:sz w:val="22"/>
                <w:szCs w:val="22"/>
                <w:lang w:val="en-GB"/>
              </w:rPr>
              <w:t xml:space="preserve">ultilevel </w:t>
            </w:r>
            <w:r w:rsidRPr="008D0341" w:rsidR="008B3820">
              <w:rPr>
                <w:b/>
                <w:bCs/>
                <w:i/>
                <w:iCs/>
                <w:sz w:val="22"/>
                <w:szCs w:val="22"/>
                <w:lang w:val="en-GB"/>
              </w:rPr>
              <w:t xml:space="preserve">governance </w:t>
            </w:r>
            <w:r w:rsidRPr="008D0341" w:rsidR="00CD51C7">
              <w:rPr>
                <w:b/>
                <w:bCs/>
                <w:i/>
                <w:iCs/>
                <w:sz w:val="22"/>
                <w:szCs w:val="22"/>
                <w:lang w:val="en-GB"/>
              </w:rPr>
              <w:t>assessment</w:t>
            </w:r>
            <w:r w:rsidRPr="008D0341" w:rsidR="00A424F9">
              <w:rPr>
                <w:b/>
                <w:bCs/>
                <w:i/>
                <w:iCs/>
                <w:sz w:val="22"/>
                <w:szCs w:val="22"/>
                <w:lang w:val="en-GB"/>
              </w:rPr>
              <w:t>’</w:t>
            </w:r>
            <w:r w:rsidRPr="008D0341">
              <w:rPr>
                <w:b/>
                <w:bCs/>
                <w:i/>
                <w:iCs/>
                <w:sz w:val="22"/>
                <w:szCs w:val="22"/>
                <w:lang w:val="en-GB"/>
              </w:rPr>
              <w:t>. Milestones and targets shall not be limited to quantitative financial or output indicators. They shall also incorporate qualitative dimensions reflecting progress in institutional capacity building, governance reforms, multilevel coordination structures, community involvement and the development of long-term territorial innovation ecosystems.</w:t>
            </w:r>
          </w:p>
          <w:p w:rsidRPr="008D0341" w:rsidR="00352E5C" w:rsidP="00066365" w:rsidRDefault="005707C3" w14:paraId="75F00DBB" w14:textId="69E5FE8E">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p>
          <w:p w:rsidRPr="00BC7019" w:rsidR="00352E5C" w:rsidP="00066365" w:rsidRDefault="00352E5C" w14:paraId="49AC74D9" w14:textId="67432D85">
            <w:pPr>
              <w:shd w:val="clear" w:color="auto" w:fill="FFFFFF"/>
              <w:textAlignment w:val="baseline"/>
              <w:rPr>
                <w:b/>
                <w:bCs/>
                <w:color w:val="000000"/>
                <w:bdr w:val="none" w:color="auto" w:sz="0" w:space="0" w:frame="1"/>
                <w:lang w:val="en-GB"/>
              </w:rPr>
            </w:pPr>
            <w:r w:rsidRPr="008D0341">
              <w:rPr>
                <w:color w:val="000000"/>
                <w:bdr w:val="none" w:color="auto" w:sz="0" w:space="0" w:frame="1"/>
                <w:lang w:val="en-GB"/>
              </w:rPr>
              <w:t>(</w:t>
            </w:r>
            <w:r w:rsidRPr="008D0341" w:rsidR="00852465">
              <w:rPr>
                <w:color w:val="000000"/>
                <w:bdr w:val="none" w:color="auto" w:sz="0" w:space="0" w:frame="1"/>
                <w:lang w:val="en-GB"/>
              </w:rPr>
              <w:t>i</w:t>
            </w:r>
            <w:r w:rsidRPr="008D0341">
              <w:rPr>
                <w:color w:val="000000"/>
                <w:bdr w:val="none" w:color="auto" w:sz="0" w:space="0" w:frame="1"/>
                <w:lang w:val="en-GB"/>
              </w:rPr>
              <w:t>)</w:t>
            </w:r>
            <w:r w:rsidRPr="008D0341" w:rsidR="009513D8">
              <w:rPr>
                <w:color w:val="000000"/>
                <w:bdr w:val="none" w:color="auto" w:sz="0" w:space="0" w:frame="1"/>
                <w:lang w:val="en-GB"/>
              </w:rPr>
              <w:t xml:space="preserve"> </w:t>
            </w:r>
            <w:r w:rsidRPr="008D0341">
              <w:rPr>
                <w:color w:val="000000"/>
                <w:bdr w:val="none" w:color="auto" w:sz="0" w:space="0" w:frame="1"/>
                <w:lang w:val="en-GB"/>
              </w:rPr>
              <w:t xml:space="preserve">which stakeholders have been consulted, how these were selected, how their representativeness and prevention of conflict of interest has been ensured and how their input is reflected in the Plan </w:t>
            </w:r>
            <w:r w:rsidRPr="008D0341">
              <w:rPr>
                <w:b/>
                <w:bCs/>
                <w:i/>
                <w:iCs/>
                <w:color w:val="000000"/>
                <w:bdr w:val="none" w:color="auto" w:sz="0" w:space="0" w:frame="1"/>
                <w:lang w:val="en-GB"/>
              </w:rPr>
              <w:t xml:space="preserve">in accordance with the multilevel governance </w:t>
            </w:r>
            <w:r w:rsidRPr="008D0341" w:rsidR="00013CB8">
              <w:rPr>
                <w:b/>
                <w:bCs/>
                <w:i/>
                <w:iCs/>
                <w:color w:val="000000"/>
                <w:bdr w:val="none" w:color="auto" w:sz="0" w:space="0" w:frame="1"/>
                <w:lang w:val="en-GB"/>
              </w:rPr>
              <w:t>assessment</w:t>
            </w:r>
            <w:r w:rsidRPr="008D0341">
              <w:rPr>
                <w:b/>
                <w:bCs/>
                <w:i/>
                <w:iCs/>
                <w:color w:val="000000"/>
                <w:bdr w:val="none" w:color="auto" w:sz="0" w:space="0" w:frame="1"/>
                <w:lang w:val="en-GB"/>
              </w:rPr>
              <w:t xml:space="preserve"> as per Article XXX</w:t>
            </w:r>
            <w:r w:rsidRPr="008D0341" w:rsidR="00D27BFA">
              <w:rPr>
                <w:b/>
                <w:bCs/>
                <w:i/>
                <w:iCs/>
                <w:color w:val="000000"/>
                <w:bdr w:val="none" w:color="auto" w:sz="0" w:space="0" w:frame="1"/>
                <w:lang w:val="en-GB"/>
              </w:rPr>
              <w:t>;</w:t>
            </w:r>
          </w:p>
        </w:tc>
      </w:tr>
    </w:tbl>
    <w:p w:rsidRPr="008D0341" w:rsidR="00352E5C" w:rsidP="00066365" w:rsidRDefault="00352E5C" w14:paraId="6C72D439"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B119C7" w14:paraId="3B81E588"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0C4483D3" w14:textId="77777777">
            <w:pPr>
              <w:jc w:val="center"/>
              <w:rPr>
                <w:b/>
                <w:bCs/>
                <w:i/>
                <w:iCs/>
                <w:lang w:val="en-GB"/>
              </w:rPr>
            </w:pPr>
            <w:r w:rsidRPr="008D0341">
              <w:rPr>
                <w:b/>
                <w:bCs/>
                <w:i/>
                <w:iCs/>
                <w:lang w:val="en-GB"/>
              </w:rPr>
              <w:t>Reason</w:t>
            </w:r>
          </w:p>
        </w:tc>
      </w:tr>
      <w:tr w:rsidRPr="008D0341" w:rsidR="00352E5C" w:rsidTr="00B119C7" w14:paraId="08A79365"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6F2979" w14:paraId="11BC8784" w14:textId="2127456D">
            <w:pPr>
              <w:rPr>
                <w:rFonts w:eastAsia="Calibri"/>
                <w:lang w:val="en-GB"/>
              </w:rPr>
            </w:pPr>
            <w:r w:rsidRPr="008D0341">
              <w:rPr>
                <w:rFonts w:eastAsia="Calibri"/>
                <w:lang w:val="en-GB"/>
              </w:rPr>
              <w:t>Builds on t</w:t>
            </w:r>
            <w:r w:rsidRPr="008D0341" w:rsidR="00352E5C">
              <w:rPr>
                <w:rFonts w:eastAsia="Calibri"/>
                <w:lang w:val="en-GB"/>
              </w:rPr>
              <w:t xml:space="preserve">he CoR </w:t>
            </w:r>
            <w:r w:rsidRPr="008D0341" w:rsidR="00A424F9">
              <w:rPr>
                <w:rFonts w:eastAsia="Calibri"/>
                <w:lang w:val="en-GB"/>
              </w:rPr>
              <w:t>o</w:t>
            </w:r>
            <w:r w:rsidRPr="008D0341" w:rsidR="00352E5C">
              <w:rPr>
                <w:rFonts w:eastAsia="Calibri"/>
                <w:lang w:val="en-GB"/>
              </w:rPr>
              <w:t>pinion</w:t>
            </w:r>
            <w:r w:rsidRPr="008D0341" w:rsidR="00A424F9">
              <w:rPr>
                <w:rFonts w:eastAsia="Calibri"/>
                <w:lang w:val="en-GB"/>
              </w:rPr>
              <w:t xml:space="preserve"> on</w:t>
            </w:r>
            <w:r w:rsidRPr="008D0341" w:rsidR="00B07A53">
              <w:rPr>
                <w:rFonts w:eastAsia="Calibri"/>
                <w:lang w:val="en-GB"/>
              </w:rPr>
              <w:t xml:space="preserve"> </w:t>
            </w:r>
            <w:r w:rsidRPr="008D0341" w:rsidR="00B07A53">
              <w:rPr>
                <w:rFonts w:eastAsia="Calibri"/>
                <w:i/>
                <w:iCs/>
                <w:lang w:val="en-GB"/>
              </w:rPr>
              <w:t>Cohesion policy as a key engine in achieving EU goals and reforms</w:t>
            </w:r>
            <w:r w:rsidRPr="008D0341" w:rsidR="00B07A53">
              <w:rPr>
                <w:rFonts w:eastAsia="Calibri"/>
                <w:lang w:val="en-GB"/>
              </w:rPr>
              <w:t xml:space="preserve"> </w:t>
            </w:r>
            <w:r w:rsidRPr="008D0341" w:rsidR="00352E5C">
              <w:rPr>
                <w:rFonts w:eastAsia="Calibri"/>
                <w:lang w:val="en-GB"/>
              </w:rPr>
              <w:t>to ensure that milestones and targets reflect regional realities.</w:t>
            </w:r>
            <w:r w:rsidRPr="008D0341" w:rsidR="008B3820">
              <w:rPr>
                <w:rFonts w:eastAsia="Calibri"/>
                <w:lang w:val="en-GB"/>
              </w:rPr>
              <w:t xml:space="preserve"> Adds </w:t>
            </w:r>
            <w:r w:rsidRPr="008D0341" w:rsidR="00352E5C">
              <w:rPr>
                <w:rFonts w:eastAsia="Calibri"/>
                <w:lang w:val="en-GB"/>
              </w:rPr>
              <w:t>a requirement for Member States to develop at least one territorial chapter.</w:t>
            </w:r>
          </w:p>
        </w:tc>
      </w:tr>
    </w:tbl>
    <w:p w:rsidR="00437236" w:rsidP="00066365" w:rsidRDefault="00437236" w14:paraId="2CBF3011" w14:textId="77777777">
      <w:pPr>
        <w:rPr>
          <w:lang w:val="en-GB"/>
        </w:rPr>
      </w:pPr>
    </w:p>
    <w:p w:rsidR="009E00CB" w:rsidP="00066365" w:rsidRDefault="009E00CB" w14:paraId="29FA7912" w14:textId="77777777">
      <w:pPr>
        <w:rPr>
          <w:lang w:val="en-GB"/>
        </w:rPr>
      </w:pPr>
    </w:p>
    <w:p w:rsidRPr="008D0341" w:rsidR="00AC5220" w:rsidP="003F40F8" w:rsidRDefault="00AC5220" w14:paraId="3C5E9F03" w14:textId="138BA2BB">
      <w:pPr>
        <w:keepNext/>
        <w:keepLines/>
        <w:jc w:val="center"/>
        <w:rPr>
          <w:b/>
          <w:bCs/>
          <w:lang w:val="en-GB"/>
        </w:rPr>
      </w:pPr>
      <w:r w:rsidRPr="008D0341">
        <w:rPr>
          <w:b/>
          <w:bCs/>
          <w:lang w:val="en-GB"/>
        </w:rPr>
        <w:t xml:space="preserve">Amendment </w:t>
      </w:r>
      <w:r w:rsidRPr="008D0341" w:rsidR="0095201C">
        <w:rPr>
          <w:b/>
          <w:bCs/>
          <w:lang w:val="en-GB"/>
        </w:rPr>
        <w:t>1</w:t>
      </w:r>
      <w:r w:rsidRPr="008D0341" w:rsidR="008B5EAB">
        <w:rPr>
          <w:b/>
          <w:bCs/>
          <w:lang w:val="en-GB"/>
        </w:rPr>
        <w:t>6</w:t>
      </w:r>
    </w:p>
    <w:p w:rsidRPr="008D0341" w:rsidR="00AC5220" w:rsidP="003F40F8" w:rsidRDefault="00AC5220" w14:paraId="15070238" w14:textId="569A9396">
      <w:pPr>
        <w:keepNext/>
        <w:keepLines/>
        <w:jc w:val="center"/>
        <w:rPr>
          <w:lang w:val="en-GB"/>
        </w:rPr>
      </w:pPr>
      <w:r w:rsidRPr="008D0341">
        <w:rPr>
          <w:lang w:val="en-GB"/>
        </w:rPr>
        <w:t>Article 22.2</w:t>
      </w:r>
    </w:p>
    <w:p w:rsidRPr="008D0341" w:rsidR="00AC5220" w:rsidP="003F40F8" w:rsidRDefault="00AC5220" w14:paraId="48ECE6CD" w14:textId="77777777">
      <w:pPr>
        <w:keepNext/>
        <w:keepLines/>
        <w:rPr>
          <w:lang w:val="en-GB"/>
        </w:rP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4"/>
        <w:gridCol w:w="4643"/>
        <w:gridCol w:w="35"/>
      </w:tblGrid>
      <w:tr w:rsidRPr="008D0341" w:rsidR="00AC5220" w:rsidTr="00B119C7" w14:paraId="2A471D7A" w14:textId="77777777">
        <w:tc>
          <w:tcPr>
            <w:tcW w:w="4644" w:type="dxa"/>
          </w:tcPr>
          <w:p w:rsidRPr="008D0341" w:rsidR="00AC5220" w:rsidP="00066365" w:rsidRDefault="00AC5220" w14:paraId="435F12C0" w14:textId="77777777">
            <w:pPr>
              <w:jc w:val="center"/>
              <w:rPr>
                <w:b/>
                <w:bCs/>
                <w:i/>
                <w:iCs/>
                <w:lang w:val="en-GB"/>
              </w:rPr>
            </w:pPr>
            <w:r w:rsidRPr="008D0341">
              <w:rPr>
                <w:b/>
                <w:bCs/>
                <w:i/>
                <w:iCs/>
                <w:lang w:val="en-GB"/>
              </w:rPr>
              <w:t>Text proposed by the European Commission</w:t>
            </w:r>
          </w:p>
        </w:tc>
        <w:tc>
          <w:tcPr>
            <w:tcW w:w="4678" w:type="dxa"/>
            <w:gridSpan w:val="2"/>
          </w:tcPr>
          <w:p w:rsidRPr="008D0341" w:rsidR="00AC5220" w:rsidP="00066365" w:rsidRDefault="00AC5220" w14:paraId="315F2625" w14:textId="77777777">
            <w:pPr>
              <w:jc w:val="center"/>
              <w:rPr>
                <w:b/>
                <w:i/>
                <w:lang w:val="en-GB"/>
              </w:rPr>
            </w:pPr>
            <w:r w:rsidRPr="008D0341">
              <w:rPr>
                <w:b/>
                <w:bCs/>
                <w:i/>
                <w:iCs/>
                <w:color w:val="000000"/>
                <w:lang w:val="en-GB"/>
              </w:rPr>
              <w:t>CoR amendment</w:t>
            </w:r>
          </w:p>
        </w:tc>
      </w:tr>
      <w:tr w:rsidRPr="008D0341" w:rsidR="00AC5220" w:rsidTr="00B119C7" w14:paraId="2E3A5101" w14:textId="77777777">
        <w:trPr>
          <w:gridAfter w:val="1"/>
          <w:wAfter w:w="35" w:type="dxa"/>
        </w:trPr>
        <w:tc>
          <w:tcPr>
            <w:tcW w:w="4644" w:type="dxa"/>
          </w:tcPr>
          <w:p w:rsidRPr="008D0341" w:rsidR="00AC5220" w:rsidP="00066365" w:rsidRDefault="00AC5220" w14:paraId="0542A877" w14:textId="01722873">
            <w:pPr>
              <w:rPr>
                <w:lang w:val="en-GB"/>
              </w:rPr>
            </w:pPr>
            <w:r w:rsidRPr="008D0341">
              <w:rPr>
                <w:lang w:val="en-GB"/>
              </w:rPr>
              <w:t xml:space="preserve">(e) set out clear arrangements for the effective monitoring and implementation of the Plan by the Member State concerned, including the responsible authorities and monitoring committees reflecting the objective of establishing a robust multi governance system based on the partnership principle, the envisaged approach to communication and visibility, an identification of potential technical support needs, as well as clear and effective arrangements between the national and regional authorities in terms of responsibilities for programming, implementation, financial management, monitoring and evaluation, in accordance with the institutional and legal framework of the Member State; (f) reduce economic, social and territorial disparities in less developed, transition and more developed regions, in particular by: (i) allocating </w:t>
            </w:r>
            <w:r w:rsidRPr="008D0341">
              <w:rPr>
                <w:b/>
                <w:bCs/>
                <w:i/>
                <w:lang w:val="en-GB"/>
              </w:rPr>
              <w:t>resources</w:t>
            </w:r>
            <w:r w:rsidRPr="008D0341">
              <w:rPr>
                <w:lang w:val="en-GB"/>
              </w:rPr>
              <w:t xml:space="preserve"> to less developed, transition and more developed regions, in accordance with their specific challenges, to be reported in Annex V based on methodology set out in Annex VII; (ii) concentrate resources on less developed regions by establishing minimum amounts per Member State based on methodology set out in Annex II; (iii) focusing on the specific needs of border regions, northern sparsely populated regions, rural and urban areas, areas affected by industrial transition, islands, to be reported in Annex V based on methodology set out in Annex VII; (iv) strengthening the economic and social development of outermost regions; to be set out in dedicated measures for the territories concerned in accordance with Article 46; (g) concentrate resources on: (i) supporting generational renewal in the agricultural sector, in accordance with Article 8 of Regulation XX [CAP, generational renewal], as well as in the fisheries and aquaculture sector; (ii) social measures in accordance with Annex VI [social allocations]. (iii) supporting fisheries, aquaculture and maritime activities, including small scale fishing, the implementation of the CFP as set out in Regulation EU XX [CFP] as well as the European Ocean Pact in accordance with Annex V [Plan’s template]. (h) effectively contribute to: (i) promoting the use of cooperation interventions as referred to in Article 74 [cooperation interventions], including integrated territorial investment in cities, urban, rural and coastal areas, community-led local development, or other territorial tools including just transition and smart specialisation strategies, as well as LEADER as referred to in Article 77 [LEADER]; (ii) improving farm resilience and management of risks at farm level and supporting the digital and data-driven transition of agriculture and rural areas to enhance their competitiveness, sustainability and resilience; (iii) the environmental and climate priority areas set out in Article 4 of Regulation (EU) 202X/XXXX [CAP – Environment and climate priority areas]. (i) promote partnership, knowledge exchange and as relevant distribution of agricultural products by setting out: (i) which stakeholders have been consulted, how these were selected, how their representativeness and prevention of conflict of interest has been ensured and how their input is reflected in the Plan in </w:t>
            </w:r>
            <w:r w:rsidRPr="008D0341">
              <w:rPr>
                <w:b/>
                <w:bCs/>
                <w:i/>
                <w:lang w:val="en-GB"/>
              </w:rPr>
              <w:t>line</w:t>
            </w:r>
            <w:r w:rsidRPr="008D0341">
              <w:rPr>
                <w:lang w:val="en-GB"/>
              </w:rPr>
              <w:t xml:space="preserve"> with </w:t>
            </w:r>
            <w:r w:rsidRPr="008D0341">
              <w:rPr>
                <w:b/>
                <w:bCs/>
                <w:i/>
                <w:lang w:val="en-GB"/>
              </w:rPr>
              <w:t>the code of conduct on partnership, and by including a summary of the consultation process conducted for the preparation of</w:t>
            </w:r>
            <w:r w:rsidRPr="008D0341">
              <w:rPr>
                <w:lang w:val="en-GB"/>
              </w:rPr>
              <w:t xml:space="preserve"> the </w:t>
            </w:r>
            <w:r w:rsidRPr="008D0341">
              <w:rPr>
                <w:b/>
                <w:bCs/>
                <w:i/>
                <w:lang w:val="en-GB"/>
              </w:rPr>
              <w:t>Plan and each chapter</w:t>
            </w:r>
            <w:r w:rsidRPr="008D0341">
              <w:rPr>
                <w:lang w:val="en-GB"/>
              </w:rPr>
              <w:t>;</w:t>
            </w:r>
            <w:r w:rsidR="00BC7019">
              <w:rPr>
                <w:lang w:val="en-GB"/>
              </w:rPr>
              <w:t xml:space="preserve"> </w:t>
            </w:r>
            <w:r w:rsidRPr="008D0341">
              <w:rPr>
                <w:lang w:val="en-GB"/>
              </w:rPr>
              <w:t xml:space="preserve">(ii) an Agricultural Knowledge and Innovation System including its organisation set-up in accordance with Article 20 of Regulation (EU) 202X/XXXX [CAP Regulation – Agricultural knowledge and innovation systems and farm advisory services]; (iii) the modalities for the EU school scheme in accordance with Title I, Part II, Chapter IIa of Regulation (EU) No 1308/2013.(j) specify the way in which the NRP Plan and its implementation comply with the principle set out in Article 6(3), including a description of the protective practices referred to in Article 3(4) of Regulation (EU) 202X/XXXX [CAP Regulation], their territorial scope, farmers and other beneficiaries subject to the practice and a summary of the protective practice, and complementarity between the elements of the farm stewardship and the relevant measures supported under the NRP Plan; (k) explain how the Member State’s system and arrangements are sufficient to ensure a regular, effective and efficient use of Union resources, in compliance with sound financial management </w:t>
            </w:r>
            <w:r w:rsidRPr="008D0341">
              <w:rPr>
                <w:b/>
                <w:bCs/>
                <w:i/>
                <w:lang w:val="en-GB"/>
              </w:rPr>
              <w:t>and</w:t>
            </w:r>
            <w:r w:rsidRPr="008D0341">
              <w:rPr>
                <w:lang w:val="en-GB"/>
              </w:rPr>
              <w:t xml:space="preserve"> the protection of the financial interests of the Union, based on the key requirements laid down in Annex IV [key requirements], together with measures to address potential deficiencies; (l) specify the arrangements in place to ensure that in the event of interruption of payment deadlines or suspension of Union funding, financial corrections or other measures to ensure the protection of Union’s financial interests, the Member States will comply with their obligations to continue the payments to beneficiaries, recipients, final recipients, contractors and participants;</w:t>
            </w:r>
          </w:p>
        </w:tc>
        <w:tc>
          <w:tcPr>
            <w:tcW w:w="4643" w:type="dxa"/>
          </w:tcPr>
          <w:p w:rsidRPr="008D0341" w:rsidR="00AC5220" w:rsidP="00066365" w:rsidRDefault="00AC5220" w14:paraId="69459A38" w14:textId="6CC09D51">
            <w:pPr>
              <w:rPr>
                <w:lang w:val="en-GB"/>
              </w:rPr>
            </w:pPr>
            <w:r w:rsidRPr="008D0341">
              <w:rPr>
                <w:lang w:val="en-GB"/>
              </w:rPr>
              <w:t>(e) set out clear arrangements for the effective monitoring and implementation of the Plan by the Member State concerned, including the responsible authorities</w:t>
            </w:r>
            <w:r w:rsidRPr="008D0341">
              <w:rPr>
                <w:b/>
                <w:bCs/>
                <w:i/>
                <w:lang w:val="en-GB"/>
              </w:rPr>
              <w:t xml:space="preserve">, </w:t>
            </w:r>
            <w:r w:rsidR="00C07D82">
              <w:rPr>
                <w:b/>
                <w:bCs/>
                <w:i/>
                <w:lang w:val="en-GB"/>
              </w:rPr>
              <w:t>including</w:t>
            </w:r>
            <w:r w:rsidRPr="008D0341">
              <w:rPr>
                <w:b/>
                <w:bCs/>
                <w:i/>
                <w:lang w:val="en-GB"/>
              </w:rPr>
              <w:t xml:space="preserve"> regions,</w:t>
            </w:r>
            <w:r w:rsidRPr="008D0341">
              <w:rPr>
                <w:lang w:val="en-GB"/>
              </w:rPr>
              <w:t xml:space="preserve"> and monitoring committees reflecting the objective of establishing a robust multi governance system based on the partnership principle, the envisaged approach to communication and visibility, an identification of potential technical support needs, as well as clear and effective arrangements between the national and regional authorities in terms of responsibilities for programming, implementation, financial management, monitoring and evaluation, in accordance with the institutional and legal framework of the Member State; (f) reduce economic, social and territorial disparities in less developed, transition and more developed regions, in particular by: (i) allocating </w:t>
            </w:r>
            <w:r w:rsidRPr="008D0341">
              <w:rPr>
                <w:b/>
                <w:bCs/>
                <w:i/>
                <w:lang w:val="en-GB"/>
              </w:rPr>
              <w:t>minimum amounts</w:t>
            </w:r>
            <w:r w:rsidRPr="008D0341">
              <w:rPr>
                <w:lang w:val="en-GB"/>
              </w:rPr>
              <w:t xml:space="preserve"> to </w:t>
            </w:r>
            <w:r w:rsidRPr="008D0341">
              <w:rPr>
                <w:b/>
                <w:bCs/>
                <w:i/>
                <w:lang w:val="en-GB"/>
              </w:rPr>
              <w:t xml:space="preserve">each category of regions </w:t>
            </w:r>
            <w:r w:rsidR="00C07D82">
              <w:rPr>
                <w:b/>
                <w:bCs/>
                <w:i/>
                <w:lang w:val="en-GB"/>
              </w:rPr>
              <w:t>–</w:t>
            </w:r>
            <w:r w:rsidRPr="008D0341">
              <w:rPr>
                <w:lang w:val="en-GB"/>
              </w:rPr>
              <w:t xml:space="preserve"> less developed, transition and more developed regions, in accordance with their specific challenges, to be reported in Annex V based on methodology set out in Annex VII; (ii) concentrate resources on less developed regions by establishing minimum amounts per Member State based on methodology set out in Annex II; (iii) focusing on the specific needs of border regions, northern sparsely populated regions, rural and urban areas, areas affected by industrial transition, islands, to be reported in Annex V based on methodology set out in Annex VII; (iv) strengthening the economic and social development of outermost regions; to be set out in dedicated measures for the territories concerned in accordance with Article 46; (g) concentrate resources on: (i) supporting generational renewal in the agricultural sector, in accordance with Article 8 of Regulation XX [CAP, generational renewal], as well as in the fisheries and aquaculture sector; (ii) social measures in accordance with Annex VI [social allocations]. (iii) supporting fisheries, aquaculture and maritime activities, including small scale fishing, the implementation of the CFP as set out in Regulation EU XX [CFP] as well as the European Ocean Pact in accordance with Annex V [Plan’s template]. (h) effectively contribute to: (i) promoting the use of cooperation interventions as referred to in Article 74 [cooperation interventions], including integrated territorial investment in cities, urban, rural and coastal areas, community-led local development, or other territorial tools including just transition and smart specialisation strategies, as well as LEADER as referred to in Article 77 [LEADER]; (ii) improving farm resilience and management of risks at farm level and supporting the digital and data-driven transition of agriculture and rural areas to enhance their competitiveness, sustainability and resilience; (iii) the environmental and climate priority areas set out in Article 4 of Regulation (EU) 202X/XXXX [CAP – Environment and climate priority areas]. (i) promote partnership, knowledge exchange and as relevant distribution of agricultural products by setting out: (i) which stakeholders have been consulted, how these were selected, how their representativeness and prevention of conflict of interest has been ensured and how their input is reflected in the Plan in </w:t>
            </w:r>
            <w:r w:rsidRPr="008D0341">
              <w:rPr>
                <w:b/>
                <w:bCs/>
                <w:i/>
                <w:lang w:val="en-GB"/>
              </w:rPr>
              <w:t>accordance</w:t>
            </w:r>
            <w:r w:rsidRPr="008D0341">
              <w:rPr>
                <w:lang w:val="en-GB"/>
              </w:rPr>
              <w:t xml:space="preserve"> with the </w:t>
            </w:r>
            <w:r w:rsidRPr="008D0341">
              <w:rPr>
                <w:b/>
                <w:bCs/>
                <w:i/>
                <w:lang w:val="en-GB"/>
              </w:rPr>
              <w:t>multilevel governance assessment as per Article XXX</w:t>
            </w:r>
            <w:r w:rsidRPr="008D0341">
              <w:rPr>
                <w:lang w:val="en-GB"/>
              </w:rPr>
              <w:t>;</w:t>
            </w:r>
            <w:r w:rsidR="00BC7019">
              <w:rPr>
                <w:lang w:val="en-GB"/>
              </w:rPr>
              <w:t xml:space="preserve"> </w:t>
            </w:r>
            <w:r w:rsidRPr="008D0341">
              <w:rPr>
                <w:lang w:val="en-GB"/>
              </w:rPr>
              <w:t xml:space="preserve">(ii) an Agricultural Knowledge and Innovation System including its organisation set-up in accordance with Article 20 of Regulation (EU) 202X/XXXX [CAP Regulation – Agricultural knowledge and innovation systems and farm advisory services]; (iii) the modalities for the EU school scheme in accordance with Title I, Part II, Chapter IIa of Regulation (EU) No 1308/2013.(j) specify the way in which the NRP Plan and its implementation comply with the principle set out in Article 6(3), including a description of the protective practices referred to in Article 3(4) of Regulation (EU) 202X/XXXX [CAP Regulation], their territorial scope, farmers and other beneficiaries subject to the practice and a summary of the protective practice, and complementarity between the elements of the farm stewardship and the relevant measures supported under the NRP Plan; (k) explain how the Member State’s </w:t>
            </w:r>
            <w:r w:rsidRPr="008D0341">
              <w:rPr>
                <w:b/>
                <w:bCs/>
                <w:i/>
                <w:lang w:val="en-GB"/>
              </w:rPr>
              <w:t>and the region</w:t>
            </w:r>
            <w:r w:rsidR="00C07D82">
              <w:rPr>
                <w:b/>
                <w:bCs/>
                <w:i/>
                <w:lang w:val="en-GB"/>
              </w:rPr>
              <w:t>’</w:t>
            </w:r>
            <w:r w:rsidRPr="008D0341">
              <w:rPr>
                <w:b/>
                <w:bCs/>
                <w:i/>
                <w:lang w:val="en-GB"/>
              </w:rPr>
              <w:t>s</w:t>
            </w:r>
            <w:r w:rsidRPr="008D0341">
              <w:rPr>
                <w:lang w:val="en-GB"/>
              </w:rPr>
              <w:t xml:space="preserve"> system and arrangements are sufficient to ensure a regular, effective and efficient use of Union resources, in compliance with sound financial management</w:t>
            </w:r>
            <w:r w:rsidRPr="008D0341">
              <w:rPr>
                <w:b/>
                <w:bCs/>
                <w:i/>
                <w:lang w:val="en-GB"/>
              </w:rPr>
              <w:t>, the implementation of simplification measures while ensuring</w:t>
            </w:r>
            <w:r w:rsidRPr="008D0341">
              <w:rPr>
                <w:lang w:val="en-GB"/>
              </w:rPr>
              <w:t xml:space="preserve"> the protection of the financial interests of the Union, based on the key requirements laid down in Annex IV [key requirements], together with measures to address potential deficiencies; (l) specify the arrangements in place to ensure that in the event of interruption of payment deadlines or suspension of Union funding, financial corrections or other measures to ensure the protection of Union’s financial interests, the Member States will comply with their obligations to continue the payments to beneficiaries, recipients, final recipients, contractors and participants</w:t>
            </w:r>
            <w:r w:rsidRPr="008D0341">
              <w:rPr>
                <w:b/>
                <w:bCs/>
                <w:i/>
                <w:lang w:val="en-GB"/>
              </w:rPr>
              <w:t>. The managing authorities will only comply with these obligations regarding the milestones and targets they set up and are responsible for in their respective chapters</w:t>
            </w:r>
            <w:r w:rsidRPr="008D0341">
              <w:rPr>
                <w:lang w:val="en-GB"/>
              </w:rPr>
              <w:t>;</w:t>
            </w:r>
          </w:p>
        </w:tc>
      </w:tr>
    </w:tbl>
    <w:p w:rsidRPr="008D0341" w:rsidR="00AC5220" w:rsidP="00066365" w:rsidRDefault="00AC5220" w14:paraId="0E42541B" w14:textId="77777777">
      <w:pPr>
        <w:rPr>
          <w:lang w:val="en-GB"/>
        </w:rP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322"/>
      </w:tblGrid>
      <w:tr w:rsidRPr="008D0341" w:rsidR="00AC5220" w:rsidTr="00B119C7" w14:paraId="42431D54" w14:textId="77777777">
        <w:tc>
          <w:tcPr>
            <w:tcW w:w="9322" w:type="dxa"/>
          </w:tcPr>
          <w:p w:rsidRPr="008D0341" w:rsidR="00AC5220" w:rsidP="00066365" w:rsidRDefault="00AC5220" w14:paraId="21A140E4" w14:textId="77777777">
            <w:pPr>
              <w:jc w:val="center"/>
              <w:rPr>
                <w:b/>
                <w:i/>
                <w:lang w:val="en-GB"/>
              </w:rPr>
            </w:pPr>
            <w:r w:rsidRPr="008D0341">
              <w:rPr>
                <w:b/>
                <w:bCs/>
                <w:i/>
                <w:lang w:val="en-GB"/>
              </w:rPr>
              <w:t>Reason</w:t>
            </w:r>
          </w:p>
        </w:tc>
      </w:tr>
      <w:tr w:rsidRPr="008D0341" w:rsidR="00AC5220" w:rsidTr="00B119C7" w14:paraId="72858D89" w14:textId="77777777">
        <w:tc>
          <w:tcPr>
            <w:tcW w:w="9322" w:type="dxa"/>
          </w:tcPr>
          <w:p w:rsidRPr="008D0341" w:rsidR="00AC5220" w:rsidP="00066365" w:rsidRDefault="00AC5220" w14:paraId="23C909B1" w14:textId="7AE63A9E">
            <w:pPr>
              <w:rPr>
                <w:lang w:val="en-GB"/>
              </w:rPr>
            </w:pPr>
            <w:r w:rsidRPr="008D0341">
              <w:rPr>
                <w:lang w:val="en-GB"/>
              </w:rPr>
              <w:t>The proposal aims at: reinforcing the role of the region in the requirements for the NRPP; ensuring a dedicated budget for each category of regions; calling for simplification (sound financial management); separating the responsibilities between managing authorities (</w:t>
            </w:r>
            <w:r w:rsidR="00C07D82">
              <w:rPr>
                <w:lang w:val="en-GB"/>
              </w:rPr>
              <w:t>m</w:t>
            </w:r>
            <w:r w:rsidRPr="008D0341">
              <w:rPr>
                <w:lang w:val="en-GB"/>
              </w:rPr>
              <w:t>ilestones/targets)</w:t>
            </w:r>
          </w:p>
        </w:tc>
      </w:tr>
    </w:tbl>
    <w:p w:rsidR="00297A73" w:rsidP="00066365" w:rsidRDefault="00297A73" w14:paraId="32EA699F" w14:textId="77777777">
      <w:pPr>
        <w:jc w:val="center"/>
        <w:rPr>
          <w:b/>
          <w:bCs/>
          <w:lang w:val="en-GB"/>
        </w:rPr>
      </w:pPr>
    </w:p>
    <w:p w:rsidR="009E00CB" w:rsidP="00066365" w:rsidRDefault="009E00CB" w14:paraId="3D6B031D" w14:textId="77777777">
      <w:pPr>
        <w:jc w:val="center"/>
        <w:rPr>
          <w:b/>
          <w:bCs/>
          <w:lang w:val="en-GB"/>
        </w:rPr>
      </w:pPr>
    </w:p>
    <w:p w:rsidRPr="008D0341" w:rsidR="00297A73" w:rsidP="003F40F8" w:rsidRDefault="00297A73" w14:paraId="34D0FC39" w14:textId="27ABBDD5">
      <w:pPr>
        <w:keepNext/>
        <w:keepLines/>
        <w:jc w:val="center"/>
        <w:rPr>
          <w:b/>
          <w:bCs/>
          <w:lang w:val="en-GB"/>
        </w:rPr>
      </w:pPr>
      <w:r w:rsidRPr="008D0341">
        <w:rPr>
          <w:b/>
          <w:bCs/>
          <w:lang w:val="en-GB"/>
        </w:rPr>
        <w:t xml:space="preserve">Amendment </w:t>
      </w:r>
      <w:r w:rsidRPr="008D0341" w:rsidR="00A77B8B">
        <w:rPr>
          <w:b/>
          <w:bCs/>
          <w:lang w:val="en-GB"/>
        </w:rPr>
        <w:t>1</w:t>
      </w:r>
      <w:r w:rsidRPr="008D0341" w:rsidR="008B5EAB">
        <w:rPr>
          <w:b/>
          <w:bCs/>
          <w:lang w:val="en-GB"/>
        </w:rPr>
        <w:t>7</w:t>
      </w:r>
    </w:p>
    <w:p w:rsidRPr="008D0341" w:rsidR="00297A73" w:rsidP="003F40F8" w:rsidRDefault="00297A73" w14:paraId="5068F378" w14:textId="560CB9F0">
      <w:pPr>
        <w:keepNext/>
        <w:keepLines/>
        <w:jc w:val="center"/>
        <w:rPr>
          <w:lang w:val="en-GB"/>
        </w:rPr>
      </w:pPr>
      <w:r w:rsidRPr="008D0341">
        <w:rPr>
          <w:lang w:val="en-GB"/>
        </w:rPr>
        <w:t>Article 22.2</w:t>
      </w:r>
    </w:p>
    <w:p w:rsidRPr="008D0341" w:rsidR="00297A73" w:rsidP="003F40F8" w:rsidRDefault="00297A73" w14:paraId="6551177C"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297A73" w:rsidTr="00CF66AD" w14:paraId="78C9D475" w14:textId="77777777">
        <w:tc>
          <w:tcPr>
            <w:tcW w:w="4642" w:type="dxa"/>
          </w:tcPr>
          <w:p w:rsidRPr="008D0341" w:rsidR="00297A73" w:rsidP="00066365" w:rsidRDefault="00297A73" w14:paraId="72FEE887" w14:textId="77777777">
            <w:pPr>
              <w:jc w:val="center"/>
              <w:rPr>
                <w:b/>
                <w:bCs/>
                <w:i/>
                <w:iCs/>
                <w:lang w:val="en-GB"/>
              </w:rPr>
            </w:pPr>
            <w:r w:rsidRPr="008D0341">
              <w:rPr>
                <w:b/>
                <w:bCs/>
                <w:i/>
                <w:iCs/>
                <w:lang w:val="en-GB"/>
              </w:rPr>
              <w:t>Text proposed by the European Commission</w:t>
            </w:r>
          </w:p>
        </w:tc>
        <w:tc>
          <w:tcPr>
            <w:tcW w:w="4645" w:type="dxa"/>
          </w:tcPr>
          <w:p w:rsidRPr="008D0341" w:rsidR="00297A73" w:rsidP="00066365" w:rsidRDefault="00297A73" w14:paraId="382B863E" w14:textId="77777777">
            <w:pPr>
              <w:jc w:val="center"/>
              <w:rPr>
                <w:b/>
                <w:i/>
                <w:lang w:val="en-GB"/>
              </w:rPr>
            </w:pPr>
            <w:r w:rsidRPr="008D0341">
              <w:rPr>
                <w:b/>
                <w:bCs/>
                <w:i/>
                <w:iCs/>
                <w:color w:val="000000"/>
                <w:lang w:val="en-GB"/>
              </w:rPr>
              <w:t>CoR amendment</w:t>
            </w:r>
          </w:p>
        </w:tc>
      </w:tr>
      <w:tr w:rsidRPr="008D0341" w:rsidR="00297A73" w:rsidTr="00CF66AD" w14:paraId="797C84E8" w14:textId="77777777">
        <w:tc>
          <w:tcPr>
            <w:tcW w:w="4642" w:type="dxa"/>
          </w:tcPr>
          <w:p w:rsidRPr="008D0341" w:rsidR="00297A73" w:rsidP="00066365" w:rsidRDefault="00297A73" w14:paraId="71E887D5" w14:textId="7AE78772">
            <w:pPr>
              <w:rPr>
                <w:lang w:val="en-GB"/>
              </w:rPr>
            </w:pPr>
            <w:r w:rsidRPr="008D0341">
              <w:rPr>
                <w:lang w:val="en-GB"/>
              </w:rPr>
              <w:t>(p) specify the way in which the Plan and its envisaged implementation ensure the respect of the Rule of Law horizontal condition referred to in Article 9 [RoL horizontal condition], including the follow-up given to the country-specific recommendations issued in the framework of the latest Rule of Law Report and European Semester, together with measures to address those identified country-specific challenges.</w:t>
            </w:r>
          </w:p>
        </w:tc>
        <w:tc>
          <w:tcPr>
            <w:tcW w:w="4645" w:type="dxa"/>
          </w:tcPr>
          <w:p w:rsidRPr="008D0341" w:rsidR="00297A73" w:rsidP="00066365" w:rsidRDefault="00297A73" w14:paraId="00AFF5FC" w14:textId="0ACE1B84">
            <w:pPr>
              <w:rPr>
                <w:lang w:val="en-GB"/>
              </w:rPr>
            </w:pPr>
            <w:r w:rsidRPr="008D0341">
              <w:rPr>
                <w:lang w:val="en-GB"/>
              </w:rPr>
              <w:t>(p) specify the way in which the Plan and its envisaged implementation ensure the respect of the Rule of Law horizontal condition referred to in Article 9 [RoL horizontal condition], including the follow-up given to the country-specific recommendations issued in the framework of the latest Rule of Law Report and European Semester, together with measures to address those identified country-specific challenges.</w:t>
            </w:r>
            <w:r w:rsidRPr="008D0341">
              <w:rPr>
                <w:b/>
                <w:bCs/>
                <w:i/>
                <w:lang w:val="en-GB"/>
              </w:rPr>
              <w:t xml:space="preserve"> Where the country-specific recommendations have no relationship with the competences of regional authorities, the chapters they are responsible for as managing authorities should not be penalised.</w:t>
            </w:r>
          </w:p>
        </w:tc>
      </w:tr>
    </w:tbl>
    <w:p w:rsidRPr="008D0341" w:rsidR="00297A73" w:rsidP="00066365" w:rsidRDefault="00297A73" w14:paraId="3903B99C"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297A73" w:rsidTr="00CF66AD" w14:paraId="6152D2AD" w14:textId="77777777">
        <w:tc>
          <w:tcPr>
            <w:tcW w:w="9287" w:type="dxa"/>
          </w:tcPr>
          <w:p w:rsidRPr="008D0341" w:rsidR="00297A73" w:rsidP="00066365" w:rsidRDefault="00297A73" w14:paraId="5EF46851" w14:textId="77777777">
            <w:pPr>
              <w:jc w:val="center"/>
              <w:rPr>
                <w:b/>
                <w:i/>
                <w:lang w:val="en-GB"/>
              </w:rPr>
            </w:pPr>
            <w:r w:rsidRPr="008D0341">
              <w:rPr>
                <w:b/>
                <w:bCs/>
                <w:i/>
                <w:lang w:val="en-GB"/>
              </w:rPr>
              <w:t>Reason</w:t>
            </w:r>
          </w:p>
        </w:tc>
      </w:tr>
      <w:tr w:rsidRPr="008D0341" w:rsidR="00297A73" w:rsidTr="00CF66AD" w14:paraId="786CADB1" w14:textId="77777777">
        <w:tc>
          <w:tcPr>
            <w:tcW w:w="9287" w:type="dxa"/>
          </w:tcPr>
          <w:p w:rsidRPr="008D0341" w:rsidR="00297A73" w:rsidP="00066365" w:rsidRDefault="006C3E49" w14:paraId="41691C3A" w14:textId="0EE76D43">
            <w:pPr>
              <w:rPr>
                <w:lang w:val="en-GB"/>
              </w:rPr>
            </w:pPr>
            <w:r w:rsidRPr="008D0341">
              <w:rPr>
                <w:lang w:val="en-GB"/>
              </w:rPr>
              <w:t>Self-explanatory.</w:t>
            </w:r>
          </w:p>
        </w:tc>
      </w:tr>
    </w:tbl>
    <w:p w:rsidR="00297A73" w:rsidP="00066365" w:rsidRDefault="00297A73" w14:paraId="7C504A38" w14:textId="77777777">
      <w:pPr>
        <w:rPr>
          <w:lang w:val="en-GB"/>
        </w:rPr>
      </w:pPr>
    </w:p>
    <w:p w:rsidRPr="008D0341" w:rsidR="009E00CB" w:rsidP="00066365" w:rsidRDefault="009E00CB" w14:paraId="77CBF53D" w14:textId="77777777">
      <w:pPr>
        <w:rPr>
          <w:lang w:val="en-GB"/>
        </w:rPr>
      </w:pPr>
    </w:p>
    <w:p w:rsidRPr="008D0341" w:rsidR="000E1082" w:rsidP="003F40F8" w:rsidRDefault="000E1082" w14:paraId="4CD0592A" w14:textId="029E4D8E">
      <w:pPr>
        <w:keepNext/>
        <w:keepLines/>
        <w:jc w:val="center"/>
        <w:rPr>
          <w:b/>
          <w:bCs/>
          <w:lang w:val="en-GB"/>
        </w:rPr>
      </w:pPr>
      <w:r w:rsidRPr="008D0341">
        <w:rPr>
          <w:b/>
          <w:bCs/>
          <w:lang w:val="en-GB"/>
        </w:rPr>
        <w:t>Amendment 1</w:t>
      </w:r>
      <w:r w:rsidRPr="008D0341" w:rsidR="008B5EAB">
        <w:rPr>
          <w:b/>
          <w:bCs/>
          <w:lang w:val="en-GB"/>
        </w:rPr>
        <w:t>8</w:t>
      </w:r>
    </w:p>
    <w:p w:rsidRPr="008D0341" w:rsidR="000E1082" w:rsidP="003F40F8" w:rsidRDefault="000E1082" w14:paraId="6FF97466" w14:textId="0FA1B4F3">
      <w:pPr>
        <w:keepNext/>
        <w:keepLines/>
        <w:jc w:val="center"/>
        <w:rPr>
          <w:lang w:val="en-GB"/>
        </w:rPr>
      </w:pPr>
      <w:r w:rsidRPr="008D0341">
        <w:rPr>
          <w:lang w:val="en-GB"/>
        </w:rPr>
        <w:t>Article 23</w:t>
      </w:r>
    </w:p>
    <w:p w:rsidRPr="008D0341" w:rsidR="000E1082" w:rsidP="003F40F8" w:rsidRDefault="000E1082" w14:paraId="4FF36C95"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0E1082" w:rsidTr="00CF66AD" w14:paraId="778DEFD8" w14:textId="77777777">
        <w:tc>
          <w:tcPr>
            <w:tcW w:w="4642" w:type="dxa"/>
          </w:tcPr>
          <w:p w:rsidRPr="008D0341" w:rsidR="000E1082" w:rsidP="00066365" w:rsidRDefault="000E1082" w14:paraId="48996FF6" w14:textId="77777777">
            <w:pPr>
              <w:jc w:val="center"/>
              <w:rPr>
                <w:b/>
                <w:bCs/>
                <w:i/>
                <w:iCs/>
                <w:lang w:val="en-GB"/>
              </w:rPr>
            </w:pPr>
            <w:r w:rsidRPr="008D0341">
              <w:rPr>
                <w:b/>
                <w:bCs/>
                <w:i/>
                <w:iCs/>
                <w:lang w:val="en-GB"/>
              </w:rPr>
              <w:t>Text proposed by the European Commission</w:t>
            </w:r>
          </w:p>
        </w:tc>
        <w:tc>
          <w:tcPr>
            <w:tcW w:w="4645" w:type="dxa"/>
          </w:tcPr>
          <w:p w:rsidRPr="008D0341" w:rsidR="000E1082" w:rsidP="00066365" w:rsidRDefault="000E1082" w14:paraId="4169166B" w14:textId="77777777">
            <w:pPr>
              <w:jc w:val="center"/>
              <w:rPr>
                <w:b/>
                <w:i/>
                <w:lang w:val="en-GB"/>
              </w:rPr>
            </w:pPr>
            <w:r w:rsidRPr="008D0341">
              <w:rPr>
                <w:b/>
                <w:bCs/>
                <w:i/>
                <w:iCs/>
                <w:color w:val="000000"/>
                <w:lang w:val="en-GB"/>
              </w:rPr>
              <w:t>CoR amendment</w:t>
            </w:r>
          </w:p>
        </w:tc>
      </w:tr>
      <w:tr w:rsidRPr="008D0341" w:rsidR="000E1082" w:rsidTr="00CF66AD" w14:paraId="5BBA181D" w14:textId="77777777">
        <w:tc>
          <w:tcPr>
            <w:tcW w:w="4642" w:type="dxa"/>
          </w:tcPr>
          <w:p w:rsidRPr="008D0341" w:rsidR="004D0FB6" w:rsidP="00066365" w:rsidRDefault="000E1082" w14:paraId="68B6EAB0" w14:textId="77777777">
            <w:pPr>
              <w:rPr>
                <w:lang w:val="en-GB"/>
              </w:rPr>
            </w:pPr>
            <w:r w:rsidRPr="008D0341">
              <w:rPr>
                <w:lang w:val="en-GB"/>
              </w:rPr>
              <w:t xml:space="preserve">1. The Commission shall assess the Plan or the amended Plan submitted by the Member State and its compliance with this Regulation within four months of its submission and </w:t>
            </w:r>
            <w:r w:rsidRPr="008D0341">
              <w:rPr>
                <w:b/>
                <w:bCs/>
                <w:i/>
                <w:lang w:val="en-GB"/>
              </w:rPr>
              <w:t>make a proposal for a Council</w:t>
            </w:r>
            <w:r w:rsidRPr="008D0341">
              <w:rPr>
                <w:lang w:val="en-GB"/>
              </w:rPr>
              <w:t xml:space="preserve"> implementing decision. When carrying out the assessment, the Commission shall ensure that the NRP Plan complies with all requirements laid down in this Regulation, in particular in Article 22.</w:t>
            </w:r>
          </w:p>
          <w:p w:rsidRPr="008D0341" w:rsidR="004D0FB6" w:rsidP="00066365" w:rsidRDefault="000E1082" w14:paraId="4C99BA97" w14:textId="0E11E468">
            <w:pPr>
              <w:rPr>
                <w:lang w:val="en-GB"/>
              </w:rPr>
            </w:pPr>
            <w:r w:rsidRPr="008D0341">
              <w:rPr>
                <w:lang w:val="en-GB"/>
              </w:rPr>
              <w:t xml:space="preserve">2. The Commission may make observations to </w:t>
            </w:r>
            <w:r w:rsidRPr="008D0341">
              <w:rPr>
                <w:b/>
                <w:bCs/>
                <w:i/>
                <w:lang w:val="en-GB"/>
              </w:rPr>
              <w:t>Member States</w:t>
            </w:r>
            <w:r w:rsidRPr="008D0341">
              <w:rPr>
                <w:lang w:val="en-GB"/>
              </w:rPr>
              <w:t xml:space="preserve"> and request additional information. In duly justified cases, the Commission may request the inclusion of additional measures or the modification of measures proposed </w:t>
            </w:r>
            <w:r w:rsidRPr="008D0341">
              <w:rPr>
                <w:b/>
                <w:bCs/>
                <w:i/>
                <w:lang w:val="en-GB"/>
              </w:rPr>
              <w:t>by</w:t>
            </w:r>
            <w:r w:rsidRPr="008D0341">
              <w:rPr>
                <w:lang w:val="en-GB"/>
              </w:rPr>
              <w:t xml:space="preserve"> the </w:t>
            </w:r>
            <w:r w:rsidRPr="008D0341">
              <w:rPr>
                <w:b/>
                <w:bCs/>
                <w:i/>
                <w:lang w:val="en-GB"/>
              </w:rPr>
              <w:t>Member State</w:t>
            </w:r>
            <w:r w:rsidRPr="008D0341">
              <w:rPr>
                <w:lang w:val="en-GB"/>
              </w:rPr>
              <w:t>.</w:t>
            </w:r>
            <w:r w:rsidRPr="008D0341">
              <w:rPr>
                <w:b/>
                <w:bCs/>
                <w:i/>
                <w:lang w:val="en-GB"/>
              </w:rPr>
              <w:t xml:space="preserve"> The Member State</w:t>
            </w:r>
            <w:r w:rsidRPr="008D0341">
              <w:rPr>
                <w:lang w:val="en-GB"/>
              </w:rPr>
              <w:t xml:space="preserve"> shall provide the requested additional information and, if needed, review its Plan, taking into account the observations and requests made by the Commission. The deadline set out in paragraph 1 shall be interrupted from the working day following the date following that on which Commission sends its observations or a request for revised documents to </w:t>
            </w:r>
            <w:r w:rsidRPr="008D0341">
              <w:rPr>
                <w:b/>
                <w:bCs/>
                <w:i/>
                <w:lang w:val="en-GB"/>
              </w:rPr>
              <w:t>the Member State</w:t>
            </w:r>
            <w:r w:rsidRPr="008D0341">
              <w:rPr>
                <w:lang w:val="en-GB"/>
              </w:rPr>
              <w:t xml:space="preserve"> and </w:t>
            </w:r>
            <w:r w:rsidRPr="008D0341">
              <w:rPr>
                <w:b/>
                <w:bCs/>
                <w:i/>
                <w:lang w:val="en-GB"/>
              </w:rPr>
              <w:t>until the Member State responds to the Commission</w:t>
            </w:r>
            <w:r w:rsidRPr="008D0341">
              <w:rPr>
                <w:lang w:val="en-GB"/>
              </w:rPr>
              <w:t>.</w:t>
            </w:r>
          </w:p>
          <w:p w:rsidRPr="008D0341" w:rsidR="004D0FB6" w:rsidP="00066365" w:rsidRDefault="000E1082" w14:paraId="20716C91" w14:textId="77777777">
            <w:pPr>
              <w:rPr>
                <w:lang w:val="en-GB"/>
              </w:rPr>
            </w:pPr>
            <w:r w:rsidRPr="008D0341">
              <w:rPr>
                <w:lang w:val="en-GB"/>
              </w:rPr>
              <w:t>3. Where the Plan does not comply with the requirements referred to in paragraph 1, the Commission shall communicate a duly justified reasoning to the Member State concerned within the deadline set out in paragraph 1.</w:t>
            </w:r>
          </w:p>
          <w:p w:rsidRPr="008D0341" w:rsidR="0068306B" w:rsidP="00066365" w:rsidRDefault="000E1082" w14:paraId="237C4AAC" w14:textId="3639409D">
            <w:pPr>
              <w:rPr>
                <w:b/>
                <w:bCs/>
                <w:i/>
                <w:lang w:val="en-GB"/>
              </w:rPr>
            </w:pPr>
            <w:r w:rsidRPr="008D0341">
              <w:rPr>
                <w:lang w:val="en-GB"/>
              </w:rPr>
              <w:t xml:space="preserve">4. Where the Commission concludes that the Plan complies with the requirements referred to in paragraph 1, the Commission </w:t>
            </w:r>
            <w:r w:rsidRPr="008D0341">
              <w:rPr>
                <w:b/>
                <w:bCs/>
                <w:i/>
                <w:lang w:val="en-GB"/>
              </w:rPr>
              <w:t>proposal for a Council</w:t>
            </w:r>
            <w:r w:rsidRPr="008D0341">
              <w:rPr>
                <w:lang w:val="en-GB"/>
              </w:rPr>
              <w:t xml:space="preserve"> implementing decision shall lay down: (a) the total Union contribution. (b) the amount of the loan support where the Member State concerned makes such a request; and the related amount of pre-financing, as well as the availability period of the loan; (c) the list of measures covered by the Union contribution and loans contained in the NRP Plan;</w:t>
            </w:r>
            <w:r w:rsidRPr="008D0341">
              <w:rPr>
                <w:b/>
                <w:bCs/>
                <w:i/>
                <w:lang w:val="en-GB"/>
              </w:rPr>
              <w:t xml:space="preserve"> </w:t>
            </w:r>
          </w:p>
          <w:p w:rsidRPr="008D0341" w:rsidR="0068306B" w:rsidP="00066365" w:rsidRDefault="000E1082" w14:paraId="43BDCE34" w14:textId="2E822C32">
            <w:pPr>
              <w:rPr>
                <w:lang w:val="en-GB"/>
              </w:rPr>
            </w:pPr>
            <w:r w:rsidRPr="008D0341">
              <w:rPr>
                <w:b/>
                <w:bCs/>
                <w:i/>
                <w:lang w:val="en-GB"/>
              </w:rPr>
              <w:t>5</w:t>
            </w:r>
            <w:r w:rsidRPr="008D0341">
              <w:rPr>
                <w:lang w:val="en-GB"/>
              </w:rPr>
              <w:t>.</w:t>
            </w:r>
            <w:r w:rsidRPr="008D0341">
              <w:rPr>
                <w:b/>
                <w:bCs/>
                <w:i/>
                <w:lang w:val="en-GB"/>
              </w:rPr>
              <w:t xml:space="preserve"> In duly justified cases, where the Commission concludes that one or more measures of the Plan do not comply with the requirements referred to in paragraph 1, and that a corresponding request made in accordance with paragraph 2, second subparagraph, has not been satisfactorily addressed by the Member States, it may include in the Commission proposal referred to in paragraph 4 an identification of the deficiencies affecting those measures</w:t>
            </w:r>
            <w:r w:rsidRPr="008D0341">
              <w:rPr>
                <w:lang w:val="en-GB"/>
              </w:rPr>
              <w:t>.</w:t>
            </w:r>
          </w:p>
          <w:p w:rsidRPr="008D0341" w:rsidR="0068306B" w:rsidP="00066365" w:rsidRDefault="000E1082" w14:paraId="0139BC90" w14:textId="1F2AB366">
            <w:pPr>
              <w:rPr>
                <w:lang w:val="en-GB"/>
              </w:rPr>
            </w:pPr>
            <w:r w:rsidRPr="0063224B">
              <w:rPr>
                <w:b/>
                <w:bCs/>
                <w:i/>
                <w:iCs/>
                <w:lang w:val="en-GB"/>
              </w:rPr>
              <w:t>6.</w:t>
            </w:r>
            <w:r w:rsidRPr="008D0341">
              <w:rPr>
                <w:lang w:val="en-GB"/>
              </w:rPr>
              <w:t xml:space="preserve"> The </w:t>
            </w:r>
            <w:r w:rsidRPr="008D0341">
              <w:rPr>
                <w:b/>
                <w:bCs/>
                <w:i/>
                <w:lang w:val="en-GB"/>
              </w:rPr>
              <w:t>Council</w:t>
            </w:r>
            <w:r w:rsidRPr="008D0341">
              <w:rPr>
                <w:lang w:val="en-GB"/>
              </w:rPr>
              <w:t xml:space="preserve"> shall adopt the implementing decisions referred to in paragraph 1, as a rule, within four weeks </w:t>
            </w:r>
            <w:r w:rsidRPr="008D0341">
              <w:rPr>
                <w:b/>
                <w:bCs/>
                <w:i/>
                <w:lang w:val="en-GB"/>
              </w:rPr>
              <w:t>of the adoption of the Commission proposal</w:t>
            </w:r>
            <w:r w:rsidRPr="008D0341">
              <w:rPr>
                <w:lang w:val="en-GB"/>
              </w:rPr>
              <w:t>.</w:t>
            </w:r>
          </w:p>
          <w:p w:rsidRPr="008D0341" w:rsidR="0068306B" w:rsidP="00066365" w:rsidRDefault="000E1082" w14:paraId="272EA117" w14:textId="5F741684">
            <w:pPr>
              <w:rPr>
                <w:lang w:val="en-GB"/>
              </w:rPr>
            </w:pPr>
            <w:r w:rsidRPr="0063224B">
              <w:rPr>
                <w:b/>
                <w:bCs/>
                <w:i/>
                <w:iCs/>
                <w:lang w:val="en-GB"/>
              </w:rPr>
              <w:t>7.</w:t>
            </w:r>
            <w:r w:rsidRPr="008D0341">
              <w:rPr>
                <w:lang w:val="en-GB"/>
              </w:rPr>
              <w:t xml:space="preserve"> Once the </w:t>
            </w:r>
            <w:r w:rsidRPr="008D0341">
              <w:rPr>
                <w:b/>
                <w:bCs/>
                <w:i/>
                <w:lang w:val="en-GB"/>
              </w:rPr>
              <w:t>Council</w:t>
            </w:r>
            <w:r w:rsidRPr="008D0341">
              <w:rPr>
                <w:lang w:val="en-GB"/>
              </w:rPr>
              <w:t xml:space="preserve"> has adopted an implementing decision as referred to in paragraph 6, the Commission shall adopt a financing decision within the meaning of Article 110 of Regulation (EU, Euratom) 2024/2509, including the following: (a) the milestones and targets in relation to the implementation of measures contained in the NRP Plan, and for each of them, the corresponding pay-out value; (b) the Union contribution per year, based on the percentages set out in Article 14(1) [commitments]; The notification of that Commission decision to the Member State concerned shall constitute a legal commitment. Where Article 4(2), point (b), of the MFF Regulation applies, that financing decision may be amended in accordance with the outcome of the annual budgetary procedure.</w:t>
            </w:r>
          </w:p>
          <w:p w:rsidRPr="008D0341" w:rsidR="000E1082" w:rsidP="00066365" w:rsidRDefault="000E1082" w14:paraId="1B371DAB" w14:textId="0390A14B">
            <w:pPr>
              <w:rPr>
                <w:lang w:val="en-GB"/>
              </w:rPr>
            </w:pPr>
            <w:r w:rsidRPr="0063224B">
              <w:rPr>
                <w:b/>
                <w:bCs/>
                <w:i/>
                <w:iCs/>
                <w:lang w:val="en-GB"/>
              </w:rPr>
              <w:t>8.</w:t>
            </w:r>
            <w:r w:rsidRPr="008D0341">
              <w:rPr>
                <w:lang w:val="en-GB"/>
              </w:rPr>
              <w:t xml:space="preserve"> Payment applications for the specific measures affected by deficiencies identified in the implementing decisions adopted by the </w:t>
            </w:r>
            <w:r w:rsidRPr="008D0341">
              <w:rPr>
                <w:b/>
                <w:bCs/>
                <w:i/>
                <w:lang w:val="en-GB"/>
              </w:rPr>
              <w:t>Council</w:t>
            </w:r>
            <w:r w:rsidRPr="008D0341">
              <w:rPr>
                <w:lang w:val="en-GB"/>
              </w:rPr>
              <w:t xml:space="preserve"> may be submitted by the Member State concerned, but the Commission shall not make the corresponding payments until the deficiencies have been remedied.</w:t>
            </w:r>
          </w:p>
        </w:tc>
        <w:tc>
          <w:tcPr>
            <w:tcW w:w="4645" w:type="dxa"/>
          </w:tcPr>
          <w:p w:rsidRPr="008D0341" w:rsidR="0068306B" w:rsidP="00066365" w:rsidRDefault="000E1082" w14:paraId="788B0426" w14:textId="714BD0C5">
            <w:pPr>
              <w:rPr>
                <w:lang w:val="en-GB"/>
              </w:rPr>
            </w:pPr>
            <w:r w:rsidRPr="008D0341">
              <w:rPr>
                <w:lang w:val="en-GB"/>
              </w:rPr>
              <w:t xml:space="preserve">1. The Commission shall assess the Plan or the amended Plan submitted by the Member State and its compliance with this Regulation within four months of its submission and </w:t>
            </w:r>
            <w:r w:rsidRPr="008D0341">
              <w:rPr>
                <w:b/>
                <w:bCs/>
                <w:i/>
                <w:lang w:val="en-GB"/>
              </w:rPr>
              <w:t>adopt an</w:t>
            </w:r>
            <w:r w:rsidRPr="008D0341">
              <w:rPr>
                <w:lang w:val="en-GB"/>
              </w:rPr>
              <w:t xml:space="preserve"> implementing decision. When carrying out the assessment, the Commission shall ensure that the NRP Plan complies with all requirements laid down in this Regulation, in particular in Article 22.</w:t>
            </w:r>
          </w:p>
          <w:p w:rsidRPr="008D0341" w:rsidR="0068306B" w:rsidP="00066365" w:rsidRDefault="000E1082" w14:paraId="7526DA85" w14:textId="2E903212">
            <w:pPr>
              <w:rPr>
                <w:lang w:val="en-GB"/>
              </w:rPr>
            </w:pPr>
            <w:r w:rsidRPr="008D0341">
              <w:rPr>
                <w:lang w:val="en-GB"/>
              </w:rPr>
              <w:t xml:space="preserve">2. The Commission may make observations to </w:t>
            </w:r>
            <w:r w:rsidR="000A3E53">
              <w:rPr>
                <w:b/>
                <w:bCs/>
                <w:i/>
                <w:lang w:val="en-GB"/>
              </w:rPr>
              <w:t>c</w:t>
            </w:r>
            <w:r w:rsidRPr="008D0341">
              <w:rPr>
                <w:b/>
                <w:bCs/>
                <w:i/>
                <w:lang w:val="en-GB"/>
              </w:rPr>
              <w:t xml:space="preserve">oordinating authorities and/or </w:t>
            </w:r>
            <w:r w:rsidR="000A3E53">
              <w:rPr>
                <w:b/>
                <w:bCs/>
                <w:i/>
                <w:lang w:val="en-GB"/>
              </w:rPr>
              <w:t>m</w:t>
            </w:r>
            <w:r w:rsidRPr="008D0341">
              <w:rPr>
                <w:b/>
                <w:bCs/>
                <w:i/>
                <w:lang w:val="en-GB"/>
              </w:rPr>
              <w:t>anaging authorities</w:t>
            </w:r>
            <w:r w:rsidRPr="008D0341">
              <w:rPr>
                <w:lang w:val="en-GB"/>
              </w:rPr>
              <w:t xml:space="preserve"> and request additional information. In duly justified cases, the Commission may request the inclusion of additional measures or the modification of measures proposed </w:t>
            </w:r>
            <w:r w:rsidRPr="008D0341">
              <w:rPr>
                <w:b/>
                <w:bCs/>
                <w:i/>
                <w:lang w:val="en-GB"/>
              </w:rPr>
              <w:t>in</w:t>
            </w:r>
            <w:r w:rsidRPr="008D0341">
              <w:rPr>
                <w:lang w:val="en-GB"/>
              </w:rPr>
              <w:t xml:space="preserve"> the </w:t>
            </w:r>
            <w:r w:rsidRPr="008D0341">
              <w:rPr>
                <w:b/>
                <w:bCs/>
                <w:i/>
                <w:lang w:val="en-GB"/>
              </w:rPr>
              <w:t>NRP Plan</w:t>
            </w:r>
            <w:r w:rsidRPr="008D0341">
              <w:rPr>
                <w:lang w:val="en-GB"/>
              </w:rPr>
              <w:t>.</w:t>
            </w:r>
            <w:r w:rsidRPr="008D0341">
              <w:rPr>
                <w:b/>
                <w:bCs/>
                <w:i/>
                <w:lang w:val="en-GB"/>
              </w:rPr>
              <w:t xml:space="preserve"> Coordinating authorities and/or </w:t>
            </w:r>
            <w:r w:rsidR="000A3E53">
              <w:rPr>
                <w:b/>
                <w:bCs/>
                <w:i/>
                <w:lang w:val="en-GB"/>
              </w:rPr>
              <w:t>m</w:t>
            </w:r>
            <w:r w:rsidRPr="008D0341">
              <w:rPr>
                <w:b/>
                <w:bCs/>
                <w:i/>
                <w:lang w:val="en-GB"/>
              </w:rPr>
              <w:t>anaging authorities</w:t>
            </w:r>
            <w:r w:rsidRPr="008D0341">
              <w:rPr>
                <w:lang w:val="en-GB"/>
              </w:rPr>
              <w:t xml:space="preserve"> shall provide the requested additional information and, if needed, review its Plan, taking into account the observations and requests made by the Commission. The deadline set out in paragraph 1 shall be interrupted from the working day following the date following that on which Commission sends its observations or a request for revised documents to </w:t>
            </w:r>
            <w:r w:rsidRPr="008D0341">
              <w:rPr>
                <w:b/>
                <w:bCs/>
                <w:i/>
                <w:lang w:val="en-GB"/>
              </w:rPr>
              <w:t>coordinating authorities</w:t>
            </w:r>
            <w:r w:rsidRPr="008D0341">
              <w:rPr>
                <w:lang w:val="en-GB"/>
              </w:rPr>
              <w:t xml:space="preserve"> and</w:t>
            </w:r>
            <w:r w:rsidRPr="008D0341">
              <w:rPr>
                <w:b/>
                <w:bCs/>
                <w:i/>
                <w:lang w:val="en-GB"/>
              </w:rPr>
              <w:t xml:space="preserve">/or </w:t>
            </w:r>
            <w:r w:rsidR="000A3E53">
              <w:rPr>
                <w:b/>
                <w:bCs/>
                <w:i/>
                <w:lang w:val="en-GB"/>
              </w:rPr>
              <w:t>m</w:t>
            </w:r>
            <w:r w:rsidRPr="008D0341">
              <w:rPr>
                <w:b/>
                <w:bCs/>
                <w:i/>
                <w:lang w:val="en-GB"/>
              </w:rPr>
              <w:t>anaging authorities</w:t>
            </w:r>
            <w:r w:rsidRPr="008D0341">
              <w:rPr>
                <w:lang w:val="en-GB"/>
              </w:rPr>
              <w:t>.</w:t>
            </w:r>
          </w:p>
          <w:p w:rsidRPr="008D0341" w:rsidR="004D0FB6" w:rsidP="00066365" w:rsidRDefault="000E1082" w14:paraId="109E0F2C" w14:textId="608014FA">
            <w:pPr>
              <w:rPr>
                <w:lang w:val="en-GB"/>
              </w:rPr>
            </w:pPr>
            <w:r w:rsidRPr="008D0341">
              <w:rPr>
                <w:lang w:val="en-GB"/>
              </w:rPr>
              <w:t>3. Where the Plan does not comply with the requirements referred to in paragraph 1, the Commission shall communicate a duly justified reasoning to the Member State concerned within the deadline set out in paragraph 1.</w:t>
            </w:r>
          </w:p>
          <w:p w:rsidRPr="008D0341" w:rsidR="0068306B" w:rsidP="00066365" w:rsidRDefault="000E1082" w14:paraId="59B5353B" w14:textId="77777777">
            <w:pPr>
              <w:rPr>
                <w:lang w:val="en-GB"/>
              </w:rPr>
            </w:pPr>
            <w:r w:rsidRPr="008D0341">
              <w:rPr>
                <w:lang w:val="en-GB"/>
              </w:rPr>
              <w:t xml:space="preserve">4. Where the Commission concludes that the Plan complies with the requirements referred to in paragraph 1, the Commission </w:t>
            </w:r>
            <w:r w:rsidRPr="008D0341">
              <w:rPr>
                <w:b/>
                <w:bCs/>
                <w:i/>
                <w:lang w:val="en-GB"/>
              </w:rPr>
              <w:t>adopts an</w:t>
            </w:r>
            <w:r w:rsidRPr="008D0341">
              <w:rPr>
                <w:lang w:val="en-GB"/>
              </w:rPr>
              <w:t xml:space="preserve"> implementing decision </w:t>
            </w:r>
            <w:r w:rsidRPr="008D0341">
              <w:rPr>
                <w:b/>
                <w:bCs/>
                <w:i/>
                <w:lang w:val="en-GB"/>
              </w:rPr>
              <w:t>that</w:t>
            </w:r>
            <w:r w:rsidRPr="008D0341">
              <w:rPr>
                <w:lang w:val="en-GB"/>
              </w:rPr>
              <w:t xml:space="preserve"> shall lay down: (a) the total Union contribution. (b) the amount of the loan support where the Member State concerned makes such a request; and the related amount of pre-financing, as well as the availability period of the loan; (c) the list of measures covered by the Union contribution and loans contained in the NRP Plan;</w:t>
            </w:r>
          </w:p>
          <w:p w:rsidRPr="008D0341" w:rsidR="0068306B" w:rsidP="00066365" w:rsidRDefault="009F255D" w14:paraId="6E03A9E2" w14:textId="4132F0CE">
            <w:pPr>
              <w:rPr>
                <w:lang w:val="en-GB"/>
              </w:rPr>
            </w:pPr>
            <w:r w:rsidRPr="008D0341">
              <w:rPr>
                <w:b/>
                <w:bCs/>
                <w:i/>
                <w:lang w:val="en-GB"/>
              </w:rPr>
              <w:t>5</w:t>
            </w:r>
            <w:r w:rsidRPr="0063224B" w:rsidR="000E1082">
              <w:rPr>
                <w:b/>
                <w:bCs/>
                <w:i/>
                <w:lang w:val="en-GB"/>
              </w:rPr>
              <w:t>.</w:t>
            </w:r>
            <w:r w:rsidRPr="008D0341" w:rsidR="000E1082">
              <w:rPr>
                <w:lang w:val="en-GB"/>
              </w:rPr>
              <w:t xml:space="preserve"> The </w:t>
            </w:r>
            <w:r w:rsidRPr="008D0341" w:rsidR="000E1082">
              <w:rPr>
                <w:b/>
                <w:bCs/>
                <w:i/>
                <w:lang w:val="en-GB"/>
              </w:rPr>
              <w:t>Commission</w:t>
            </w:r>
            <w:r w:rsidRPr="008D0341" w:rsidR="000E1082">
              <w:rPr>
                <w:lang w:val="en-GB"/>
              </w:rPr>
              <w:t xml:space="preserve"> shall adopt the implementing decisions referred to in paragraph 1, as a rule, within four weeks.</w:t>
            </w:r>
          </w:p>
          <w:p w:rsidRPr="008D0341" w:rsidR="0068306B" w:rsidP="00066365" w:rsidRDefault="009F255D" w14:paraId="5FB99EFC" w14:textId="51482062">
            <w:pPr>
              <w:rPr>
                <w:lang w:val="en-GB"/>
              </w:rPr>
            </w:pPr>
            <w:r w:rsidRPr="0063224B">
              <w:rPr>
                <w:b/>
                <w:bCs/>
                <w:i/>
                <w:iCs/>
                <w:lang w:val="en-GB"/>
              </w:rPr>
              <w:t>6</w:t>
            </w:r>
            <w:r w:rsidRPr="0063224B" w:rsidR="000E1082">
              <w:rPr>
                <w:b/>
                <w:bCs/>
                <w:i/>
                <w:iCs/>
                <w:lang w:val="en-GB"/>
              </w:rPr>
              <w:t>.</w:t>
            </w:r>
            <w:r w:rsidRPr="008D0341" w:rsidR="000E1082">
              <w:rPr>
                <w:lang w:val="en-GB"/>
              </w:rPr>
              <w:t xml:space="preserve"> Once the </w:t>
            </w:r>
            <w:r w:rsidRPr="008D0341" w:rsidR="000E1082">
              <w:rPr>
                <w:b/>
                <w:bCs/>
                <w:i/>
                <w:lang w:val="en-GB"/>
              </w:rPr>
              <w:t>Commission</w:t>
            </w:r>
            <w:r w:rsidRPr="008D0341" w:rsidR="000E1082">
              <w:rPr>
                <w:lang w:val="en-GB"/>
              </w:rPr>
              <w:t xml:space="preserve"> has adopted an implementing decision as referred to in paragraph 6, the Commission shall adopt a financing decision within the meaning of Article 110 of Regulation (EU, Euratom) 2024/2509, including the following: (a) the milestones and targets in relation to the implementation of measures contained in the NRP Plan, and for each of them, the corresponding pay-out value; (b) the Union contribution per year, based on the percentages set out in Article 14(1) [commitments]; The notification of that Commission decision to the Member State concerned shall constitute a legal commitment. Where Article 4(2), point (b), of the MFF Regulation applies, that financing decision may be amended in accordance with the outcome of the annual budgetary procedure.</w:t>
            </w:r>
          </w:p>
          <w:p w:rsidRPr="008D0341" w:rsidR="000E1082" w:rsidP="00066365" w:rsidRDefault="009F255D" w14:paraId="2C79E7B0" w14:textId="7E6D466C">
            <w:pPr>
              <w:rPr>
                <w:lang w:val="en-GB"/>
              </w:rPr>
            </w:pPr>
            <w:r w:rsidRPr="0063224B">
              <w:rPr>
                <w:b/>
                <w:bCs/>
                <w:i/>
                <w:iCs/>
                <w:lang w:val="en-GB"/>
              </w:rPr>
              <w:t>7</w:t>
            </w:r>
            <w:r w:rsidRPr="0063224B" w:rsidR="000E1082">
              <w:rPr>
                <w:b/>
                <w:bCs/>
                <w:i/>
                <w:iCs/>
                <w:lang w:val="en-GB"/>
              </w:rPr>
              <w:t>.</w:t>
            </w:r>
            <w:r w:rsidRPr="008D0341" w:rsidR="000E1082">
              <w:rPr>
                <w:lang w:val="en-GB"/>
              </w:rPr>
              <w:t xml:space="preserve"> Payment applications for the specific measures affected by deficiencies identified in the implementing decisions adopted by the </w:t>
            </w:r>
            <w:r w:rsidRPr="008D0341" w:rsidR="000E1082">
              <w:rPr>
                <w:b/>
                <w:bCs/>
                <w:i/>
                <w:lang w:val="en-GB"/>
              </w:rPr>
              <w:t>Commission</w:t>
            </w:r>
            <w:r w:rsidRPr="008D0341" w:rsidR="000E1082">
              <w:rPr>
                <w:lang w:val="en-GB"/>
              </w:rPr>
              <w:t xml:space="preserve"> may be submitted by the Member State concerned, but the Commission shall not make the corresponding payments until the deficiencies have been remedied.</w:t>
            </w:r>
          </w:p>
        </w:tc>
      </w:tr>
    </w:tbl>
    <w:p w:rsidRPr="008D0341" w:rsidR="000E1082" w:rsidP="00066365" w:rsidRDefault="000E1082" w14:paraId="0D3BEDD3"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0E1082" w:rsidTr="00CF66AD" w14:paraId="042F7939" w14:textId="77777777">
        <w:tc>
          <w:tcPr>
            <w:tcW w:w="9287" w:type="dxa"/>
          </w:tcPr>
          <w:p w:rsidRPr="008D0341" w:rsidR="000E1082" w:rsidP="00066365" w:rsidRDefault="000E1082" w14:paraId="4F1F7099" w14:textId="77777777">
            <w:pPr>
              <w:jc w:val="center"/>
              <w:rPr>
                <w:b/>
                <w:i/>
                <w:lang w:val="en-GB"/>
              </w:rPr>
            </w:pPr>
            <w:r w:rsidRPr="008D0341">
              <w:rPr>
                <w:b/>
                <w:bCs/>
                <w:i/>
                <w:lang w:val="en-GB"/>
              </w:rPr>
              <w:t>Reason</w:t>
            </w:r>
          </w:p>
        </w:tc>
      </w:tr>
      <w:tr w:rsidRPr="008D0341" w:rsidR="000E1082" w:rsidTr="00CF66AD" w14:paraId="3671FA0C" w14:textId="77777777">
        <w:tc>
          <w:tcPr>
            <w:tcW w:w="9287" w:type="dxa"/>
          </w:tcPr>
          <w:p w:rsidRPr="008D0341" w:rsidR="000E1082" w:rsidP="0063224B" w:rsidRDefault="000E1082" w14:paraId="2C4A38CE" w14:textId="41339D23">
            <w:pPr>
              <w:tabs>
                <w:tab w:val="left" w:pos="1052"/>
              </w:tabs>
              <w:rPr>
                <w:iCs/>
                <w:lang w:val="en-GB"/>
              </w:rPr>
            </w:pPr>
            <w:r w:rsidRPr="0063224B">
              <w:rPr>
                <w:iCs/>
                <w:lang w:val="en-GB"/>
              </w:rPr>
              <w:t xml:space="preserve">This is a </w:t>
            </w:r>
            <w:r w:rsidR="000A3E53">
              <w:rPr>
                <w:iCs/>
                <w:lang w:val="en-GB"/>
              </w:rPr>
              <w:t xml:space="preserve">proposal for </w:t>
            </w:r>
            <w:r w:rsidRPr="0063224B">
              <w:rPr>
                <w:iCs/>
                <w:lang w:val="en-GB"/>
              </w:rPr>
              <w:t>simplification. The adoption of implementing decisions by the Council would extend the process unnecessarily. The proposal aims to keep the current 2021-2027 process.</w:t>
            </w:r>
          </w:p>
        </w:tc>
      </w:tr>
    </w:tbl>
    <w:p w:rsidR="000E1082" w:rsidP="00066365" w:rsidRDefault="000E1082" w14:paraId="4D927593" w14:textId="77777777">
      <w:pPr>
        <w:rPr>
          <w:lang w:val="en-GB"/>
        </w:rPr>
      </w:pPr>
    </w:p>
    <w:p w:rsidR="009E00CB" w:rsidP="00066365" w:rsidRDefault="009E00CB" w14:paraId="0060904F" w14:textId="77777777">
      <w:pPr>
        <w:rPr>
          <w:lang w:val="en-GB"/>
        </w:rPr>
      </w:pPr>
    </w:p>
    <w:p w:rsidRPr="008D0341" w:rsidR="008B28D4" w:rsidP="003F40F8" w:rsidRDefault="008B28D4" w14:paraId="503790AD" w14:textId="1010121F">
      <w:pPr>
        <w:keepNext/>
        <w:keepLines/>
        <w:jc w:val="center"/>
        <w:rPr>
          <w:b/>
          <w:bCs/>
          <w:lang w:val="en-GB"/>
        </w:rPr>
      </w:pPr>
      <w:r w:rsidRPr="008D0341">
        <w:rPr>
          <w:b/>
          <w:bCs/>
          <w:lang w:val="en-GB"/>
        </w:rPr>
        <w:t xml:space="preserve">Amendment </w:t>
      </w:r>
      <w:r w:rsidRPr="008D0341" w:rsidR="00DD509C">
        <w:rPr>
          <w:b/>
          <w:bCs/>
          <w:lang w:val="en-GB"/>
        </w:rPr>
        <w:t>1</w:t>
      </w:r>
      <w:r w:rsidRPr="008D0341" w:rsidR="008B5EAB">
        <w:rPr>
          <w:b/>
          <w:bCs/>
          <w:lang w:val="en-GB"/>
        </w:rPr>
        <w:t>9</w:t>
      </w:r>
    </w:p>
    <w:p w:rsidRPr="008D0341" w:rsidR="008B28D4" w:rsidP="003F40F8" w:rsidRDefault="008B28D4" w14:paraId="7EB61CD4" w14:textId="1CB90091">
      <w:pPr>
        <w:keepNext/>
        <w:keepLines/>
        <w:jc w:val="center"/>
        <w:rPr>
          <w:lang w:val="en-GB"/>
        </w:rPr>
      </w:pPr>
      <w:r w:rsidRPr="008D0341">
        <w:rPr>
          <w:lang w:val="en-GB"/>
        </w:rPr>
        <w:t>Article 24</w:t>
      </w:r>
    </w:p>
    <w:p w:rsidRPr="008D0341" w:rsidR="008B28D4" w:rsidP="003F40F8" w:rsidRDefault="008B28D4" w14:paraId="2B7CE502"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8B28D4" w:rsidTr="00CF66AD" w14:paraId="23A2A0CB" w14:textId="77777777">
        <w:tc>
          <w:tcPr>
            <w:tcW w:w="4642" w:type="dxa"/>
          </w:tcPr>
          <w:p w:rsidRPr="008D0341" w:rsidR="008B28D4" w:rsidP="00066365" w:rsidRDefault="008B28D4" w14:paraId="716A3818" w14:textId="77777777">
            <w:pPr>
              <w:jc w:val="center"/>
              <w:rPr>
                <w:b/>
                <w:bCs/>
                <w:i/>
                <w:iCs/>
                <w:lang w:val="en-GB"/>
              </w:rPr>
            </w:pPr>
            <w:r w:rsidRPr="008D0341">
              <w:rPr>
                <w:b/>
                <w:bCs/>
                <w:i/>
                <w:iCs/>
                <w:lang w:val="en-GB"/>
              </w:rPr>
              <w:t>Text proposed by the European Commission</w:t>
            </w:r>
          </w:p>
        </w:tc>
        <w:tc>
          <w:tcPr>
            <w:tcW w:w="4645" w:type="dxa"/>
          </w:tcPr>
          <w:p w:rsidRPr="008D0341" w:rsidR="008B28D4" w:rsidP="00066365" w:rsidRDefault="008B28D4" w14:paraId="12F6DDAB" w14:textId="77777777">
            <w:pPr>
              <w:jc w:val="center"/>
              <w:rPr>
                <w:b/>
                <w:i/>
                <w:lang w:val="en-GB"/>
              </w:rPr>
            </w:pPr>
            <w:r w:rsidRPr="008D0341">
              <w:rPr>
                <w:b/>
                <w:bCs/>
                <w:i/>
                <w:iCs/>
                <w:color w:val="000000"/>
                <w:lang w:val="en-GB"/>
              </w:rPr>
              <w:t>CoR amendment</w:t>
            </w:r>
          </w:p>
        </w:tc>
      </w:tr>
      <w:tr w:rsidRPr="008D0341" w:rsidR="008B28D4" w:rsidTr="00CF66AD" w14:paraId="097E5DF2" w14:textId="77777777">
        <w:tc>
          <w:tcPr>
            <w:tcW w:w="4642" w:type="dxa"/>
          </w:tcPr>
          <w:p w:rsidRPr="008D0341" w:rsidR="008B28D4" w:rsidP="00066365" w:rsidRDefault="008B28D4" w14:paraId="30FF6403" w14:textId="53773AFF">
            <w:pPr>
              <w:rPr>
                <w:lang w:val="en-GB"/>
              </w:rPr>
            </w:pPr>
            <w:r w:rsidRPr="008D0341">
              <w:rPr>
                <w:lang w:val="en-GB"/>
              </w:rPr>
              <w:t>1. A Member State may submit to the Commission a reasoned request for an amendment of its NRP Plan, together with the amended NRP Plan, setting out the expected impact of that amendment on the achievement of the objectives laid down in Articles 2 and 3.</w:t>
            </w:r>
          </w:p>
        </w:tc>
        <w:tc>
          <w:tcPr>
            <w:tcW w:w="4645" w:type="dxa"/>
          </w:tcPr>
          <w:p w:rsidRPr="008D0341" w:rsidR="008B28D4" w:rsidP="00066365" w:rsidRDefault="008B28D4" w14:paraId="50AC9FE1" w14:textId="5393F804">
            <w:pPr>
              <w:rPr>
                <w:lang w:val="en-GB"/>
              </w:rPr>
            </w:pPr>
            <w:r w:rsidRPr="008D0341">
              <w:rPr>
                <w:lang w:val="en-GB"/>
              </w:rPr>
              <w:t>1. A Member State may submit to the Commission a reasoned request for an amendment of its NRP Plan, together with the amended NRP Plan, setting out the expected impact of that amendment on the achievement of the objectives laid down in Articles 2 and 3.</w:t>
            </w:r>
            <w:r w:rsidRPr="008D0341">
              <w:rPr>
                <w:b/>
                <w:bCs/>
                <w:i/>
                <w:lang w:val="en-GB"/>
              </w:rPr>
              <w:t xml:space="preserve"> The Member State involves managing authorities to prepare an amendment of its NRP Plan.</w:t>
            </w:r>
          </w:p>
        </w:tc>
      </w:tr>
    </w:tbl>
    <w:p w:rsidRPr="008D0341" w:rsidR="008B28D4" w:rsidP="00066365" w:rsidRDefault="008B28D4" w14:paraId="4FE6D345"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8B28D4" w:rsidTr="00CF66AD" w14:paraId="79F7ABD5" w14:textId="77777777">
        <w:tc>
          <w:tcPr>
            <w:tcW w:w="9287" w:type="dxa"/>
          </w:tcPr>
          <w:p w:rsidRPr="008D0341" w:rsidR="008B28D4" w:rsidP="00066365" w:rsidRDefault="008B28D4" w14:paraId="6543ED68" w14:textId="77777777">
            <w:pPr>
              <w:jc w:val="center"/>
              <w:rPr>
                <w:b/>
                <w:i/>
                <w:lang w:val="en-GB"/>
              </w:rPr>
            </w:pPr>
            <w:r w:rsidRPr="008D0341">
              <w:rPr>
                <w:b/>
                <w:bCs/>
                <w:i/>
                <w:lang w:val="en-GB"/>
              </w:rPr>
              <w:t>Reason</w:t>
            </w:r>
          </w:p>
        </w:tc>
      </w:tr>
      <w:tr w:rsidRPr="008D0341" w:rsidR="008B28D4" w:rsidTr="00CF66AD" w14:paraId="57F39D53" w14:textId="77777777">
        <w:tc>
          <w:tcPr>
            <w:tcW w:w="9287" w:type="dxa"/>
          </w:tcPr>
          <w:p w:rsidRPr="008D0341" w:rsidR="008B28D4" w:rsidP="00066365" w:rsidRDefault="008B28D4" w14:paraId="2D8810A7" w14:textId="66A49165">
            <w:pPr>
              <w:rPr>
                <w:lang w:val="en-GB"/>
              </w:rPr>
            </w:pPr>
            <w:r w:rsidRPr="008D0341">
              <w:rPr>
                <w:lang w:val="en-GB"/>
              </w:rPr>
              <w:t>Managing authorities should be involved in any change or amendment of the NRP plan of the Member State.</w:t>
            </w:r>
          </w:p>
        </w:tc>
      </w:tr>
    </w:tbl>
    <w:p w:rsidR="008B28D4" w:rsidP="00066365" w:rsidRDefault="008B28D4" w14:paraId="37E75E02" w14:textId="77777777">
      <w:pPr>
        <w:rPr>
          <w:lang w:val="en-GB"/>
        </w:rPr>
      </w:pPr>
    </w:p>
    <w:p w:rsidR="009E00CB" w:rsidP="00066365" w:rsidRDefault="009E00CB" w14:paraId="2AF70DE4" w14:textId="77777777">
      <w:pPr>
        <w:rPr>
          <w:lang w:val="en-GB"/>
        </w:rPr>
      </w:pPr>
    </w:p>
    <w:p w:rsidRPr="008D0341" w:rsidR="00352E5C" w:rsidP="003F40F8" w:rsidRDefault="00352E5C" w14:paraId="5C750DC5" w14:textId="67A44AF3">
      <w:pPr>
        <w:keepNext/>
        <w:keepLines/>
        <w:jc w:val="center"/>
        <w:rPr>
          <w:lang w:val="en-GB"/>
        </w:rPr>
      </w:pPr>
      <w:r w:rsidRPr="008D0341">
        <w:rPr>
          <w:rFonts w:eastAsia="Myriad Pro"/>
          <w:b/>
          <w:bCs/>
          <w:lang w:val="en-GB"/>
        </w:rPr>
        <w:t xml:space="preserve">Amendment </w:t>
      </w:r>
      <w:r w:rsidRPr="008D0341" w:rsidR="008B5EAB">
        <w:rPr>
          <w:rFonts w:eastAsia="Myriad Pro"/>
          <w:b/>
          <w:bCs/>
          <w:lang w:val="en-GB"/>
        </w:rPr>
        <w:t>20</w:t>
      </w:r>
    </w:p>
    <w:p w:rsidRPr="008D0341" w:rsidR="00352E5C" w:rsidP="003F40F8" w:rsidRDefault="00352E5C" w14:paraId="119E2226" w14:textId="470BAFF6">
      <w:pPr>
        <w:keepNext/>
        <w:keepLines/>
        <w:jc w:val="center"/>
        <w:rPr>
          <w:rFonts w:eastAsia="Myriad Pro"/>
          <w:lang w:val="en-GB"/>
        </w:rPr>
      </w:pPr>
      <w:r w:rsidRPr="008D0341">
        <w:rPr>
          <w:rFonts w:eastAsia="Myriad Pro"/>
          <w:lang w:val="en-GB"/>
        </w:rPr>
        <w:t>Article 25</w:t>
      </w:r>
      <w:r w:rsidRPr="008D0341" w:rsidR="00404D71">
        <w:rPr>
          <w:rFonts w:eastAsia="Myriad Pro"/>
          <w:lang w:val="en-GB"/>
        </w:rPr>
        <w:t xml:space="preserve"> add </w:t>
      </w:r>
      <w:r w:rsidRPr="008D0341" w:rsidR="000F02E6">
        <w:rPr>
          <w:rFonts w:eastAsia="Myriad Pro"/>
          <w:lang w:val="en-GB"/>
        </w:rPr>
        <w:t>new paragraph 2 (after paragraph 1)</w:t>
      </w:r>
      <w:r w:rsidRPr="008D0341">
        <w:rPr>
          <w:rFonts w:eastAsia="Myriad Pro"/>
          <w:lang w:val="en-GB"/>
        </w:rPr>
        <w:t xml:space="preserve"> – Mid-term review</w:t>
      </w:r>
    </w:p>
    <w:p w:rsidRPr="008D0341" w:rsidR="007A0032" w:rsidP="003F40F8" w:rsidRDefault="007A0032" w14:paraId="32A3F4EC"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B119C7" w14:paraId="5BCDB011"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B119C7" w14:paraId="7A90CEA3" w14:textId="3444AB3A">
            <w:pPr>
              <w:jc w:val="center"/>
              <w:rPr>
                <w:b/>
                <w:bCs/>
                <w:i/>
                <w:iCs/>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20544452" w14:textId="77777777">
            <w:pPr>
              <w:jc w:val="center"/>
              <w:rPr>
                <w:b/>
                <w:bCs/>
                <w:i/>
                <w:iCs/>
                <w:lang w:val="en-GB"/>
              </w:rPr>
            </w:pPr>
            <w:r w:rsidRPr="008D0341">
              <w:rPr>
                <w:b/>
                <w:bCs/>
                <w:i/>
                <w:iCs/>
                <w:lang w:val="en-GB"/>
              </w:rPr>
              <w:t>CoR amendment</w:t>
            </w:r>
          </w:p>
        </w:tc>
      </w:tr>
      <w:tr w:rsidRPr="008D0341" w:rsidR="00352E5C" w:rsidTr="00B119C7" w14:paraId="6D93EB65"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335CE" w14:paraId="7CE85171" w14:textId="072D0614">
            <w:pPr>
              <w:shd w:val="clear" w:color="auto" w:fill="FFFFFF"/>
              <w:textAlignment w:val="baseline"/>
              <w:rPr>
                <w:color w:val="000000"/>
                <w:bdr w:val="none" w:color="auto" w:sz="0" w:space="0" w:frame="1"/>
                <w:lang w:val="en-GB"/>
              </w:rPr>
            </w:pPr>
            <w:r w:rsidRPr="008D0341">
              <w:rPr>
                <w:color w:val="000000"/>
                <w:bdr w:val="none" w:color="auto" w:sz="0" w:space="0" w:frame="1"/>
                <w:lang w:val="en-GB"/>
              </w:rPr>
              <w:t xml:space="preserve">1. </w:t>
            </w:r>
            <w:r w:rsidRPr="008D0341" w:rsidR="00352E5C">
              <w:rPr>
                <w:color w:val="000000"/>
                <w:bdr w:val="none" w:color="auto" w:sz="0" w:space="0" w:frame="1"/>
                <w:lang w:val="en-GB"/>
              </w:rPr>
              <w:t>The Member State shall review their NRP Plans, taking into account the following elements:</w:t>
            </w:r>
          </w:p>
          <w:p w:rsidRPr="008D0341" w:rsidR="00352E5C" w:rsidP="00066365" w:rsidRDefault="00352E5C" w14:paraId="77895103" w14:textId="77777777">
            <w:pPr>
              <w:shd w:val="clear" w:color="auto" w:fill="FFFFFF"/>
              <w:textAlignment w:val="baseline"/>
              <w:rPr>
                <w:color w:val="000000"/>
                <w:lang w:val="en-GB"/>
              </w:rPr>
            </w:pPr>
            <w:r w:rsidRPr="008D0341">
              <w:rPr>
                <w:color w:val="000000"/>
                <w:bdr w:val="none" w:color="auto" w:sz="0" w:space="0" w:frame="1"/>
                <w:lang w:val="en-GB"/>
              </w:rPr>
              <w:t>(a)the challenges identified in accordance with Article 22(2), points (a), (b) and (c) [Requirements of the Plan];</w:t>
            </w:r>
          </w:p>
          <w:p w:rsidRPr="008D0341" w:rsidR="00352E5C" w:rsidP="00066365" w:rsidRDefault="00352E5C" w14:paraId="69F5CEC2" w14:textId="5D8ECF50">
            <w:pPr>
              <w:shd w:val="clear" w:color="auto" w:fill="FFFFFF"/>
              <w:textAlignment w:val="baseline"/>
              <w:rPr>
                <w:color w:val="000000"/>
                <w:lang w:val="en-GB"/>
              </w:rPr>
            </w:pPr>
            <w:r w:rsidRPr="008D0341">
              <w:rPr>
                <w:color w:val="000000"/>
                <w:bdr w:val="none" w:color="auto" w:sz="0" w:space="0" w:frame="1"/>
                <w:lang w:val="en-GB"/>
              </w:rPr>
              <w:t>(b)</w:t>
            </w:r>
            <w:r w:rsidRPr="008D0341" w:rsidR="009513D8">
              <w:rPr>
                <w:color w:val="000000"/>
                <w:bdr w:val="none" w:color="auto" w:sz="0" w:space="0" w:frame="1"/>
                <w:lang w:val="en-GB"/>
              </w:rPr>
              <w:t xml:space="preserve"> </w:t>
            </w:r>
            <w:r w:rsidRPr="008D0341">
              <w:rPr>
                <w:color w:val="000000"/>
                <w:bdr w:val="none" w:color="auto" w:sz="0" w:space="0" w:frame="1"/>
                <w:lang w:val="en-GB"/>
              </w:rPr>
              <w:t>the socio-economic situation of the Member State or region concerned, with special emphasis on territorial needs, taking into account any major negative financial, economic or social development;</w:t>
            </w:r>
          </w:p>
          <w:p w:rsidRPr="008D0341" w:rsidR="00352E5C" w:rsidP="00066365" w:rsidRDefault="00352E5C" w14:paraId="1609CD42" w14:textId="53AD4F6C">
            <w:pPr>
              <w:shd w:val="clear" w:color="auto" w:fill="FFFFFF"/>
              <w:textAlignment w:val="baseline"/>
              <w:rPr>
                <w:color w:val="000000"/>
                <w:lang w:val="en-GB"/>
              </w:rPr>
            </w:pPr>
            <w:r w:rsidRPr="008D0341">
              <w:rPr>
                <w:color w:val="000000"/>
                <w:bdr w:val="none" w:color="auto" w:sz="0" w:space="0" w:frame="1"/>
                <w:lang w:val="en-GB"/>
              </w:rPr>
              <w:t>(c)</w:t>
            </w:r>
            <w:r w:rsidRPr="008D0341" w:rsidR="009513D8">
              <w:rPr>
                <w:color w:val="000000"/>
                <w:bdr w:val="none" w:color="auto" w:sz="0" w:space="0" w:frame="1"/>
                <w:lang w:val="en-GB"/>
              </w:rPr>
              <w:t xml:space="preserve"> </w:t>
            </w:r>
            <w:r w:rsidRPr="008D0341">
              <w:rPr>
                <w:color w:val="000000"/>
                <w:bdr w:val="none" w:color="auto" w:sz="0" w:space="0" w:frame="1"/>
                <w:lang w:val="en-GB"/>
              </w:rPr>
              <w:t>the main results of relevant interim assessment reports;</w:t>
            </w:r>
          </w:p>
          <w:p w:rsidRPr="008D0341" w:rsidR="00352E5C" w:rsidP="00066365" w:rsidRDefault="00352E5C" w14:paraId="11141C38" w14:textId="346BAF0C">
            <w:pPr>
              <w:shd w:val="clear" w:color="auto" w:fill="FFFFFF"/>
              <w:textAlignment w:val="baseline"/>
              <w:rPr>
                <w:color w:val="000000"/>
                <w:lang w:val="en-GB"/>
              </w:rPr>
            </w:pPr>
            <w:r w:rsidRPr="008D0341">
              <w:rPr>
                <w:color w:val="000000"/>
                <w:bdr w:val="none" w:color="auto" w:sz="0" w:space="0" w:frame="1"/>
                <w:lang w:val="en-GB"/>
              </w:rPr>
              <w:t>(d)</w:t>
            </w:r>
            <w:r w:rsidRPr="008D0341" w:rsidR="009513D8">
              <w:rPr>
                <w:color w:val="000000"/>
                <w:bdr w:val="none" w:color="auto" w:sz="0" w:space="0" w:frame="1"/>
                <w:lang w:val="en-GB"/>
              </w:rPr>
              <w:t xml:space="preserve"> </w:t>
            </w:r>
            <w:r w:rsidRPr="008D0341">
              <w:rPr>
                <w:color w:val="000000"/>
                <w:bdr w:val="none" w:color="auto" w:sz="0" w:space="0" w:frame="1"/>
                <w:lang w:val="en-GB"/>
              </w:rPr>
              <w:t>the progress towards the achievement of measures, taking into account major difficulties encountered in the implementation of the NRP Plan;</w:t>
            </w:r>
          </w:p>
          <w:p w:rsidRPr="008D0341" w:rsidR="00352E5C" w:rsidP="00066365" w:rsidRDefault="00352E5C" w14:paraId="4B8B4F82" w14:textId="5C3855DB">
            <w:pPr>
              <w:shd w:val="clear" w:color="auto" w:fill="FFFFFF"/>
              <w:textAlignment w:val="baseline"/>
              <w:rPr>
                <w:color w:val="000000"/>
                <w:lang w:val="en-GB"/>
              </w:rPr>
            </w:pPr>
            <w:r w:rsidRPr="008D0341">
              <w:rPr>
                <w:color w:val="000000"/>
                <w:bdr w:val="none" w:color="auto" w:sz="0" w:space="0" w:frame="1"/>
                <w:lang w:val="en-GB"/>
              </w:rPr>
              <w:t>(e)</w:t>
            </w:r>
            <w:r w:rsidRPr="008D0341" w:rsidR="009513D8">
              <w:rPr>
                <w:color w:val="000000"/>
                <w:bdr w:val="none" w:color="auto" w:sz="0" w:space="0" w:frame="1"/>
                <w:lang w:val="en-GB"/>
              </w:rPr>
              <w:t xml:space="preserve"> </w:t>
            </w:r>
            <w:r w:rsidRPr="008D0341">
              <w:rPr>
                <w:color w:val="000000"/>
                <w:bdr w:val="none" w:color="auto" w:sz="0" w:space="0" w:frame="1"/>
                <w:lang w:val="en-GB"/>
              </w:rPr>
              <w:t>Important Projects of Common European Interest (IPCEI) and projects that have been awarded a Seal;</w:t>
            </w:r>
          </w:p>
          <w:p w:rsidRPr="008D0341" w:rsidR="00352E5C" w:rsidP="00066365" w:rsidRDefault="00352E5C" w14:paraId="3A760CC9" w14:textId="42B0A459">
            <w:pPr>
              <w:shd w:val="clear" w:color="auto" w:fill="FFFFFF"/>
              <w:textAlignment w:val="baseline"/>
              <w:rPr>
                <w:color w:val="000000"/>
                <w:lang w:val="en-GB"/>
              </w:rPr>
            </w:pPr>
            <w:r w:rsidRPr="008D0341">
              <w:rPr>
                <w:color w:val="000000"/>
                <w:bdr w:val="none" w:color="auto" w:sz="0" w:space="0" w:frame="1"/>
                <w:lang w:val="en-GB"/>
              </w:rPr>
              <w:t>(f)</w:t>
            </w:r>
            <w:r w:rsidRPr="008D0341" w:rsidR="009513D8">
              <w:rPr>
                <w:color w:val="000000"/>
                <w:bdr w:val="none" w:color="auto" w:sz="0" w:space="0" w:frame="1"/>
                <w:lang w:val="en-GB"/>
              </w:rPr>
              <w:t xml:space="preserve"> </w:t>
            </w:r>
            <w:r w:rsidRPr="008D0341">
              <w:rPr>
                <w:color w:val="000000"/>
                <w:bdr w:val="none" w:color="auto" w:sz="0" w:space="0" w:frame="1"/>
                <w:lang w:val="en-GB"/>
              </w:rPr>
              <w:t>occurrence of any crisis;</w:t>
            </w:r>
          </w:p>
          <w:p w:rsidRPr="00BC7019" w:rsidR="00352E5C" w:rsidP="00066365" w:rsidRDefault="00352E5C" w14:paraId="5D787E55" w14:textId="6920C95E">
            <w:pPr>
              <w:shd w:val="clear" w:color="auto" w:fill="FFFFFF"/>
              <w:textAlignment w:val="baseline"/>
              <w:rPr>
                <w:color w:val="000000"/>
                <w:bdr w:val="none" w:color="auto" w:sz="0" w:space="0" w:frame="1"/>
                <w:lang w:val="en-GB"/>
              </w:rPr>
            </w:pPr>
            <w:r w:rsidRPr="008D0341">
              <w:rPr>
                <w:color w:val="000000"/>
                <w:bdr w:val="none" w:color="auto" w:sz="0" w:space="0" w:frame="1"/>
                <w:lang w:val="en-GB"/>
              </w:rPr>
              <w:t>(g)</w:t>
            </w:r>
            <w:r w:rsidRPr="008D0341" w:rsidR="009513D8">
              <w:rPr>
                <w:color w:val="000000"/>
                <w:bdr w:val="none" w:color="auto" w:sz="0" w:space="0" w:frame="1"/>
                <w:lang w:val="en-GB"/>
              </w:rPr>
              <w:t xml:space="preserve"> </w:t>
            </w:r>
            <w:r w:rsidRPr="008D0341">
              <w:rPr>
                <w:color w:val="000000"/>
                <w:bdr w:val="none" w:color="auto" w:sz="0" w:space="0" w:frame="1"/>
                <w:lang w:val="en-GB"/>
              </w:rPr>
              <w:t>the need to ensure continuous compliance of the Rule of Law and the Charter horizontal conditions in the implementation of the Plan, taking into consideration in particular the country-specific challenges identified in the context of the Rule of Law Report and the European Semester.</w:t>
            </w:r>
          </w:p>
          <w:p w:rsidRPr="00BC7019" w:rsidR="00B4127B" w:rsidP="00066365" w:rsidRDefault="00352E5C" w14:paraId="135B0826" w14:textId="2EDEEE7B">
            <w:pPr>
              <w:shd w:val="clear" w:color="auto" w:fill="FFFFFF"/>
              <w:textAlignment w:val="baseline"/>
              <w:rPr>
                <w:color w:val="000000"/>
                <w:bdr w:val="none" w:color="auto" w:sz="0" w:space="0" w:frame="1"/>
                <w:lang w:val="en-GB"/>
              </w:rPr>
            </w:pPr>
            <w:r w:rsidRPr="0063224B">
              <w:rPr>
                <w:b/>
                <w:bCs/>
                <w:i/>
                <w:iCs/>
                <w:color w:val="000000"/>
                <w:bdr w:val="none" w:color="auto" w:sz="0" w:space="0" w:frame="1"/>
                <w:lang w:val="en-GB"/>
              </w:rPr>
              <w:t>2.</w:t>
            </w:r>
            <w:r w:rsidRPr="008D0341" w:rsidR="009513D8">
              <w:rPr>
                <w:color w:val="000000"/>
                <w:bdr w:val="none" w:color="auto" w:sz="0" w:space="0" w:frame="1"/>
                <w:lang w:val="en-GB"/>
              </w:rPr>
              <w:t xml:space="preserve"> </w:t>
            </w:r>
            <w:r w:rsidRPr="008D0341">
              <w:rPr>
                <w:color w:val="000000"/>
                <w:bdr w:val="none" w:color="auto" w:sz="0" w:space="0" w:frame="1"/>
                <w:lang w:val="en-GB"/>
              </w:rPr>
              <w:t>The Member State shall submit an amended NRP Plan presenting the outcome of the mid-term review, including a review of the estimated total costs of the measures covered by the Plan and a proposal for additional measures to be supported by the flexibility amount referred to in Article 14(2) by 31 March 2031.</w:t>
            </w:r>
          </w:p>
          <w:p w:rsidRPr="008D0341" w:rsidR="00352E5C" w:rsidP="00066365" w:rsidRDefault="00352E5C" w14:paraId="1C24BBD3" w14:textId="73F84D16">
            <w:pPr>
              <w:shd w:val="clear" w:color="auto" w:fill="FFFFFF"/>
              <w:textAlignment w:val="baseline"/>
              <w:rPr>
                <w:color w:val="000000"/>
                <w:lang w:val="en-GB"/>
              </w:rPr>
            </w:pPr>
            <w:r w:rsidRPr="0063224B">
              <w:rPr>
                <w:b/>
                <w:bCs/>
                <w:i/>
                <w:iCs/>
                <w:color w:val="000000"/>
                <w:bdr w:val="none" w:color="auto" w:sz="0" w:space="0" w:frame="1"/>
                <w:lang w:val="en-GB"/>
              </w:rPr>
              <w:t>3.</w:t>
            </w:r>
            <w:r w:rsidRPr="008D0341" w:rsidR="007A0032">
              <w:rPr>
                <w:b/>
                <w:bCs/>
                <w:i/>
                <w:iCs/>
                <w:color w:val="000000"/>
                <w:bdr w:val="none" w:color="auto" w:sz="0" w:space="0" w:frame="1"/>
                <w:lang w:val="en-GB"/>
              </w:rPr>
              <w:t xml:space="preserve"> </w:t>
            </w:r>
            <w:r w:rsidRPr="008D0341">
              <w:rPr>
                <w:color w:val="000000"/>
                <w:bdr w:val="none" w:color="auto" w:sz="0" w:space="0" w:frame="1"/>
                <w:lang w:val="en-GB"/>
              </w:rPr>
              <w:t>The amended NRP Plan shall include the following:</w:t>
            </w:r>
          </w:p>
          <w:p w:rsidRPr="008D0341" w:rsidR="00352E5C" w:rsidP="00066365" w:rsidRDefault="00352E5C" w14:paraId="48466000" w14:textId="49C122F2">
            <w:pPr>
              <w:shd w:val="clear" w:color="auto" w:fill="FFFFFF"/>
              <w:textAlignment w:val="baseline"/>
              <w:rPr>
                <w:color w:val="000000"/>
                <w:lang w:val="en-GB"/>
              </w:rPr>
            </w:pPr>
            <w:r w:rsidRPr="008D0341">
              <w:rPr>
                <w:color w:val="000000"/>
                <w:bdr w:val="none" w:color="auto" w:sz="0" w:space="0" w:frame="1"/>
                <w:lang w:val="en-GB"/>
              </w:rPr>
              <w:t>(a)</w:t>
            </w:r>
            <w:r w:rsidRPr="008D0341" w:rsidR="009513D8">
              <w:rPr>
                <w:color w:val="000000"/>
                <w:bdr w:val="none" w:color="auto" w:sz="0" w:space="0" w:frame="1"/>
                <w:lang w:val="en-GB"/>
              </w:rPr>
              <w:t xml:space="preserve"> </w:t>
            </w:r>
            <w:r w:rsidRPr="008D0341">
              <w:rPr>
                <w:color w:val="000000"/>
                <w:bdr w:val="none" w:color="auto" w:sz="0" w:space="0" w:frame="1"/>
                <w:lang w:val="en-GB"/>
              </w:rPr>
              <w:t>revised or new measures;</w:t>
            </w:r>
          </w:p>
          <w:p w:rsidRPr="008D0341" w:rsidR="00352E5C" w:rsidP="00066365" w:rsidRDefault="00352E5C" w14:paraId="4EDDAB61" w14:textId="012F591C">
            <w:pPr>
              <w:shd w:val="clear" w:color="auto" w:fill="FFFFFF"/>
              <w:textAlignment w:val="baseline"/>
              <w:rPr>
                <w:color w:val="000000"/>
                <w:lang w:val="en-GB"/>
              </w:rPr>
            </w:pPr>
            <w:r w:rsidRPr="008D0341">
              <w:rPr>
                <w:color w:val="000000"/>
                <w:bdr w:val="none" w:color="auto" w:sz="0" w:space="0" w:frame="1"/>
                <w:lang w:val="en-GB"/>
              </w:rPr>
              <w:t>(b)</w:t>
            </w:r>
            <w:r w:rsidRPr="008D0341" w:rsidR="009513D8">
              <w:rPr>
                <w:color w:val="000000"/>
                <w:bdr w:val="none" w:color="auto" w:sz="0" w:space="0" w:frame="1"/>
                <w:lang w:val="en-GB"/>
              </w:rPr>
              <w:t xml:space="preserve"> </w:t>
            </w:r>
            <w:r w:rsidRPr="008D0341">
              <w:rPr>
                <w:color w:val="000000"/>
                <w:bdr w:val="none" w:color="auto" w:sz="0" w:space="0" w:frame="1"/>
                <w:lang w:val="en-GB"/>
              </w:rPr>
              <w:t>the updated estimated total costs of the Plan and the flexibility amount requested;</w:t>
            </w:r>
          </w:p>
          <w:p w:rsidRPr="00BC7019" w:rsidR="00352E5C" w:rsidP="00066365" w:rsidRDefault="00352E5C" w14:paraId="5D5E5DAA" w14:textId="29A151B0">
            <w:pPr>
              <w:shd w:val="clear" w:color="auto" w:fill="FFFFFF"/>
              <w:textAlignment w:val="baseline"/>
              <w:rPr>
                <w:color w:val="000000"/>
                <w:bdr w:val="none" w:color="auto" w:sz="0" w:space="0" w:frame="1"/>
                <w:lang w:val="en-GB"/>
              </w:rPr>
            </w:pPr>
            <w:r w:rsidRPr="008D0341">
              <w:rPr>
                <w:color w:val="000000"/>
                <w:bdr w:val="none" w:color="auto" w:sz="0" w:space="0" w:frame="1"/>
                <w:lang w:val="en-GB"/>
              </w:rPr>
              <w:t>(c)revised or new milestones and targets.</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335CE" w14:paraId="083C2A03" w14:textId="0B0826AC">
            <w:pPr>
              <w:shd w:val="clear" w:color="auto" w:fill="FFFFFF"/>
              <w:textAlignment w:val="baseline"/>
              <w:rPr>
                <w:color w:val="000000"/>
                <w:bdr w:val="none" w:color="auto" w:sz="0" w:space="0" w:frame="1"/>
                <w:lang w:val="en-GB"/>
              </w:rPr>
            </w:pPr>
            <w:r w:rsidRPr="008D0341">
              <w:rPr>
                <w:color w:val="000000"/>
                <w:bdr w:val="none" w:color="auto" w:sz="0" w:space="0" w:frame="1"/>
                <w:lang w:val="en-GB"/>
              </w:rPr>
              <w:t xml:space="preserve">1. </w:t>
            </w:r>
            <w:r w:rsidRPr="008D0341" w:rsidR="00352E5C">
              <w:rPr>
                <w:color w:val="000000"/>
                <w:bdr w:val="none" w:color="auto" w:sz="0" w:space="0" w:frame="1"/>
                <w:lang w:val="en-GB"/>
              </w:rPr>
              <w:t>The Member State shall review their NRP Plans, taking into account the following elements:</w:t>
            </w:r>
          </w:p>
          <w:p w:rsidRPr="008D0341" w:rsidR="00352E5C" w:rsidP="00066365" w:rsidRDefault="00352E5C" w14:paraId="0724741C" w14:textId="1C53F237">
            <w:pPr>
              <w:shd w:val="clear" w:color="auto" w:fill="FFFFFF"/>
              <w:textAlignment w:val="baseline"/>
              <w:rPr>
                <w:color w:val="000000"/>
                <w:lang w:val="en-GB"/>
              </w:rPr>
            </w:pPr>
            <w:r w:rsidRPr="008D0341">
              <w:rPr>
                <w:color w:val="000000"/>
                <w:bdr w:val="none" w:color="auto" w:sz="0" w:space="0" w:frame="1"/>
                <w:lang w:val="en-GB"/>
              </w:rPr>
              <w:t>(a)</w:t>
            </w:r>
            <w:r w:rsidRPr="008D0341" w:rsidR="00945168">
              <w:rPr>
                <w:color w:val="000000"/>
                <w:bdr w:val="none" w:color="auto" w:sz="0" w:space="0" w:frame="1"/>
                <w:lang w:val="en-GB"/>
              </w:rPr>
              <w:t xml:space="preserve"> </w:t>
            </w:r>
            <w:r w:rsidRPr="008D0341">
              <w:rPr>
                <w:color w:val="000000"/>
                <w:bdr w:val="none" w:color="auto" w:sz="0" w:space="0" w:frame="1"/>
                <w:lang w:val="en-GB"/>
              </w:rPr>
              <w:t>the challenges identified in accordance with Article 22(2), points (a), (b) and (c) [Requirements of the Plan];</w:t>
            </w:r>
          </w:p>
          <w:p w:rsidRPr="008D0341" w:rsidR="00352E5C" w:rsidP="00066365" w:rsidRDefault="00352E5C" w14:paraId="1C87006F" w14:textId="7ABB08AD">
            <w:pPr>
              <w:shd w:val="clear" w:color="auto" w:fill="FFFFFF"/>
              <w:textAlignment w:val="baseline"/>
              <w:rPr>
                <w:color w:val="000000"/>
                <w:lang w:val="en-GB"/>
              </w:rPr>
            </w:pPr>
            <w:r w:rsidRPr="008D0341">
              <w:rPr>
                <w:color w:val="000000"/>
                <w:bdr w:val="none" w:color="auto" w:sz="0" w:space="0" w:frame="1"/>
                <w:lang w:val="en-GB"/>
              </w:rPr>
              <w:t>(b)</w:t>
            </w:r>
            <w:r w:rsidRPr="008D0341" w:rsidR="009513D8">
              <w:rPr>
                <w:color w:val="000000"/>
                <w:bdr w:val="none" w:color="auto" w:sz="0" w:space="0" w:frame="1"/>
                <w:lang w:val="en-GB"/>
              </w:rPr>
              <w:t xml:space="preserve"> </w:t>
            </w:r>
            <w:r w:rsidRPr="008D0341">
              <w:rPr>
                <w:color w:val="000000"/>
                <w:bdr w:val="none" w:color="auto" w:sz="0" w:space="0" w:frame="1"/>
                <w:lang w:val="en-GB"/>
              </w:rPr>
              <w:t>the socio-economic situation of the Member State or region concerned, with special emphasis on territorial needs, taking into account any major negative financial, economic or social development;</w:t>
            </w:r>
          </w:p>
          <w:p w:rsidRPr="008D0341" w:rsidR="00352E5C" w:rsidP="00066365" w:rsidRDefault="00352E5C" w14:paraId="022866E3" w14:textId="08CC8DF2">
            <w:pPr>
              <w:shd w:val="clear" w:color="auto" w:fill="FFFFFF"/>
              <w:textAlignment w:val="baseline"/>
              <w:rPr>
                <w:color w:val="000000"/>
                <w:lang w:val="en-GB"/>
              </w:rPr>
            </w:pPr>
            <w:r w:rsidRPr="008D0341">
              <w:rPr>
                <w:color w:val="000000"/>
                <w:bdr w:val="none" w:color="auto" w:sz="0" w:space="0" w:frame="1"/>
                <w:lang w:val="en-GB"/>
              </w:rPr>
              <w:t>(c)</w:t>
            </w:r>
            <w:r w:rsidRPr="008D0341" w:rsidR="009513D8">
              <w:rPr>
                <w:color w:val="000000"/>
                <w:bdr w:val="none" w:color="auto" w:sz="0" w:space="0" w:frame="1"/>
                <w:lang w:val="en-GB"/>
              </w:rPr>
              <w:t xml:space="preserve"> </w:t>
            </w:r>
            <w:r w:rsidRPr="008D0341">
              <w:rPr>
                <w:color w:val="000000"/>
                <w:bdr w:val="none" w:color="auto" w:sz="0" w:space="0" w:frame="1"/>
                <w:lang w:val="en-GB"/>
              </w:rPr>
              <w:t>the main results of relevant interim assessment reports;</w:t>
            </w:r>
          </w:p>
          <w:p w:rsidRPr="008D0341" w:rsidR="00352E5C" w:rsidP="00066365" w:rsidRDefault="00352E5C" w14:paraId="62FFCDA8" w14:textId="7A864D31">
            <w:pPr>
              <w:shd w:val="clear" w:color="auto" w:fill="FFFFFF"/>
              <w:textAlignment w:val="baseline"/>
              <w:rPr>
                <w:color w:val="000000"/>
                <w:lang w:val="en-GB"/>
              </w:rPr>
            </w:pPr>
            <w:r w:rsidRPr="008D0341">
              <w:rPr>
                <w:color w:val="000000"/>
                <w:bdr w:val="none" w:color="auto" w:sz="0" w:space="0" w:frame="1"/>
                <w:lang w:val="en-GB"/>
              </w:rPr>
              <w:t>(d)</w:t>
            </w:r>
            <w:r w:rsidRPr="008D0341" w:rsidR="009513D8">
              <w:rPr>
                <w:color w:val="000000"/>
                <w:bdr w:val="none" w:color="auto" w:sz="0" w:space="0" w:frame="1"/>
                <w:lang w:val="en-GB"/>
              </w:rPr>
              <w:t xml:space="preserve"> </w:t>
            </w:r>
            <w:r w:rsidRPr="008D0341">
              <w:rPr>
                <w:color w:val="000000"/>
                <w:bdr w:val="none" w:color="auto" w:sz="0" w:space="0" w:frame="1"/>
                <w:lang w:val="en-GB"/>
              </w:rPr>
              <w:t>the progress towards the achievement of measures, taking into account major difficulties encountered in the implementation of the NRP Plan;</w:t>
            </w:r>
          </w:p>
          <w:p w:rsidRPr="008D0341" w:rsidR="00352E5C" w:rsidP="00066365" w:rsidRDefault="00352E5C" w14:paraId="0A8192E8" w14:textId="7855BDDB">
            <w:pPr>
              <w:shd w:val="clear" w:color="auto" w:fill="FFFFFF"/>
              <w:textAlignment w:val="baseline"/>
              <w:rPr>
                <w:color w:val="000000"/>
                <w:lang w:val="en-GB"/>
              </w:rPr>
            </w:pPr>
            <w:r w:rsidRPr="008D0341">
              <w:rPr>
                <w:color w:val="000000"/>
                <w:bdr w:val="none" w:color="auto" w:sz="0" w:space="0" w:frame="1"/>
                <w:lang w:val="en-GB"/>
              </w:rPr>
              <w:t>(e)</w:t>
            </w:r>
            <w:r w:rsidRPr="008D0341" w:rsidR="009513D8">
              <w:rPr>
                <w:color w:val="000000"/>
                <w:bdr w:val="none" w:color="auto" w:sz="0" w:space="0" w:frame="1"/>
                <w:lang w:val="en-GB"/>
              </w:rPr>
              <w:t xml:space="preserve"> </w:t>
            </w:r>
            <w:r w:rsidRPr="008D0341">
              <w:rPr>
                <w:color w:val="000000"/>
                <w:bdr w:val="none" w:color="auto" w:sz="0" w:space="0" w:frame="1"/>
                <w:lang w:val="en-GB"/>
              </w:rPr>
              <w:t>Important Projects of Common European Interest (IPCEI) and projects that have been awarded a Seal;</w:t>
            </w:r>
          </w:p>
          <w:p w:rsidRPr="008D0341" w:rsidR="00352E5C" w:rsidP="00066365" w:rsidRDefault="00352E5C" w14:paraId="27ED95D7" w14:textId="4000537F">
            <w:pPr>
              <w:shd w:val="clear" w:color="auto" w:fill="FFFFFF"/>
              <w:textAlignment w:val="baseline"/>
              <w:rPr>
                <w:color w:val="000000"/>
                <w:lang w:val="en-GB"/>
              </w:rPr>
            </w:pPr>
            <w:r w:rsidRPr="008D0341">
              <w:rPr>
                <w:color w:val="000000"/>
                <w:bdr w:val="none" w:color="auto" w:sz="0" w:space="0" w:frame="1"/>
                <w:lang w:val="en-GB"/>
              </w:rPr>
              <w:t>(f)</w:t>
            </w:r>
            <w:r w:rsidRPr="008D0341" w:rsidR="009513D8">
              <w:rPr>
                <w:color w:val="000000"/>
                <w:bdr w:val="none" w:color="auto" w:sz="0" w:space="0" w:frame="1"/>
                <w:lang w:val="en-GB"/>
              </w:rPr>
              <w:t xml:space="preserve"> </w:t>
            </w:r>
            <w:r w:rsidRPr="008D0341">
              <w:rPr>
                <w:color w:val="000000"/>
                <w:bdr w:val="none" w:color="auto" w:sz="0" w:space="0" w:frame="1"/>
                <w:lang w:val="en-GB"/>
              </w:rPr>
              <w:t>occurrence of any crisis;</w:t>
            </w:r>
          </w:p>
          <w:p w:rsidRPr="00BC7019" w:rsidR="00352E5C" w:rsidP="00066365" w:rsidRDefault="00352E5C" w14:paraId="139082E5" w14:textId="4603929D">
            <w:pPr>
              <w:shd w:val="clear" w:color="auto" w:fill="FFFFFF"/>
              <w:textAlignment w:val="baseline"/>
              <w:rPr>
                <w:color w:val="000000"/>
                <w:bdr w:val="none" w:color="auto" w:sz="0" w:space="0" w:frame="1"/>
                <w:lang w:val="en-GB"/>
              </w:rPr>
            </w:pPr>
            <w:r w:rsidRPr="008D0341">
              <w:rPr>
                <w:color w:val="000000"/>
                <w:bdr w:val="none" w:color="auto" w:sz="0" w:space="0" w:frame="1"/>
                <w:lang w:val="en-GB"/>
              </w:rPr>
              <w:t>(g)</w:t>
            </w:r>
            <w:r w:rsidRPr="008D0341" w:rsidR="009513D8">
              <w:rPr>
                <w:color w:val="000000"/>
                <w:bdr w:val="none" w:color="auto" w:sz="0" w:space="0" w:frame="1"/>
                <w:lang w:val="en-GB"/>
              </w:rPr>
              <w:t xml:space="preserve"> </w:t>
            </w:r>
            <w:r w:rsidRPr="008D0341">
              <w:rPr>
                <w:color w:val="000000"/>
                <w:bdr w:val="none" w:color="auto" w:sz="0" w:space="0" w:frame="1"/>
                <w:lang w:val="en-GB"/>
              </w:rPr>
              <w:t>the need to ensure continuous compliance of the Rule of Law and the Charter horizontal conditions in the implementation of the Plan, taking into consideration in particular the country-specific challenges identified in the context of the Rule of Law Report and the European Semester.</w:t>
            </w:r>
          </w:p>
          <w:p w:rsidRPr="008D0341" w:rsidR="00352E5C" w:rsidP="00066365" w:rsidRDefault="0072450E" w14:paraId="0211C2FA" w14:textId="24DC42AB">
            <w:pPr>
              <w:shd w:val="clear" w:color="auto" w:fill="FFFFFF"/>
              <w:textAlignment w:val="baseline"/>
              <w:rPr>
                <w:b/>
                <w:bCs/>
                <w:i/>
                <w:iCs/>
                <w:color w:val="000000"/>
                <w:bdr w:val="none" w:color="auto" w:sz="0" w:space="0" w:frame="1"/>
                <w:lang w:val="en-GB"/>
              </w:rPr>
            </w:pPr>
            <w:r w:rsidRPr="0063224B">
              <w:rPr>
                <w:b/>
                <w:bCs/>
                <w:i/>
                <w:iCs/>
                <w:color w:val="000000"/>
                <w:bdr w:val="none" w:color="auto" w:sz="0" w:space="0" w:frame="1"/>
                <w:lang w:val="en-GB"/>
              </w:rPr>
              <w:t xml:space="preserve">2. </w:t>
            </w:r>
            <w:r w:rsidRPr="008D0341" w:rsidR="00352E5C">
              <w:rPr>
                <w:b/>
                <w:bCs/>
                <w:i/>
                <w:iCs/>
                <w:color w:val="000000"/>
                <w:bdr w:val="none" w:color="auto" w:sz="0" w:space="0" w:frame="1"/>
                <w:lang w:val="en-GB"/>
              </w:rPr>
              <w:t xml:space="preserve">For the purpose of the mid-term review, </w:t>
            </w:r>
            <w:r w:rsidRPr="008D0341" w:rsidR="00236DBD">
              <w:rPr>
                <w:b/>
                <w:bCs/>
                <w:i/>
                <w:iCs/>
                <w:color w:val="000000"/>
                <w:bdr w:val="none" w:color="auto" w:sz="0" w:space="0" w:frame="1"/>
                <w:lang w:val="en-GB"/>
              </w:rPr>
              <w:t xml:space="preserve">regional </w:t>
            </w:r>
            <w:r w:rsidRPr="008D0341" w:rsidR="00352E5C">
              <w:rPr>
                <w:b/>
                <w:bCs/>
                <w:i/>
                <w:iCs/>
                <w:color w:val="000000"/>
                <w:bdr w:val="none" w:color="auto" w:sz="0" w:space="0" w:frame="1"/>
                <w:lang w:val="en-GB"/>
              </w:rPr>
              <w:t xml:space="preserve">authorities shall be responsible for reviewing and updating the </w:t>
            </w:r>
            <w:r w:rsidRPr="008D0341" w:rsidR="000441A1">
              <w:rPr>
                <w:b/>
                <w:bCs/>
                <w:i/>
                <w:iCs/>
                <w:color w:val="000000"/>
                <w:bdr w:val="none" w:color="auto" w:sz="0" w:space="0" w:frame="1"/>
                <w:lang w:val="en-GB"/>
              </w:rPr>
              <w:t>r</w:t>
            </w:r>
            <w:r w:rsidRPr="008D0341" w:rsidR="0021207B">
              <w:rPr>
                <w:b/>
                <w:bCs/>
                <w:i/>
                <w:iCs/>
                <w:color w:val="000000"/>
                <w:bdr w:val="none" w:color="auto" w:sz="0" w:space="0" w:frame="1"/>
                <w:lang w:val="en-GB"/>
              </w:rPr>
              <w:t>egional or</w:t>
            </w:r>
            <w:r w:rsidRPr="008D0341" w:rsidR="0021207B">
              <w:rPr>
                <w:i/>
                <w:iCs/>
                <w:color w:val="000000"/>
                <w:bdr w:val="none" w:color="auto" w:sz="0" w:space="0" w:frame="1"/>
                <w:lang w:val="en-GB"/>
              </w:rPr>
              <w:t xml:space="preserve"> </w:t>
            </w:r>
            <w:r w:rsidRPr="008D0341" w:rsidR="000441A1">
              <w:rPr>
                <w:b/>
                <w:bCs/>
                <w:i/>
                <w:iCs/>
                <w:color w:val="000000"/>
                <w:bdr w:val="none" w:color="auto" w:sz="0" w:space="0" w:frame="1"/>
                <w:lang w:val="en-GB"/>
              </w:rPr>
              <w:t>t</w:t>
            </w:r>
            <w:r w:rsidRPr="008D0341" w:rsidR="00352E5C">
              <w:rPr>
                <w:b/>
                <w:bCs/>
                <w:i/>
                <w:iCs/>
                <w:color w:val="000000"/>
                <w:bdr w:val="none" w:color="auto" w:sz="0" w:space="0" w:frame="1"/>
                <w:lang w:val="en-GB"/>
              </w:rPr>
              <w:t xml:space="preserve">erritorial </w:t>
            </w:r>
            <w:r w:rsidRPr="008D0341" w:rsidR="000441A1">
              <w:rPr>
                <w:b/>
                <w:bCs/>
                <w:i/>
                <w:iCs/>
                <w:color w:val="000000"/>
                <w:bdr w:val="none" w:color="auto" w:sz="0" w:space="0" w:frame="1"/>
                <w:lang w:val="en-GB"/>
              </w:rPr>
              <w:t>c</w:t>
            </w:r>
            <w:r w:rsidRPr="008D0341" w:rsidR="00352E5C">
              <w:rPr>
                <w:b/>
                <w:bCs/>
                <w:i/>
                <w:iCs/>
                <w:color w:val="000000"/>
                <w:bdr w:val="none" w:color="auto" w:sz="0" w:space="0" w:frame="1"/>
                <w:lang w:val="en-GB"/>
              </w:rPr>
              <w:t>hapter</w:t>
            </w:r>
            <w:r w:rsidRPr="008D0341" w:rsidR="00B72DC3">
              <w:rPr>
                <w:b/>
                <w:bCs/>
                <w:i/>
                <w:iCs/>
                <w:color w:val="000000"/>
                <w:bdr w:val="none" w:color="auto" w:sz="0" w:space="0" w:frame="1"/>
                <w:lang w:val="en-GB"/>
              </w:rPr>
              <w:t>s</w:t>
            </w:r>
            <w:r w:rsidRPr="008D0341" w:rsidR="00352E5C">
              <w:rPr>
                <w:b/>
                <w:bCs/>
                <w:i/>
                <w:iCs/>
                <w:color w:val="000000"/>
                <w:bdr w:val="none" w:color="auto" w:sz="0" w:space="0" w:frame="1"/>
                <w:lang w:val="en-GB"/>
              </w:rPr>
              <w:t xml:space="preserve"> corresponding to their territory. This review shall take into account territorial developments, implementation progress, emerging socio-economic needs and newly identified challenges relevant to the region concerned;</w:t>
            </w:r>
          </w:p>
          <w:p w:rsidRPr="008D0341" w:rsidR="00352E5C" w:rsidP="00066365" w:rsidRDefault="00A349D4" w14:paraId="7E719887" w14:textId="53921A45">
            <w:pPr>
              <w:shd w:val="clear" w:color="auto" w:fill="FFFFFF"/>
              <w:textAlignment w:val="baseline"/>
              <w:rPr>
                <w:color w:val="000000"/>
                <w:bdr w:val="none" w:color="auto" w:sz="0" w:space="0" w:frame="1"/>
                <w:lang w:val="en-GB"/>
              </w:rPr>
            </w:pPr>
            <w:r w:rsidRPr="0063224B">
              <w:rPr>
                <w:b/>
                <w:bCs/>
                <w:i/>
                <w:iCs/>
                <w:color w:val="000000"/>
                <w:bdr w:val="none" w:color="auto" w:sz="0" w:space="0" w:frame="1"/>
                <w:lang w:val="en-GB"/>
              </w:rPr>
              <w:t>3.</w:t>
            </w:r>
            <w:r w:rsidRPr="008D0341">
              <w:rPr>
                <w:color w:val="000000"/>
                <w:bdr w:val="none" w:color="auto" w:sz="0" w:space="0" w:frame="1"/>
                <w:lang w:val="en-GB"/>
              </w:rPr>
              <w:t xml:space="preserve"> The Member State shall submit an amended NRP Plan presenting the outcome of the mid-term review, including a review of the estimated total costs of the measures covered by the Plan and a proposal for additional measures to be supported by the flexibility amount referred to in Article 14(2) by 31 March 2031.</w:t>
            </w:r>
          </w:p>
          <w:p w:rsidRPr="00BC7019" w:rsidR="00352E5C" w:rsidP="00066365" w:rsidRDefault="00F922A9" w14:paraId="199B157C" w14:textId="02371E0C">
            <w:pPr>
              <w:shd w:val="clear" w:color="auto" w:fill="FFFFFF"/>
              <w:textAlignment w:val="baseline"/>
              <w:rPr>
                <w:color w:val="000000"/>
                <w:lang w:val="en-GB"/>
              </w:rPr>
            </w:pPr>
            <w:r w:rsidRPr="008D0341">
              <w:rPr>
                <w:lang w:val="en-GB"/>
              </w:rPr>
              <w:t>The amended NRP Plan shall include the following: (a) revised or new measures; (b) the updated estimated total costs of the Plan and the flexibility amount requested; (c)revised or new milestones and targets.</w:t>
            </w:r>
          </w:p>
        </w:tc>
      </w:tr>
    </w:tbl>
    <w:p w:rsidRPr="008D0341" w:rsidR="00352E5C" w:rsidP="00066365" w:rsidRDefault="00352E5C" w14:paraId="5EBA681E"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B119C7" w14:paraId="1C6A3029"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30392C6D" w14:textId="77777777">
            <w:pPr>
              <w:jc w:val="center"/>
              <w:rPr>
                <w:b/>
                <w:bCs/>
                <w:i/>
                <w:iCs/>
                <w:lang w:val="en-GB"/>
              </w:rPr>
            </w:pPr>
            <w:r w:rsidRPr="008D0341">
              <w:rPr>
                <w:b/>
                <w:bCs/>
                <w:i/>
                <w:iCs/>
                <w:lang w:val="en-GB"/>
              </w:rPr>
              <w:t>Reason</w:t>
            </w:r>
          </w:p>
        </w:tc>
      </w:tr>
      <w:tr w:rsidRPr="008D0341" w:rsidR="00352E5C" w:rsidTr="00B119C7" w14:paraId="432666EC"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B3820" w14:paraId="30C65137" w14:textId="740038C5">
            <w:pPr>
              <w:rPr>
                <w:rFonts w:eastAsia="Calibri"/>
                <w:lang w:val="en-GB"/>
              </w:rPr>
            </w:pPr>
            <w:r w:rsidRPr="008D0341">
              <w:rPr>
                <w:rFonts w:eastAsia="Calibri"/>
                <w:lang w:val="en-GB"/>
              </w:rPr>
              <w:t>Provides</w:t>
            </w:r>
            <w:r w:rsidRPr="008D0341" w:rsidR="00352E5C">
              <w:rPr>
                <w:rFonts w:eastAsia="Calibri"/>
                <w:lang w:val="en-GB"/>
              </w:rPr>
              <w:t xml:space="preserve"> an obligation for Member States with </w:t>
            </w:r>
            <w:r w:rsidRPr="008D0341" w:rsidR="000441A1">
              <w:rPr>
                <w:rFonts w:eastAsia="Calibri"/>
                <w:lang w:val="en-GB"/>
              </w:rPr>
              <w:t>r</w:t>
            </w:r>
            <w:r w:rsidRPr="008D0341" w:rsidR="00352E5C">
              <w:rPr>
                <w:rFonts w:eastAsia="Calibri"/>
                <w:lang w:val="en-GB"/>
              </w:rPr>
              <w:t xml:space="preserve">egional </w:t>
            </w:r>
            <w:r w:rsidRPr="008D0341" w:rsidR="000441A1">
              <w:rPr>
                <w:rFonts w:eastAsia="Calibri"/>
                <w:lang w:val="en-GB"/>
              </w:rPr>
              <w:t>c</w:t>
            </w:r>
            <w:r w:rsidRPr="008D0341" w:rsidR="00352E5C">
              <w:rPr>
                <w:rFonts w:eastAsia="Calibri"/>
                <w:lang w:val="en-GB"/>
              </w:rPr>
              <w:t xml:space="preserve">hapters to delegate responsibility to </w:t>
            </w:r>
            <w:r w:rsidRPr="008D0341" w:rsidR="009126E9">
              <w:rPr>
                <w:rFonts w:eastAsia="Calibri"/>
                <w:lang w:val="en-GB"/>
              </w:rPr>
              <w:t xml:space="preserve">regional </w:t>
            </w:r>
            <w:r w:rsidRPr="008D0341" w:rsidR="00352E5C">
              <w:rPr>
                <w:rFonts w:eastAsia="Calibri"/>
                <w:lang w:val="en-GB"/>
              </w:rPr>
              <w:t>authorities for preparing and submitting reviewed regional chapters as part of the NRP plans mid-term review process.</w:t>
            </w:r>
          </w:p>
        </w:tc>
      </w:tr>
    </w:tbl>
    <w:p w:rsidRPr="008D0341" w:rsidR="00352E5C" w:rsidP="00066365" w:rsidRDefault="00352E5C" w14:paraId="5210D562" w14:textId="77777777">
      <w:pPr>
        <w:rPr>
          <w:lang w:val="en-GB"/>
        </w:rPr>
      </w:pPr>
    </w:p>
    <w:p w:rsidRPr="008D0341" w:rsidR="00352E5C" w:rsidP="003F40F8" w:rsidRDefault="00352E5C" w14:paraId="6AD6E2CC" w14:textId="6FC1BA00">
      <w:pPr>
        <w:keepNext/>
        <w:keepLines/>
        <w:jc w:val="center"/>
        <w:rPr>
          <w:lang w:val="en-GB"/>
        </w:rPr>
      </w:pPr>
      <w:r w:rsidRPr="008D0341">
        <w:rPr>
          <w:rFonts w:eastAsia="Myriad Pro"/>
          <w:b/>
          <w:bCs/>
          <w:lang w:val="en-GB"/>
        </w:rPr>
        <w:t xml:space="preserve">Amendment </w:t>
      </w:r>
      <w:r w:rsidRPr="008D0341" w:rsidR="008B5EAB">
        <w:rPr>
          <w:rFonts w:eastAsia="Myriad Pro"/>
          <w:b/>
          <w:bCs/>
          <w:lang w:val="en-GB"/>
        </w:rPr>
        <w:t>21</w:t>
      </w:r>
    </w:p>
    <w:p w:rsidRPr="008D0341" w:rsidR="00352E5C" w:rsidP="003F40F8" w:rsidRDefault="00352E5C" w14:paraId="50C78FEA" w14:textId="3750F49E">
      <w:pPr>
        <w:keepNext/>
        <w:keepLines/>
        <w:jc w:val="center"/>
        <w:rPr>
          <w:rFonts w:eastAsia="Myriad Pro"/>
          <w:lang w:val="en-GB"/>
        </w:rPr>
      </w:pPr>
      <w:r w:rsidRPr="008D0341">
        <w:rPr>
          <w:rFonts w:eastAsia="Myriad Pro"/>
          <w:lang w:val="en-GB"/>
        </w:rPr>
        <w:t xml:space="preserve">Article </w:t>
      </w:r>
      <w:r w:rsidRPr="008D0341" w:rsidR="00966BBC">
        <w:rPr>
          <w:rFonts w:eastAsia="Myriad Pro"/>
          <w:lang w:val="en-GB"/>
        </w:rPr>
        <w:t xml:space="preserve">26 </w:t>
      </w:r>
      <w:r w:rsidRPr="008D0341" w:rsidR="000F02E6">
        <w:rPr>
          <w:rFonts w:eastAsia="Myriad Pro"/>
          <w:lang w:val="en-GB"/>
        </w:rPr>
        <w:t xml:space="preserve">add new paragraphs 6 and 7 (after paragraph 5) </w:t>
      </w:r>
      <w:r w:rsidRPr="008D0341">
        <w:rPr>
          <w:rFonts w:eastAsia="Myriad Pro"/>
          <w:lang w:val="en-GB"/>
        </w:rPr>
        <w:t xml:space="preserve">– </w:t>
      </w:r>
      <w:r w:rsidRPr="008D0341" w:rsidR="00966BBC">
        <w:rPr>
          <w:rFonts w:eastAsia="Myriad Pro"/>
          <w:lang w:val="en-GB"/>
        </w:rPr>
        <w:t>General provision on the implementation of the EU Facility</w:t>
      </w:r>
    </w:p>
    <w:p w:rsidRPr="008D0341" w:rsidR="007A0032" w:rsidP="003F40F8" w:rsidRDefault="007A0032" w14:paraId="7ABAC544"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B119C7" w14:paraId="4CA75C50"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2E8DBC0" w14:textId="2CC9B824">
            <w:pPr>
              <w:jc w:val="center"/>
              <w:rPr>
                <w:b/>
                <w:bCs/>
                <w:i/>
                <w:iCs/>
                <w:lang w:val="en-GB"/>
              </w:rPr>
            </w:pPr>
            <w:r w:rsidRPr="008D0341">
              <w:rPr>
                <w:b/>
                <w:bCs/>
                <w:i/>
                <w:iCs/>
                <w:lang w:val="en-GB"/>
              </w:rPr>
              <w:t>Text proposed by the</w:t>
            </w:r>
            <w:r w:rsidR="00BC7019">
              <w:rPr>
                <w:b/>
                <w:bCs/>
                <w:i/>
                <w:iCs/>
                <w:lang w:val="en-GB"/>
              </w:rPr>
              <w:t xml:space="preserve"> European</w:t>
            </w:r>
            <w:r w:rsidRPr="008D0341">
              <w:rPr>
                <w:b/>
                <w:bCs/>
                <w:i/>
                <w:iCs/>
                <w:lang w:val="en-GB"/>
              </w:rPr>
              <w:t xml:space="preserve"> 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0A432321" w14:textId="77777777">
            <w:pPr>
              <w:jc w:val="center"/>
              <w:rPr>
                <w:b/>
                <w:bCs/>
                <w:i/>
                <w:iCs/>
                <w:lang w:val="en-GB"/>
              </w:rPr>
            </w:pPr>
            <w:r w:rsidRPr="008D0341">
              <w:rPr>
                <w:b/>
                <w:bCs/>
                <w:i/>
                <w:iCs/>
                <w:lang w:val="en-GB"/>
              </w:rPr>
              <w:t>CoR amendment</w:t>
            </w:r>
          </w:p>
        </w:tc>
      </w:tr>
      <w:tr w:rsidRPr="008D0341" w:rsidR="00352E5C" w:rsidTr="00B119C7" w14:paraId="6DCA7F69"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BC7019" w:rsidR="00352E5C" w:rsidP="00066365" w:rsidRDefault="000F02E6" w14:paraId="53515A81" w14:textId="17B0CA7F">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p>
          <w:p w:rsidRPr="008D0341" w:rsidR="00966BBC" w:rsidP="00066365" w:rsidRDefault="00352E5C" w14:paraId="5BA7C1E4" w14:textId="541F8461">
            <w:pPr>
              <w:shd w:val="clear" w:color="auto" w:fill="FFFFFF"/>
              <w:textAlignment w:val="baseline"/>
              <w:rPr>
                <w:color w:val="000000"/>
                <w:bdr w:val="none" w:color="auto" w:sz="0" w:space="0" w:frame="1"/>
                <w:lang w:val="en-GB"/>
              </w:rPr>
            </w:pPr>
            <w:r w:rsidRPr="008D0341">
              <w:rPr>
                <w:color w:val="000000"/>
                <w:bdr w:val="none" w:color="auto" w:sz="0" w:space="0" w:frame="1"/>
                <w:lang w:val="en-GB"/>
              </w:rPr>
              <w:t>5.</w:t>
            </w:r>
            <w:r w:rsidRPr="008D0341" w:rsidR="009513D8">
              <w:rPr>
                <w:color w:val="000000"/>
                <w:bdr w:val="none" w:color="auto" w:sz="0" w:space="0" w:frame="1"/>
                <w:lang w:val="en-GB"/>
              </w:rPr>
              <w:t xml:space="preserve"> </w:t>
            </w:r>
            <w:r w:rsidRPr="008D0341">
              <w:rPr>
                <w:color w:val="000000"/>
                <w:bdr w:val="none" w:color="auto" w:sz="0" w:space="0" w:frame="1"/>
                <w:lang w:val="en-GB"/>
              </w:rPr>
              <w:t>The Commission shall establish the overall amount to be made available for the Facility under the annual appropriations of the Union budget.</w:t>
            </w:r>
          </w:p>
          <w:p w:rsidRPr="00BC7019" w:rsidR="00352E5C" w:rsidP="00066365" w:rsidRDefault="00966BBC" w14:paraId="6E52CB2F" w14:textId="2F9C78D6">
            <w:pPr>
              <w:shd w:val="clear" w:color="auto" w:fill="FFFFFF"/>
              <w:textAlignment w:val="baseline"/>
              <w:rPr>
                <w:color w:val="000000"/>
                <w:bdr w:val="none" w:color="auto" w:sz="0" w:space="0" w:frame="1"/>
                <w:lang w:val="en-GB"/>
              </w:rPr>
            </w:pPr>
            <w:r w:rsidRPr="008D0341">
              <w:rPr>
                <w:color w:val="000000"/>
                <w:bdr w:val="none" w:color="auto" w:sz="0" w:space="0" w:frame="1"/>
                <w:lang w:val="en-GB"/>
              </w:rPr>
              <w:t>6. Union actions as referred to in paragraph 1, point (c) of Annex XV [Union actions supported by the EU Facility, social investment and skills policy window] shall be implemented in accordance with paragraphs 7, 8, 9 of this Article and Article 27 [Implementation in the form of budgetary guarantees, financial instruments and blending operations].</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BC7019" w:rsidR="00966BBC" w:rsidP="00066365" w:rsidRDefault="00966BBC" w14:paraId="30AF1A2B" w14:textId="6E58C4EA">
            <w:pPr>
              <w:shd w:val="clear" w:color="auto" w:fill="FFFFFF"/>
              <w:textAlignment w:val="baseline"/>
              <w:rPr>
                <w:color w:val="000000"/>
                <w:bdr w:val="none" w:color="auto" w:sz="0" w:space="0" w:frame="1"/>
                <w:lang w:val="en-GB"/>
              </w:rPr>
            </w:pPr>
            <w:r w:rsidRPr="008D0341">
              <w:rPr>
                <w:color w:val="000000"/>
                <w:bdr w:val="none" w:color="auto" w:sz="0" w:space="0" w:frame="1"/>
                <w:lang w:val="en-GB"/>
              </w:rPr>
              <w:t>[…]</w:t>
            </w:r>
          </w:p>
          <w:p w:rsidRPr="00BC7019" w:rsidR="00722C78" w:rsidP="00066365" w:rsidRDefault="00722C78" w14:paraId="046B473F" w14:textId="391ABEA6">
            <w:pPr>
              <w:shd w:val="clear" w:color="auto" w:fill="FFFFFF"/>
              <w:textAlignment w:val="baseline"/>
              <w:rPr>
                <w:color w:val="000000"/>
                <w:bdr w:val="none" w:color="auto" w:sz="0" w:space="0" w:frame="1"/>
                <w:lang w:val="en-GB"/>
              </w:rPr>
            </w:pPr>
            <w:r w:rsidRPr="008D0341">
              <w:rPr>
                <w:color w:val="000000"/>
                <w:bdr w:val="none" w:color="auto" w:sz="0" w:space="0" w:frame="1"/>
                <w:lang w:val="en-GB"/>
              </w:rPr>
              <w:t>5. The Commission shall establish the overall amount to be made available for the Facility under the annual appropriations of the Union budget.</w:t>
            </w:r>
          </w:p>
          <w:p w:rsidRPr="00BC7019" w:rsidR="00352E5C" w:rsidP="00066365" w:rsidRDefault="00722C78" w14:paraId="1868FAAB" w14:textId="31F81DD4">
            <w:pPr>
              <w:shd w:val="clear" w:color="auto" w:fill="FFFFFF"/>
              <w:textAlignment w:val="baseline"/>
              <w:rPr>
                <w:b/>
                <w:bCs/>
                <w:i/>
                <w:iCs/>
                <w:lang w:val="en-GB"/>
              </w:rPr>
            </w:pPr>
            <w:r w:rsidRPr="008D0341">
              <w:rPr>
                <w:lang w:val="en-GB"/>
              </w:rPr>
              <w:t>6.</w:t>
            </w:r>
            <w:r w:rsidRPr="008D0341">
              <w:rPr>
                <w:b/>
                <w:bCs/>
                <w:i/>
                <w:iCs/>
                <w:lang w:val="en-GB"/>
              </w:rPr>
              <w:t xml:space="preserve"> </w:t>
            </w:r>
            <w:r w:rsidRPr="008D0341" w:rsidR="00352E5C">
              <w:rPr>
                <w:b/>
                <w:bCs/>
                <w:i/>
                <w:iCs/>
                <w:lang w:val="en-GB"/>
              </w:rPr>
              <w:t xml:space="preserve">The </w:t>
            </w:r>
            <w:r w:rsidRPr="008D0341" w:rsidR="00C67150">
              <w:rPr>
                <w:b/>
                <w:bCs/>
                <w:i/>
                <w:iCs/>
                <w:lang w:val="en-GB"/>
              </w:rPr>
              <w:t xml:space="preserve">European </w:t>
            </w:r>
            <w:r w:rsidRPr="008D0341" w:rsidR="00352E5C">
              <w:rPr>
                <w:b/>
                <w:bCs/>
                <w:i/>
                <w:iCs/>
                <w:lang w:val="en-GB"/>
              </w:rPr>
              <w:t xml:space="preserve">Committee of the Regions shall be </w:t>
            </w:r>
            <w:r w:rsidRPr="008D0341" w:rsidR="00186A21">
              <w:rPr>
                <w:b/>
                <w:bCs/>
                <w:i/>
                <w:iCs/>
                <w:lang w:val="en-GB"/>
              </w:rPr>
              <w:t xml:space="preserve">involved in </w:t>
            </w:r>
            <w:r w:rsidRPr="008D0341" w:rsidR="00352E5C">
              <w:rPr>
                <w:b/>
                <w:bCs/>
                <w:i/>
                <w:iCs/>
                <w:lang w:val="en-GB"/>
              </w:rPr>
              <w:t>the implementation of the EU Facility by providing input on territorial needs, multilevel governance aspects and the suitability of proposed support measures</w:t>
            </w:r>
            <w:r w:rsidRPr="008D0341" w:rsidR="00B82B84">
              <w:rPr>
                <w:b/>
                <w:bCs/>
                <w:i/>
                <w:iCs/>
                <w:lang w:val="en-GB"/>
              </w:rPr>
              <w:t>,</w:t>
            </w:r>
            <w:r w:rsidRPr="008D0341" w:rsidR="00352E5C">
              <w:rPr>
                <w:b/>
                <w:bCs/>
                <w:i/>
                <w:iCs/>
                <w:lang w:val="en-GB"/>
              </w:rPr>
              <w:t xml:space="preserve"> taking into account the </w:t>
            </w:r>
            <w:r w:rsidRPr="008D0341" w:rsidR="00B82B84">
              <w:rPr>
                <w:b/>
                <w:bCs/>
                <w:i/>
                <w:iCs/>
                <w:lang w:val="en-GB"/>
              </w:rPr>
              <w:t>‘</w:t>
            </w:r>
            <w:r w:rsidRPr="008D0341" w:rsidR="00352E5C">
              <w:rPr>
                <w:b/>
                <w:bCs/>
                <w:i/>
                <w:iCs/>
                <w:lang w:val="en-GB"/>
              </w:rPr>
              <w:t>do no harm to cohesion</w:t>
            </w:r>
            <w:r w:rsidRPr="008D0341" w:rsidR="00B82B84">
              <w:rPr>
                <w:b/>
                <w:bCs/>
                <w:i/>
                <w:iCs/>
                <w:lang w:val="en-GB"/>
              </w:rPr>
              <w:t>’</w:t>
            </w:r>
            <w:r w:rsidRPr="008D0341" w:rsidR="00352E5C">
              <w:rPr>
                <w:b/>
                <w:bCs/>
                <w:i/>
                <w:iCs/>
                <w:lang w:val="en-GB"/>
              </w:rPr>
              <w:t xml:space="preserve"> principle. The Commission shall take the utmost account of the views expressed by the </w:t>
            </w:r>
            <w:r w:rsidRPr="008D0341" w:rsidR="00F74E2E">
              <w:rPr>
                <w:b/>
                <w:bCs/>
                <w:i/>
                <w:iCs/>
                <w:lang w:val="en-GB"/>
              </w:rPr>
              <w:t xml:space="preserve">European </w:t>
            </w:r>
            <w:r w:rsidRPr="008D0341" w:rsidR="00352E5C">
              <w:rPr>
                <w:b/>
                <w:bCs/>
                <w:i/>
                <w:iCs/>
                <w:lang w:val="en-GB"/>
              </w:rPr>
              <w:t>Committee of the Regions when preparing guidance, work programmes or calls for proposals under the EU Facility.</w:t>
            </w:r>
          </w:p>
          <w:p w:rsidRPr="00BC7019" w:rsidR="00966BBC" w:rsidP="00066365" w:rsidRDefault="00722C78" w14:paraId="6ED8E85B" w14:textId="62856EDF">
            <w:pPr>
              <w:shd w:val="clear" w:color="auto" w:fill="FFFFFF"/>
              <w:textAlignment w:val="baseline"/>
              <w:rPr>
                <w:b/>
                <w:bCs/>
                <w:i/>
                <w:iCs/>
                <w:lang w:val="en-GB"/>
              </w:rPr>
            </w:pPr>
            <w:r w:rsidRPr="008D0341">
              <w:rPr>
                <w:b/>
                <w:bCs/>
                <w:i/>
                <w:iCs/>
                <w:sz w:val="24"/>
                <w:szCs w:val="24"/>
                <w:lang w:val="en-GB"/>
              </w:rPr>
              <w:t>7</w:t>
            </w:r>
            <w:r w:rsidRPr="008D0341" w:rsidR="00352E5C">
              <w:rPr>
                <w:b/>
                <w:bCs/>
                <w:i/>
                <w:iCs/>
                <w:sz w:val="24"/>
                <w:szCs w:val="24"/>
                <w:lang w:val="en-GB"/>
              </w:rPr>
              <w:t>.</w:t>
            </w:r>
            <w:r w:rsidRPr="008D0341" w:rsidR="00352E5C">
              <w:rPr>
                <w:b/>
                <w:bCs/>
                <w:i/>
                <w:iCs/>
                <w:lang w:val="en-GB"/>
              </w:rPr>
              <w:t xml:space="preserve"> Requests for EU Facility support submitted by regional managing authorities shall be considered by the Commission in </w:t>
            </w:r>
            <w:r w:rsidRPr="008D0341" w:rsidR="00B82B84">
              <w:rPr>
                <w:b/>
                <w:bCs/>
                <w:i/>
                <w:iCs/>
                <w:lang w:val="en-GB"/>
              </w:rPr>
              <w:t>line</w:t>
            </w:r>
            <w:r w:rsidRPr="008D0341" w:rsidR="00352E5C">
              <w:rPr>
                <w:b/>
                <w:bCs/>
                <w:i/>
                <w:iCs/>
                <w:lang w:val="en-GB"/>
              </w:rPr>
              <w:t xml:space="preserve"> with the priorities, governance arrangements and capacity needs identified in the corresponding </w:t>
            </w:r>
            <w:r w:rsidRPr="008D0341" w:rsidR="000441A1">
              <w:rPr>
                <w:b/>
                <w:bCs/>
                <w:i/>
                <w:iCs/>
                <w:lang w:val="en-GB"/>
              </w:rPr>
              <w:t>r</w:t>
            </w:r>
            <w:r w:rsidRPr="008D0341" w:rsidR="00352E5C">
              <w:rPr>
                <w:b/>
                <w:bCs/>
                <w:i/>
                <w:iCs/>
                <w:lang w:val="en-GB"/>
              </w:rPr>
              <w:t xml:space="preserve">egional </w:t>
            </w:r>
            <w:r w:rsidRPr="008D0341" w:rsidR="000441A1">
              <w:rPr>
                <w:b/>
                <w:bCs/>
                <w:i/>
                <w:iCs/>
                <w:lang w:val="en-GB"/>
              </w:rPr>
              <w:t>c</w:t>
            </w:r>
            <w:r w:rsidRPr="008D0341" w:rsidR="00352E5C">
              <w:rPr>
                <w:b/>
                <w:bCs/>
                <w:i/>
                <w:iCs/>
                <w:lang w:val="en-GB"/>
              </w:rPr>
              <w:t>hapter of the NRPP.</w:t>
            </w:r>
          </w:p>
          <w:p w:rsidRPr="00BC7019" w:rsidR="00352E5C" w:rsidP="00066365" w:rsidRDefault="00966BBC" w14:paraId="49877CC5" w14:textId="37CA9E63">
            <w:pPr>
              <w:shd w:val="clear" w:color="auto" w:fill="FFFFFF"/>
              <w:textAlignment w:val="baseline"/>
              <w:rPr>
                <w:color w:val="000000"/>
                <w:bdr w:val="none" w:color="auto" w:sz="0" w:space="0" w:frame="1"/>
                <w:lang w:val="en-GB"/>
              </w:rPr>
            </w:pPr>
            <w:r w:rsidRPr="008D0341">
              <w:rPr>
                <w:b/>
                <w:bCs/>
                <w:i/>
                <w:iCs/>
                <w:color w:val="000000"/>
                <w:bdr w:val="none" w:color="auto" w:sz="0" w:space="0" w:frame="1"/>
                <w:lang w:val="en-GB"/>
              </w:rPr>
              <w:t xml:space="preserve">8. </w:t>
            </w:r>
            <w:r w:rsidRPr="008D0341">
              <w:rPr>
                <w:color w:val="000000"/>
                <w:bdr w:val="none" w:color="auto" w:sz="0" w:space="0" w:frame="1"/>
                <w:lang w:val="en-GB"/>
              </w:rPr>
              <w:t>Union actions as referred to in paragraph 1, point (c) of Annex XV [Union actions supported by the EU Facility, social investment and skills policy window] shall be implemented in accordance with paragraphs 7, 8, 9 of this Article and Article 27 [Implementation in the form of budgetary guarantees, financial instruments and blending operations].</w:t>
            </w:r>
          </w:p>
        </w:tc>
      </w:tr>
    </w:tbl>
    <w:p w:rsidRPr="008D0341" w:rsidR="00352E5C" w:rsidP="00066365" w:rsidRDefault="00352E5C" w14:paraId="0C86C3ED"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B119C7" w14:paraId="765D1AA3"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29171A6A" w14:textId="77777777">
            <w:pPr>
              <w:jc w:val="center"/>
              <w:rPr>
                <w:b/>
                <w:bCs/>
                <w:i/>
                <w:iCs/>
                <w:lang w:val="en-GB"/>
              </w:rPr>
            </w:pPr>
            <w:r w:rsidRPr="008D0341">
              <w:rPr>
                <w:b/>
                <w:bCs/>
                <w:i/>
                <w:iCs/>
                <w:lang w:val="en-GB"/>
              </w:rPr>
              <w:t>Reason</w:t>
            </w:r>
          </w:p>
        </w:tc>
      </w:tr>
      <w:tr w:rsidRPr="008D0341" w:rsidR="00352E5C" w:rsidTr="00B119C7" w14:paraId="1745DC96"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6B0EDA" w14:paraId="6CD3E004" w14:textId="6AC4AAE7">
            <w:pPr>
              <w:rPr>
                <w:rFonts w:eastAsia="Calibri"/>
                <w:lang w:val="en-GB"/>
              </w:rPr>
            </w:pPr>
            <w:r w:rsidRPr="008D0341">
              <w:rPr>
                <w:rFonts w:eastAsia="Calibri"/>
                <w:lang w:val="en-GB"/>
              </w:rPr>
              <w:t>Provides</w:t>
            </w:r>
            <w:r w:rsidRPr="008D0341" w:rsidR="00352E5C">
              <w:rPr>
                <w:rFonts w:eastAsia="Calibri"/>
                <w:lang w:val="en-GB"/>
              </w:rPr>
              <w:t xml:space="preserve"> a formal role for the CoR as part of the EU Facility, and for regional managing authorities in the framework of their regional </w:t>
            </w:r>
            <w:r w:rsidRPr="008D0341" w:rsidR="000441A1">
              <w:rPr>
                <w:rFonts w:eastAsia="Calibri"/>
                <w:lang w:val="en-GB"/>
              </w:rPr>
              <w:t>c</w:t>
            </w:r>
            <w:r w:rsidRPr="008D0341" w:rsidR="00352E5C">
              <w:rPr>
                <w:rFonts w:eastAsia="Calibri"/>
                <w:lang w:val="en-GB"/>
              </w:rPr>
              <w:t>hapter.</w:t>
            </w:r>
          </w:p>
        </w:tc>
      </w:tr>
    </w:tbl>
    <w:p w:rsidR="00352E5C" w:rsidP="00066365" w:rsidRDefault="00352E5C" w14:paraId="6E2C25F4" w14:textId="77777777">
      <w:pPr>
        <w:rPr>
          <w:lang w:val="en-GB"/>
        </w:rPr>
      </w:pPr>
    </w:p>
    <w:p w:rsidR="00F71483" w:rsidP="00066365" w:rsidRDefault="00F71483" w14:paraId="326E4423" w14:textId="77777777">
      <w:pPr>
        <w:rPr>
          <w:lang w:val="en-GB"/>
        </w:rPr>
      </w:pPr>
    </w:p>
    <w:p w:rsidRPr="008D0341" w:rsidR="005339C0" w:rsidP="003F40F8" w:rsidRDefault="005339C0" w14:paraId="52984F42" w14:textId="66633BD8">
      <w:pPr>
        <w:keepNext/>
        <w:keepLines/>
        <w:jc w:val="center"/>
        <w:rPr>
          <w:b/>
          <w:bCs/>
          <w:lang w:val="en-GB"/>
        </w:rPr>
      </w:pPr>
      <w:r w:rsidRPr="008D0341">
        <w:rPr>
          <w:b/>
          <w:bCs/>
          <w:lang w:val="en-GB"/>
        </w:rPr>
        <w:t xml:space="preserve">Amendment </w:t>
      </w:r>
      <w:r w:rsidRPr="008D0341" w:rsidR="006720EC">
        <w:rPr>
          <w:b/>
          <w:bCs/>
          <w:lang w:val="en-GB"/>
        </w:rPr>
        <w:t>2</w:t>
      </w:r>
      <w:r w:rsidRPr="008D0341" w:rsidR="008B5EAB">
        <w:rPr>
          <w:b/>
          <w:bCs/>
          <w:lang w:val="en-GB"/>
        </w:rPr>
        <w:t>2</w:t>
      </w:r>
    </w:p>
    <w:p w:rsidRPr="008D0341" w:rsidR="005339C0" w:rsidP="003F40F8" w:rsidRDefault="005339C0" w14:paraId="382586FF" w14:textId="1895C844">
      <w:pPr>
        <w:keepNext/>
        <w:keepLines/>
        <w:jc w:val="center"/>
        <w:rPr>
          <w:lang w:val="en-GB"/>
        </w:rPr>
      </w:pPr>
      <w:r w:rsidRPr="008D0341">
        <w:rPr>
          <w:lang w:val="en-GB"/>
        </w:rPr>
        <w:t>Article 47</w:t>
      </w:r>
    </w:p>
    <w:p w:rsidRPr="008D0341" w:rsidR="005339C0" w:rsidP="003F40F8" w:rsidRDefault="005339C0" w14:paraId="12B8AD52" w14:textId="77777777">
      <w:pPr>
        <w:keepNext/>
        <w:keepLines/>
        <w:rPr>
          <w:lang w:val="en-GB"/>
        </w:rP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4"/>
        <w:gridCol w:w="4678"/>
      </w:tblGrid>
      <w:tr w:rsidRPr="008D0341" w:rsidR="005339C0" w:rsidTr="00B119C7" w14:paraId="4BE2858D" w14:textId="77777777">
        <w:tc>
          <w:tcPr>
            <w:tcW w:w="4644" w:type="dxa"/>
          </w:tcPr>
          <w:p w:rsidRPr="008D0341" w:rsidR="005339C0" w:rsidP="00066365" w:rsidRDefault="005339C0" w14:paraId="51DDDD9B" w14:textId="77777777">
            <w:pPr>
              <w:jc w:val="center"/>
              <w:rPr>
                <w:b/>
                <w:bCs/>
                <w:i/>
                <w:iCs/>
                <w:lang w:val="en-GB"/>
              </w:rPr>
            </w:pPr>
            <w:r w:rsidRPr="008D0341">
              <w:rPr>
                <w:b/>
                <w:bCs/>
                <w:i/>
                <w:iCs/>
                <w:lang w:val="en-GB"/>
              </w:rPr>
              <w:t>Text proposed by the European Commission</w:t>
            </w:r>
          </w:p>
        </w:tc>
        <w:tc>
          <w:tcPr>
            <w:tcW w:w="4678" w:type="dxa"/>
          </w:tcPr>
          <w:p w:rsidRPr="008D0341" w:rsidR="005339C0" w:rsidP="00066365" w:rsidRDefault="005339C0" w14:paraId="478B73B3" w14:textId="77777777">
            <w:pPr>
              <w:jc w:val="center"/>
              <w:rPr>
                <w:b/>
                <w:i/>
                <w:lang w:val="en-GB"/>
              </w:rPr>
            </w:pPr>
            <w:r w:rsidRPr="008D0341">
              <w:rPr>
                <w:b/>
                <w:bCs/>
                <w:i/>
                <w:iCs/>
                <w:color w:val="000000"/>
                <w:lang w:val="en-GB"/>
              </w:rPr>
              <w:t>CoR amendment</w:t>
            </w:r>
          </w:p>
        </w:tc>
      </w:tr>
      <w:tr w:rsidRPr="008D0341" w:rsidR="005339C0" w:rsidTr="00B119C7" w14:paraId="2E72DECA" w14:textId="77777777">
        <w:tc>
          <w:tcPr>
            <w:tcW w:w="4644" w:type="dxa"/>
          </w:tcPr>
          <w:p w:rsidRPr="008D0341" w:rsidR="002B02EB" w:rsidP="00066365" w:rsidRDefault="005339C0" w14:paraId="61AE9037" w14:textId="3D40B4C0">
            <w:pPr>
              <w:rPr>
                <w:b/>
                <w:i/>
                <w:lang w:val="en-GB"/>
              </w:rPr>
            </w:pPr>
            <w:r w:rsidRPr="008D0341">
              <w:rPr>
                <w:b/>
                <w:i/>
                <w:lang w:val="en-GB"/>
              </w:rPr>
              <w:t>1. Specific supply arrangements may be established for the products listed in Annex I to the TFEU which are essential in the outermost regions for human consumption, for the manufacture of other products or as agricultural inputs.</w:t>
            </w:r>
          </w:p>
          <w:p w:rsidRPr="008D0341" w:rsidR="002B02EB" w:rsidP="00066365" w:rsidRDefault="005339C0" w14:paraId="1E9A621E" w14:textId="3F762548">
            <w:pPr>
              <w:rPr>
                <w:b/>
                <w:i/>
                <w:lang w:val="en-GB"/>
              </w:rPr>
            </w:pPr>
            <w:r w:rsidRPr="008D0341">
              <w:rPr>
                <w:b/>
                <w:i/>
                <w:lang w:val="en-GB"/>
              </w:rPr>
              <w:t>2. The Member State concerned shall establish, at the geographical level which it deems most appropriate, a maximum volume of each product listed in Annex I to the TFEU, to quantify the annual supply requirements for each outermost region. The maximum volume of products shall comprise also the volumes of those products required by undertakings packaging and processing products intended for the local market, for consignment to the rest of the Union or for export to third countries as part of regional trade or within the context of traditional trade flows. The maximum volume of the products shall be established taking into account in particular the quantities of those products established in the supply forecast balance sheets in the previous programming period. A separate forecast supply balance may be established to cover the requirements of undertakings packaging and processing products intended for the local market, for consignment to the rest of the Union or for export to third countries as part of regional trade or within the context of traditional trade flows.</w:t>
            </w:r>
          </w:p>
          <w:p w:rsidRPr="008D0341" w:rsidR="002B02EB" w:rsidP="00066365" w:rsidRDefault="005339C0" w14:paraId="4893BBE8" w14:textId="42B285A1">
            <w:pPr>
              <w:rPr>
                <w:b/>
                <w:i/>
                <w:lang w:val="en-GB"/>
              </w:rPr>
            </w:pPr>
            <w:r w:rsidRPr="008D0341">
              <w:rPr>
                <w:b/>
                <w:i/>
                <w:lang w:val="en-GB"/>
              </w:rPr>
              <w:t>3. No customs duties shall apply to direct imports from third countries into the outermost regions of products covered by the specific supply arrangements that fall within the maximum volume established in the NRP Plans in accordance with paragraph 2. Products which have entered the Union’s customs territory under inward processing or customs warehousing arrangements shall be considered for the purposes of this Article to be direct imports from third countries.</w:t>
            </w:r>
          </w:p>
          <w:p w:rsidRPr="008D0341" w:rsidR="002B02EB" w:rsidP="00066365" w:rsidRDefault="005339C0" w14:paraId="354981AE" w14:textId="23321E23">
            <w:pPr>
              <w:rPr>
                <w:b/>
                <w:i/>
                <w:lang w:val="en-GB"/>
              </w:rPr>
            </w:pPr>
            <w:r w:rsidRPr="008D0341">
              <w:rPr>
                <w:b/>
                <w:bCs/>
                <w:i/>
                <w:lang w:val="en-GB"/>
              </w:rPr>
              <w:t>4.</w:t>
            </w:r>
            <w:r w:rsidRPr="008D0341">
              <w:rPr>
                <w:b/>
                <w:i/>
                <w:lang w:val="en-GB"/>
              </w:rPr>
              <w:t xml:space="preserve"> Support shall be granted to supply the outermost regions with Union products to ensure special supply requirements established in accordance with paragraph 2 in terms of price and quality, while maintaining the Union’s share in the supplies of those products. No support shall be granted for the supply of products which have already benefited from the specific supply arrangements in another outermost region.</w:t>
            </w:r>
          </w:p>
          <w:p w:rsidRPr="008D0341" w:rsidR="002B02EB" w:rsidP="00066365" w:rsidRDefault="005339C0" w14:paraId="45768179" w14:textId="6266F02B">
            <w:pPr>
              <w:rPr>
                <w:b/>
                <w:i/>
                <w:lang w:val="en-GB"/>
              </w:rPr>
            </w:pPr>
            <w:r w:rsidRPr="008D0341">
              <w:rPr>
                <w:b/>
                <w:i/>
                <w:lang w:val="en-GB"/>
              </w:rPr>
              <w:t>5. Only products of sound, fair and marketable quality shall benefit from the specific supply arrangements. Products from third countries shall provide an equivalent level of guarantees to those produced under the Union’s veterinary and plant health standards.</w:t>
            </w:r>
          </w:p>
          <w:p w:rsidRPr="008D0341" w:rsidR="002B02EB" w:rsidP="00066365" w:rsidRDefault="005339C0" w14:paraId="1C259693" w14:textId="3FD17FAD">
            <w:pPr>
              <w:rPr>
                <w:b/>
                <w:i/>
                <w:lang w:val="en-GB"/>
              </w:rPr>
            </w:pPr>
            <w:r w:rsidRPr="008D0341">
              <w:rPr>
                <w:b/>
                <w:i/>
                <w:lang w:val="en-GB"/>
              </w:rPr>
              <w:t>6. In implementing the specific supply arrangements, Member States shall take account in particular of the need to ensure that existing local production is not destabilised nor obstructed in its development and of the requirement laid down in paragraph 6.</w:t>
            </w:r>
          </w:p>
          <w:p w:rsidRPr="008D0341" w:rsidR="005339C0" w:rsidP="00066365" w:rsidRDefault="005339C0" w14:paraId="4C2A3ECD" w14:textId="3D345820">
            <w:pPr>
              <w:rPr>
                <w:lang w:val="en-GB"/>
              </w:rPr>
            </w:pPr>
            <w:r w:rsidRPr="008D0341">
              <w:rPr>
                <w:b/>
                <w:i/>
                <w:lang w:val="en-GB"/>
              </w:rPr>
              <w:t>7. Member States shall conduct verifications by means of administrative, physical and on-the-spot checks. The administrative checks carried out on the import, entry, export and dispatch of products shall be exhaustive and shall involve cross-checks with the supporting documents. The physical checks carried out in the outermost region concerned on the import or entry of products shall involve a representative sample amounting to at least 5 % of the licences and certificates.</w:t>
            </w:r>
          </w:p>
        </w:tc>
        <w:tc>
          <w:tcPr>
            <w:tcW w:w="4678" w:type="dxa"/>
          </w:tcPr>
          <w:p w:rsidRPr="008D0341" w:rsidR="005339C0" w:rsidP="00066365" w:rsidRDefault="005339C0" w14:paraId="0BB80A61" w14:textId="77777777">
            <w:pPr>
              <w:rPr>
                <w:lang w:val="en-GB"/>
              </w:rPr>
            </w:pPr>
          </w:p>
        </w:tc>
      </w:tr>
    </w:tbl>
    <w:p w:rsidRPr="008D0341" w:rsidR="005339C0" w:rsidP="00066365" w:rsidRDefault="005339C0" w14:paraId="07D9C407" w14:textId="77777777">
      <w:pPr>
        <w:rPr>
          <w:lang w:val="en-GB"/>
        </w:rP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322"/>
      </w:tblGrid>
      <w:tr w:rsidRPr="008D0341" w:rsidR="005339C0" w:rsidTr="00B119C7" w14:paraId="248BDD61" w14:textId="77777777">
        <w:tc>
          <w:tcPr>
            <w:tcW w:w="9322" w:type="dxa"/>
          </w:tcPr>
          <w:p w:rsidRPr="008D0341" w:rsidR="005339C0" w:rsidP="00066365" w:rsidRDefault="005339C0" w14:paraId="4841EF73" w14:textId="77777777">
            <w:pPr>
              <w:jc w:val="center"/>
              <w:rPr>
                <w:b/>
                <w:i/>
                <w:lang w:val="en-GB"/>
              </w:rPr>
            </w:pPr>
            <w:r w:rsidRPr="008D0341">
              <w:rPr>
                <w:b/>
                <w:bCs/>
                <w:i/>
                <w:lang w:val="en-GB"/>
              </w:rPr>
              <w:t>Reason</w:t>
            </w:r>
          </w:p>
        </w:tc>
      </w:tr>
      <w:tr w:rsidRPr="008D0341" w:rsidR="005339C0" w:rsidTr="00B119C7" w14:paraId="590ACB54" w14:textId="77777777">
        <w:tc>
          <w:tcPr>
            <w:tcW w:w="9322" w:type="dxa"/>
          </w:tcPr>
          <w:p w:rsidRPr="008D0341" w:rsidR="005339C0" w:rsidP="00066365" w:rsidRDefault="005339C0" w14:paraId="24B89A79" w14:textId="33495096">
            <w:pPr>
              <w:rPr>
                <w:lang w:val="en-GB"/>
              </w:rPr>
            </w:pPr>
            <w:r w:rsidRPr="008D0341">
              <w:rPr>
                <w:lang w:val="en-GB"/>
              </w:rPr>
              <w:t xml:space="preserve">This measure, which is part of the Community </w:t>
            </w:r>
            <w:r w:rsidRPr="008D0341">
              <w:rPr>
                <w:i/>
                <w:iCs/>
                <w:lang w:val="en-GB"/>
              </w:rPr>
              <w:t>acquis</w:t>
            </w:r>
            <w:r w:rsidRPr="008D0341">
              <w:rPr>
                <w:lang w:val="en-GB"/>
              </w:rPr>
              <w:t xml:space="preserve"> for the outermost regions, needs to be incorporated into the framework of the CAP and, more specifically, the specific regulation adapting the CAP to the outermost regions, Regulation 228/2013, in its current form, and reinstated there.</w:t>
            </w:r>
          </w:p>
        </w:tc>
      </w:tr>
    </w:tbl>
    <w:p w:rsidR="005339C0" w:rsidP="00066365" w:rsidRDefault="005339C0" w14:paraId="0E273846" w14:textId="77777777">
      <w:pPr>
        <w:rPr>
          <w:lang w:val="en-GB"/>
        </w:rPr>
      </w:pPr>
    </w:p>
    <w:p w:rsidR="00F71483" w:rsidP="00066365" w:rsidRDefault="00F71483" w14:paraId="3CC7F450" w14:textId="77777777">
      <w:pPr>
        <w:rPr>
          <w:lang w:val="en-GB"/>
        </w:rPr>
      </w:pPr>
    </w:p>
    <w:p w:rsidRPr="008D0341" w:rsidR="005339C0" w:rsidP="003F40F8" w:rsidRDefault="005339C0" w14:paraId="5837EEE9" w14:textId="60D79F1F">
      <w:pPr>
        <w:keepNext/>
        <w:keepLines/>
        <w:jc w:val="center"/>
        <w:rPr>
          <w:b/>
          <w:bCs/>
          <w:lang w:val="en-GB"/>
        </w:rPr>
      </w:pPr>
      <w:r w:rsidRPr="008D0341">
        <w:rPr>
          <w:b/>
          <w:bCs/>
          <w:lang w:val="en-GB"/>
        </w:rPr>
        <w:t xml:space="preserve">Amendment </w:t>
      </w:r>
      <w:r w:rsidRPr="008D0341" w:rsidR="009935BC">
        <w:rPr>
          <w:b/>
          <w:bCs/>
          <w:lang w:val="en-GB"/>
        </w:rPr>
        <w:t>2</w:t>
      </w:r>
      <w:r w:rsidRPr="008D0341" w:rsidR="008B5EAB">
        <w:rPr>
          <w:b/>
          <w:bCs/>
          <w:lang w:val="en-GB"/>
        </w:rPr>
        <w:t>3</w:t>
      </w:r>
    </w:p>
    <w:p w:rsidRPr="008D0341" w:rsidR="005339C0" w:rsidP="003F40F8" w:rsidRDefault="005339C0" w14:paraId="74D53FA7" w14:textId="1D6A83C6">
      <w:pPr>
        <w:keepNext/>
        <w:keepLines/>
        <w:jc w:val="center"/>
        <w:rPr>
          <w:lang w:val="en-GB"/>
        </w:rPr>
      </w:pPr>
      <w:r w:rsidRPr="008D0341">
        <w:rPr>
          <w:lang w:val="en-GB"/>
        </w:rPr>
        <w:t>Article 47</w:t>
      </w:r>
    </w:p>
    <w:p w:rsidRPr="008D0341" w:rsidR="005339C0" w:rsidP="003F40F8" w:rsidRDefault="005339C0" w14:paraId="33F7CFCC"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5339C0" w:rsidTr="00CF66AD" w14:paraId="32116849" w14:textId="77777777">
        <w:tc>
          <w:tcPr>
            <w:tcW w:w="4642" w:type="dxa"/>
          </w:tcPr>
          <w:p w:rsidRPr="008D0341" w:rsidR="005339C0" w:rsidP="00066365" w:rsidRDefault="005339C0" w14:paraId="44EB8EC4" w14:textId="77777777">
            <w:pPr>
              <w:jc w:val="center"/>
              <w:rPr>
                <w:b/>
                <w:bCs/>
                <w:i/>
                <w:iCs/>
                <w:lang w:val="en-GB"/>
              </w:rPr>
            </w:pPr>
            <w:r w:rsidRPr="008D0341">
              <w:rPr>
                <w:b/>
                <w:bCs/>
                <w:i/>
                <w:iCs/>
                <w:lang w:val="en-GB"/>
              </w:rPr>
              <w:t>Text proposed by the European Commission</w:t>
            </w:r>
          </w:p>
        </w:tc>
        <w:tc>
          <w:tcPr>
            <w:tcW w:w="4645" w:type="dxa"/>
          </w:tcPr>
          <w:p w:rsidRPr="008D0341" w:rsidR="005339C0" w:rsidP="00066365" w:rsidRDefault="005339C0" w14:paraId="1BD0BDE3" w14:textId="77777777">
            <w:pPr>
              <w:jc w:val="center"/>
              <w:rPr>
                <w:b/>
                <w:i/>
                <w:lang w:val="en-GB"/>
              </w:rPr>
            </w:pPr>
            <w:r w:rsidRPr="008D0341">
              <w:rPr>
                <w:b/>
                <w:bCs/>
                <w:i/>
                <w:iCs/>
                <w:color w:val="000000"/>
                <w:lang w:val="en-GB"/>
              </w:rPr>
              <w:t>CoR amendment</w:t>
            </w:r>
          </w:p>
        </w:tc>
      </w:tr>
      <w:tr w:rsidRPr="008D0341" w:rsidR="005339C0" w:rsidTr="00CF66AD" w14:paraId="5A1A1C2D" w14:textId="77777777">
        <w:tc>
          <w:tcPr>
            <w:tcW w:w="4642" w:type="dxa"/>
          </w:tcPr>
          <w:p w:rsidRPr="008D0341" w:rsidR="005339C0" w:rsidP="00066365" w:rsidRDefault="005339C0" w14:paraId="60DA828C" w14:textId="77777777">
            <w:pPr>
              <w:rPr>
                <w:lang w:val="en-GB"/>
              </w:rPr>
            </w:pPr>
          </w:p>
        </w:tc>
        <w:tc>
          <w:tcPr>
            <w:tcW w:w="4645" w:type="dxa"/>
          </w:tcPr>
          <w:p w:rsidRPr="008D0341" w:rsidR="005339C0" w:rsidP="0063224B" w:rsidRDefault="005339C0" w14:paraId="39CF2062" w14:textId="5ADBEDB3">
            <w:pPr>
              <w:tabs>
                <w:tab w:val="left" w:pos="459"/>
              </w:tabs>
              <w:rPr>
                <w:lang w:val="en-GB"/>
              </w:rPr>
            </w:pPr>
            <w:r w:rsidRPr="008D0341">
              <w:rPr>
                <w:b/>
                <w:i/>
                <w:lang w:val="en-GB"/>
              </w:rPr>
              <w:t>Member States may, within the framework of the programmes provided for in Title III of this Regulation, execute support measures complementary to those already existing under Regulation 228/2013, for the production, processing, marketing and transport of raw and processed agricultural products in the outermost regions.</w:t>
            </w:r>
          </w:p>
        </w:tc>
      </w:tr>
    </w:tbl>
    <w:p w:rsidRPr="008D0341" w:rsidR="005339C0" w:rsidP="00066365" w:rsidRDefault="005339C0" w14:paraId="36B7DC9D"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5339C0" w:rsidTr="00CF66AD" w14:paraId="356FDEEB" w14:textId="77777777">
        <w:tc>
          <w:tcPr>
            <w:tcW w:w="9287" w:type="dxa"/>
          </w:tcPr>
          <w:p w:rsidRPr="008D0341" w:rsidR="005339C0" w:rsidP="00066365" w:rsidRDefault="005339C0" w14:paraId="46974CF3" w14:textId="77777777">
            <w:pPr>
              <w:jc w:val="center"/>
              <w:rPr>
                <w:b/>
                <w:i/>
                <w:lang w:val="en-GB"/>
              </w:rPr>
            </w:pPr>
            <w:r w:rsidRPr="008D0341">
              <w:rPr>
                <w:b/>
                <w:bCs/>
                <w:i/>
                <w:lang w:val="en-GB"/>
              </w:rPr>
              <w:t>Reason</w:t>
            </w:r>
          </w:p>
        </w:tc>
      </w:tr>
      <w:tr w:rsidRPr="008D0341" w:rsidR="005339C0" w:rsidTr="00CF66AD" w14:paraId="4B1D0C2D" w14:textId="77777777">
        <w:tc>
          <w:tcPr>
            <w:tcW w:w="9287" w:type="dxa"/>
          </w:tcPr>
          <w:p w:rsidRPr="008D0341" w:rsidR="005339C0" w:rsidP="00066365" w:rsidRDefault="005339C0" w14:paraId="1FC7B2A4" w14:textId="01A7B6FF">
            <w:pPr>
              <w:rPr>
                <w:lang w:val="en-GB"/>
              </w:rPr>
            </w:pPr>
            <w:r w:rsidRPr="008D0341">
              <w:rPr>
                <w:lang w:val="en-GB"/>
              </w:rPr>
              <w:t>To make it possible for new measures supporting agriculture in the outermost regions to be incorporated in addition to those already in place thanks to the POSEI programme being kept as an instrument outside the NRP Plans.</w:t>
            </w:r>
          </w:p>
        </w:tc>
      </w:tr>
    </w:tbl>
    <w:p w:rsidR="005339C0" w:rsidP="00066365" w:rsidRDefault="005339C0" w14:paraId="346908F1" w14:textId="77777777">
      <w:pPr>
        <w:rPr>
          <w:lang w:val="en-GB"/>
        </w:rPr>
      </w:pPr>
    </w:p>
    <w:p w:rsidR="00F71483" w:rsidP="00066365" w:rsidRDefault="00F71483" w14:paraId="2BFC0334" w14:textId="77777777">
      <w:pPr>
        <w:rPr>
          <w:lang w:val="en-GB"/>
        </w:rPr>
      </w:pPr>
    </w:p>
    <w:p w:rsidRPr="008D0341" w:rsidR="00686B25" w:rsidP="003F40F8" w:rsidRDefault="00686B25" w14:paraId="52E6CF81" w14:textId="6758CA0F">
      <w:pPr>
        <w:keepNext/>
        <w:keepLines/>
        <w:jc w:val="center"/>
        <w:rPr>
          <w:b/>
          <w:bCs/>
          <w:lang w:val="en-GB"/>
        </w:rPr>
      </w:pPr>
      <w:r w:rsidRPr="008D0341">
        <w:rPr>
          <w:b/>
          <w:bCs/>
          <w:lang w:val="en-GB"/>
        </w:rPr>
        <w:t xml:space="preserve">Amendment </w:t>
      </w:r>
      <w:r w:rsidRPr="008D0341" w:rsidR="009935BC">
        <w:rPr>
          <w:b/>
          <w:bCs/>
          <w:lang w:val="en-GB"/>
        </w:rPr>
        <w:t>2</w:t>
      </w:r>
      <w:r w:rsidRPr="008D0341" w:rsidR="008B5EAB">
        <w:rPr>
          <w:b/>
          <w:bCs/>
          <w:lang w:val="en-GB"/>
        </w:rPr>
        <w:t>4</w:t>
      </w:r>
    </w:p>
    <w:p w:rsidRPr="008D0341" w:rsidR="00686B25" w:rsidP="003F40F8" w:rsidRDefault="00686B25" w14:paraId="7BB35D6E" w14:textId="3FB52E8A">
      <w:pPr>
        <w:keepNext/>
        <w:keepLines/>
        <w:jc w:val="center"/>
        <w:rPr>
          <w:lang w:val="en-GB"/>
        </w:rPr>
      </w:pPr>
      <w:r w:rsidRPr="008D0341">
        <w:rPr>
          <w:lang w:val="en-GB"/>
        </w:rPr>
        <w:t>Article 48</w:t>
      </w:r>
    </w:p>
    <w:p w:rsidRPr="008D0341" w:rsidR="00686B25" w:rsidP="003F40F8" w:rsidRDefault="00686B25" w14:paraId="2B142F70"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686B25" w:rsidTr="00CF66AD" w14:paraId="2F0CF483" w14:textId="77777777">
        <w:tc>
          <w:tcPr>
            <w:tcW w:w="4642" w:type="dxa"/>
          </w:tcPr>
          <w:p w:rsidRPr="008D0341" w:rsidR="00686B25" w:rsidP="00066365" w:rsidRDefault="00686B25" w14:paraId="406C9382" w14:textId="77777777">
            <w:pPr>
              <w:jc w:val="center"/>
              <w:rPr>
                <w:b/>
                <w:bCs/>
                <w:i/>
                <w:iCs/>
                <w:lang w:val="en-GB"/>
              </w:rPr>
            </w:pPr>
            <w:r w:rsidRPr="008D0341">
              <w:rPr>
                <w:b/>
                <w:bCs/>
                <w:i/>
                <w:iCs/>
                <w:lang w:val="en-GB"/>
              </w:rPr>
              <w:t>Text proposed by the European Commission</w:t>
            </w:r>
          </w:p>
        </w:tc>
        <w:tc>
          <w:tcPr>
            <w:tcW w:w="4645" w:type="dxa"/>
          </w:tcPr>
          <w:p w:rsidRPr="008D0341" w:rsidR="00686B25" w:rsidP="00066365" w:rsidRDefault="00686B25" w14:paraId="2063C86E" w14:textId="77777777">
            <w:pPr>
              <w:jc w:val="center"/>
              <w:rPr>
                <w:b/>
                <w:i/>
                <w:lang w:val="en-GB"/>
              </w:rPr>
            </w:pPr>
            <w:r w:rsidRPr="008D0341">
              <w:rPr>
                <w:b/>
                <w:bCs/>
                <w:i/>
                <w:iCs/>
                <w:color w:val="000000"/>
                <w:lang w:val="en-GB"/>
              </w:rPr>
              <w:t>CoR amendment</w:t>
            </w:r>
          </w:p>
        </w:tc>
      </w:tr>
      <w:tr w:rsidRPr="008D0341" w:rsidR="00686B25" w:rsidTr="00CF66AD" w14:paraId="1AB67F77" w14:textId="77777777">
        <w:tc>
          <w:tcPr>
            <w:tcW w:w="4642" w:type="dxa"/>
          </w:tcPr>
          <w:p w:rsidRPr="008D0341" w:rsidR="005F378B" w:rsidP="00066365" w:rsidRDefault="00686B25" w14:paraId="255D943F" w14:textId="60164CC1">
            <w:pPr>
              <w:rPr>
                <w:lang w:val="en-GB"/>
              </w:rPr>
            </w:pPr>
            <w:r w:rsidRPr="008D0341">
              <w:rPr>
                <w:lang w:val="en-GB"/>
              </w:rPr>
              <w:t>1.</w:t>
            </w:r>
            <w:r w:rsidR="00BC7019">
              <w:rPr>
                <w:lang w:val="en-GB"/>
              </w:rPr>
              <w:t xml:space="preserve"> </w:t>
            </w:r>
            <w:r w:rsidRPr="008D0341">
              <w:rPr>
                <w:lang w:val="en-GB"/>
              </w:rPr>
              <w:t xml:space="preserve">Each Member State concerned shall determine, in line with the criteria laid down in accordance with paragraph 7of this Article, for each outermost region, the list of </w:t>
            </w:r>
            <w:r w:rsidRPr="008D0341">
              <w:rPr>
                <w:b/>
                <w:i/>
                <w:lang w:val="en-GB"/>
              </w:rPr>
              <w:t xml:space="preserve">agricultural, </w:t>
            </w:r>
            <w:r w:rsidRPr="008D0341">
              <w:rPr>
                <w:lang w:val="en-GB"/>
              </w:rPr>
              <w:t>fishery and aquaculture products and the quantity of those products eligible for compensation of the additional costs incurred by operators.</w:t>
            </w:r>
          </w:p>
          <w:p w:rsidRPr="008D0341" w:rsidR="00985496" w:rsidP="00066365" w:rsidRDefault="00686B25" w14:paraId="422D85A8" w14:textId="77777777">
            <w:pPr>
              <w:rPr>
                <w:lang w:val="en-GB"/>
              </w:rPr>
            </w:pPr>
            <w:r w:rsidRPr="008D0341">
              <w:rPr>
                <w:lang w:val="en-GB"/>
              </w:rPr>
              <w:t>2. The list referred to in paragraph 1 shall comprise at least the following elements:</w:t>
            </w:r>
            <w:r w:rsidRPr="008D0341">
              <w:rPr>
                <w:lang w:val="en-GB"/>
              </w:rPr>
              <w:cr/>
              <w:t>(a) a description of the interventions envisaged;</w:t>
            </w:r>
            <w:r w:rsidRPr="008D0341">
              <w:rPr>
                <w:lang w:val="en-GB"/>
              </w:rPr>
              <w:cr/>
              <w:t xml:space="preserve">(b) </w:t>
            </w:r>
            <w:r w:rsidRPr="008D0341">
              <w:rPr>
                <w:b/>
                <w:i/>
                <w:lang w:val="en-GB"/>
              </w:rPr>
              <w:t>a list of the aid constituting income support interventions in accordance with Article 35(1);</w:t>
            </w:r>
            <w:r w:rsidRPr="008D0341">
              <w:rPr>
                <w:b/>
                <w:i/>
                <w:lang w:val="en-GB"/>
              </w:rPr>
              <w:cr/>
              <w:t>(c)</w:t>
            </w:r>
            <w:r w:rsidRPr="008D0341">
              <w:rPr>
                <w:lang w:val="en-GB"/>
              </w:rPr>
              <w:t xml:space="preserve"> the aid amount established for each intervention and the provisional amount for each action in order to achieve one or more objectives for the programme.</w:t>
            </w:r>
          </w:p>
          <w:p w:rsidRPr="008D0341" w:rsidR="002B02EB" w:rsidP="00066365" w:rsidRDefault="00686B25" w14:paraId="7F0D269D" w14:textId="544C9044">
            <w:pPr>
              <w:rPr>
                <w:lang w:val="en-GB"/>
              </w:rPr>
            </w:pPr>
            <w:r w:rsidRPr="008D0341">
              <w:rPr>
                <w:lang w:val="en-GB"/>
              </w:rPr>
              <w:t xml:space="preserve">3. The interventions may consist of support for production, processing, marketing and transport of raw and processed </w:t>
            </w:r>
            <w:r w:rsidRPr="008D0341">
              <w:rPr>
                <w:b/>
                <w:i/>
                <w:lang w:val="en-GB"/>
              </w:rPr>
              <w:t>agricultural,</w:t>
            </w:r>
            <w:r w:rsidRPr="008D0341">
              <w:rPr>
                <w:lang w:val="en-GB"/>
              </w:rPr>
              <w:t xml:space="preserve"> fisheries and aquaculture products in the outermost regions. When establishing the lists and the quantities referred to in paragraph 1, Member States shall take into account all relevant factors, in particular the additional costs incurred by operators in the outermost regions, and the need to ensure that the compensation is compatible and consistent with the rules of the Common Agricultural Policy and the Common Fisheries Policy.</w:t>
            </w:r>
          </w:p>
          <w:p w:rsidRPr="008D0341" w:rsidR="002B02EB" w:rsidP="00066365" w:rsidRDefault="00686B25" w14:paraId="1ACC0823" w14:textId="18477359">
            <w:pPr>
              <w:rPr>
                <w:b/>
                <w:i/>
                <w:lang w:val="en-GB"/>
              </w:rPr>
            </w:pPr>
            <w:r w:rsidRPr="008D0341">
              <w:rPr>
                <w:lang w:val="en-GB"/>
              </w:rPr>
              <w:t>4.</w:t>
            </w:r>
            <w:r w:rsidRPr="008D0341">
              <w:rPr>
                <w:b/>
                <w:i/>
                <w:lang w:val="en-GB"/>
              </w:rPr>
              <w:t xml:space="preserve"> Member States shall provide for a fair distribution of payments. Member States may cap the amount of the support to be granted to a beneficiary in a given calendar year or use degressive payments.</w:t>
            </w:r>
          </w:p>
          <w:p w:rsidR="00BC7019" w:rsidP="00066365" w:rsidRDefault="00686B25" w14:paraId="7000FBA5" w14:textId="0820CD5D">
            <w:pPr>
              <w:rPr>
                <w:lang w:val="en-GB"/>
              </w:rPr>
            </w:pPr>
            <w:r w:rsidRPr="008D0341">
              <w:rPr>
                <w:b/>
                <w:bCs/>
                <w:i/>
                <w:lang w:val="en-GB"/>
              </w:rPr>
              <w:t>5</w:t>
            </w:r>
            <w:r w:rsidRPr="008D0341">
              <w:rPr>
                <w:b/>
                <w:i/>
                <w:lang w:val="en-GB"/>
              </w:rPr>
              <w:t>.</w:t>
            </w:r>
            <w:r w:rsidRPr="008D0341">
              <w:rPr>
                <w:lang w:val="en-GB"/>
              </w:rPr>
              <w:t xml:space="preserve"> The compensation shall not be granted for fishery and aquaculture products:</w:t>
            </w:r>
          </w:p>
          <w:p w:rsidR="00066365" w:rsidP="00066365" w:rsidRDefault="00686B25" w14:paraId="3FCC4881" w14:textId="77777777">
            <w:pPr>
              <w:rPr>
                <w:lang w:val="en-GB"/>
              </w:rPr>
            </w:pPr>
            <w:r w:rsidRPr="008D0341">
              <w:rPr>
                <w:lang w:val="en-GB"/>
              </w:rPr>
              <w:t>(a) caught by third country vessels, with the exception of fishing vessels which fly</w:t>
            </w:r>
            <w:r w:rsidR="00066365">
              <w:rPr>
                <w:lang w:val="en-GB"/>
              </w:rPr>
              <w:t xml:space="preserve"> </w:t>
            </w:r>
            <w:r w:rsidRPr="008D0341">
              <w:rPr>
                <w:lang w:val="en-GB"/>
              </w:rPr>
              <w:t>the flag of Venezuela and operate in Union waters, in accordance with Council Decision (EU) 2015/1565 (37);</w:t>
            </w:r>
            <w:r w:rsidRPr="008D0341">
              <w:rPr>
                <w:lang w:val="en-GB"/>
              </w:rPr>
              <w:cr/>
              <w:t>(b) caught by Union fishing vessels that are not registered in a port of one of the outermost regions;</w:t>
            </w:r>
          </w:p>
          <w:p w:rsidR="00066365" w:rsidP="00066365" w:rsidRDefault="00686B25" w14:paraId="3BE096BB" w14:textId="77777777">
            <w:pPr>
              <w:rPr>
                <w:lang w:val="en-GB"/>
              </w:rPr>
            </w:pPr>
            <w:r w:rsidRPr="008D0341">
              <w:rPr>
                <w:lang w:val="en-GB"/>
              </w:rPr>
              <w:t>(c) imported from third countries.</w:t>
            </w:r>
            <w:r w:rsidRPr="008D0341">
              <w:rPr>
                <w:b/>
                <w:i/>
                <w:lang w:val="en-GB"/>
              </w:rPr>
              <w:t xml:space="preserve"> </w:t>
            </w:r>
            <w:r w:rsidRPr="008D0341">
              <w:rPr>
                <w:b/>
                <w:bCs/>
                <w:i/>
                <w:lang w:val="en-GB"/>
              </w:rPr>
              <w:t>6</w:t>
            </w:r>
            <w:r w:rsidRPr="008D0341">
              <w:rPr>
                <w:b/>
                <w:i/>
                <w:lang w:val="en-GB"/>
              </w:rPr>
              <w:t>.</w:t>
            </w:r>
            <w:r w:rsidRPr="008D0341">
              <w:rPr>
                <w:lang w:val="en-GB"/>
              </w:rPr>
              <w:t xml:space="preserve"> Paragraph </w:t>
            </w:r>
            <w:r w:rsidRPr="008D0341">
              <w:rPr>
                <w:b/>
                <w:i/>
                <w:lang w:val="en-GB"/>
              </w:rPr>
              <w:t>5</w:t>
            </w:r>
            <w:r w:rsidRPr="008D0341">
              <w:rPr>
                <w:lang w:val="en-GB"/>
              </w:rPr>
              <w:t>, point (b), shall not apply if the existing capacity of the processing industry in the outermost region concerned exceeds the quantity of raw material supplied.</w:t>
            </w:r>
          </w:p>
          <w:p w:rsidRPr="008D0341" w:rsidR="00686B25" w:rsidP="00066365" w:rsidRDefault="00686B25" w14:paraId="1F0D032F" w14:textId="7D4796D9">
            <w:pPr>
              <w:rPr>
                <w:lang w:val="en-GB"/>
              </w:rPr>
            </w:pPr>
            <w:r w:rsidRPr="008D0341">
              <w:rPr>
                <w:b/>
                <w:bCs/>
                <w:i/>
                <w:lang w:val="en-GB"/>
              </w:rPr>
              <w:t>7</w:t>
            </w:r>
            <w:r w:rsidRPr="008D0341">
              <w:rPr>
                <w:b/>
                <w:i/>
                <w:lang w:val="en-GB"/>
              </w:rPr>
              <w:t>.</w:t>
            </w:r>
            <w:r w:rsidRPr="008D0341">
              <w:rPr>
                <w:lang w:val="en-GB"/>
              </w:rPr>
              <w:t xml:space="preserve"> The Commission is empowered to adopt delegated acts, in accordance with Articles 86 and 87, to supplement this Regulation by laying down the criteria for the calculation of the additional costs resulting from the special characteristics of the regions concerned.</w:t>
            </w:r>
          </w:p>
        </w:tc>
        <w:tc>
          <w:tcPr>
            <w:tcW w:w="4645" w:type="dxa"/>
          </w:tcPr>
          <w:p w:rsidRPr="008D0341" w:rsidR="005F378B" w:rsidP="00066365" w:rsidRDefault="00686B25" w14:paraId="123E6389" w14:textId="7E40469C">
            <w:pPr>
              <w:rPr>
                <w:lang w:val="en-GB"/>
              </w:rPr>
            </w:pPr>
            <w:r w:rsidRPr="008D0341">
              <w:rPr>
                <w:lang w:val="en-GB"/>
              </w:rPr>
              <w:t>1.</w:t>
            </w:r>
            <w:r w:rsidR="00BC7019">
              <w:rPr>
                <w:lang w:val="en-GB"/>
              </w:rPr>
              <w:t xml:space="preserve"> </w:t>
            </w:r>
            <w:r w:rsidRPr="008D0341">
              <w:rPr>
                <w:lang w:val="en-GB"/>
              </w:rPr>
              <w:t>Each Member State concerned shall determine, in line with the criteria laid down in accordance with paragraph 7of this Article, for each outermost region, the list of</w:t>
            </w:r>
            <w:r w:rsidRPr="008D0341">
              <w:rPr>
                <w:b/>
                <w:i/>
                <w:lang w:val="en-GB"/>
              </w:rPr>
              <w:t xml:space="preserve"> </w:t>
            </w:r>
            <w:r w:rsidRPr="008D0341">
              <w:rPr>
                <w:lang w:val="en-GB"/>
              </w:rPr>
              <w:t>fishery and aquaculture products and the quantity of those products eligible for compensation of the additional costs incurred by operators.</w:t>
            </w:r>
          </w:p>
          <w:p w:rsidRPr="008D0341" w:rsidR="00985496" w:rsidP="00066365" w:rsidRDefault="00686B25" w14:paraId="604D4C5A" w14:textId="4EC57B26">
            <w:pPr>
              <w:rPr>
                <w:lang w:val="en-GB"/>
              </w:rPr>
            </w:pPr>
            <w:r w:rsidRPr="008D0341">
              <w:rPr>
                <w:lang w:val="en-GB"/>
              </w:rPr>
              <w:t>2. The list referred to in paragraph 1 shall comprise at least the following elements:</w:t>
            </w:r>
            <w:r w:rsidRPr="008D0341">
              <w:rPr>
                <w:lang w:val="en-GB"/>
              </w:rPr>
              <w:cr/>
              <w:t>(a) a description of the interventions envisaged;</w:t>
            </w:r>
            <w:r w:rsidRPr="008D0341">
              <w:rPr>
                <w:lang w:val="en-GB"/>
              </w:rPr>
              <w:cr/>
              <w:t>(b) the aid amount established for each intervention and the provisional amount for each action in order to achieve one or more objectives for the programme.</w:t>
            </w:r>
          </w:p>
          <w:p w:rsidR="00BC7019" w:rsidP="00066365" w:rsidRDefault="00686B25" w14:paraId="5E041E59" w14:textId="6D732CD1">
            <w:pPr>
              <w:rPr>
                <w:lang w:val="en-GB"/>
              </w:rPr>
            </w:pPr>
            <w:r w:rsidRPr="008D0341">
              <w:rPr>
                <w:lang w:val="en-GB"/>
              </w:rPr>
              <w:t>3. The interventions may consist of support for production, processing, marketing and transport of raw and processed fisheries and aquaculture products in the outermost regions. When establishing the lists and the quantities referred to in paragraph 1, Member States shall take into account all relevant factors, in particular the additional costs incurred by operators in the outermost regions, and the need to ensure that the compensation is compatible and consistent with the rules of the Common Agricultural Policy and the Common Fisheries Policy.</w:t>
            </w:r>
          </w:p>
          <w:p w:rsidRPr="008D0341" w:rsidR="00686B25" w:rsidP="00066365" w:rsidRDefault="00686B25" w14:paraId="513FE163" w14:textId="768B4B6D">
            <w:pPr>
              <w:rPr>
                <w:lang w:val="en-GB"/>
              </w:rPr>
            </w:pPr>
            <w:r w:rsidRPr="008D0341">
              <w:rPr>
                <w:lang w:val="en-GB"/>
              </w:rPr>
              <w:t>4. The compensation shall not be granted for fishery and aquaculture products:</w:t>
            </w:r>
            <w:r w:rsidRPr="008D0341">
              <w:rPr>
                <w:lang w:val="en-GB"/>
              </w:rPr>
              <w:cr/>
              <w:t>(a) caught by third country vessels, with the exception of fishing vessels which fly the flag of Venezuela and operate in Union waters, in accordance with Council Decision (EU) 2015/1565 (37);</w:t>
            </w:r>
            <w:r w:rsidRPr="008D0341">
              <w:rPr>
                <w:lang w:val="en-GB"/>
              </w:rPr>
              <w:cr/>
              <w:t>(b) caught by Union fishing vessels that are not registered in a port of one of the outermost regions;</w:t>
            </w:r>
            <w:r w:rsidRPr="008D0341">
              <w:rPr>
                <w:lang w:val="en-GB"/>
              </w:rPr>
              <w:cr/>
              <w:t>(c) imported from third countries.</w:t>
            </w:r>
            <w:r w:rsidRPr="008D0341">
              <w:rPr>
                <w:b/>
                <w:i/>
                <w:lang w:val="en-GB"/>
              </w:rPr>
              <w:t xml:space="preserve"> </w:t>
            </w:r>
            <w:r w:rsidRPr="008D0341">
              <w:rPr>
                <w:b/>
                <w:bCs/>
                <w:i/>
                <w:lang w:val="en-GB"/>
              </w:rPr>
              <w:t>5</w:t>
            </w:r>
            <w:r w:rsidRPr="008D0341">
              <w:rPr>
                <w:b/>
                <w:i/>
                <w:lang w:val="en-GB"/>
              </w:rPr>
              <w:t>.</w:t>
            </w:r>
            <w:r w:rsidRPr="008D0341">
              <w:rPr>
                <w:lang w:val="en-GB"/>
              </w:rPr>
              <w:t xml:space="preserve"> Paragraph </w:t>
            </w:r>
            <w:r w:rsidRPr="008D0341">
              <w:rPr>
                <w:b/>
                <w:i/>
                <w:lang w:val="en-GB"/>
              </w:rPr>
              <w:t>4</w:t>
            </w:r>
            <w:r w:rsidRPr="008D0341">
              <w:rPr>
                <w:lang w:val="en-GB"/>
              </w:rPr>
              <w:t>, point (b), shall not apply if the existing capacity of the processing industry in the outermost region concerned exceeds the quantity of raw material supplied.</w:t>
            </w:r>
            <w:r w:rsidRPr="008D0341">
              <w:rPr>
                <w:b/>
                <w:i/>
                <w:lang w:val="en-GB"/>
              </w:rPr>
              <w:t xml:space="preserve"> </w:t>
            </w:r>
            <w:r w:rsidRPr="008D0341">
              <w:rPr>
                <w:b/>
                <w:bCs/>
                <w:i/>
                <w:lang w:val="en-GB"/>
              </w:rPr>
              <w:t>6</w:t>
            </w:r>
            <w:r w:rsidRPr="008D0341">
              <w:rPr>
                <w:b/>
                <w:i/>
                <w:lang w:val="en-GB"/>
              </w:rPr>
              <w:t>.</w:t>
            </w:r>
            <w:r w:rsidRPr="008D0341">
              <w:rPr>
                <w:lang w:val="en-GB"/>
              </w:rPr>
              <w:t xml:space="preserve"> The Commission is empowered to adopt delegated acts, in accordance with Articles 86 and 87, to supplement this Regulation by laying down the criteria for the calculation of the additional costs resulting from the special characteristics of the regions concerned.</w:t>
            </w:r>
          </w:p>
        </w:tc>
      </w:tr>
    </w:tbl>
    <w:p w:rsidRPr="008D0341" w:rsidR="00686B25" w:rsidP="00066365" w:rsidRDefault="00686B25" w14:paraId="6644AC4E"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686B25" w:rsidTr="00CF66AD" w14:paraId="6BC24E1C" w14:textId="77777777">
        <w:tc>
          <w:tcPr>
            <w:tcW w:w="9287" w:type="dxa"/>
          </w:tcPr>
          <w:p w:rsidRPr="008D0341" w:rsidR="00686B25" w:rsidP="00066365" w:rsidRDefault="00686B25" w14:paraId="73930F63" w14:textId="77777777">
            <w:pPr>
              <w:jc w:val="center"/>
              <w:rPr>
                <w:b/>
                <w:i/>
                <w:lang w:val="en-GB"/>
              </w:rPr>
            </w:pPr>
            <w:r w:rsidRPr="008D0341">
              <w:rPr>
                <w:b/>
                <w:bCs/>
                <w:i/>
                <w:lang w:val="en-GB"/>
              </w:rPr>
              <w:t>Reason</w:t>
            </w:r>
          </w:p>
        </w:tc>
      </w:tr>
      <w:tr w:rsidRPr="008D0341" w:rsidR="00686B25" w:rsidTr="00CF66AD" w14:paraId="3DA3EB5E" w14:textId="77777777">
        <w:tc>
          <w:tcPr>
            <w:tcW w:w="9287" w:type="dxa"/>
          </w:tcPr>
          <w:p w:rsidRPr="008D0341" w:rsidR="00686B25" w:rsidP="00066365" w:rsidRDefault="00A532EB" w14:paraId="183B7FD6" w14:textId="0E39E486">
            <w:pPr>
              <w:rPr>
                <w:lang w:val="en-GB"/>
              </w:rPr>
            </w:pPr>
            <w:r w:rsidRPr="008D0341">
              <w:rPr>
                <w:lang w:val="en-GB"/>
              </w:rPr>
              <w:t>In line with the previous amendment, the references to agriculture in the outermost regions are deleted and should be included in the CAP framework and, more specifically, in the specific regulation adapting the CAP to the outermost regions, Regulation 228/2013 (POSEI Regulation).</w:t>
            </w:r>
          </w:p>
        </w:tc>
      </w:tr>
    </w:tbl>
    <w:p w:rsidR="00686B25" w:rsidP="00066365" w:rsidRDefault="00686B25" w14:paraId="54893895" w14:textId="77777777">
      <w:pPr>
        <w:rPr>
          <w:lang w:val="en-GB"/>
        </w:rPr>
      </w:pPr>
    </w:p>
    <w:p w:rsidR="00F71483" w:rsidP="00066365" w:rsidRDefault="00F71483" w14:paraId="6FE7C120" w14:textId="77777777">
      <w:pPr>
        <w:rPr>
          <w:lang w:val="en-GB"/>
        </w:rPr>
      </w:pPr>
    </w:p>
    <w:p w:rsidRPr="008D0341" w:rsidR="00352E5C" w:rsidP="003F40F8" w:rsidRDefault="00352E5C" w14:paraId="2EB8FC13" w14:textId="64B08CB4">
      <w:pPr>
        <w:keepNext/>
        <w:keepLines/>
        <w:jc w:val="center"/>
        <w:rPr>
          <w:lang w:val="en-GB"/>
        </w:rPr>
      </w:pPr>
      <w:r w:rsidRPr="008D0341">
        <w:rPr>
          <w:rFonts w:eastAsia="Myriad Pro"/>
          <w:b/>
          <w:bCs/>
          <w:lang w:val="en-GB"/>
        </w:rPr>
        <w:t xml:space="preserve">Amendment </w:t>
      </w:r>
      <w:r w:rsidRPr="008D0341" w:rsidR="009A335B">
        <w:rPr>
          <w:rFonts w:eastAsia="Myriad Pro"/>
          <w:b/>
          <w:bCs/>
          <w:lang w:val="en-GB"/>
        </w:rPr>
        <w:t>2</w:t>
      </w:r>
      <w:r w:rsidRPr="008D0341" w:rsidR="008B5EAB">
        <w:rPr>
          <w:rFonts w:eastAsia="Myriad Pro"/>
          <w:b/>
          <w:bCs/>
          <w:lang w:val="en-GB"/>
        </w:rPr>
        <w:t>5</w:t>
      </w:r>
    </w:p>
    <w:p w:rsidRPr="008D0341" w:rsidR="00352E5C" w:rsidP="003F40F8" w:rsidRDefault="00352E5C" w14:paraId="09AB3741" w14:textId="0532A760">
      <w:pPr>
        <w:keepNext/>
        <w:keepLines/>
        <w:jc w:val="center"/>
        <w:rPr>
          <w:rFonts w:eastAsia="Myriad Pro"/>
          <w:lang w:val="en-GB"/>
        </w:rPr>
      </w:pPr>
      <w:r w:rsidRPr="008D0341">
        <w:rPr>
          <w:rFonts w:eastAsia="Myriad Pro"/>
          <w:lang w:val="en-GB"/>
        </w:rPr>
        <w:t>Article 49</w:t>
      </w:r>
      <w:r w:rsidRPr="008D0341" w:rsidR="000F02E6">
        <w:rPr>
          <w:rFonts w:eastAsia="Myriad Pro"/>
          <w:lang w:val="en-GB"/>
        </w:rPr>
        <w:t xml:space="preserve"> add new paragraphs 2 and 3 (after paragraph 1)</w:t>
      </w:r>
      <w:r w:rsidRPr="008D0341">
        <w:rPr>
          <w:rFonts w:eastAsia="Myriad Pro"/>
          <w:lang w:val="en-GB"/>
        </w:rPr>
        <w:t xml:space="preserve"> – Plan Authorities</w:t>
      </w:r>
    </w:p>
    <w:p w:rsidRPr="008D0341" w:rsidR="007A0032" w:rsidP="003F40F8" w:rsidRDefault="007A0032" w14:paraId="7679A842"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B119C7" w14:paraId="24549109"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08735DA2" w14:textId="3A59CFA5">
            <w:pPr>
              <w:jc w:val="center"/>
              <w:rPr>
                <w:b/>
                <w:bCs/>
                <w:i/>
                <w:iCs/>
                <w:lang w:val="en-GB"/>
              </w:rPr>
            </w:pPr>
            <w:r w:rsidRPr="008D0341">
              <w:rPr>
                <w:b/>
                <w:bCs/>
                <w:i/>
                <w:iCs/>
                <w:lang w:val="en-GB"/>
              </w:rPr>
              <w:t xml:space="preserve">Text proposed by the </w:t>
            </w:r>
            <w:r w:rsidR="00066365">
              <w:rPr>
                <w:b/>
                <w:bCs/>
                <w:i/>
                <w:iCs/>
                <w:lang w:val="en-GB"/>
              </w:rPr>
              <w:t xml:space="preserve">European </w:t>
            </w:r>
            <w:r w:rsidRPr="008D0341">
              <w:rPr>
                <w:b/>
                <w:bCs/>
                <w:i/>
                <w:iCs/>
                <w:lang w:val="en-GB"/>
              </w:rPr>
              <w:t>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CDBB8FD" w14:textId="77777777">
            <w:pPr>
              <w:jc w:val="center"/>
              <w:rPr>
                <w:b/>
                <w:bCs/>
                <w:i/>
                <w:iCs/>
                <w:lang w:val="en-GB"/>
              </w:rPr>
            </w:pPr>
            <w:r w:rsidRPr="008D0341">
              <w:rPr>
                <w:b/>
                <w:bCs/>
                <w:i/>
                <w:iCs/>
                <w:lang w:val="en-GB"/>
              </w:rPr>
              <w:t>CoR amendment</w:t>
            </w:r>
          </w:p>
        </w:tc>
      </w:tr>
      <w:tr w:rsidRPr="008D0341" w:rsidR="00352E5C" w:rsidTr="00B119C7" w14:paraId="73A4A9C7"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2E2A7043" w14:textId="742D74B8">
            <w:pPr>
              <w:shd w:val="clear" w:color="auto" w:fill="FFFFFF"/>
              <w:textAlignment w:val="baseline"/>
              <w:rPr>
                <w:color w:val="000000"/>
                <w:bdr w:val="none" w:color="auto" w:sz="0" w:space="0" w:frame="1"/>
                <w:lang w:val="en-GB"/>
              </w:rPr>
            </w:pPr>
            <w:r w:rsidRPr="008D0341">
              <w:rPr>
                <w:color w:val="000000"/>
                <w:bdr w:val="none" w:color="auto" w:sz="0" w:space="0" w:frame="1"/>
                <w:lang w:val="en-GB"/>
              </w:rPr>
              <w:t>1.</w:t>
            </w:r>
            <w:r w:rsidRPr="008D0341" w:rsidR="009513D8">
              <w:rPr>
                <w:color w:val="000000"/>
                <w:bdr w:val="none" w:color="auto" w:sz="0" w:space="0" w:frame="1"/>
                <w:lang w:val="en-GB"/>
              </w:rPr>
              <w:t xml:space="preserve"> </w:t>
            </w:r>
            <w:r w:rsidRPr="008D0341">
              <w:rPr>
                <w:color w:val="000000"/>
                <w:bdr w:val="none" w:color="auto" w:sz="0" w:space="0" w:frame="1"/>
                <w:lang w:val="en-GB"/>
              </w:rPr>
              <w:t>For the purposes of Article 63(3) of Regulation (EU, Euratom) 2024/2509, each Member State shall identify one or more managing authorities, one or more paying agencies and one or more audit authorities for the Plan. The authorities identified shall fulfil the relevant key requirements set out in Annex IV to this Regulation. All authorities identified for the purposes of this Article shall have the possibility for exchanges with the Commission.</w:t>
            </w:r>
          </w:p>
          <w:p w:rsidRPr="00066365" w:rsidR="00352E5C" w:rsidP="00066365" w:rsidRDefault="00352E5C" w14:paraId="1081AAE5" w14:textId="15D5590A">
            <w:pPr>
              <w:shd w:val="clear" w:color="auto" w:fill="FFFFFF"/>
              <w:textAlignment w:val="baseline"/>
              <w:rPr>
                <w:color w:val="000000"/>
                <w:bdr w:val="none" w:color="auto" w:sz="0" w:space="0" w:frame="1"/>
                <w:lang w:val="en-GB"/>
              </w:rPr>
            </w:pPr>
            <w:r w:rsidRPr="008D0341">
              <w:rPr>
                <w:color w:val="000000"/>
                <w:bdr w:val="none" w:color="auto" w:sz="0" w:space="0" w:frame="1"/>
                <w:lang w:val="en-GB"/>
              </w:rPr>
              <w:t>2.</w:t>
            </w:r>
            <w:r w:rsidRPr="008D0341" w:rsidR="009513D8">
              <w:rPr>
                <w:color w:val="000000"/>
                <w:bdr w:val="none" w:color="auto" w:sz="0" w:space="0" w:frame="1"/>
                <w:lang w:val="en-GB"/>
              </w:rPr>
              <w:t xml:space="preserve"> </w:t>
            </w:r>
            <w:r w:rsidRPr="008D0341">
              <w:rPr>
                <w:color w:val="000000"/>
                <w:bdr w:val="none" w:color="auto" w:sz="0" w:space="0" w:frame="1"/>
                <w:lang w:val="en-GB"/>
              </w:rPr>
              <w:t>Where a Member State entrusts the implementation of the Plan to authorities in charge of implementing cohesion policy, the CAP or European Maritime Fisheries and Aquaculture Fund in the 2021-2027 programming period and based on all available audit results the Commission did not question the effective functioning of these authorities, these authorities shall be deemed to comply with the key requirements.</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7A57747B" w14:textId="39B2C619">
            <w:pPr>
              <w:shd w:val="clear" w:color="auto" w:fill="FFFFFF"/>
              <w:textAlignment w:val="baseline"/>
              <w:rPr>
                <w:color w:val="000000"/>
                <w:bdr w:val="none" w:color="auto" w:sz="0" w:space="0" w:frame="1"/>
                <w:lang w:val="en-GB"/>
              </w:rPr>
            </w:pPr>
            <w:r w:rsidRPr="008D0341">
              <w:rPr>
                <w:color w:val="000000"/>
                <w:bdr w:val="none" w:color="auto" w:sz="0" w:space="0" w:frame="1"/>
                <w:lang w:val="en-GB"/>
              </w:rPr>
              <w:t>1.</w:t>
            </w:r>
            <w:r w:rsidRPr="008D0341" w:rsidR="009513D8">
              <w:rPr>
                <w:color w:val="000000"/>
                <w:bdr w:val="none" w:color="auto" w:sz="0" w:space="0" w:frame="1"/>
                <w:lang w:val="en-GB"/>
              </w:rPr>
              <w:t xml:space="preserve"> </w:t>
            </w:r>
            <w:r w:rsidRPr="008D0341">
              <w:rPr>
                <w:color w:val="000000"/>
                <w:bdr w:val="none" w:color="auto" w:sz="0" w:space="0" w:frame="1"/>
                <w:lang w:val="en-GB"/>
              </w:rPr>
              <w:t>For the purposes of Article 63(3) of Regulation (EU, Euratom) 2024/2509, each Member State shall identify one or more managing authorities, one or more paying agencies and one or more audit authorities for the Plan. The authorities identified shall fulfil the relevant key requirements set out in Annex IV to this Regulation. All authorities identified for the purposes of this Article shall have the possibility for exchanges with the Commission.</w:t>
            </w:r>
          </w:p>
          <w:p w:rsidRPr="008D0341" w:rsidR="000F02E6" w:rsidP="00066365" w:rsidRDefault="00352E5C" w14:paraId="32AE24A7" w14:textId="23DE9567">
            <w:pPr>
              <w:shd w:val="clear" w:color="auto" w:fill="FFFFFF"/>
              <w:textAlignment w:val="baseline"/>
              <w:rPr>
                <w:b/>
                <w:bCs/>
                <w:i/>
                <w:iCs/>
                <w:color w:val="000000"/>
                <w:bdr w:val="none" w:color="auto" w:sz="0" w:space="0" w:frame="1"/>
                <w:lang w:val="en-GB"/>
              </w:rPr>
            </w:pPr>
            <w:r w:rsidRPr="008D0341">
              <w:rPr>
                <w:color w:val="000000"/>
                <w:bdr w:val="none" w:color="auto" w:sz="0" w:space="0" w:frame="1"/>
                <w:lang w:val="en-GB"/>
              </w:rPr>
              <w:t>2.</w:t>
            </w:r>
            <w:r w:rsidRPr="008D0341">
              <w:rPr>
                <w:b/>
                <w:bCs/>
                <w:i/>
                <w:iCs/>
                <w:color w:val="000000"/>
                <w:bdr w:val="none" w:color="auto" w:sz="0" w:space="0" w:frame="1"/>
                <w:lang w:val="en-GB"/>
              </w:rPr>
              <w:t xml:space="preserve"> In Member States where </w:t>
            </w:r>
            <w:r w:rsidRPr="008D0341" w:rsidR="003F5E5C">
              <w:rPr>
                <w:b/>
                <w:bCs/>
                <w:i/>
                <w:iCs/>
                <w:color w:val="000000"/>
                <w:bdr w:val="none" w:color="auto" w:sz="0" w:space="0" w:frame="1"/>
                <w:lang w:val="en-GB"/>
              </w:rPr>
              <w:t>sub-national</w:t>
            </w:r>
            <w:r w:rsidRPr="008D0341">
              <w:rPr>
                <w:b/>
                <w:bCs/>
                <w:i/>
                <w:iCs/>
                <w:color w:val="000000"/>
                <w:bdr w:val="none" w:color="auto" w:sz="0" w:space="0" w:frame="1"/>
                <w:lang w:val="en-GB"/>
              </w:rPr>
              <w:t xml:space="preserve"> authorities hold legislative, administrative or financial competences relevant to the NRPP, the Member State shall designate the competent </w:t>
            </w:r>
            <w:r w:rsidRPr="008D0341" w:rsidR="003F5E5C">
              <w:rPr>
                <w:b/>
                <w:bCs/>
                <w:i/>
                <w:iCs/>
                <w:color w:val="000000"/>
                <w:bdr w:val="none" w:color="auto" w:sz="0" w:space="0" w:frame="1"/>
                <w:lang w:val="en-GB"/>
              </w:rPr>
              <w:t>sub-national</w:t>
            </w:r>
            <w:r w:rsidRPr="008D0341" w:rsidR="0021207B">
              <w:rPr>
                <w:b/>
                <w:bCs/>
                <w:i/>
                <w:iCs/>
                <w:color w:val="000000"/>
                <w:bdr w:val="none" w:color="auto" w:sz="0" w:space="0" w:frame="1"/>
                <w:lang w:val="en-GB"/>
              </w:rPr>
              <w:t xml:space="preserve"> authority </w:t>
            </w:r>
            <w:r w:rsidRPr="008D0341">
              <w:rPr>
                <w:b/>
                <w:bCs/>
                <w:i/>
                <w:iCs/>
                <w:color w:val="000000"/>
                <w:bdr w:val="none" w:color="auto" w:sz="0" w:space="0" w:frame="1"/>
                <w:lang w:val="en-GB"/>
              </w:rPr>
              <w:t xml:space="preserve">as managing authorities for the corresponding </w:t>
            </w:r>
            <w:r w:rsidRPr="008D0341" w:rsidR="00B82B84">
              <w:rPr>
                <w:b/>
                <w:bCs/>
                <w:i/>
                <w:iCs/>
                <w:color w:val="000000"/>
                <w:bdr w:val="none" w:color="auto" w:sz="0" w:space="0" w:frame="1"/>
                <w:lang w:val="en-GB"/>
              </w:rPr>
              <w:t>r</w:t>
            </w:r>
            <w:r w:rsidRPr="008D0341" w:rsidR="0021207B">
              <w:rPr>
                <w:b/>
                <w:bCs/>
                <w:i/>
                <w:iCs/>
                <w:color w:val="000000"/>
                <w:bdr w:val="none" w:color="auto" w:sz="0" w:space="0" w:frame="1"/>
                <w:lang w:val="en-GB"/>
              </w:rPr>
              <w:t xml:space="preserve">egional or </w:t>
            </w:r>
            <w:r w:rsidRPr="008D0341" w:rsidR="00B82B84">
              <w:rPr>
                <w:b/>
                <w:bCs/>
                <w:i/>
                <w:iCs/>
                <w:color w:val="000000"/>
                <w:bdr w:val="none" w:color="auto" w:sz="0" w:space="0" w:frame="1"/>
                <w:lang w:val="en-GB"/>
              </w:rPr>
              <w:t>t</w:t>
            </w:r>
            <w:r w:rsidRPr="008D0341">
              <w:rPr>
                <w:b/>
                <w:bCs/>
                <w:i/>
                <w:iCs/>
                <w:color w:val="000000"/>
                <w:bdr w:val="none" w:color="auto" w:sz="0" w:space="0" w:frame="1"/>
                <w:lang w:val="en-GB"/>
              </w:rPr>
              <w:t xml:space="preserve">erritorial </w:t>
            </w:r>
            <w:r w:rsidRPr="008D0341" w:rsidR="00B82B84">
              <w:rPr>
                <w:b/>
                <w:bCs/>
                <w:i/>
                <w:iCs/>
                <w:color w:val="000000"/>
                <w:bdr w:val="none" w:color="auto" w:sz="0" w:space="0" w:frame="1"/>
                <w:lang w:val="en-GB"/>
              </w:rPr>
              <w:t>c</w:t>
            </w:r>
            <w:r w:rsidRPr="008D0341">
              <w:rPr>
                <w:b/>
                <w:bCs/>
                <w:i/>
                <w:iCs/>
                <w:color w:val="000000"/>
                <w:bdr w:val="none" w:color="auto" w:sz="0" w:space="0" w:frame="1"/>
                <w:lang w:val="en-GB"/>
              </w:rPr>
              <w:t xml:space="preserve">hapters. These </w:t>
            </w:r>
            <w:r w:rsidRPr="008D0341" w:rsidR="003F5E5C">
              <w:rPr>
                <w:b/>
                <w:bCs/>
                <w:i/>
                <w:iCs/>
                <w:color w:val="000000"/>
                <w:bdr w:val="none" w:color="auto" w:sz="0" w:space="0" w:frame="1"/>
                <w:lang w:val="en-GB"/>
              </w:rPr>
              <w:t>sub-national</w:t>
            </w:r>
            <w:r w:rsidRPr="008D0341" w:rsidR="0021207B">
              <w:rPr>
                <w:b/>
                <w:bCs/>
                <w:i/>
                <w:iCs/>
                <w:color w:val="000000"/>
                <w:bdr w:val="none" w:color="auto" w:sz="0" w:space="0" w:frame="1"/>
                <w:lang w:val="en-GB"/>
              </w:rPr>
              <w:t xml:space="preserve"> </w:t>
            </w:r>
            <w:r w:rsidRPr="008D0341">
              <w:rPr>
                <w:b/>
                <w:bCs/>
                <w:i/>
                <w:iCs/>
                <w:color w:val="000000"/>
                <w:bdr w:val="none" w:color="auto" w:sz="0" w:space="0" w:frame="1"/>
                <w:lang w:val="en-GB"/>
              </w:rPr>
              <w:t>managing authorities shall be responsible for the preparation, implementation, monitoring and review of their respective</w:t>
            </w:r>
            <w:r w:rsidRPr="008D0341" w:rsidR="0021207B">
              <w:rPr>
                <w:b/>
                <w:bCs/>
                <w:i/>
                <w:iCs/>
                <w:color w:val="000000"/>
                <w:bdr w:val="none" w:color="auto" w:sz="0" w:space="0" w:frame="1"/>
                <w:lang w:val="en-GB"/>
              </w:rPr>
              <w:t xml:space="preserve"> </w:t>
            </w:r>
            <w:r w:rsidRPr="008D0341" w:rsidR="004B50A2">
              <w:rPr>
                <w:b/>
                <w:bCs/>
                <w:i/>
                <w:iCs/>
                <w:color w:val="000000"/>
                <w:bdr w:val="none" w:color="auto" w:sz="0" w:space="0" w:frame="1"/>
                <w:lang w:val="en-GB"/>
              </w:rPr>
              <w:t>r</w:t>
            </w:r>
            <w:r w:rsidRPr="008D0341" w:rsidR="0021207B">
              <w:rPr>
                <w:b/>
                <w:bCs/>
                <w:i/>
                <w:iCs/>
                <w:color w:val="000000"/>
                <w:bdr w:val="none" w:color="auto" w:sz="0" w:space="0" w:frame="1"/>
                <w:lang w:val="en-GB"/>
              </w:rPr>
              <w:t>egional</w:t>
            </w:r>
            <w:r w:rsidRPr="008D0341">
              <w:rPr>
                <w:b/>
                <w:bCs/>
                <w:i/>
                <w:iCs/>
                <w:color w:val="000000"/>
                <w:bdr w:val="none" w:color="auto" w:sz="0" w:space="0" w:frame="1"/>
                <w:lang w:val="en-GB"/>
              </w:rPr>
              <w:t xml:space="preserve"> </w:t>
            </w:r>
            <w:r w:rsidRPr="008D0341" w:rsidR="004B50A2">
              <w:rPr>
                <w:b/>
                <w:bCs/>
                <w:i/>
                <w:iCs/>
                <w:color w:val="000000"/>
                <w:bdr w:val="none" w:color="auto" w:sz="0" w:space="0" w:frame="1"/>
                <w:lang w:val="en-GB"/>
              </w:rPr>
              <w:t>or t</w:t>
            </w:r>
            <w:r w:rsidRPr="008D0341">
              <w:rPr>
                <w:b/>
                <w:bCs/>
                <w:i/>
                <w:iCs/>
                <w:color w:val="000000"/>
                <w:bdr w:val="none" w:color="auto" w:sz="0" w:space="0" w:frame="1"/>
                <w:lang w:val="en-GB"/>
              </w:rPr>
              <w:t xml:space="preserve">erritorial </w:t>
            </w:r>
            <w:r w:rsidRPr="008D0341" w:rsidR="004B50A2">
              <w:rPr>
                <w:b/>
                <w:bCs/>
                <w:i/>
                <w:iCs/>
                <w:color w:val="000000"/>
                <w:bdr w:val="none" w:color="auto" w:sz="0" w:space="0" w:frame="1"/>
                <w:lang w:val="en-GB"/>
              </w:rPr>
              <w:t>c</w:t>
            </w:r>
            <w:r w:rsidRPr="008D0341">
              <w:rPr>
                <w:b/>
                <w:bCs/>
                <w:i/>
                <w:iCs/>
                <w:color w:val="000000"/>
                <w:bdr w:val="none" w:color="auto" w:sz="0" w:space="0" w:frame="1"/>
                <w:lang w:val="en-GB"/>
              </w:rPr>
              <w:t>hapters, in accordance with this Regulation.</w:t>
            </w:r>
          </w:p>
          <w:p w:rsidRPr="008D0341" w:rsidR="00352E5C" w:rsidP="00066365" w:rsidRDefault="00352E5C" w14:paraId="17D69223" w14:textId="1746B710">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 xml:space="preserve">3. The designation of authorities under this Article shall ensure full consistency with Article XXX </w:t>
            </w:r>
            <w:r w:rsidRPr="008D0341" w:rsidR="004B50A2">
              <w:rPr>
                <w:b/>
                <w:bCs/>
                <w:i/>
                <w:iCs/>
                <w:color w:val="000000"/>
                <w:bdr w:val="none" w:color="auto" w:sz="0" w:space="0" w:frame="1"/>
                <w:lang w:val="en-GB"/>
              </w:rPr>
              <w:t>‘</w:t>
            </w:r>
            <w:r w:rsidRPr="008D0341">
              <w:rPr>
                <w:b/>
                <w:bCs/>
                <w:i/>
                <w:iCs/>
                <w:color w:val="000000"/>
                <w:bdr w:val="none" w:color="auto" w:sz="0" w:space="0" w:frame="1"/>
                <w:lang w:val="en-GB"/>
              </w:rPr>
              <w:t xml:space="preserve">Multilevel </w:t>
            </w:r>
            <w:r w:rsidRPr="008D0341" w:rsidR="004B50A2">
              <w:rPr>
                <w:b/>
                <w:bCs/>
                <w:i/>
                <w:iCs/>
                <w:color w:val="000000"/>
                <w:bdr w:val="none" w:color="auto" w:sz="0" w:space="0" w:frame="1"/>
                <w:lang w:val="en-GB"/>
              </w:rPr>
              <w:t>g</w:t>
            </w:r>
            <w:r w:rsidRPr="008D0341">
              <w:rPr>
                <w:b/>
                <w:bCs/>
                <w:i/>
                <w:iCs/>
                <w:color w:val="000000"/>
                <w:bdr w:val="none" w:color="auto" w:sz="0" w:space="0" w:frame="1"/>
                <w:lang w:val="en-GB"/>
              </w:rPr>
              <w:t xml:space="preserve">overnance </w:t>
            </w:r>
            <w:r w:rsidRPr="008D0341" w:rsidR="00A1166D">
              <w:rPr>
                <w:b/>
                <w:bCs/>
                <w:i/>
                <w:iCs/>
                <w:color w:val="000000"/>
                <w:bdr w:val="none" w:color="auto" w:sz="0" w:space="0" w:frame="1"/>
                <w:lang w:val="en-GB"/>
              </w:rPr>
              <w:t>assessment</w:t>
            </w:r>
            <w:r w:rsidRPr="008D0341" w:rsidR="004B50A2">
              <w:rPr>
                <w:b/>
                <w:bCs/>
                <w:i/>
                <w:iCs/>
                <w:color w:val="000000"/>
                <w:bdr w:val="none" w:color="auto" w:sz="0" w:space="0" w:frame="1"/>
                <w:lang w:val="en-GB"/>
              </w:rPr>
              <w:t>’</w:t>
            </w:r>
            <w:r w:rsidRPr="008D0341">
              <w:rPr>
                <w:b/>
                <w:bCs/>
                <w:i/>
                <w:iCs/>
                <w:color w:val="000000"/>
                <w:bdr w:val="none" w:color="auto" w:sz="0" w:space="0" w:frame="1"/>
                <w:lang w:val="en-GB"/>
              </w:rPr>
              <w:t xml:space="preserve">. In particular, the Member State shall ensure that the </w:t>
            </w:r>
            <w:r w:rsidRPr="008D0341" w:rsidR="003F5E5C">
              <w:rPr>
                <w:b/>
                <w:bCs/>
                <w:i/>
                <w:iCs/>
                <w:color w:val="000000"/>
                <w:bdr w:val="none" w:color="auto" w:sz="0" w:space="0" w:frame="1"/>
                <w:lang w:val="en-GB"/>
              </w:rPr>
              <w:t>sub-national</w:t>
            </w:r>
            <w:r w:rsidRPr="008D0341" w:rsidR="0021207B">
              <w:rPr>
                <w:b/>
                <w:bCs/>
                <w:i/>
                <w:iCs/>
                <w:color w:val="000000"/>
                <w:bdr w:val="none" w:color="auto" w:sz="0" w:space="0" w:frame="1"/>
                <w:lang w:val="en-GB"/>
              </w:rPr>
              <w:t xml:space="preserve"> </w:t>
            </w:r>
            <w:r w:rsidRPr="008D0341">
              <w:rPr>
                <w:b/>
                <w:bCs/>
                <w:i/>
                <w:iCs/>
                <w:color w:val="000000"/>
                <w:bdr w:val="none" w:color="auto" w:sz="0" w:space="0" w:frame="1"/>
                <w:lang w:val="en-GB"/>
              </w:rPr>
              <w:t>managing authorities designated under paragraph 2 are systematically involved in:</w:t>
            </w:r>
          </w:p>
          <w:p w:rsidRPr="008D0341" w:rsidR="00352E5C" w:rsidP="00066365" w:rsidRDefault="00352E5C" w14:paraId="1DB10E2D" w14:textId="77777777">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(a) the preparation of the NRPP, including territorial analysis, governance structures and resource allocation;</w:t>
            </w:r>
          </w:p>
          <w:p w:rsidRPr="008D0341" w:rsidR="00352E5C" w:rsidP="00066365" w:rsidRDefault="00352E5C" w14:paraId="2C799670" w14:textId="77777777">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(b) any amendments to the NRPP, including the mid-term review under Article 25;</w:t>
            </w:r>
          </w:p>
          <w:p w:rsidRPr="008D0341" w:rsidR="00352E5C" w:rsidP="00066365" w:rsidRDefault="00352E5C" w14:paraId="4F8D021B" w14:textId="77777777">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(c) the programming or reprogramming of flexibility amounts under Article 2;</w:t>
            </w:r>
          </w:p>
          <w:p w:rsidRPr="008D0341" w:rsidR="00352E5C" w:rsidP="00066365" w:rsidRDefault="00352E5C" w14:paraId="6F96A138" w14:textId="6412CF72">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(d) the formulation and adaptation of milestones and targets at regional level under Article 22</w:t>
            </w:r>
            <w:r w:rsidR="00E01ACA">
              <w:rPr>
                <w:b/>
                <w:bCs/>
                <w:i/>
                <w:iCs/>
                <w:color w:val="000000"/>
                <w:bdr w:val="none" w:color="auto" w:sz="0" w:space="0" w:frame="1"/>
                <w:lang w:val="en-GB"/>
              </w:rPr>
              <w:t>;</w:t>
            </w:r>
          </w:p>
          <w:p w:rsidR="00E01ACA" w:rsidP="00066365" w:rsidRDefault="00B17BF7" w14:paraId="6FA549B1" w14:textId="77777777">
            <w:pPr>
              <w:shd w:val="clear" w:color="auto" w:fill="FFFFFF"/>
              <w:textAlignment w:val="baseline"/>
              <w:rPr>
                <w:b/>
                <w:bCs/>
                <w:i/>
                <w:lang w:val="en-GB"/>
              </w:rPr>
            </w:pPr>
            <w:r w:rsidRPr="0063224B">
              <w:rPr>
                <w:b/>
                <w:bCs/>
                <w:i/>
                <w:lang w:val="en-GB"/>
              </w:rPr>
              <w:t>(e) the management and the monitoring;</w:t>
            </w:r>
          </w:p>
          <w:p w:rsidR="00E01ACA" w:rsidP="00066365" w:rsidRDefault="00B17BF7" w14:paraId="7ACF3658" w14:textId="77777777">
            <w:pPr>
              <w:shd w:val="clear" w:color="auto" w:fill="FFFFFF"/>
              <w:textAlignment w:val="baseline"/>
              <w:rPr>
                <w:b/>
                <w:bCs/>
                <w:i/>
                <w:lang w:val="en-GB"/>
              </w:rPr>
            </w:pPr>
            <w:r w:rsidRPr="0063224B">
              <w:rPr>
                <w:b/>
                <w:bCs/>
                <w:i/>
                <w:lang w:val="en-GB"/>
              </w:rPr>
              <w:t>(f) submitting payment applications;</w:t>
            </w:r>
          </w:p>
          <w:p w:rsidRPr="008D0341" w:rsidR="00352E5C" w:rsidP="00066365" w:rsidRDefault="00B17BF7" w14:paraId="00B3D244" w14:textId="3308FC99">
            <w:pPr>
              <w:shd w:val="clear" w:color="auto" w:fill="FFFFFF"/>
              <w:textAlignment w:val="baseline"/>
              <w:rPr>
                <w:b/>
                <w:bCs/>
                <w:i/>
                <w:iCs/>
                <w:color w:val="000000"/>
                <w:bdr w:val="none" w:color="auto" w:sz="0" w:space="0" w:frame="1"/>
                <w:lang w:val="en-GB"/>
              </w:rPr>
            </w:pPr>
            <w:r w:rsidRPr="0063224B">
              <w:rPr>
                <w:b/>
                <w:bCs/>
                <w:i/>
                <w:lang w:val="en-GB"/>
              </w:rPr>
              <w:t>(g) the audit</w:t>
            </w:r>
            <w:r w:rsidRPr="008D0341">
              <w:rPr>
                <w:b/>
                <w:bCs/>
                <w:i/>
                <w:lang w:val="en-GB"/>
              </w:rPr>
              <w:t>.</w:t>
            </w:r>
          </w:p>
          <w:p w:rsidRPr="008D0341" w:rsidR="00352E5C" w:rsidP="00066365" w:rsidRDefault="00352E5C" w14:paraId="0D9623FE" w14:textId="40AD447F">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When the Plan consists of</w:t>
            </w:r>
            <w:r w:rsidRPr="008D0341" w:rsidR="0021207B">
              <w:rPr>
                <w:b/>
                <w:bCs/>
                <w:i/>
                <w:iCs/>
                <w:color w:val="000000"/>
                <w:bdr w:val="none" w:color="auto" w:sz="0" w:space="0" w:frame="1"/>
                <w:lang w:val="en-GB"/>
              </w:rPr>
              <w:t xml:space="preserve"> regional or</w:t>
            </w:r>
            <w:r w:rsidRPr="008D0341">
              <w:rPr>
                <w:b/>
                <w:bCs/>
                <w:i/>
                <w:iCs/>
                <w:color w:val="000000"/>
                <w:bdr w:val="none" w:color="auto" w:sz="0" w:space="0" w:frame="1"/>
                <w:lang w:val="en-GB"/>
              </w:rPr>
              <w:t xml:space="preserve"> territorial chapters pursuant to Article 21(2), the relevant (regional) managing authorities responsible for their design, programming, management and implementation</w:t>
            </w:r>
            <w:r w:rsidRPr="0063224B" w:rsidR="00B17BF7">
              <w:rPr>
                <w:b/>
                <w:bCs/>
                <w:i/>
                <w:lang w:val="en-GB"/>
              </w:rPr>
              <w:t>, including auditing and payment applications,</w:t>
            </w:r>
            <w:r w:rsidRPr="008D0341">
              <w:rPr>
                <w:b/>
                <w:bCs/>
                <w:i/>
                <w:iCs/>
                <w:color w:val="000000"/>
                <w:bdr w:val="none" w:color="auto" w:sz="0" w:space="0" w:frame="1"/>
                <w:lang w:val="en-GB"/>
              </w:rPr>
              <w:t xml:space="preserve"> shall be responsible for interacting directly with the Commission.</w:t>
            </w:r>
          </w:p>
          <w:p w:rsidRPr="008D0341" w:rsidR="00352E5C" w:rsidP="00066365" w:rsidRDefault="00966BBC" w14:paraId="0849007E" w14:textId="6C6AE2A1">
            <w:pPr>
              <w:shd w:val="clear" w:color="auto" w:fill="FFFFFF"/>
              <w:textAlignment w:val="baseline"/>
              <w:rPr>
                <w:color w:val="000000"/>
                <w:bdr w:val="none" w:color="auto" w:sz="0" w:space="0" w:frame="1"/>
                <w:lang w:val="en-GB"/>
              </w:rPr>
            </w:pPr>
            <w:r w:rsidRPr="008D0341">
              <w:rPr>
                <w:b/>
                <w:bCs/>
                <w:i/>
                <w:iCs/>
                <w:color w:val="000000"/>
                <w:bdr w:val="none" w:color="auto" w:sz="0" w:space="0" w:frame="1"/>
                <w:lang w:val="en-GB"/>
              </w:rPr>
              <w:t>4.</w:t>
            </w:r>
            <w:r w:rsidRPr="008D0341" w:rsidR="009513D8">
              <w:rPr>
                <w:b/>
                <w:bCs/>
                <w:i/>
                <w:iCs/>
                <w:color w:val="000000"/>
                <w:bdr w:val="none" w:color="auto" w:sz="0" w:space="0" w:frame="1"/>
                <w:lang w:val="en-GB"/>
              </w:rPr>
              <w:t xml:space="preserve"> </w:t>
            </w:r>
            <w:r w:rsidRPr="008D0341" w:rsidR="00352E5C">
              <w:rPr>
                <w:color w:val="000000"/>
                <w:bdr w:val="none" w:color="auto" w:sz="0" w:space="0" w:frame="1"/>
                <w:lang w:val="en-GB"/>
              </w:rPr>
              <w:t>Where a Member State entrusts the implementation of the Plan to authorities in charge of implementing cohesion policy, the CAP or European Maritime Fisheries and Aquaculture Fund in the 2021-2027 programming period and based on all available audit results the Commission did not question the effective functioning of these authorities, these authorities shall be deemed to comply with the key requirements.</w:t>
            </w:r>
          </w:p>
        </w:tc>
      </w:tr>
    </w:tbl>
    <w:p w:rsidRPr="008D0341" w:rsidR="00352E5C" w:rsidP="00066365" w:rsidRDefault="00352E5C" w14:paraId="0F12267D"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B119C7" w14:paraId="386BFD69"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65B522A" w14:textId="77777777">
            <w:pPr>
              <w:jc w:val="center"/>
              <w:rPr>
                <w:b/>
                <w:bCs/>
                <w:i/>
                <w:iCs/>
                <w:lang w:val="en-GB"/>
              </w:rPr>
            </w:pPr>
            <w:r w:rsidRPr="008D0341">
              <w:rPr>
                <w:b/>
                <w:bCs/>
                <w:i/>
                <w:iCs/>
                <w:lang w:val="en-GB"/>
              </w:rPr>
              <w:t>Reason</w:t>
            </w:r>
          </w:p>
        </w:tc>
      </w:tr>
      <w:tr w:rsidRPr="008D0341" w:rsidR="00352E5C" w:rsidTr="00B119C7" w14:paraId="7948BD9E"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C63D0D" w14:paraId="21E56B0E" w14:textId="6E420A1D">
            <w:pPr>
              <w:rPr>
                <w:rFonts w:eastAsia="Calibri"/>
                <w:lang w:val="en-GB"/>
              </w:rPr>
            </w:pPr>
            <w:r w:rsidRPr="008D0341">
              <w:rPr>
                <w:rFonts w:eastAsia="Calibri"/>
                <w:lang w:val="en-GB"/>
              </w:rPr>
              <w:t>Provides</w:t>
            </w:r>
            <w:r w:rsidRPr="008D0341" w:rsidR="00352E5C">
              <w:rPr>
                <w:rFonts w:eastAsia="Calibri"/>
                <w:lang w:val="en-GB"/>
              </w:rPr>
              <w:t xml:space="preserve"> legal clarity regarding </w:t>
            </w:r>
            <w:r w:rsidRPr="008D0341" w:rsidR="003F5E5C">
              <w:rPr>
                <w:rFonts w:eastAsia="Calibri"/>
                <w:lang w:val="en-GB"/>
              </w:rPr>
              <w:t>sub-national</w:t>
            </w:r>
            <w:r w:rsidRPr="008D0341" w:rsidR="0021207B">
              <w:rPr>
                <w:rFonts w:eastAsia="Calibri"/>
                <w:lang w:val="en-GB"/>
              </w:rPr>
              <w:t xml:space="preserve"> </w:t>
            </w:r>
            <w:r w:rsidRPr="008D0341" w:rsidR="00352E5C">
              <w:rPr>
                <w:rFonts w:eastAsia="Calibri"/>
                <w:lang w:val="en-GB"/>
              </w:rPr>
              <w:t xml:space="preserve">managing authorities being </w:t>
            </w:r>
            <w:r w:rsidRPr="008D0341" w:rsidR="00E45AD6">
              <w:rPr>
                <w:rFonts w:eastAsia="Calibri"/>
                <w:lang w:val="en-GB"/>
              </w:rPr>
              <w:t>designated as bodies</w:t>
            </w:r>
            <w:r w:rsidRPr="008D0341" w:rsidR="001567F3">
              <w:rPr>
                <w:rFonts w:eastAsia="Calibri"/>
                <w:lang w:val="en-GB"/>
              </w:rPr>
              <w:t xml:space="preserve"> for</w:t>
            </w:r>
            <w:r w:rsidRPr="008D0341" w:rsidR="00352E5C">
              <w:rPr>
                <w:rFonts w:eastAsia="Calibri"/>
                <w:lang w:val="en-GB"/>
              </w:rPr>
              <w:t xml:space="preserve"> deal</w:t>
            </w:r>
            <w:r w:rsidRPr="008D0341" w:rsidR="001567F3">
              <w:rPr>
                <w:rFonts w:eastAsia="Calibri"/>
                <w:lang w:val="en-GB"/>
              </w:rPr>
              <w:t>ing</w:t>
            </w:r>
            <w:r w:rsidRPr="008D0341" w:rsidR="00352E5C">
              <w:rPr>
                <w:rFonts w:eastAsia="Calibri"/>
                <w:lang w:val="en-GB"/>
              </w:rPr>
              <w:t xml:space="preserve"> with their respective </w:t>
            </w:r>
            <w:r w:rsidRPr="008D0341" w:rsidR="005215CA">
              <w:rPr>
                <w:rFonts w:eastAsia="Calibri"/>
                <w:lang w:val="en-GB"/>
              </w:rPr>
              <w:t>regional</w:t>
            </w:r>
            <w:r w:rsidRPr="008D0341" w:rsidR="00352E5C">
              <w:rPr>
                <w:rFonts w:eastAsia="Calibri"/>
                <w:lang w:val="en-GB"/>
              </w:rPr>
              <w:t xml:space="preserve"> chapter</w:t>
            </w:r>
            <w:r w:rsidRPr="008D0341" w:rsidR="00B35197">
              <w:rPr>
                <w:rFonts w:eastAsia="Calibri"/>
                <w:lang w:val="en-GB"/>
              </w:rPr>
              <w:t xml:space="preserve"> </w:t>
            </w:r>
            <w:r w:rsidRPr="0063224B" w:rsidR="00B35197">
              <w:rPr>
                <w:iCs/>
                <w:lang w:val="en-GB"/>
              </w:rPr>
              <w:t>and all related responsibilities</w:t>
            </w:r>
            <w:r w:rsidRPr="008D0341" w:rsidR="00D17B93">
              <w:rPr>
                <w:rFonts w:eastAsia="Calibri"/>
                <w:iCs/>
                <w:lang w:val="en-GB"/>
              </w:rPr>
              <w:t>.</w:t>
            </w:r>
            <w:r w:rsidRPr="008D0341" w:rsidR="00D17B93">
              <w:rPr>
                <w:rFonts w:eastAsia="Calibri"/>
                <w:lang w:val="en-GB"/>
              </w:rPr>
              <w:t xml:space="preserve"> </w:t>
            </w:r>
            <w:r w:rsidRPr="008D0341" w:rsidR="005215CA">
              <w:rPr>
                <w:rFonts w:eastAsia="Calibri"/>
                <w:lang w:val="en-GB"/>
              </w:rPr>
              <w:t>Strengthens</w:t>
            </w:r>
            <w:r w:rsidRPr="008D0341" w:rsidR="00051BF3">
              <w:rPr>
                <w:rFonts w:eastAsia="Calibri"/>
                <w:lang w:val="en-GB"/>
              </w:rPr>
              <w:t xml:space="preserve"> the European Commission </w:t>
            </w:r>
            <w:r w:rsidRPr="008D0341" w:rsidR="001567F3">
              <w:rPr>
                <w:rFonts w:eastAsia="Calibri"/>
                <w:lang w:val="en-GB"/>
              </w:rPr>
              <w:t>P</w:t>
            </w:r>
            <w:r w:rsidRPr="008D0341" w:rsidR="00051BF3">
              <w:rPr>
                <w:rFonts w:eastAsia="Calibri"/>
                <w:lang w:val="en-GB"/>
              </w:rPr>
              <w:t>resident</w:t>
            </w:r>
            <w:r w:rsidRPr="008D0341" w:rsidR="001567F3">
              <w:rPr>
                <w:rFonts w:eastAsia="Calibri"/>
                <w:lang w:val="en-GB"/>
              </w:rPr>
              <w:t>’s</w:t>
            </w:r>
            <w:r w:rsidRPr="008D0341" w:rsidR="00051BF3">
              <w:rPr>
                <w:rFonts w:eastAsia="Calibri"/>
                <w:lang w:val="en-GB"/>
              </w:rPr>
              <w:t xml:space="preserve"> </w:t>
            </w:r>
            <w:r w:rsidRPr="008D0341" w:rsidR="00352E5C">
              <w:rPr>
                <w:rFonts w:eastAsia="Calibri"/>
                <w:lang w:val="en-GB"/>
              </w:rPr>
              <w:t xml:space="preserve">proposal </w:t>
            </w:r>
            <w:r w:rsidRPr="008D0341" w:rsidR="00051BF3">
              <w:rPr>
                <w:rFonts w:eastAsia="Calibri"/>
                <w:lang w:val="en-GB"/>
              </w:rPr>
              <w:t>for</w:t>
            </w:r>
            <w:r w:rsidRPr="008D0341" w:rsidR="00352E5C">
              <w:rPr>
                <w:rFonts w:eastAsia="Calibri"/>
                <w:lang w:val="en-GB"/>
              </w:rPr>
              <w:t xml:space="preserve"> regional managing authorities </w:t>
            </w:r>
            <w:r w:rsidRPr="008D0341" w:rsidR="001567F3">
              <w:rPr>
                <w:rFonts w:eastAsia="Calibri"/>
                <w:lang w:val="en-GB"/>
              </w:rPr>
              <w:t>‘</w:t>
            </w:r>
            <w:r w:rsidRPr="008D0341" w:rsidR="00352E5C">
              <w:rPr>
                <w:rFonts w:eastAsia="Calibri"/>
                <w:lang w:val="en-GB"/>
              </w:rPr>
              <w:t>interacting directly</w:t>
            </w:r>
            <w:r w:rsidRPr="008D0341" w:rsidR="001567F3">
              <w:rPr>
                <w:rFonts w:eastAsia="Calibri"/>
                <w:lang w:val="en-GB"/>
              </w:rPr>
              <w:t>’</w:t>
            </w:r>
            <w:r w:rsidRPr="008D0341" w:rsidR="00352E5C">
              <w:rPr>
                <w:rFonts w:eastAsia="Calibri"/>
                <w:lang w:val="en-GB"/>
              </w:rPr>
              <w:t xml:space="preserve"> with the Commission.</w:t>
            </w:r>
          </w:p>
        </w:tc>
      </w:tr>
    </w:tbl>
    <w:p w:rsidR="00352E5C" w:rsidP="00066365" w:rsidRDefault="00352E5C" w14:paraId="769F45D0" w14:textId="77777777">
      <w:pPr>
        <w:rPr>
          <w:lang w:val="en-GB"/>
        </w:rPr>
      </w:pPr>
    </w:p>
    <w:p w:rsidR="00F71483" w:rsidP="00066365" w:rsidRDefault="00F71483" w14:paraId="7A5C4721" w14:textId="77777777">
      <w:pPr>
        <w:rPr>
          <w:lang w:val="en-GB"/>
        </w:rPr>
      </w:pPr>
    </w:p>
    <w:p w:rsidRPr="008D0341" w:rsidR="00CD5808" w:rsidP="003F40F8" w:rsidRDefault="00CD5808" w14:paraId="75D867A8" w14:textId="1F4076F2">
      <w:pPr>
        <w:keepNext/>
        <w:keepLines/>
        <w:jc w:val="center"/>
        <w:rPr>
          <w:b/>
          <w:bCs/>
          <w:lang w:val="en-GB"/>
        </w:rPr>
      </w:pPr>
      <w:r w:rsidRPr="008D0341">
        <w:rPr>
          <w:b/>
          <w:bCs/>
          <w:lang w:val="en-GB"/>
        </w:rPr>
        <w:t xml:space="preserve">Amendment </w:t>
      </w:r>
      <w:r w:rsidRPr="008D0341" w:rsidR="009A335B">
        <w:rPr>
          <w:b/>
          <w:bCs/>
          <w:lang w:val="en-GB"/>
        </w:rPr>
        <w:t>2</w:t>
      </w:r>
      <w:r w:rsidRPr="008D0341" w:rsidR="008B5EAB">
        <w:rPr>
          <w:b/>
          <w:bCs/>
          <w:lang w:val="en-GB"/>
        </w:rPr>
        <w:t>6</w:t>
      </w:r>
    </w:p>
    <w:p w:rsidRPr="008D0341" w:rsidR="00CD5808" w:rsidP="003F40F8" w:rsidRDefault="00CD5808" w14:paraId="0A0D891A" w14:textId="0FD5C8CB">
      <w:pPr>
        <w:keepNext/>
        <w:keepLines/>
        <w:jc w:val="center"/>
        <w:rPr>
          <w:lang w:val="en-GB"/>
        </w:rPr>
      </w:pPr>
      <w:r w:rsidRPr="008D0341">
        <w:rPr>
          <w:lang w:val="en-GB"/>
        </w:rPr>
        <w:t>Article 51</w:t>
      </w:r>
    </w:p>
    <w:p w:rsidRPr="008D0341" w:rsidR="00CD5808" w:rsidP="003F40F8" w:rsidRDefault="00CD5808" w14:paraId="445161AB"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86"/>
        <w:gridCol w:w="4501"/>
      </w:tblGrid>
      <w:tr w:rsidRPr="008D0341" w:rsidR="00CD5808" w:rsidTr="00B119C7" w14:paraId="5B901B59" w14:textId="77777777">
        <w:tc>
          <w:tcPr>
            <w:tcW w:w="4786" w:type="dxa"/>
          </w:tcPr>
          <w:p w:rsidRPr="008D0341" w:rsidR="00CD5808" w:rsidP="00066365" w:rsidRDefault="00CD5808" w14:paraId="011CB1F2" w14:textId="77777777">
            <w:pPr>
              <w:jc w:val="center"/>
              <w:rPr>
                <w:b/>
                <w:bCs/>
                <w:i/>
                <w:iCs/>
                <w:lang w:val="en-GB"/>
              </w:rPr>
            </w:pPr>
            <w:r w:rsidRPr="008D0341">
              <w:rPr>
                <w:b/>
                <w:bCs/>
                <w:i/>
                <w:iCs/>
                <w:lang w:val="en-GB"/>
              </w:rPr>
              <w:t>Text proposed by the European Commission</w:t>
            </w:r>
          </w:p>
        </w:tc>
        <w:tc>
          <w:tcPr>
            <w:tcW w:w="4501" w:type="dxa"/>
          </w:tcPr>
          <w:p w:rsidRPr="008D0341" w:rsidR="00CD5808" w:rsidP="00066365" w:rsidRDefault="00CD5808" w14:paraId="44E335B4" w14:textId="77777777">
            <w:pPr>
              <w:jc w:val="center"/>
              <w:rPr>
                <w:b/>
                <w:i/>
                <w:lang w:val="en-GB"/>
              </w:rPr>
            </w:pPr>
            <w:r w:rsidRPr="008D0341">
              <w:rPr>
                <w:b/>
                <w:bCs/>
                <w:i/>
                <w:iCs/>
                <w:color w:val="000000"/>
                <w:lang w:val="en-GB"/>
              </w:rPr>
              <w:t>CoR amendment</w:t>
            </w:r>
          </w:p>
        </w:tc>
      </w:tr>
      <w:tr w:rsidRPr="008D0341" w:rsidR="00CD5808" w:rsidTr="00B119C7" w14:paraId="41D3C549" w14:textId="77777777">
        <w:tc>
          <w:tcPr>
            <w:tcW w:w="4786" w:type="dxa"/>
          </w:tcPr>
          <w:p w:rsidRPr="008D0341" w:rsidR="00CD5808" w:rsidP="00066365" w:rsidRDefault="00CD5808" w14:paraId="42760C49" w14:textId="42EEB78A">
            <w:pPr>
              <w:rPr>
                <w:lang w:val="en-GB"/>
              </w:rPr>
            </w:pPr>
            <w:r w:rsidRPr="008D0341">
              <w:rPr>
                <w:lang w:val="en-GB"/>
              </w:rPr>
              <w:t>1. The managing authority shall be responsible for managing the Plan or a part of the Plan with a view to delivering its objectives. It shall have the following functions:(a) selecting operations with a view to maximising the contribution of the Plan towards the achievement of the objectives of the Fund, defined at the level of its chapters and measures by establishing and applying criteria and procedures which are non-discriminatory and transparent;(b) carrying out management verifications to ensure the fulfilment of the milestones and targets set out in the Plan and the effective use of funds in compliance with applicable law; for the purposes of drawing up the management declaration, the managing authority is not expected to verify the underlying costs of the operations;</w:t>
            </w:r>
          </w:p>
        </w:tc>
        <w:tc>
          <w:tcPr>
            <w:tcW w:w="4501" w:type="dxa"/>
          </w:tcPr>
          <w:p w:rsidRPr="008D0341" w:rsidR="00CD5808" w:rsidP="00066365" w:rsidRDefault="00CD5808" w14:paraId="45C21606" w14:textId="7276DAA4">
            <w:pPr>
              <w:rPr>
                <w:lang w:val="en-GB"/>
              </w:rPr>
            </w:pPr>
            <w:r w:rsidRPr="008D0341">
              <w:rPr>
                <w:lang w:val="en-GB"/>
              </w:rPr>
              <w:t>1. The managing authority shall be responsible for managing the Plan or a part of the Plan with a view to delivering its objectives. It shall have the following functions:(a) selecting operations with a view to maximising the contribution of the Plan towards the achievement of the objectives of the Fund, defined at the level of its chapters and measures by establishing and applying criteria and procedures which are non-discriminatory and transparent;(b)</w:t>
            </w:r>
            <w:r w:rsidRPr="008D0341">
              <w:rPr>
                <w:b/>
                <w:bCs/>
                <w:i/>
                <w:lang w:val="en-GB"/>
              </w:rPr>
              <w:t xml:space="preserve"> selecting and setting qualitative milestones and quantitative targets, as well as their corresponding indicative completion dates, and the selected output indicators; (c)</w:t>
            </w:r>
            <w:r w:rsidRPr="008D0341">
              <w:rPr>
                <w:lang w:val="en-GB"/>
              </w:rPr>
              <w:t xml:space="preserve"> carrying out management verifications to ensure the fulfilment of the milestones and targets set out in the Plan and the effective use of funds in compliance with applicable law; for the purposes of drawing up the management declaration, the managing authority is not expected to verify the underlying costs of the operations</w:t>
            </w:r>
            <w:r w:rsidRPr="008D0341">
              <w:rPr>
                <w:b/>
                <w:bCs/>
                <w:i/>
                <w:lang w:val="en-GB"/>
              </w:rPr>
              <w:t>; (d) submitting payment applications to the Commission in accordance with Article 65</w:t>
            </w:r>
            <w:r w:rsidRPr="008D0341">
              <w:rPr>
                <w:lang w:val="en-GB"/>
              </w:rPr>
              <w:t>;</w:t>
            </w:r>
          </w:p>
        </w:tc>
      </w:tr>
    </w:tbl>
    <w:p w:rsidRPr="008D0341" w:rsidR="00CD5808" w:rsidP="00066365" w:rsidRDefault="00CD5808" w14:paraId="74446AF1"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CD5808" w:rsidTr="00CF66AD" w14:paraId="25CD3D85" w14:textId="77777777">
        <w:tc>
          <w:tcPr>
            <w:tcW w:w="9287" w:type="dxa"/>
          </w:tcPr>
          <w:p w:rsidRPr="008D0341" w:rsidR="00CD5808" w:rsidP="00066365" w:rsidRDefault="00CD5808" w14:paraId="7FC78F31" w14:textId="77777777">
            <w:pPr>
              <w:jc w:val="center"/>
              <w:rPr>
                <w:b/>
                <w:i/>
                <w:lang w:val="en-GB"/>
              </w:rPr>
            </w:pPr>
            <w:r w:rsidRPr="008D0341">
              <w:rPr>
                <w:b/>
                <w:bCs/>
                <w:i/>
                <w:lang w:val="en-GB"/>
              </w:rPr>
              <w:t>Reason</w:t>
            </w:r>
          </w:p>
        </w:tc>
      </w:tr>
      <w:tr w:rsidRPr="008D0341" w:rsidR="00CD5808" w:rsidTr="00CF66AD" w14:paraId="05A39937" w14:textId="77777777">
        <w:tc>
          <w:tcPr>
            <w:tcW w:w="9287" w:type="dxa"/>
          </w:tcPr>
          <w:p w:rsidRPr="008D0341" w:rsidR="00CD5808" w:rsidP="0063224B" w:rsidRDefault="00CD5808" w14:paraId="4DBDCE63" w14:textId="2CBAB107">
            <w:pPr>
              <w:tabs>
                <w:tab w:val="left" w:pos="3727"/>
              </w:tabs>
              <w:rPr>
                <w:lang w:val="en-GB"/>
              </w:rPr>
            </w:pPr>
            <w:r w:rsidRPr="008D0341">
              <w:rPr>
                <w:lang w:val="en-GB"/>
              </w:rPr>
              <w:t>The regional managing authorities should be responsible for all dimensions including setting qualitative milestones and quantitative targets, and submitting payment applications to the Commission.</w:t>
            </w:r>
          </w:p>
        </w:tc>
      </w:tr>
    </w:tbl>
    <w:p w:rsidR="00CD5808" w:rsidP="00066365" w:rsidRDefault="00CD5808" w14:paraId="70398002" w14:textId="77777777">
      <w:pPr>
        <w:rPr>
          <w:lang w:val="en-GB"/>
        </w:rPr>
      </w:pPr>
    </w:p>
    <w:p w:rsidR="00F71483" w:rsidP="00066365" w:rsidRDefault="00F71483" w14:paraId="4129375D" w14:textId="77777777">
      <w:pPr>
        <w:rPr>
          <w:lang w:val="en-GB"/>
        </w:rPr>
      </w:pPr>
    </w:p>
    <w:p w:rsidRPr="008D0341" w:rsidR="00ED40A3" w:rsidP="003F40F8" w:rsidRDefault="00ED40A3" w14:paraId="242D92B5" w14:textId="6C35E465">
      <w:pPr>
        <w:keepNext/>
        <w:keepLines/>
        <w:jc w:val="center"/>
        <w:rPr>
          <w:b/>
          <w:bCs/>
          <w:lang w:val="en-GB"/>
        </w:rPr>
      </w:pPr>
      <w:r w:rsidRPr="008D0341">
        <w:rPr>
          <w:b/>
          <w:bCs/>
          <w:lang w:val="en-GB"/>
        </w:rPr>
        <w:t xml:space="preserve">Amendment </w:t>
      </w:r>
      <w:r w:rsidRPr="008D0341" w:rsidR="00F12A59">
        <w:rPr>
          <w:b/>
          <w:bCs/>
          <w:lang w:val="en-GB"/>
        </w:rPr>
        <w:t>2</w:t>
      </w:r>
      <w:r w:rsidRPr="008D0341" w:rsidR="008B5EAB">
        <w:rPr>
          <w:b/>
          <w:bCs/>
          <w:lang w:val="en-GB"/>
        </w:rPr>
        <w:t>7</w:t>
      </w:r>
    </w:p>
    <w:p w:rsidRPr="008D0341" w:rsidR="00ED40A3" w:rsidP="003F40F8" w:rsidRDefault="00ED40A3" w14:paraId="03620279" w14:textId="7D80E997">
      <w:pPr>
        <w:keepNext/>
        <w:keepLines/>
        <w:jc w:val="center"/>
        <w:rPr>
          <w:lang w:val="en-GB"/>
        </w:rPr>
      </w:pPr>
      <w:r w:rsidRPr="008D0341">
        <w:rPr>
          <w:lang w:val="en-GB"/>
        </w:rPr>
        <w:t>Article 53</w:t>
      </w:r>
    </w:p>
    <w:p w:rsidRPr="008D0341" w:rsidR="00ED40A3" w:rsidP="003F40F8" w:rsidRDefault="00ED40A3" w14:paraId="620591D4"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ED40A3" w:rsidTr="00CF66AD" w14:paraId="6E5EC741" w14:textId="77777777">
        <w:tc>
          <w:tcPr>
            <w:tcW w:w="4642" w:type="dxa"/>
          </w:tcPr>
          <w:p w:rsidRPr="008D0341" w:rsidR="00ED40A3" w:rsidP="00066365" w:rsidRDefault="00ED40A3" w14:paraId="0AB862DC" w14:textId="77777777">
            <w:pPr>
              <w:jc w:val="center"/>
              <w:rPr>
                <w:b/>
                <w:bCs/>
                <w:i/>
                <w:iCs/>
                <w:lang w:val="en-GB"/>
              </w:rPr>
            </w:pPr>
            <w:r w:rsidRPr="008D0341">
              <w:rPr>
                <w:b/>
                <w:bCs/>
                <w:i/>
                <w:iCs/>
                <w:lang w:val="en-GB"/>
              </w:rPr>
              <w:t>Text proposed by the European Commission</w:t>
            </w:r>
          </w:p>
        </w:tc>
        <w:tc>
          <w:tcPr>
            <w:tcW w:w="4645" w:type="dxa"/>
          </w:tcPr>
          <w:p w:rsidRPr="008D0341" w:rsidR="00ED40A3" w:rsidP="00066365" w:rsidRDefault="00ED40A3" w14:paraId="5EB55A87" w14:textId="77777777">
            <w:pPr>
              <w:jc w:val="center"/>
              <w:rPr>
                <w:b/>
                <w:i/>
                <w:lang w:val="en-GB"/>
              </w:rPr>
            </w:pPr>
            <w:r w:rsidRPr="008D0341">
              <w:rPr>
                <w:b/>
                <w:bCs/>
                <w:i/>
                <w:iCs/>
                <w:color w:val="000000"/>
                <w:lang w:val="en-GB"/>
              </w:rPr>
              <w:t>CoR amendment</w:t>
            </w:r>
          </w:p>
        </w:tc>
      </w:tr>
      <w:tr w:rsidRPr="008D0341" w:rsidR="00ED40A3" w:rsidTr="00CF66AD" w14:paraId="1E2E1EE7" w14:textId="77777777">
        <w:tc>
          <w:tcPr>
            <w:tcW w:w="4642" w:type="dxa"/>
          </w:tcPr>
          <w:p w:rsidRPr="008D0341" w:rsidR="00ED40A3" w:rsidP="00066365" w:rsidRDefault="0055146A" w14:paraId="450EFD20" w14:textId="4FB5F29B">
            <w:pPr>
              <w:rPr>
                <w:lang w:val="en-GB"/>
              </w:rPr>
            </w:pPr>
            <w:r w:rsidRPr="008D0341">
              <w:rPr>
                <w:lang w:val="en-GB"/>
              </w:rPr>
              <w:t xml:space="preserve">4. The audit authority </w:t>
            </w:r>
            <w:r w:rsidRPr="008D0341">
              <w:rPr>
                <w:b/>
                <w:bCs/>
                <w:i/>
                <w:lang w:val="en-GB"/>
              </w:rPr>
              <w:t>is</w:t>
            </w:r>
            <w:r w:rsidRPr="008D0341">
              <w:rPr>
                <w:lang w:val="en-GB"/>
              </w:rPr>
              <w:t xml:space="preserve"> not </w:t>
            </w:r>
            <w:r w:rsidRPr="008D0341">
              <w:rPr>
                <w:b/>
                <w:bCs/>
                <w:i/>
                <w:lang w:val="en-GB"/>
              </w:rPr>
              <w:t>expected to</w:t>
            </w:r>
            <w:r w:rsidRPr="008D0341">
              <w:rPr>
                <w:lang w:val="en-GB"/>
              </w:rPr>
              <w:t xml:space="preserve"> verify the underlying costs of the operations for the purpose of its audit work.</w:t>
            </w:r>
          </w:p>
        </w:tc>
        <w:tc>
          <w:tcPr>
            <w:tcW w:w="4645" w:type="dxa"/>
          </w:tcPr>
          <w:p w:rsidRPr="008D0341" w:rsidR="00ED40A3" w:rsidP="00066365" w:rsidRDefault="0055146A" w14:paraId="6B119FD8" w14:textId="7E91E47A">
            <w:pPr>
              <w:rPr>
                <w:lang w:val="en-GB"/>
              </w:rPr>
            </w:pPr>
            <w:r w:rsidRPr="008D0341">
              <w:rPr>
                <w:lang w:val="en-GB"/>
              </w:rPr>
              <w:t xml:space="preserve">4. The audit authority </w:t>
            </w:r>
            <w:r w:rsidRPr="008D0341">
              <w:rPr>
                <w:b/>
                <w:bCs/>
                <w:i/>
                <w:lang w:val="en-GB"/>
              </w:rPr>
              <w:t>shall</w:t>
            </w:r>
            <w:r w:rsidRPr="008D0341">
              <w:rPr>
                <w:lang w:val="en-GB"/>
              </w:rPr>
              <w:t xml:space="preserve"> not verify the underlying costs of the operations for the purpose of its audit work.</w:t>
            </w:r>
          </w:p>
        </w:tc>
      </w:tr>
    </w:tbl>
    <w:p w:rsidRPr="008D0341" w:rsidR="00ED40A3" w:rsidP="00066365" w:rsidRDefault="00ED40A3" w14:paraId="6A643A17"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ED40A3" w:rsidTr="00CF66AD" w14:paraId="2AAB803D" w14:textId="77777777">
        <w:tc>
          <w:tcPr>
            <w:tcW w:w="9287" w:type="dxa"/>
          </w:tcPr>
          <w:p w:rsidRPr="008D0341" w:rsidR="00ED40A3" w:rsidP="00066365" w:rsidRDefault="00ED40A3" w14:paraId="22156AB6" w14:textId="77777777">
            <w:pPr>
              <w:jc w:val="center"/>
              <w:rPr>
                <w:b/>
                <w:i/>
                <w:lang w:val="en-GB"/>
              </w:rPr>
            </w:pPr>
            <w:r w:rsidRPr="008D0341">
              <w:rPr>
                <w:b/>
                <w:bCs/>
                <w:i/>
                <w:lang w:val="en-GB"/>
              </w:rPr>
              <w:t>Reason</w:t>
            </w:r>
          </w:p>
        </w:tc>
      </w:tr>
      <w:tr w:rsidRPr="008D0341" w:rsidR="00ED40A3" w:rsidTr="00CF66AD" w14:paraId="542D7470" w14:textId="77777777">
        <w:tc>
          <w:tcPr>
            <w:tcW w:w="9287" w:type="dxa"/>
          </w:tcPr>
          <w:p w:rsidRPr="008D0341" w:rsidR="00ED40A3" w:rsidP="00066365" w:rsidRDefault="0055146A" w14:paraId="10637FE0" w14:textId="6A87D76C">
            <w:pPr>
              <w:rPr>
                <w:lang w:val="en-GB"/>
              </w:rPr>
            </w:pPr>
            <w:r w:rsidRPr="008D0341">
              <w:rPr>
                <w:lang w:val="en-GB"/>
              </w:rPr>
              <w:t xml:space="preserve">This is a proposal </w:t>
            </w:r>
            <w:r w:rsidR="00E01ACA">
              <w:rPr>
                <w:lang w:val="en-GB"/>
              </w:rPr>
              <w:t>for</w:t>
            </w:r>
            <w:r w:rsidRPr="008D0341">
              <w:rPr>
                <w:lang w:val="en-GB"/>
              </w:rPr>
              <w:t xml:space="preserve"> simplification to ensure that audits and controls only focus on the achievements of milestones and targets and not go further by requesting additional justifications of expenses</w:t>
            </w:r>
            <w:r w:rsidR="00E01ACA">
              <w:rPr>
                <w:lang w:val="en-GB"/>
              </w:rPr>
              <w:t>, thus</w:t>
            </w:r>
            <w:r w:rsidRPr="008D0341">
              <w:rPr>
                <w:lang w:val="en-GB"/>
              </w:rPr>
              <w:t xml:space="preserve"> creating unnecessary administrative burden.</w:t>
            </w:r>
          </w:p>
        </w:tc>
      </w:tr>
    </w:tbl>
    <w:p w:rsidR="00ED40A3" w:rsidP="00066365" w:rsidRDefault="00ED40A3" w14:paraId="6ED8D223" w14:textId="77777777">
      <w:pPr>
        <w:rPr>
          <w:lang w:val="en-GB"/>
        </w:rPr>
      </w:pPr>
    </w:p>
    <w:p w:rsidR="00F71483" w:rsidP="00066365" w:rsidRDefault="00F71483" w14:paraId="7407EC3B" w14:textId="77777777">
      <w:pPr>
        <w:rPr>
          <w:lang w:val="en-GB"/>
        </w:rPr>
      </w:pPr>
    </w:p>
    <w:p w:rsidRPr="008D0341" w:rsidR="007F103F" w:rsidP="003F40F8" w:rsidRDefault="007F103F" w14:paraId="38137CD4" w14:textId="1E349D78">
      <w:pPr>
        <w:keepNext/>
        <w:keepLines/>
        <w:jc w:val="center"/>
        <w:rPr>
          <w:b/>
          <w:bCs/>
          <w:lang w:val="en-GB"/>
        </w:rPr>
      </w:pPr>
      <w:r w:rsidRPr="008D0341">
        <w:rPr>
          <w:b/>
          <w:bCs/>
          <w:lang w:val="en-GB"/>
        </w:rPr>
        <w:t xml:space="preserve">Amendment </w:t>
      </w:r>
      <w:r w:rsidRPr="008D0341" w:rsidR="00F12A59">
        <w:rPr>
          <w:b/>
          <w:bCs/>
          <w:lang w:val="en-GB"/>
        </w:rPr>
        <w:t>2</w:t>
      </w:r>
      <w:r w:rsidRPr="008D0341" w:rsidR="008B5EAB">
        <w:rPr>
          <w:b/>
          <w:bCs/>
          <w:lang w:val="en-GB"/>
        </w:rPr>
        <w:t>8</w:t>
      </w:r>
    </w:p>
    <w:p w:rsidRPr="008D0341" w:rsidR="007F103F" w:rsidP="003F40F8" w:rsidRDefault="007F103F" w14:paraId="5EA89619" w14:textId="0A8EF2A6">
      <w:pPr>
        <w:keepNext/>
        <w:keepLines/>
        <w:jc w:val="center"/>
        <w:rPr>
          <w:lang w:val="en-GB"/>
        </w:rPr>
      </w:pPr>
      <w:r w:rsidRPr="008D0341">
        <w:rPr>
          <w:lang w:val="en-GB"/>
        </w:rPr>
        <w:t>Article 54</w:t>
      </w:r>
    </w:p>
    <w:p w:rsidRPr="008D0341" w:rsidR="007F103F" w:rsidP="003F40F8" w:rsidRDefault="007F103F" w14:paraId="0493290F"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7F103F" w:rsidTr="00CF66AD" w14:paraId="699CDF47" w14:textId="77777777">
        <w:tc>
          <w:tcPr>
            <w:tcW w:w="4642" w:type="dxa"/>
          </w:tcPr>
          <w:p w:rsidRPr="008D0341" w:rsidR="007F103F" w:rsidP="00066365" w:rsidRDefault="007F103F" w14:paraId="1C9ACE1D" w14:textId="77777777">
            <w:pPr>
              <w:jc w:val="center"/>
              <w:rPr>
                <w:b/>
                <w:bCs/>
                <w:i/>
                <w:iCs/>
                <w:lang w:val="en-GB"/>
              </w:rPr>
            </w:pPr>
            <w:r w:rsidRPr="008D0341">
              <w:rPr>
                <w:b/>
                <w:bCs/>
                <w:i/>
                <w:iCs/>
                <w:lang w:val="en-GB"/>
              </w:rPr>
              <w:t>Text proposed by the European Commission</w:t>
            </w:r>
          </w:p>
        </w:tc>
        <w:tc>
          <w:tcPr>
            <w:tcW w:w="4645" w:type="dxa"/>
          </w:tcPr>
          <w:p w:rsidRPr="008D0341" w:rsidR="007F103F" w:rsidP="00066365" w:rsidRDefault="007F103F" w14:paraId="79E1E1B5" w14:textId="77777777">
            <w:pPr>
              <w:jc w:val="center"/>
              <w:rPr>
                <w:b/>
                <w:i/>
                <w:lang w:val="en-GB"/>
              </w:rPr>
            </w:pPr>
            <w:r w:rsidRPr="008D0341">
              <w:rPr>
                <w:b/>
                <w:bCs/>
                <w:i/>
                <w:iCs/>
                <w:color w:val="000000"/>
                <w:lang w:val="en-GB"/>
              </w:rPr>
              <w:t>CoR amendment</w:t>
            </w:r>
          </w:p>
        </w:tc>
      </w:tr>
      <w:tr w:rsidRPr="008D0341" w:rsidR="007F103F" w:rsidTr="00CF66AD" w14:paraId="4F967E74" w14:textId="77777777">
        <w:tc>
          <w:tcPr>
            <w:tcW w:w="4642" w:type="dxa"/>
          </w:tcPr>
          <w:p w:rsidRPr="008D0341" w:rsidR="007F103F" w:rsidP="00066365" w:rsidRDefault="007F103F" w14:paraId="422E90D1" w14:textId="78E902FE">
            <w:pPr>
              <w:rPr>
                <w:lang w:val="en-GB"/>
              </w:rPr>
            </w:pPr>
            <w:r w:rsidRPr="008D0341">
              <w:rPr>
                <w:lang w:val="en-GB"/>
              </w:rPr>
              <w:t xml:space="preserve">1. Each Member State shall set up one </w:t>
            </w:r>
            <w:r w:rsidRPr="008D0341">
              <w:rPr>
                <w:b/>
                <w:bCs/>
                <w:i/>
                <w:lang w:val="en-GB"/>
              </w:rPr>
              <w:t>or more</w:t>
            </w:r>
            <w:r w:rsidRPr="008D0341">
              <w:rPr>
                <w:lang w:val="en-GB"/>
              </w:rPr>
              <w:t xml:space="preserve"> monitoring </w:t>
            </w:r>
            <w:r w:rsidRPr="008D0341">
              <w:rPr>
                <w:b/>
                <w:bCs/>
                <w:i/>
                <w:lang w:val="en-GB"/>
              </w:rPr>
              <w:t>committees</w:t>
            </w:r>
            <w:r w:rsidRPr="008D0341">
              <w:rPr>
                <w:lang w:val="en-GB"/>
              </w:rPr>
              <w:t xml:space="preserve"> for </w:t>
            </w:r>
            <w:r w:rsidRPr="008D0341">
              <w:rPr>
                <w:b/>
                <w:bCs/>
                <w:i/>
                <w:lang w:val="en-GB"/>
              </w:rPr>
              <w:t>the chapters</w:t>
            </w:r>
            <w:r w:rsidRPr="008D0341">
              <w:rPr>
                <w:lang w:val="en-GB"/>
              </w:rPr>
              <w:t xml:space="preserve"> of the NRP Plan</w:t>
            </w:r>
            <w:r w:rsidRPr="008D0341">
              <w:rPr>
                <w:b/>
                <w:bCs/>
                <w:i/>
                <w:lang w:val="en-GB"/>
              </w:rPr>
              <w:t>, as appropriate in function of the chapter concerned</w:t>
            </w:r>
            <w:r w:rsidRPr="008D0341">
              <w:rPr>
                <w:lang w:val="en-GB"/>
              </w:rPr>
              <w:t>. All chapters of the Plan shall be covered. The same monitoring committee may cover more than one chapter.</w:t>
            </w:r>
          </w:p>
        </w:tc>
        <w:tc>
          <w:tcPr>
            <w:tcW w:w="4645" w:type="dxa"/>
          </w:tcPr>
          <w:p w:rsidRPr="008D0341" w:rsidR="007F103F" w:rsidP="00066365" w:rsidRDefault="007F103F" w14:paraId="0F767C98" w14:textId="53228859">
            <w:pPr>
              <w:rPr>
                <w:lang w:val="en-GB"/>
              </w:rPr>
            </w:pPr>
            <w:r w:rsidRPr="008D0341">
              <w:rPr>
                <w:lang w:val="en-GB"/>
              </w:rPr>
              <w:t xml:space="preserve">1. Each Member State shall set up one monitoring </w:t>
            </w:r>
            <w:r w:rsidRPr="008D0341">
              <w:rPr>
                <w:b/>
                <w:bCs/>
                <w:i/>
                <w:lang w:val="en-GB"/>
              </w:rPr>
              <w:t>committee</w:t>
            </w:r>
            <w:r w:rsidRPr="008D0341">
              <w:rPr>
                <w:lang w:val="en-GB"/>
              </w:rPr>
              <w:t xml:space="preserve"> for </w:t>
            </w:r>
            <w:r w:rsidRPr="008D0341">
              <w:rPr>
                <w:b/>
                <w:bCs/>
                <w:i/>
                <w:lang w:val="en-GB"/>
              </w:rPr>
              <w:t>each chapter</w:t>
            </w:r>
            <w:r w:rsidRPr="008D0341">
              <w:rPr>
                <w:lang w:val="en-GB"/>
              </w:rPr>
              <w:t xml:space="preserve"> of the NRP Plan. All chapters of the Plan shall be covered. The same monitoring committee may cover more than one chapter.</w:t>
            </w:r>
          </w:p>
        </w:tc>
      </w:tr>
    </w:tbl>
    <w:p w:rsidRPr="008D0341" w:rsidR="007F103F" w:rsidP="00066365" w:rsidRDefault="007F103F" w14:paraId="5B7DFA8F"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7F103F" w:rsidTr="00CF66AD" w14:paraId="6F4476C5" w14:textId="77777777">
        <w:tc>
          <w:tcPr>
            <w:tcW w:w="9287" w:type="dxa"/>
          </w:tcPr>
          <w:p w:rsidRPr="008D0341" w:rsidR="007F103F" w:rsidP="00066365" w:rsidRDefault="007F103F" w14:paraId="0B0238AA" w14:textId="77777777">
            <w:pPr>
              <w:jc w:val="center"/>
              <w:rPr>
                <w:b/>
                <w:i/>
                <w:lang w:val="en-GB"/>
              </w:rPr>
            </w:pPr>
            <w:r w:rsidRPr="008D0341">
              <w:rPr>
                <w:b/>
                <w:bCs/>
                <w:i/>
                <w:lang w:val="en-GB"/>
              </w:rPr>
              <w:t>Reason</w:t>
            </w:r>
          </w:p>
        </w:tc>
      </w:tr>
      <w:tr w:rsidRPr="008D0341" w:rsidR="007F103F" w:rsidTr="00CF66AD" w14:paraId="39ACA029" w14:textId="77777777">
        <w:tc>
          <w:tcPr>
            <w:tcW w:w="9287" w:type="dxa"/>
          </w:tcPr>
          <w:p w:rsidRPr="008D0341" w:rsidR="007F103F" w:rsidP="00066365" w:rsidRDefault="007F103F" w14:paraId="308D596E" w14:textId="6389CAF3">
            <w:pPr>
              <w:rPr>
                <w:lang w:val="en-GB"/>
              </w:rPr>
            </w:pPr>
            <w:r w:rsidRPr="008D0341">
              <w:rPr>
                <w:lang w:val="en-GB"/>
              </w:rPr>
              <w:t xml:space="preserve">Proposal </w:t>
            </w:r>
            <w:r w:rsidR="00E01ACA">
              <w:rPr>
                <w:lang w:val="en-GB"/>
              </w:rPr>
              <w:t>for</w:t>
            </w:r>
            <w:r w:rsidRPr="008D0341">
              <w:rPr>
                <w:lang w:val="en-GB"/>
              </w:rPr>
              <w:t xml:space="preserve"> clarification.</w:t>
            </w:r>
          </w:p>
        </w:tc>
      </w:tr>
    </w:tbl>
    <w:p w:rsidR="007F103F" w:rsidP="00066365" w:rsidRDefault="007F103F" w14:paraId="2E891E83" w14:textId="77777777">
      <w:pPr>
        <w:rPr>
          <w:lang w:val="en-GB"/>
        </w:rPr>
      </w:pPr>
    </w:p>
    <w:p w:rsidR="00F71483" w:rsidP="00066365" w:rsidRDefault="00F71483" w14:paraId="127BDF35" w14:textId="77777777">
      <w:pPr>
        <w:rPr>
          <w:lang w:val="en-GB"/>
        </w:rPr>
      </w:pPr>
    </w:p>
    <w:p w:rsidRPr="008D0341" w:rsidR="00367D80" w:rsidP="003F40F8" w:rsidRDefault="00367D80" w14:paraId="2A54CFAF" w14:textId="66999974">
      <w:pPr>
        <w:keepNext/>
        <w:keepLines/>
        <w:jc w:val="center"/>
        <w:rPr>
          <w:b/>
          <w:bCs/>
          <w:lang w:val="en-GB"/>
        </w:rPr>
      </w:pPr>
      <w:r w:rsidRPr="008D0341">
        <w:rPr>
          <w:b/>
          <w:bCs/>
          <w:lang w:val="en-GB"/>
        </w:rPr>
        <w:t xml:space="preserve">Amendment </w:t>
      </w:r>
      <w:r w:rsidRPr="008D0341" w:rsidR="000715CB">
        <w:rPr>
          <w:b/>
          <w:bCs/>
          <w:lang w:val="en-GB"/>
        </w:rPr>
        <w:t>2</w:t>
      </w:r>
      <w:r w:rsidRPr="008D0341" w:rsidR="008B5EAB">
        <w:rPr>
          <w:b/>
          <w:bCs/>
          <w:lang w:val="en-GB"/>
        </w:rPr>
        <w:t>9</w:t>
      </w:r>
    </w:p>
    <w:p w:rsidRPr="008D0341" w:rsidR="00367D80" w:rsidP="003F40F8" w:rsidRDefault="00367D80" w14:paraId="12B04238" w14:textId="231B4F0C">
      <w:pPr>
        <w:keepNext/>
        <w:keepLines/>
        <w:jc w:val="center"/>
        <w:rPr>
          <w:lang w:val="en-GB"/>
        </w:rPr>
      </w:pPr>
      <w:r w:rsidRPr="008D0341">
        <w:rPr>
          <w:lang w:val="en-GB"/>
        </w:rPr>
        <w:t>Article 55</w:t>
      </w:r>
    </w:p>
    <w:p w:rsidRPr="008D0341" w:rsidR="00367D80" w:rsidP="003F40F8" w:rsidRDefault="00367D80" w14:paraId="0EE9296D"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367D80" w:rsidTr="00CF66AD" w14:paraId="4DA35493" w14:textId="77777777">
        <w:tc>
          <w:tcPr>
            <w:tcW w:w="4642" w:type="dxa"/>
          </w:tcPr>
          <w:p w:rsidRPr="008D0341" w:rsidR="00367D80" w:rsidP="00066365" w:rsidRDefault="00367D80" w14:paraId="21E6EE3A" w14:textId="77777777">
            <w:pPr>
              <w:jc w:val="center"/>
              <w:rPr>
                <w:b/>
                <w:bCs/>
                <w:i/>
                <w:iCs/>
                <w:lang w:val="en-GB"/>
              </w:rPr>
            </w:pPr>
            <w:r w:rsidRPr="008D0341">
              <w:rPr>
                <w:b/>
                <w:bCs/>
                <w:i/>
                <w:iCs/>
                <w:lang w:val="en-GB"/>
              </w:rPr>
              <w:t>Text proposed by the European Commission</w:t>
            </w:r>
          </w:p>
        </w:tc>
        <w:tc>
          <w:tcPr>
            <w:tcW w:w="4645" w:type="dxa"/>
          </w:tcPr>
          <w:p w:rsidRPr="008D0341" w:rsidR="00367D80" w:rsidP="00066365" w:rsidRDefault="00367D80" w14:paraId="334DE051" w14:textId="77777777">
            <w:pPr>
              <w:jc w:val="center"/>
              <w:rPr>
                <w:b/>
                <w:i/>
                <w:lang w:val="en-GB"/>
              </w:rPr>
            </w:pPr>
            <w:r w:rsidRPr="008D0341">
              <w:rPr>
                <w:b/>
                <w:bCs/>
                <w:i/>
                <w:iCs/>
                <w:color w:val="000000"/>
                <w:lang w:val="en-GB"/>
              </w:rPr>
              <w:t>CoR amendment</w:t>
            </w:r>
          </w:p>
        </w:tc>
      </w:tr>
      <w:tr w:rsidRPr="008D0341" w:rsidR="00367D80" w:rsidTr="00CF66AD" w14:paraId="0BB2D669" w14:textId="77777777">
        <w:tc>
          <w:tcPr>
            <w:tcW w:w="4642" w:type="dxa"/>
          </w:tcPr>
          <w:p w:rsidRPr="008D0341" w:rsidR="00367D80" w:rsidP="00066365" w:rsidRDefault="00367D80" w14:paraId="0DF05A61" w14:textId="5257D443">
            <w:pPr>
              <w:rPr>
                <w:lang w:val="en-GB"/>
              </w:rPr>
            </w:pPr>
            <w:r w:rsidRPr="008D0341">
              <w:rPr>
                <w:lang w:val="en-GB"/>
              </w:rPr>
              <w:t>1. Each Member State shall determine in a public procedure and based on objective and transparent criteria, the composition and the size of the monitoring committee, ensuring a balanced representation of the relevant Member State authorities and intermediate bodies and of representatives of the partners referred to in Article 6 [partnership]. The number of such partners shall be equal or superior to members belonging to authorities or intermediate bodies. The composition of the monitoring committee shall take into account the chapter or the chapters of the Plan the monitoring committee is responsible for. The composition and size of the monitoring committee shall enable the committee to carry out its work efficiently and effectively. Each member of the monitoring committee shall have a vote. The Member State shall publish and annually update the list of the members of the monitoring committee on the website referred to in Article 64.</w:t>
            </w:r>
          </w:p>
        </w:tc>
        <w:tc>
          <w:tcPr>
            <w:tcW w:w="4645" w:type="dxa"/>
          </w:tcPr>
          <w:p w:rsidRPr="008D0341" w:rsidR="00367D80" w:rsidP="00066365" w:rsidRDefault="00367D80" w14:paraId="58C7FFF2" w14:textId="0E66D462">
            <w:pPr>
              <w:rPr>
                <w:lang w:val="en-GB"/>
              </w:rPr>
            </w:pPr>
            <w:r w:rsidRPr="008D0341">
              <w:rPr>
                <w:lang w:val="en-GB"/>
              </w:rPr>
              <w:t>1. Each Member State shall determine in a public procedure and based on objective and transparent criteria, the composition and the size of the monitoring committee, ensuring a balanced representation of the relevant Member State authorities and intermediate bodies and of representatives of the partners referred to in Article 6 [partnership]. The number of such partners shall be equal or superior to members belonging to authorities or intermediate bodies. The composition of the monitoring committee shall take into account the chapter or the chapters of the Plan the monitoring committee is responsible for. The composition and size of the monitoring committee shall enable the committee to carry out its work efficiently and effectively. Each member of the monitoring committee shall have a vote.</w:t>
            </w:r>
            <w:r w:rsidRPr="008D0341">
              <w:rPr>
                <w:b/>
                <w:bCs/>
                <w:i/>
                <w:lang w:val="en-GB"/>
              </w:rPr>
              <w:t xml:space="preserve"> Where </w:t>
            </w:r>
            <w:r w:rsidR="00E01ACA">
              <w:rPr>
                <w:b/>
                <w:bCs/>
                <w:i/>
                <w:lang w:val="en-GB"/>
              </w:rPr>
              <w:t>r</w:t>
            </w:r>
            <w:r w:rsidRPr="008D0341">
              <w:rPr>
                <w:b/>
                <w:bCs/>
                <w:i/>
                <w:lang w:val="en-GB"/>
              </w:rPr>
              <w:t xml:space="preserve">egions are managing authorities of the regional chapters, they should have their own monitoring committee and be responsible </w:t>
            </w:r>
            <w:r w:rsidR="00E01ACA">
              <w:rPr>
                <w:b/>
                <w:bCs/>
                <w:i/>
                <w:lang w:val="en-GB"/>
              </w:rPr>
              <w:t>for</w:t>
            </w:r>
            <w:r w:rsidRPr="008D0341">
              <w:rPr>
                <w:b/>
                <w:bCs/>
                <w:i/>
                <w:lang w:val="en-GB"/>
              </w:rPr>
              <w:t xml:space="preserve"> interact</w:t>
            </w:r>
            <w:r w:rsidR="00E01ACA">
              <w:rPr>
                <w:b/>
                <w:bCs/>
                <w:i/>
                <w:lang w:val="en-GB"/>
              </w:rPr>
              <w:t>ing</w:t>
            </w:r>
            <w:r w:rsidRPr="008D0341">
              <w:rPr>
                <w:b/>
                <w:bCs/>
                <w:i/>
                <w:lang w:val="en-GB"/>
              </w:rPr>
              <w:t xml:space="preserve"> directly with the European Commission.</w:t>
            </w:r>
            <w:r w:rsidRPr="008D0341">
              <w:rPr>
                <w:lang w:val="en-GB"/>
              </w:rPr>
              <w:t xml:space="preserve"> The Member State shall publish and annually update the list of the members of the monitoring committee on the website referred to in Article 64.</w:t>
            </w:r>
          </w:p>
        </w:tc>
      </w:tr>
    </w:tbl>
    <w:p w:rsidRPr="008D0341" w:rsidR="00367D80" w:rsidP="00066365" w:rsidRDefault="00367D80" w14:paraId="66D83868"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367D80" w:rsidTr="00CF66AD" w14:paraId="5B7B51F8" w14:textId="77777777">
        <w:tc>
          <w:tcPr>
            <w:tcW w:w="9287" w:type="dxa"/>
          </w:tcPr>
          <w:p w:rsidRPr="008D0341" w:rsidR="00367D80" w:rsidP="00066365" w:rsidRDefault="00367D80" w14:paraId="0FF8EBD0" w14:textId="77777777">
            <w:pPr>
              <w:jc w:val="center"/>
              <w:rPr>
                <w:b/>
                <w:i/>
                <w:lang w:val="en-GB"/>
              </w:rPr>
            </w:pPr>
            <w:r w:rsidRPr="008D0341">
              <w:rPr>
                <w:b/>
                <w:bCs/>
                <w:i/>
                <w:lang w:val="en-GB"/>
              </w:rPr>
              <w:t>Reason</w:t>
            </w:r>
          </w:p>
        </w:tc>
      </w:tr>
      <w:tr w:rsidRPr="008D0341" w:rsidR="00367D80" w:rsidTr="00CF66AD" w14:paraId="3705ABA5" w14:textId="77777777">
        <w:tc>
          <w:tcPr>
            <w:tcW w:w="9287" w:type="dxa"/>
          </w:tcPr>
          <w:p w:rsidRPr="008D0341" w:rsidR="00367D80" w:rsidP="00066365" w:rsidRDefault="00367D80" w14:paraId="250474E8" w14:textId="19EE7218">
            <w:pPr>
              <w:rPr>
                <w:lang w:val="en-GB"/>
              </w:rPr>
            </w:pPr>
            <w:r w:rsidRPr="008D0341">
              <w:rPr>
                <w:lang w:val="en-GB"/>
              </w:rPr>
              <w:t xml:space="preserve">The regional managing authorities should be responsible </w:t>
            </w:r>
            <w:r w:rsidR="00E01ACA">
              <w:rPr>
                <w:lang w:val="en-GB"/>
              </w:rPr>
              <w:t>for</w:t>
            </w:r>
            <w:r w:rsidRPr="008D0341">
              <w:rPr>
                <w:lang w:val="en-GB"/>
              </w:rPr>
              <w:t xml:space="preserve"> all aspects linked with the responsibilities of a managing authority.</w:t>
            </w:r>
          </w:p>
        </w:tc>
      </w:tr>
    </w:tbl>
    <w:p w:rsidRPr="008D0341" w:rsidR="00367D80" w:rsidP="00066365" w:rsidRDefault="00367D80" w14:paraId="6F9697BB" w14:textId="77777777">
      <w:pPr>
        <w:rPr>
          <w:lang w:val="en-GB"/>
        </w:rPr>
      </w:pPr>
    </w:p>
    <w:p w:rsidRPr="008D0341" w:rsidR="00352E5C" w:rsidP="003F40F8" w:rsidRDefault="00352E5C" w14:paraId="574640A9" w14:textId="62AAECCC">
      <w:pPr>
        <w:keepNext/>
        <w:keepLines/>
        <w:jc w:val="center"/>
        <w:rPr>
          <w:lang w:val="en-GB"/>
        </w:rPr>
      </w:pPr>
      <w:r w:rsidRPr="008D0341">
        <w:rPr>
          <w:rFonts w:eastAsia="Myriad Pro"/>
          <w:b/>
          <w:bCs/>
          <w:lang w:val="en-GB"/>
        </w:rPr>
        <w:t xml:space="preserve">Amendment </w:t>
      </w:r>
      <w:r w:rsidRPr="008D0341" w:rsidR="008B5EAB">
        <w:rPr>
          <w:rFonts w:eastAsia="Myriad Pro"/>
          <w:b/>
          <w:bCs/>
          <w:lang w:val="en-GB"/>
        </w:rPr>
        <w:t>30</w:t>
      </w:r>
    </w:p>
    <w:p w:rsidRPr="008D0341" w:rsidR="00352E5C" w:rsidP="003F40F8" w:rsidRDefault="00352E5C" w14:paraId="3D2B763A" w14:textId="45531BBC">
      <w:pPr>
        <w:keepNext/>
        <w:keepLines/>
        <w:jc w:val="center"/>
        <w:rPr>
          <w:rFonts w:eastAsia="Myriad Pro"/>
          <w:lang w:val="en-GB"/>
        </w:rPr>
      </w:pPr>
      <w:r w:rsidRPr="008D0341">
        <w:rPr>
          <w:rFonts w:eastAsia="Myriad Pro"/>
          <w:lang w:val="en-GB"/>
        </w:rPr>
        <w:t>Article 55</w:t>
      </w:r>
      <w:r w:rsidRPr="008D0341" w:rsidR="00B4127B">
        <w:rPr>
          <w:rFonts w:eastAsia="Myriad Pro"/>
          <w:lang w:val="en-GB"/>
        </w:rPr>
        <w:t>.1</w:t>
      </w:r>
      <w:r w:rsidRPr="008D0341">
        <w:rPr>
          <w:rFonts w:eastAsia="Myriad Pro"/>
          <w:lang w:val="en-GB"/>
        </w:rPr>
        <w:t xml:space="preserve"> – Composition of the monitoring committee</w:t>
      </w:r>
    </w:p>
    <w:p w:rsidRPr="008D0341" w:rsidR="007A0032" w:rsidP="003F40F8" w:rsidRDefault="007A0032" w14:paraId="639ADD34" w14:textId="77777777">
      <w:pPr>
        <w:keepNext/>
        <w:keepLines/>
        <w:jc w:val="center"/>
        <w:rPr>
          <w:rFonts w:eastAsia="Myriad Pro"/>
          <w:lang w:val="en-GB"/>
        </w:rPr>
      </w:pPr>
    </w:p>
    <w:tbl>
      <w:tblPr>
        <w:tblW w:w="9322" w:type="dxa"/>
        <w:tblLook w:val="04A0" w:firstRow="1" w:lastRow="0" w:firstColumn="1" w:lastColumn="0" w:noHBand="0" w:noVBand="1"/>
      </w:tblPr>
      <w:tblGrid>
        <w:gridCol w:w="4644"/>
        <w:gridCol w:w="4678"/>
      </w:tblGrid>
      <w:tr w:rsidRPr="008D0341" w:rsidR="00352E5C" w:rsidTr="00B119C7" w14:paraId="5996D61A"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066365" w14:paraId="476358F3" w14:textId="6726DD86">
            <w:pPr>
              <w:jc w:val="center"/>
              <w:rPr>
                <w:b/>
                <w:bCs/>
                <w:i/>
                <w:iCs/>
                <w:lang w:val="en-GB"/>
              </w:rPr>
            </w:pPr>
            <w:r w:rsidRPr="008D0341">
              <w:rPr>
                <w:b/>
                <w:bCs/>
                <w:i/>
                <w:iCs/>
                <w:lang w:val="en-GB"/>
              </w:rPr>
              <w:t>Text proposed by the European Commission</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9583FDD" w14:textId="77777777">
            <w:pPr>
              <w:jc w:val="center"/>
              <w:rPr>
                <w:b/>
                <w:bCs/>
                <w:i/>
                <w:iCs/>
                <w:lang w:val="en-GB"/>
              </w:rPr>
            </w:pPr>
            <w:r w:rsidRPr="008D0341">
              <w:rPr>
                <w:b/>
                <w:bCs/>
                <w:i/>
                <w:iCs/>
                <w:lang w:val="en-GB"/>
              </w:rPr>
              <w:t>CoR amendment</w:t>
            </w:r>
          </w:p>
        </w:tc>
      </w:tr>
      <w:tr w:rsidRPr="008D0341" w:rsidR="00352E5C" w:rsidTr="00B119C7" w14:paraId="5636D263"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066365" w:rsidR="00352E5C" w:rsidP="00066365" w:rsidRDefault="008335CE" w14:paraId="06123F8E" w14:textId="771DBD5F">
            <w:pPr>
              <w:shd w:val="clear" w:color="auto" w:fill="FFFFFF"/>
              <w:textAlignment w:val="baseline"/>
              <w:rPr>
                <w:color w:val="000000"/>
                <w:bdr w:val="none" w:color="auto" w:sz="0" w:space="0" w:frame="1"/>
                <w:lang w:val="en-GB"/>
              </w:rPr>
            </w:pPr>
            <w:r w:rsidRPr="008D0341">
              <w:rPr>
                <w:color w:val="000000"/>
                <w:bdr w:val="none" w:color="auto" w:sz="0" w:space="0" w:frame="1"/>
                <w:lang w:val="en-GB"/>
              </w:rPr>
              <w:t xml:space="preserve">1. </w:t>
            </w:r>
            <w:r w:rsidRPr="008D0341" w:rsidR="00352E5C">
              <w:rPr>
                <w:color w:val="000000"/>
                <w:bdr w:val="none" w:color="auto" w:sz="0" w:space="0" w:frame="1"/>
                <w:lang w:val="en-GB"/>
              </w:rPr>
              <w:t>Each Member State shall determine in a public procedure and based on objective and transparent criteria, the composition and the size of the monitoring committee, ensuring a balanced representation of the relevant Member State authorities and intermediate bodies and of representatives of the partners referred to in Article 6 [partnership]. The number of such partners shall be equal or superior to members belonging to authorities or intermediate bodies.</w:t>
            </w:r>
            <w:r w:rsidR="00066365">
              <w:rPr>
                <w:color w:val="000000"/>
                <w:bdr w:val="none" w:color="auto" w:sz="0" w:space="0" w:frame="1"/>
                <w:lang w:val="en-GB"/>
              </w:rPr>
              <w:t xml:space="preserve"> </w:t>
            </w:r>
            <w:r w:rsidRPr="008D0341" w:rsidR="00352E5C">
              <w:rPr>
                <w:color w:val="000000"/>
                <w:bdr w:val="none" w:color="auto" w:sz="0" w:space="0" w:frame="1"/>
                <w:lang w:val="en-GB"/>
              </w:rPr>
              <w:t>The composition of the monitoring committee shall take into account the chapter or the chapters of the Plan the monitoring committee is responsible for. The composition and size of the monitoring committee shall enable the committee to carry out its work efficiently and effectively.</w:t>
            </w:r>
            <w:r w:rsidR="00066365">
              <w:rPr>
                <w:color w:val="000000"/>
                <w:bdr w:val="none" w:color="auto" w:sz="0" w:space="0" w:frame="1"/>
                <w:lang w:val="en-GB"/>
              </w:rPr>
              <w:t xml:space="preserve"> </w:t>
            </w:r>
            <w:r w:rsidRPr="008D0341" w:rsidR="00352E5C">
              <w:rPr>
                <w:color w:val="000000"/>
                <w:bdr w:val="none" w:color="auto" w:sz="0" w:space="0" w:frame="1"/>
                <w:lang w:val="en-GB"/>
              </w:rPr>
              <w:t>Each member of the monitoring committee shall have a vote.</w:t>
            </w:r>
            <w:r w:rsidR="00066365">
              <w:rPr>
                <w:color w:val="000000"/>
                <w:bdr w:val="none" w:color="auto" w:sz="0" w:space="0" w:frame="1"/>
                <w:lang w:val="en-GB"/>
              </w:rPr>
              <w:t xml:space="preserve"> </w:t>
            </w:r>
            <w:r w:rsidRPr="008D0341" w:rsidR="00352E5C">
              <w:rPr>
                <w:color w:val="000000"/>
                <w:bdr w:val="none" w:color="auto" w:sz="0" w:space="0" w:frame="1"/>
                <w:lang w:val="en-GB"/>
              </w:rPr>
              <w:t>The Member State shall publish and annually update the list of the members of the monitoring committee on the website referred to in Article 64.</w:t>
            </w:r>
          </w:p>
        </w:tc>
        <w:tc>
          <w:tcPr>
            <w:tcW w:w="4678"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8335CE" w14:paraId="24B032CD" w14:textId="2453FF66">
            <w:pPr>
              <w:shd w:val="clear" w:color="auto" w:fill="FFFFFF"/>
              <w:textAlignment w:val="baseline"/>
              <w:rPr>
                <w:color w:val="000000"/>
                <w:lang w:val="en-GB"/>
              </w:rPr>
            </w:pPr>
            <w:r w:rsidRPr="008D0341">
              <w:rPr>
                <w:color w:val="000000"/>
                <w:bdr w:val="none" w:color="auto" w:sz="0" w:space="0" w:frame="1"/>
                <w:lang w:val="en-GB"/>
              </w:rPr>
              <w:t xml:space="preserve">1. </w:t>
            </w:r>
            <w:r w:rsidRPr="008D0341" w:rsidR="00352E5C">
              <w:rPr>
                <w:color w:val="000000"/>
                <w:bdr w:val="none" w:color="auto" w:sz="0" w:space="0" w:frame="1"/>
                <w:lang w:val="en-GB"/>
              </w:rPr>
              <w:t>Each Member State shall determine in a public procedure and based on objective and transparent criteria, the composition and the size of the monitoring committee, ensuring a balanced representation of the relevant Member State authorities and intermediate bodies and of representatives of the partners referred to in Article 6 [partnership]. The number of such partners shall be equal or superior to members belonging to authorities or intermediate bodies.</w:t>
            </w:r>
            <w:r w:rsidR="00066365">
              <w:rPr>
                <w:color w:val="000000"/>
                <w:bdr w:val="none" w:color="auto" w:sz="0" w:space="0" w:frame="1"/>
                <w:lang w:val="en-GB"/>
              </w:rPr>
              <w:t xml:space="preserve"> </w:t>
            </w:r>
            <w:r w:rsidRPr="008D0341" w:rsidR="00352E5C">
              <w:rPr>
                <w:color w:val="000000"/>
                <w:bdr w:val="none" w:color="auto" w:sz="0" w:space="0" w:frame="1"/>
                <w:lang w:val="en-GB"/>
              </w:rPr>
              <w:t>The composition of the monitoring committee shall take into account the chapter or the chapters of the Plan the monitoring committee is responsible for. The composition and size of the monitoring committee shall enable the committee to carry out its work efficiently and effectively.</w:t>
            </w:r>
            <w:r w:rsidR="00066365">
              <w:rPr>
                <w:color w:val="000000"/>
                <w:bdr w:val="none" w:color="auto" w:sz="0" w:space="0" w:frame="1"/>
                <w:lang w:val="en-GB"/>
              </w:rPr>
              <w:t xml:space="preserve"> </w:t>
            </w:r>
            <w:r w:rsidRPr="008D0341" w:rsidR="00352E5C">
              <w:rPr>
                <w:color w:val="000000"/>
                <w:bdr w:val="none" w:color="auto" w:sz="0" w:space="0" w:frame="1"/>
                <w:lang w:val="en-GB"/>
              </w:rPr>
              <w:t>Each member of the monitoring committee shall have a vote.</w:t>
            </w:r>
            <w:r w:rsidR="00066365">
              <w:rPr>
                <w:color w:val="000000"/>
                <w:bdr w:val="none" w:color="auto" w:sz="0" w:space="0" w:frame="1"/>
                <w:lang w:val="en-GB"/>
              </w:rPr>
              <w:t xml:space="preserve"> </w:t>
            </w:r>
          </w:p>
          <w:p w:rsidRPr="008D0341" w:rsidR="008335CE" w:rsidP="00066365" w:rsidRDefault="00352E5C" w14:paraId="28A1E513" w14:textId="2945C774">
            <w:pPr>
              <w:shd w:val="clear" w:color="auto" w:fill="FFFFFF"/>
              <w:textAlignment w:val="baseline"/>
              <w:rPr>
                <w:color w:val="000000"/>
                <w:bdr w:val="none" w:color="auto" w:sz="0" w:space="0" w:frame="1"/>
                <w:lang w:val="en-GB"/>
              </w:rPr>
            </w:pPr>
            <w:r w:rsidRPr="008D0341">
              <w:rPr>
                <w:color w:val="000000"/>
                <w:bdr w:val="none" w:color="auto" w:sz="0" w:space="0" w:frame="1"/>
                <w:lang w:val="en-GB"/>
              </w:rPr>
              <w:t>The Member State shall publish and annually update the list of the members of the monitoring committee on the website referred to in Article 64.</w:t>
            </w:r>
          </w:p>
          <w:p w:rsidRPr="008D0341" w:rsidR="008335CE" w:rsidP="00066365" w:rsidRDefault="00352E5C" w14:paraId="0CA2625F" w14:textId="5362B3DE">
            <w:pPr>
              <w:shd w:val="clear" w:color="auto" w:fill="FFFFFF"/>
              <w:textAlignment w:val="baseline"/>
              <w:rPr>
                <w:b/>
                <w:bCs/>
                <w:i/>
                <w:iCs/>
                <w:color w:val="000000"/>
                <w:bdr w:val="none" w:color="auto" w:sz="0" w:space="0" w:frame="1"/>
                <w:lang w:val="en-GB"/>
              </w:rPr>
            </w:pPr>
            <w:r w:rsidRPr="008D0341">
              <w:rPr>
                <w:b/>
                <w:bCs/>
                <w:i/>
                <w:iCs/>
                <w:color w:val="000000"/>
                <w:bdr w:val="none" w:color="auto" w:sz="0" w:space="0" w:frame="1"/>
                <w:lang w:val="en-GB"/>
              </w:rPr>
              <w:t>Each Member State shall ensure a balanced representation of the relevant Member State authorities, including regional and local authorities.</w:t>
            </w:r>
          </w:p>
          <w:p w:rsidRPr="008D0341" w:rsidR="00352E5C" w:rsidP="00066365" w:rsidRDefault="00352E5C" w14:paraId="074AA8B5" w14:textId="29147DC5">
            <w:pPr>
              <w:shd w:val="clear" w:color="auto" w:fill="FFFFFF"/>
              <w:textAlignment w:val="baseline"/>
              <w:rPr>
                <w:rFonts w:eastAsia="Myriad Pro"/>
                <w:b/>
                <w:bCs/>
                <w:lang w:val="en-GB"/>
              </w:rPr>
            </w:pPr>
            <w:r w:rsidRPr="008D0341">
              <w:rPr>
                <w:b/>
                <w:bCs/>
                <w:i/>
                <w:iCs/>
                <w:color w:val="000000"/>
                <w:bdr w:val="none" w:color="auto" w:sz="0" w:space="0" w:frame="1"/>
                <w:lang w:val="en-GB"/>
              </w:rPr>
              <w:t>Each member of the monitoring committee shall have a vote. The results of the vote shall be published on the website referred to in paragraph 1 of Article 64.</w:t>
            </w:r>
          </w:p>
        </w:tc>
      </w:tr>
    </w:tbl>
    <w:p w:rsidRPr="008D0341" w:rsidR="00352E5C" w:rsidP="00066365" w:rsidRDefault="00352E5C" w14:paraId="1032075E"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B119C7" w14:paraId="50F9A3D3"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6A516E19" w14:textId="77777777">
            <w:pPr>
              <w:jc w:val="center"/>
              <w:rPr>
                <w:b/>
                <w:bCs/>
                <w:i/>
                <w:iCs/>
                <w:lang w:val="en-GB"/>
              </w:rPr>
            </w:pPr>
            <w:r w:rsidRPr="008D0341">
              <w:rPr>
                <w:b/>
                <w:bCs/>
                <w:i/>
                <w:iCs/>
                <w:lang w:val="en-GB"/>
              </w:rPr>
              <w:t>Reason</w:t>
            </w:r>
          </w:p>
        </w:tc>
      </w:tr>
      <w:tr w:rsidRPr="008D0341" w:rsidR="00352E5C" w:rsidTr="00B119C7" w14:paraId="151B67AB"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1567F3" w14:paraId="140EC154" w14:textId="3B248B71">
            <w:pPr>
              <w:rPr>
                <w:rFonts w:eastAsia="Calibri"/>
                <w:lang w:val="en-GB"/>
              </w:rPr>
            </w:pPr>
            <w:r w:rsidRPr="008D0341">
              <w:rPr>
                <w:rFonts w:eastAsia="Calibri"/>
                <w:lang w:val="en-GB"/>
              </w:rPr>
              <w:t>Incorporates</w:t>
            </w:r>
            <w:r w:rsidRPr="008D0341" w:rsidR="00352E5C">
              <w:rPr>
                <w:rFonts w:eastAsia="Calibri"/>
                <w:lang w:val="en-GB"/>
              </w:rPr>
              <w:t xml:space="preserve"> the proposal from the </w:t>
            </w:r>
            <w:r w:rsidRPr="008D0341" w:rsidR="00051BF3">
              <w:rPr>
                <w:rFonts w:eastAsia="Calibri"/>
                <w:lang w:val="en-GB"/>
              </w:rPr>
              <w:t>European</w:t>
            </w:r>
            <w:r w:rsidRPr="008D0341" w:rsidR="005215CA">
              <w:rPr>
                <w:rFonts w:eastAsia="Calibri"/>
                <w:lang w:val="en-GB"/>
              </w:rPr>
              <w:t xml:space="preserve"> </w:t>
            </w:r>
            <w:r w:rsidRPr="008D0341" w:rsidR="00352E5C">
              <w:rPr>
                <w:rFonts w:eastAsia="Calibri"/>
                <w:lang w:val="en-GB"/>
              </w:rPr>
              <w:t xml:space="preserve">Commission President </w:t>
            </w:r>
            <w:r w:rsidRPr="008D0341">
              <w:rPr>
                <w:rFonts w:eastAsia="Calibri"/>
                <w:lang w:val="en-GB"/>
              </w:rPr>
              <w:t>on</w:t>
            </w:r>
            <w:r w:rsidRPr="008D0341" w:rsidR="00352E5C">
              <w:rPr>
                <w:rFonts w:eastAsia="Calibri"/>
                <w:lang w:val="en-GB"/>
              </w:rPr>
              <w:t xml:space="preserve"> increas</w:t>
            </w:r>
            <w:r w:rsidRPr="008D0341">
              <w:rPr>
                <w:rFonts w:eastAsia="Calibri"/>
                <w:lang w:val="en-GB"/>
              </w:rPr>
              <w:t>ing</w:t>
            </w:r>
            <w:r w:rsidRPr="008D0341" w:rsidR="00352E5C">
              <w:rPr>
                <w:rFonts w:eastAsia="Calibri"/>
                <w:lang w:val="en-GB"/>
              </w:rPr>
              <w:t xml:space="preserve"> transparency and referring to LRAs.</w:t>
            </w:r>
          </w:p>
        </w:tc>
      </w:tr>
    </w:tbl>
    <w:p w:rsidR="00352E5C" w:rsidP="00066365" w:rsidRDefault="00352E5C" w14:paraId="5764CEC8" w14:textId="77777777">
      <w:pPr>
        <w:rPr>
          <w:lang w:val="en-GB"/>
        </w:rPr>
      </w:pPr>
    </w:p>
    <w:p w:rsidR="00F71483" w:rsidP="00066365" w:rsidRDefault="00F71483" w14:paraId="3D04730D" w14:textId="77777777">
      <w:pPr>
        <w:rPr>
          <w:lang w:val="en-GB"/>
        </w:rPr>
      </w:pPr>
    </w:p>
    <w:p w:rsidRPr="008D0341" w:rsidR="00DE431A" w:rsidP="003F40F8" w:rsidRDefault="00DE431A" w14:paraId="1F4D640F" w14:textId="644E19BE">
      <w:pPr>
        <w:keepNext/>
        <w:keepLines/>
        <w:jc w:val="center"/>
        <w:rPr>
          <w:b/>
          <w:bCs/>
          <w:lang w:val="en-GB"/>
        </w:rPr>
      </w:pPr>
      <w:r w:rsidRPr="008D0341">
        <w:rPr>
          <w:b/>
          <w:bCs/>
          <w:lang w:val="en-GB"/>
        </w:rPr>
        <w:t xml:space="preserve">Amendment </w:t>
      </w:r>
      <w:r w:rsidRPr="008D0341" w:rsidR="008B5EAB">
        <w:rPr>
          <w:b/>
          <w:bCs/>
          <w:lang w:val="en-GB"/>
        </w:rPr>
        <w:t>31</w:t>
      </w:r>
    </w:p>
    <w:p w:rsidRPr="008D0341" w:rsidR="00DE431A" w:rsidP="003F40F8" w:rsidRDefault="00DE431A" w14:paraId="77044F77" w14:textId="0E277BE6">
      <w:pPr>
        <w:keepNext/>
        <w:keepLines/>
        <w:jc w:val="center"/>
        <w:rPr>
          <w:lang w:val="en-GB"/>
        </w:rPr>
      </w:pPr>
      <w:r w:rsidRPr="008D0341">
        <w:rPr>
          <w:lang w:val="en-GB"/>
        </w:rPr>
        <w:t>Article 58</w:t>
      </w:r>
    </w:p>
    <w:p w:rsidRPr="008D0341" w:rsidR="00DE431A" w:rsidP="003F40F8" w:rsidRDefault="00DE431A" w14:paraId="7B697506" w14:textId="77777777">
      <w:pPr>
        <w:keepNext/>
        <w:keepLines/>
        <w:rPr>
          <w:lang w:val="en-GB"/>
        </w:rPr>
      </w:pP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786"/>
        <w:gridCol w:w="4536"/>
      </w:tblGrid>
      <w:tr w:rsidRPr="008D0341" w:rsidR="00DE431A" w:rsidTr="00B119C7" w14:paraId="031E5920" w14:textId="77777777">
        <w:tc>
          <w:tcPr>
            <w:tcW w:w="4786" w:type="dxa"/>
          </w:tcPr>
          <w:p w:rsidRPr="008D0341" w:rsidR="00DE431A" w:rsidP="00066365" w:rsidRDefault="00DE431A" w14:paraId="17BB5D7F" w14:textId="77777777">
            <w:pPr>
              <w:jc w:val="center"/>
              <w:rPr>
                <w:b/>
                <w:bCs/>
                <w:i/>
                <w:iCs/>
                <w:lang w:val="en-GB"/>
              </w:rPr>
            </w:pPr>
            <w:r w:rsidRPr="008D0341">
              <w:rPr>
                <w:b/>
                <w:bCs/>
                <w:i/>
                <w:iCs/>
                <w:lang w:val="en-GB"/>
              </w:rPr>
              <w:t>Text proposed by the European Commission</w:t>
            </w:r>
          </w:p>
        </w:tc>
        <w:tc>
          <w:tcPr>
            <w:tcW w:w="4536" w:type="dxa"/>
          </w:tcPr>
          <w:p w:rsidRPr="008D0341" w:rsidR="00DE431A" w:rsidP="00066365" w:rsidRDefault="00DE431A" w14:paraId="09FE7D6C" w14:textId="77777777">
            <w:pPr>
              <w:jc w:val="center"/>
              <w:rPr>
                <w:b/>
                <w:i/>
                <w:lang w:val="en-GB"/>
              </w:rPr>
            </w:pPr>
            <w:r w:rsidRPr="008D0341">
              <w:rPr>
                <w:b/>
                <w:bCs/>
                <w:i/>
                <w:iCs/>
                <w:color w:val="000000"/>
                <w:lang w:val="en-GB"/>
              </w:rPr>
              <w:t>CoR amendment</w:t>
            </w:r>
          </w:p>
        </w:tc>
      </w:tr>
      <w:tr w:rsidRPr="008D0341" w:rsidR="00DE431A" w:rsidTr="00B119C7" w14:paraId="4E491174" w14:textId="77777777">
        <w:tc>
          <w:tcPr>
            <w:tcW w:w="4786" w:type="dxa"/>
          </w:tcPr>
          <w:p w:rsidRPr="008D0341" w:rsidR="00DE431A" w:rsidP="00066365" w:rsidRDefault="00DE431A" w14:paraId="3E4DDFA4" w14:textId="1663D75D">
            <w:pPr>
              <w:rPr>
                <w:lang w:val="en-GB"/>
              </w:rPr>
            </w:pPr>
            <w:r w:rsidRPr="008D0341">
              <w:rPr>
                <w:lang w:val="en-GB"/>
              </w:rPr>
              <w:t>1. The Member States shall take appropriate measures to protect the financial interests of the Union and to ensure that the use of funds in the implementation of the Plans complies with the applicable law, including applicable public procurement and State aid rules. They shall in particular ensure the prevention, detection, correction and reporting of irregularities, including fraud, corruption and conflicts of interest.2. For the purposes of paragraph 1, the Member States shall:(a) establish effective and efficient management and control systems for their Plans in accordance with the key requirements set out in Annex IV and ensure their proper functioning in accordance with the principle of sound financial management;</w:t>
            </w:r>
          </w:p>
        </w:tc>
        <w:tc>
          <w:tcPr>
            <w:tcW w:w="4536" w:type="dxa"/>
          </w:tcPr>
          <w:p w:rsidRPr="008D0341" w:rsidR="00DE431A" w:rsidP="00066365" w:rsidRDefault="00DE431A" w14:paraId="4C896734" w14:textId="13E62B29">
            <w:pPr>
              <w:rPr>
                <w:lang w:val="en-GB"/>
              </w:rPr>
            </w:pPr>
            <w:r w:rsidRPr="008D0341">
              <w:rPr>
                <w:lang w:val="en-GB"/>
              </w:rPr>
              <w:t>1. The Member States shall take appropriate measures to protect the financial interests of the Union and to ensure that the use of funds in the implementation of the Plans complies with the applicable law, including applicable public procurement and State aid rules. They shall in particular ensure the prevention, detection, correction and reporting of irregularities, including fraud, corruption and conflicts of interest.</w:t>
            </w:r>
            <w:r w:rsidRPr="008D0341">
              <w:rPr>
                <w:b/>
                <w:bCs/>
                <w:i/>
                <w:lang w:val="en-GB"/>
              </w:rPr>
              <w:t xml:space="preserve"> These responsibilities are developed and implemented by each managing authority when the NRPP has designated several, in conjunction with the coordinating authority.</w:t>
            </w:r>
            <w:r w:rsidRPr="008D0341">
              <w:rPr>
                <w:lang w:val="en-GB"/>
              </w:rPr>
              <w:t xml:space="preserve"> 2. For the purposes of paragraph 1, the Member States</w:t>
            </w:r>
            <w:r w:rsidRPr="008D0341">
              <w:rPr>
                <w:b/>
                <w:bCs/>
                <w:i/>
                <w:lang w:val="en-GB"/>
              </w:rPr>
              <w:t>, and/or their managing authorities,</w:t>
            </w:r>
            <w:r w:rsidRPr="008D0341">
              <w:rPr>
                <w:lang w:val="en-GB"/>
              </w:rPr>
              <w:t xml:space="preserve"> shall:(a) establish effective and efficient management and control systems for their Plans</w:t>
            </w:r>
            <w:r w:rsidRPr="008D0341">
              <w:rPr>
                <w:b/>
                <w:bCs/>
                <w:i/>
                <w:lang w:val="en-GB"/>
              </w:rPr>
              <w:t>, and/or chapters,</w:t>
            </w:r>
            <w:r w:rsidRPr="008D0341">
              <w:rPr>
                <w:lang w:val="en-GB"/>
              </w:rPr>
              <w:t xml:space="preserve"> in accordance with the key requirements set out in Annex IV and ensure their proper functioning in accordance with the principle of sound financial management;</w:t>
            </w:r>
          </w:p>
        </w:tc>
      </w:tr>
    </w:tbl>
    <w:p w:rsidRPr="008D0341" w:rsidR="00DE431A" w:rsidP="00066365" w:rsidRDefault="00DE431A" w14:paraId="642F67A1"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DE431A" w:rsidTr="00CF66AD" w14:paraId="78E0D6EA" w14:textId="77777777">
        <w:tc>
          <w:tcPr>
            <w:tcW w:w="9287" w:type="dxa"/>
          </w:tcPr>
          <w:p w:rsidRPr="008D0341" w:rsidR="00DE431A" w:rsidP="00066365" w:rsidRDefault="00DE431A" w14:paraId="09A77930" w14:textId="77777777">
            <w:pPr>
              <w:jc w:val="center"/>
              <w:rPr>
                <w:b/>
                <w:i/>
                <w:lang w:val="en-GB"/>
              </w:rPr>
            </w:pPr>
            <w:r w:rsidRPr="008D0341">
              <w:rPr>
                <w:b/>
                <w:bCs/>
                <w:i/>
                <w:lang w:val="en-GB"/>
              </w:rPr>
              <w:t>Reason</w:t>
            </w:r>
          </w:p>
        </w:tc>
      </w:tr>
      <w:tr w:rsidRPr="008D0341" w:rsidR="00DE431A" w:rsidTr="00CF66AD" w14:paraId="2BD6DC20" w14:textId="77777777">
        <w:tc>
          <w:tcPr>
            <w:tcW w:w="9287" w:type="dxa"/>
          </w:tcPr>
          <w:p w:rsidRPr="008D0341" w:rsidR="00DE431A" w:rsidP="00066365" w:rsidRDefault="00DE431A" w14:paraId="64A1BCDA" w14:textId="233E6C49">
            <w:pPr>
              <w:rPr>
                <w:lang w:val="en-GB"/>
              </w:rPr>
            </w:pPr>
            <w:r w:rsidRPr="008D0341">
              <w:rPr>
                <w:lang w:val="en-GB"/>
              </w:rPr>
              <w:t xml:space="preserve">The regional managing authorities should be responsible </w:t>
            </w:r>
            <w:r w:rsidR="00691635">
              <w:rPr>
                <w:lang w:val="en-GB"/>
              </w:rPr>
              <w:t>for</w:t>
            </w:r>
            <w:r w:rsidRPr="008D0341">
              <w:rPr>
                <w:lang w:val="en-GB"/>
              </w:rPr>
              <w:t xml:space="preserve"> all aspects linked with the responsibilities of a managing authority. Management and control systems could be developed at the level of each chapter and not necessarily at the level of the plan.</w:t>
            </w:r>
          </w:p>
        </w:tc>
      </w:tr>
    </w:tbl>
    <w:p w:rsidR="00DE431A" w:rsidP="00066365" w:rsidRDefault="00DE431A" w14:paraId="6CC784CC" w14:textId="77777777">
      <w:pPr>
        <w:rPr>
          <w:lang w:val="en-GB"/>
        </w:rPr>
      </w:pPr>
    </w:p>
    <w:p w:rsidR="00F71483" w:rsidP="00066365" w:rsidRDefault="00F71483" w14:paraId="172F8B66" w14:textId="77777777">
      <w:pPr>
        <w:rPr>
          <w:lang w:val="en-GB"/>
        </w:rPr>
      </w:pPr>
    </w:p>
    <w:p w:rsidRPr="008D0341" w:rsidR="00097A11" w:rsidP="003F40F8" w:rsidRDefault="00097A11" w14:paraId="32ABAA33" w14:textId="4D9FA9F1">
      <w:pPr>
        <w:keepNext/>
        <w:keepLines/>
        <w:jc w:val="center"/>
        <w:rPr>
          <w:b/>
          <w:bCs/>
          <w:lang w:val="en-GB"/>
        </w:rPr>
      </w:pPr>
      <w:r w:rsidRPr="008D0341">
        <w:rPr>
          <w:b/>
          <w:bCs/>
          <w:lang w:val="en-GB"/>
        </w:rPr>
        <w:t xml:space="preserve">Amendment </w:t>
      </w:r>
      <w:r w:rsidRPr="008D0341" w:rsidR="00DA4504">
        <w:rPr>
          <w:b/>
          <w:bCs/>
          <w:lang w:val="en-GB"/>
        </w:rPr>
        <w:t>3</w:t>
      </w:r>
      <w:r w:rsidRPr="008D0341" w:rsidR="008B5EAB">
        <w:rPr>
          <w:b/>
          <w:bCs/>
          <w:lang w:val="en-GB"/>
        </w:rPr>
        <w:t>2</w:t>
      </w:r>
    </w:p>
    <w:p w:rsidRPr="008D0341" w:rsidR="00097A11" w:rsidP="003F40F8" w:rsidRDefault="00097A11" w14:paraId="7EAD435C" w14:textId="2D55FC13">
      <w:pPr>
        <w:keepNext/>
        <w:keepLines/>
        <w:jc w:val="center"/>
        <w:rPr>
          <w:lang w:val="en-GB"/>
        </w:rPr>
      </w:pPr>
      <w:r w:rsidRPr="008D0341">
        <w:rPr>
          <w:lang w:val="en-GB"/>
        </w:rPr>
        <w:t>Article 61</w:t>
      </w:r>
    </w:p>
    <w:p w:rsidRPr="008D0341" w:rsidR="00097A11" w:rsidP="003F40F8" w:rsidRDefault="00097A11" w14:paraId="57FE22A5" w14:textId="77777777">
      <w:pPr>
        <w:keepNext/>
        <w:keepLines/>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097A11" w:rsidTr="00CF66AD" w14:paraId="311A27FB" w14:textId="77777777">
        <w:tc>
          <w:tcPr>
            <w:tcW w:w="4642" w:type="dxa"/>
          </w:tcPr>
          <w:p w:rsidRPr="008D0341" w:rsidR="00097A11" w:rsidP="00066365" w:rsidRDefault="00097A11" w14:paraId="4B840874" w14:textId="77777777">
            <w:pPr>
              <w:jc w:val="center"/>
              <w:rPr>
                <w:b/>
                <w:bCs/>
                <w:i/>
                <w:iCs/>
                <w:lang w:val="en-GB"/>
              </w:rPr>
            </w:pPr>
            <w:r w:rsidRPr="008D0341">
              <w:rPr>
                <w:b/>
                <w:bCs/>
                <w:i/>
                <w:iCs/>
                <w:lang w:val="en-GB"/>
              </w:rPr>
              <w:t>Text proposed by the European Commission</w:t>
            </w:r>
          </w:p>
        </w:tc>
        <w:tc>
          <w:tcPr>
            <w:tcW w:w="4645" w:type="dxa"/>
          </w:tcPr>
          <w:p w:rsidRPr="008D0341" w:rsidR="00097A11" w:rsidP="00066365" w:rsidRDefault="00097A11" w14:paraId="2345354A" w14:textId="77777777">
            <w:pPr>
              <w:jc w:val="center"/>
              <w:rPr>
                <w:b/>
                <w:i/>
                <w:lang w:val="en-GB"/>
              </w:rPr>
            </w:pPr>
            <w:r w:rsidRPr="008D0341">
              <w:rPr>
                <w:b/>
                <w:bCs/>
                <w:i/>
                <w:iCs/>
                <w:color w:val="000000"/>
                <w:lang w:val="en-GB"/>
              </w:rPr>
              <w:t>CoR amendment</w:t>
            </w:r>
          </w:p>
        </w:tc>
      </w:tr>
      <w:tr w:rsidRPr="008D0341" w:rsidR="00097A11" w:rsidTr="00CF66AD" w14:paraId="3D4301DB" w14:textId="77777777">
        <w:tc>
          <w:tcPr>
            <w:tcW w:w="4642" w:type="dxa"/>
          </w:tcPr>
          <w:p w:rsidRPr="008D0341" w:rsidR="00097A11" w:rsidP="0063224B" w:rsidRDefault="00097A11" w14:paraId="537CA8B1" w14:textId="614FBFA0">
            <w:pPr>
              <w:tabs>
                <w:tab w:val="left" w:pos="483"/>
              </w:tabs>
              <w:rPr>
                <w:lang w:val="en-GB"/>
              </w:rPr>
            </w:pPr>
            <w:r w:rsidRPr="008D0341">
              <w:rPr>
                <w:lang w:val="en-GB"/>
              </w:rPr>
              <w:t xml:space="preserve">4. The Commission and the audit authority </w:t>
            </w:r>
            <w:r w:rsidRPr="008D0341">
              <w:rPr>
                <w:b/>
                <w:bCs/>
                <w:i/>
                <w:lang w:val="en-GB"/>
              </w:rPr>
              <w:t>may decide</w:t>
            </w:r>
            <w:r w:rsidRPr="008D0341">
              <w:rPr>
                <w:lang w:val="en-GB"/>
              </w:rPr>
              <w:t xml:space="preserve"> not </w:t>
            </w:r>
            <w:r w:rsidRPr="008D0341">
              <w:rPr>
                <w:b/>
                <w:bCs/>
                <w:i/>
                <w:lang w:val="en-GB"/>
              </w:rPr>
              <w:t>to</w:t>
            </w:r>
            <w:r w:rsidRPr="008D0341">
              <w:rPr>
                <w:lang w:val="en-GB"/>
              </w:rPr>
              <w:t xml:space="preserve"> audit milestones and targets in any year where they have already been subject to an audit by the European Court of Auditors.</w:t>
            </w:r>
          </w:p>
        </w:tc>
        <w:tc>
          <w:tcPr>
            <w:tcW w:w="4645" w:type="dxa"/>
          </w:tcPr>
          <w:p w:rsidRPr="008D0341" w:rsidR="00097A11" w:rsidP="00066365" w:rsidRDefault="00097A11" w14:paraId="70606657" w14:textId="2C10FCCB">
            <w:pPr>
              <w:rPr>
                <w:lang w:val="en-GB"/>
              </w:rPr>
            </w:pPr>
            <w:r w:rsidRPr="008D0341">
              <w:rPr>
                <w:lang w:val="en-GB"/>
              </w:rPr>
              <w:t xml:space="preserve">4. The Commission and the audit authority </w:t>
            </w:r>
            <w:r w:rsidRPr="008D0341">
              <w:rPr>
                <w:b/>
                <w:bCs/>
                <w:i/>
                <w:lang w:val="en-GB"/>
              </w:rPr>
              <w:t>shall</w:t>
            </w:r>
            <w:r w:rsidRPr="008D0341">
              <w:rPr>
                <w:lang w:val="en-GB"/>
              </w:rPr>
              <w:t xml:space="preserve"> not audit milestones and targets in any year where they have already been subject to an audit by the European Court of Auditors.</w:t>
            </w:r>
          </w:p>
        </w:tc>
      </w:tr>
    </w:tbl>
    <w:p w:rsidRPr="008D0341" w:rsidR="00097A11" w:rsidP="00066365" w:rsidRDefault="00097A11" w14:paraId="4EAAF7EA" w14:textId="77777777">
      <w:pPr>
        <w:rPr>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097A11" w:rsidTr="00CF66AD" w14:paraId="5CE87303" w14:textId="77777777">
        <w:tc>
          <w:tcPr>
            <w:tcW w:w="9287" w:type="dxa"/>
          </w:tcPr>
          <w:p w:rsidRPr="008D0341" w:rsidR="00097A11" w:rsidP="00066365" w:rsidRDefault="00097A11" w14:paraId="0FF59F2E" w14:textId="77777777">
            <w:pPr>
              <w:jc w:val="center"/>
              <w:rPr>
                <w:b/>
                <w:i/>
                <w:lang w:val="en-GB"/>
              </w:rPr>
            </w:pPr>
            <w:r w:rsidRPr="008D0341">
              <w:rPr>
                <w:b/>
                <w:bCs/>
                <w:i/>
                <w:lang w:val="en-GB"/>
              </w:rPr>
              <w:t>Reason</w:t>
            </w:r>
          </w:p>
        </w:tc>
      </w:tr>
      <w:tr w:rsidRPr="008D0341" w:rsidR="00097A11" w:rsidTr="00CF66AD" w14:paraId="47DE1ECB" w14:textId="77777777">
        <w:tc>
          <w:tcPr>
            <w:tcW w:w="9287" w:type="dxa"/>
          </w:tcPr>
          <w:p w:rsidRPr="008D0341" w:rsidR="00097A11" w:rsidP="00066365" w:rsidRDefault="00691635" w14:paraId="5C9128FB" w14:textId="2B42A7E5">
            <w:pPr>
              <w:rPr>
                <w:lang w:val="en-GB"/>
              </w:rPr>
            </w:pPr>
            <w:r>
              <w:rPr>
                <w:b/>
                <w:bCs/>
                <w:i/>
                <w:lang w:val="en-GB"/>
              </w:rPr>
              <w:t>Proposal for s</w:t>
            </w:r>
            <w:r w:rsidRPr="008D0341" w:rsidR="00097A11">
              <w:rPr>
                <w:b/>
                <w:bCs/>
                <w:i/>
                <w:lang w:val="en-GB"/>
              </w:rPr>
              <w:t>implification.</w:t>
            </w:r>
          </w:p>
        </w:tc>
      </w:tr>
    </w:tbl>
    <w:p w:rsidRPr="008D0341" w:rsidR="00097A11" w:rsidP="00066365" w:rsidRDefault="00097A11" w14:paraId="2F502405" w14:textId="77777777">
      <w:pPr>
        <w:rPr>
          <w:lang w:val="en-GB"/>
        </w:rPr>
      </w:pPr>
    </w:p>
    <w:p w:rsidRPr="008D0341" w:rsidR="00352E5C" w:rsidP="003F40F8" w:rsidRDefault="00352E5C" w14:paraId="515DA952" w14:textId="21F1FC1C">
      <w:pPr>
        <w:keepNext/>
        <w:keepLines/>
        <w:jc w:val="center"/>
        <w:rPr>
          <w:lang w:val="en-GB"/>
        </w:rPr>
      </w:pPr>
      <w:r w:rsidRPr="008D0341">
        <w:rPr>
          <w:rFonts w:eastAsia="Myriad Pro"/>
          <w:b/>
          <w:bCs/>
          <w:lang w:val="en-GB"/>
        </w:rPr>
        <w:t xml:space="preserve">Amendment </w:t>
      </w:r>
      <w:r w:rsidRPr="008D0341" w:rsidR="00B76394">
        <w:rPr>
          <w:rFonts w:eastAsia="Myriad Pro"/>
          <w:b/>
          <w:bCs/>
          <w:lang w:val="en-GB"/>
        </w:rPr>
        <w:t>3</w:t>
      </w:r>
      <w:r w:rsidRPr="008D0341" w:rsidR="008B5EAB">
        <w:rPr>
          <w:rFonts w:eastAsia="Myriad Pro"/>
          <w:b/>
          <w:bCs/>
          <w:lang w:val="en-GB"/>
        </w:rPr>
        <w:t>3</w:t>
      </w:r>
    </w:p>
    <w:p w:rsidRPr="008D0341" w:rsidR="00352E5C" w:rsidP="003F40F8" w:rsidRDefault="00352E5C" w14:paraId="11358064" w14:textId="4FC6C7CA">
      <w:pPr>
        <w:keepNext/>
        <w:keepLines/>
        <w:jc w:val="center"/>
        <w:rPr>
          <w:rFonts w:eastAsia="Myriad Pro"/>
          <w:lang w:val="en-GB"/>
        </w:rPr>
      </w:pPr>
      <w:r w:rsidRPr="008D0341">
        <w:rPr>
          <w:rFonts w:eastAsia="Myriad Pro"/>
          <w:lang w:val="en-GB"/>
        </w:rPr>
        <w:t xml:space="preserve">Article 64 </w:t>
      </w:r>
      <w:r w:rsidRPr="008D0341" w:rsidR="000F02E6">
        <w:rPr>
          <w:rFonts w:eastAsia="Myriad Pro"/>
          <w:lang w:val="en-GB"/>
        </w:rPr>
        <w:t>add new paragraph</w:t>
      </w:r>
      <w:r w:rsidRPr="008D0341" w:rsidR="002D75FD">
        <w:rPr>
          <w:rFonts w:eastAsia="Myriad Pro"/>
          <w:lang w:val="en-GB"/>
        </w:rPr>
        <w:t>s</w:t>
      </w:r>
      <w:r w:rsidRPr="008D0341" w:rsidR="000F02E6">
        <w:rPr>
          <w:rFonts w:eastAsia="Myriad Pro"/>
          <w:lang w:val="en-GB"/>
        </w:rPr>
        <w:t xml:space="preserve"> 4</w:t>
      </w:r>
      <w:r w:rsidRPr="008D0341" w:rsidR="002D75FD">
        <w:rPr>
          <w:rFonts w:eastAsia="Myriad Pro"/>
          <w:lang w:val="en-GB"/>
        </w:rPr>
        <w:t>, 5 and 6</w:t>
      </w:r>
      <w:r w:rsidRPr="008D0341" w:rsidR="000F02E6">
        <w:rPr>
          <w:rFonts w:eastAsia="Myriad Pro"/>
          <w:lang w:val="en-GB"/>
        </w:rPr>
        <w:t xml:space="preserve"> (after paragraph 3)</w:t>
      </w:r>
      <w:r w:rsidRPr="008D0341">
        <w:rPr>
          <w:rFonts w:eastAsia="Myriad Pro"/>
          <w:lang w:val="en-GB"/>
        </w:rPr>
        <w:t>– Transparency</w:t>
      </w:r>
    </w:p>
    <w:p w:rsidRPr="008D0341" w:rsidR="007A0032" w:rsidP="003F40F8" w:rsidRDefault="007A0032" w14:paraId="54321E2F" w14:textId="77777777">
      <w:pPr>
        <w:keepNext/>
        <w:keepLines/>
        <w:jc w:val="center"/>
        <w:rPr>
          <w:rFonts w:eastAsia="Myriad Pro"/>
          <w:lang w:val="en-GB"/>
        </w:rPr>
      </w:pPr>
    </w:p>
    <w:tbl>
      <w:tblPr>
        <w:tblW w:w="9322" w:type="dxa"/>
        <w:tblLook w:val="04A0" w:firstRow="1" w:lastRow="0" w:firstColumn="1" w:lastColumn="0" w:noHBand="0" w:noVBand="1"/>
      </w:tblPr>
      <w:tblGrid>
        <w:gridCol w:w="4502"/>
        <w:gridCol w:w="4820"/>
      </w:tblGrid>
      <w:tr w:rsidRPr="008D0341" w:rsidR="00352E5C" w:rsidTr="008C42DB" w14:paraId="3CDF3871"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4C8B2863" w14:textId="77777777">
            <w:pPr>
              <w:jc w:val="center"/>
              <w:rPr>
                <w:b/>
                <w:bCs/>
                <w:i/>
                <w:iCs/>
                <w:lang w:val="en-GB"/>
              </w:rPr>
            </w:pPr>
            <w:r w:rsidRPr="008D0341">
              <w:rPr>
                <w:b/>
                <w:bCs/>
                <w:i/>
                <w:iCs/>
                <w:lang w:val="en-GB"/>
              </w:rPr>
              <w:t xml:space="preserve">Text proposed by the Commission </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1993050" w14:textId="77777777">
            <w:pPr>
              <w:jc w:val="center"/>
              <w:rPr>
                <w:b/>
                <w:bCs/>
                <w:i/>
                <w:iCs/>
                <w:lang w:val="en-GB"/>
              </w:rPr>
            </w:pPr>
            <w:r w:rsidRPr="008D0341">
              <w:rPr>
                <w:b/>
                <w:bCs/>
                <w:i/>
                <w:iCs/>
                <w:lang w:val="en-GB"/>
              </w:rPr>
              <w:t>CoR amendment</w:t>
            </w:r>
          </w:p>
        </w:tc>
      </w:tr>
      <w:tr w:rsidRPr="008D0341" w:rsidR="00352E5C" w:rsidTr="008C42DB" w14:paraId="14BA820A"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2D75FD" w:rsidP="00066365" w:rsidRDefault="002D75FD" w14:paraId="71A1C4BC" w14:textId="77777777">
            <w:pPr>
              <w:shd w:val="clear" w:color="auto" w:fill="FFFFFF"/>
              <w:textAlignment w:val="baseline"/>
              <w:rPr>
                <w:color w:val="000000"/>
                <w:lang w:val="en-GB"/>
              </w:rPr>
            </w:pPr>
          </w:p>
          <w:p w:rsidRPr="00066365" w:rsidR="00352E5C" w:rsidP="00066365" w:rsidRDefault="00352E5C" w14:paraId="7B5EB629" w14:textId="6364213E">
            <w:pPr>
              <w:shd w:val="clear" w:color="auto" w:fill="FFFFFF"/>
              <w:textAlignment w:val="baseline"/>
              <w:rPr>
                <w:color w:val="000000"/>
                <w:bdr w:val="none" w:color="auto" w:sz="0" w:space="0" w:frame="1"/>
                <w:lang w:val="en-GB"/>
              </w:rPr>
            </w:pPr>
            <w:r w:rsidRPr="008D0341">
              <w:rPr>
                <w:color w:val="000000"/>
                <w:bdr w:val="none" w:color="auto" w:sz="0" w:space="0" w:frame="1"/>
                <w:lang w:val="en-GB"/>
              </w:rPr>
              <w:t>3.</w:t>
            </w:r>
            <w:r w:rsidRPr="008D0341" w:rsidR="009513D8">
              <w:rPr>
                <w:color w:val="000000"/>
                <w:bdr w:val="none" w:color="auto" w:sz="0" w:space="0" w:frame="1"/>
                <w:lang w:val="en-GB"/>
              </w:rPr>
              <w:t xml:space="preserve"> </w:t>
            </w:r>
            <w:r w:rsidRPr="008D0341">
              <w:rPr>
                <w:color w:val="000000"/>
                <w:bdr w:val="none" w:color="auto" w:sz="0" w:space="0" w:frame="1"/>
                <w:lang w:val="en-GB"/>
              </w:rPr>
              <w:t>The Member State shall, before publication takes place in accordance with paragraph 2, inform the beneficiaries and request them to inform recipients, final recipients, contractors and subcontractors that the data will be made public.</w:t>
            </w:r>
          </w:p>
          <w:p w:rsidRPr="00066365" w:rsidR="00352E5C" w:rsidP="00066365" w:rsidRDefault="00352E5C" w14:paraId="5CD920D8" w14:textId="30FE80B9">
            <w:pPr>
              <w:shd w:val="clear" w:color="auto" w:fill="FFFFFF"/>
              <w:textAlignment w:val="baseline"/>
              <w:rPr>
                <w:color w:val="000000"/>
                <w:bdr w:val="none" w:color="auto" w:sz="0" w:space="0" w:frame="1"/>
                <w:lang w:val="en-GB"/>
              </w:rPr>
            </w:pPr>
            <w:r w:rsidRPr="008D0341">
              <w:rPr>
                <w:color w:val="000000"/>
                <w:bdr w:val="none" w:color="auto" w:sz="0" w:space="0" w:frame="1"/>
                <w:lang w:val="en-GB"/>
              </w:rPr>
              <w:t>4.</w:t>
            </w:r>
            <w:r w:rsidRPr="008D0341" w:rsidR="009513D8">
              <w:rPr>
                <w:color w:val="000000"/>
                <w:bdr w:val="none" w:color="auto" w:sz="0" w:space="0" w:frame="1"/>
                <w:lang w:val="en-GB"/>
              </w:rPr>
              <w:t xml:space="preserve"> </w:t>
            </w:r>
            <w:r w:rsidRPr="008D0341">
              <w:rPr>
                <w:color w:val="000000"/>
                <w:bdr w:val="none" w:color="auto" w:sz="0" w:space="0" w:frame="1"/>
                <w:lang w:val="en-GB"/>
              </w:rPr>
              <w:t>The Commission shall publish the data as referred to in paragraph 2 of this Article on the centralised website referred to in Article 12 [Single Gateway]</w:t>
            </w:r>
            <w:r w:rsidR="003F40F8">
              <w:rPr>
                <w:color w:val="000000"/>
                <w:bdr w:val="none" w:color="auto" w:sz="0" w:space="0" w:frame="1"/>
                <w:lang w:val="en-GB"/>
              </w:rPr>
              <w:t xml:space="preserve"> </w:t>
            </w:r>
            <w:r w:rsidRPr="008D0341">
              <w:rPr>
                <w:color w:val="000000"/>
                <w:bdr w:val="none" w:color="auto" w:sz="0" w:space="0" w:frame="1"/>
                <w:lang w:val="en-GB"/>
              </w:rPr>
              <w:t>of the Regulation [Performance Regulation].</w:t>
            </w:r>
            <w:r w:rsidR="00066365">
              <w:rPr>
                <w:color w:val="000000"/>
                <w:bdr w:val="none" w:color="auto" w:sz="0" w:space="0" w:frame="1"/>
                <w:lang w:val="en-GB"/>
              </w:rPr>
              <w:t xml:space="preserve"> </w:t>
            </w:r>
            <w:r w:rsidRPr="008D0341" w:rsidR="002D75FD">
              <w:rPr>
                <w:color w:val="000000"/>
                <w:bdr w:val="none" w:color="auto" w:sz="0" w:space="0" w:frame="1"/>
                <w:lang w:val="en-GB"/>
              </w:rPr>
              <w:t>[…]</w:t>
            </w:r>
          </w:p>
          <w:p w:rsidRPr="008D0341" w:rsidR="00352E5C" w:rsidP="00066365" w:rsidRDefault="00352E5C" w14:paraId="2F29884E" w14:textId="23FA3972">
            <w:pPr>
              <w:shd w:val="clear" w:color="auto" w:fill="FFFFFF"/>
              <w:textAlignment w:val="baseline"/>
              <w:rPr>
                <w:lang w:val="en-GB"/>
              </w:rPr>
            </w:pPr>
            <w:r w:rsidRPr="008D0341">
              <w:rPr>
                <w:color w:val="000000"/>
                <w:bdr w:val="none" w:color="auto" w:sz="0" w:space="0" w:frame="1"/>
                <w:lang w:val="en-GB"/>
              </w:rPr>
              <w:t>For the purposes of the first subparagraph, the Commission shall publish the share of the Union contribution in the amounts referred to in Article 63 [Data collection and recording]. The Union contribution shall be established by multiplying the amounts referred to in Article 63 [Data collection and recording] to the co-financing rate applicable to the associated Chapter of the Plan. Amounts in currency other than euro shall be converted to euro by using the monthly accounting exchange rate referred to in Article 19(3) of Regulation (EU, Euratom) 2024/2509.</w:t>
            </w:r>
            <w:r w:rsidR="00066365">
              <w:rPr>
                <w:color w:val="000000"/>
                <w:bdr w:val="none" w:color="auto" w:sz="0" w:space="0" w:frame="1"/>
                <w:lang w:val="en-GB"/>
              </w:rPr>
              <w:t xml:space="preserve"> </w:t>
            </w:r>
            <w:r w:rsidRPr="008D0341" w:rsidR="002D75FD">
              <w:rPr>
                <w:color w:val="000000"/>
                <w:bdr w:val="none" w:color="auto" w:sz="0" w:space="0" w:frame="1"/>
                <w:lang w:val="en-GB"/>
              </w:rPr>
              <w:t>[…]</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2D75FD" w:rsidP="00066365" w:rsidRDefault="002D75FD" w14:paraId="7044B08D" w14:textId="135891EC">
            <w:pPr>
              <w:shd w:val="clear" w:color="auto" w:fill="FFFFFF"/>
              <w:textAlignment w:val="baseline"/>
              <w:rPr>
                <w:i/>
                <w:iCs/>
                <w:color w:val="000000"/>
                <w:bdr w:val="none" w:color="auto" w:sz="0" w:space="0" w:frame="1"/>
                <w:lang w:val="en-GB"/>
              </w:rPr>
            </w:pPr>
            <w:r w:rsidRPr="008D0341">
              <w:rPr>
                <w:color w:val="000000"/>
                <w:bdr w:val="none" w:color="auto" w:sz="0" w:space="0" w:frame="1"/>
                <w:lang w:val="en-GB"/>
              </w:rPr>
              <w:t>[…]</w:t>
            </w:r>
          </w:p>
          <w:p w:rsidRPr="00066365" w:rsidR="00404D71" w:rsidP="00066365" w:rsidRDefault="0060155E" w14:paraId="3B8A6750" w14:textId="6AAC763F">
            <w:pPr>
              <w:shd w:val="clear" w:color="auto" w:fill="FFFFFF"/>
              <w:textAlignment w:val="baseline"/>
              <w:rPr>
                <w:color w:val="000000"/>
                <w:bdr w:val="none" w:color="auto" w:sz="0" w:space="0" w:frame="1"/>
                <w:lang w:val="en-GB"/>
              </w:rPr>
            </w:pPr>
            <w:r w:rsidRPr="008D0341">
              <w:rPr>
                <w:color w:val="000000"/>
                <w:bdr w:val="none" w:color="auto" w:sz="0" w:space="0" w:frame="1"/>
                <w:lang w:val="en-GB"/>
              </w:rPr>
              <w:t>3. The Member State shall, before publication takes place in accordance with paragraph 2, inform the beneficiaries and request them to inform recipients, final recipients, contractors and subcontractors that the data will be made public.</w:t>
            </w:r>
          </w:p>
          <w:p w:rsidRPr="008D0341" w:rsidR="008335CE" w:rsidP="00066365" w:rsidRDefault="0060155E" w14:paraId="66979F39" w14:textId="7846EF51">
            <w:pPr>
              <w:shd w:val="clear" w:color="auto" w:fill="FFFFFF"/>
              <w:textAlignment w:val="baseline"/>
              <w:rPr>
                <w:b/>
                <w:bCs/>
                <w:i/>
                <w:iCs/>
                <w:color w:val="000000"/>
                <w:bdr w:val="none" w:color="auto" w:sz="0" w:space="0" w:frame="1"/>
                <w:lang w:val="en-GB"/>
              </w:rPr>
            </w:pPr>
            <w:r w:rsidRPr="008D0341">
              <w:rPr>
                <w:sz w:val="24"/>
                <w:szCs w:val="24"/>
                <w:lang w:val="en-GB"/>
              </w:rPr>
              <w:t>4</w:t>
            </w:r>
            <w:r w:rsidRPr="008D0341" w:rsidR="00352E5C">
              <w:rPr>
                <w:b/>
                <w:bCs/>
                <w:i/>
                <w:iCs/>
                <w:sz w:val="24"/>
                <w:szCs w:val="24"/>
                <w:lang w:val="en-GB"/>
              </w:rPr>
              <w:t>.</w:t>
            </w:r>
            <w:r w:rsidRPr="008D0341" w:rsidR="00352E5C">
              <w:rPr>
                <w:b/>
                <w:bCs/>
                <w:i/>
                <w:iCs/>
                <w:color w:val="000000"/>
                <w:bdr w:val="none" w:color="auto" w:sz="0" w:space="0" w:frame="1"/>
                <w:lang w:val="en-GB"/>
              </w:rPr>
              <w:t xml:space="preserve"> In addition to the obligations laid down in paragraphs 1 and 2, Member States shall ensure clear, accessible and proactive communication on the impact and achievements of </w:t>
            </w:r>
            <w:r w:rsidRPr="008D0341" w:rsidR="001567F3">
              <w:rPr>
                <w:b/>
                <w:bCs/>
                <w:i/>
                <w:iCs/>
                <w:color w:val="000000"/>
                <w:bdr w:val="none" w:color="auto" w:sz="0" w:space="0" w:frame="1"/>
                <w:lang w:val="en-GB"/>
              </w:rPr>
              <w:t>c</w:t>
            </w:r>
            <w:r w:rsidRPr="008D0341" w:rsidR="00352E5C">
              <w:rPr>
                <w:b/>
                <w:bCs/>
                <w:i/>
                <w:iCs/>
                <w:color w:val="000000"/>
                <w:bdr w:val="none" w:color="auto" w:sz="0" w:space="0" w:frame="1"/>
                <w:lang w:val="en-GB"/>
              </w:rPr>
              <w:t xml:space="preserve">ohesion </w:t>
            </w:r>
            <w:r w:rsidRPr="008D0341" w:rsidR="001567F3">
              <w:rPr>
                <w:b/>
                <w:bCs/>
                <w:i/>
                <w:iCs/>
                <w:color w:val="000000"/>
                <w:bdr w:val="none" w:color="auto" w:sz="0" w:space="0" w:frame="1"/>
                <w:lang w:val="en-GB"/>
              </w:rPr>
              <w:t>p</w:t>
            </w:r>
            <w:r w:rsidRPr="008D0341" w:rsidR="00352E5C">
              <w:rPr>
                <w:b/>
                <w:bCs/>
                <w:i/>
                <w:iCs/>
                <w:color w:val="000000"/>
                <w:bdr w:val="none" w:color="auto" w:sz="0" w:space="0" w:frame="1"/>
                <w:lang w:val="en-GB"/>
              </w:rPr>
              <w:t>olicy interventions carried out under the National and Regional Partnership Plan. Such communication shall highlight territorial results, improvements in governance, contributions to economic, social and territorial cohesion, and the added value generated at regional and local level.</w:t>
            </w:r>
          </w:p>
          <w:p w:rsidRPr="008D0341" w:rsidR="008335CE" w:rsidP="00066365" w:rsidRDefault="0060155E" w14:paraId="3DB986AB" w14:textId="567B63C1">
            <w:pPr>
              <w:shd w:val="clear" w:color="auto" w:fill="FFFFFF"/>
              <w:textAlignment w:val="baseline"/>
              <w:rPr>
                <w:b/>
                <w:bCs/>
                <w:i/>
                <w:iCs/>
                <w:color w:val="000000"/>
                <w:bdr w:val="none" w:color="auto" w:sz="0" w:space="0" w:frame="1"/>
                <w:lang w:val="en-GB"/>
              </w:rPr>
            </w:pPr>
            <w:r w:rsidRPr="008D0341">
              <w:rPr>
                <w:b/>
                <w:bCs/>
                <w:i/>
                <w:iCs/>
                <w:sz w:val="24"/>
                <w:szCs w:val="24"/>
                <w:lang w:val="en-GB"/>
              </w:rPr>
              <w:t>5.</w:t>
            </w:r>
            <w:r w:rsidRPr="008D0341" w:rsidR="00352E5C">
              <w:rPr>
                <w:b/>
                <w:bCs/>
                <w:i/>
                <w:iCs/>
                <w:color w:val="000000"/>
                <w:bdr w:val="none" w:color="auto" w:sz="0" w:space="0" w:frame="1"/>
                <w:lang w:val="en-GB"/>
              </w:rPr>
              <w:t xml:space="preserve"> The communication activities referred to in paragraph 3 shall be designed and implemented in close cooperation with regional managing authorities and other authorities designated under Article 49, ensuring that achievements at regional and local level are duly represented. Member States shall make use of digital tools, open data platforms and targeted territorial communication channels to reach citizens, stakeholders and local communities.</w:t>
            </w:r>
          </w:p>
          <w:p w:rsidRPr="008D0341" w:rsidR="008335CE" w:rsidP="00066365" w:rsidRDefault="0060155E" w14:paraId="123E4B6C" w14:textId="5B6192C4">
            <w:pPr>
              <w:shd w:val="clear" w:color="auto" w:fill="FFFFFF"/>
              <w:textAlignment w:val="baseline"/>
              <w:rPr>
                <w:b/>
                <w:bCs/>
                <w:i/>
                <w:iCs/>
                <w:color w:val="000000"/>
                <w:bdr w:val="none" w:color="auto" w:sz="0" w:space="0" w:frame="1"/>
                <w:lang w:val="en-GB"/>
              </w:rPr>
            </w:pPr>
            <w:r w:rsidRPr="008D0341">
              <w:rPr>
                <w:b/>
                <w:bCs/>
                <w:i/>
                <w:iCs/>
                <w:sz w:val="24"/>
                <w:szCs w:val="24"/>
                <w:lang w:val="en-GB"/>
              </w:rPr>
              <w:t>6.</w:t>
            </w:r>
            <w:r w:rsidRPr="008D0341" w:rsidR="00352E5C">
              <w:rPr>
                <w:b/>
                <w:bCs/>
                <w:i/>
                <w:iCs/>
                <w:color w:val="000000"/>
                <w:bdr w:val="none" w:color="auto" w:sz="0" w:space="0" w:frame="1"/>
                <w:lang w:val="en-GB"/>
              </w:rPr>
              <w:t xml:space="preserve"> The obligations set out in paragraphs 3 and 4 shall be complementary to the requirements established in Article 18 of the Performance Framework Regulation, and shall ensure that communication on </w:t>
            </w:r>
            <w:r w:rsidRPr="008D0341" w:rsidR="001567F3">
              <w:rPr>
                <w:b/>
                <w:bCs/>
                <w:i/>
                <w:iCs/>
                <w:color w:val="000000"/>
                <w:bdr w:val="none" w:color="auto" w:sz="0" w:space="0" w:frame="1"/>
                <w:lang w:val="en-GB"/>
              </w:rPr>
              <w:t>c</w:t>
            </w:r>
            <w:r w:rsidRPr="008D0341" w:rsidR="00352E5C">
              <w:rPr>
                <w:b/>
                <w:bCs/>
                <w:i/>
                <w:iCs/>
                <w:color w:val="000000"/>
                <w:bdr w:val="none" w:color="auto" w:sz="0" w:space="0" w:frame="1"/>
                <w:lang w:val="en-GB"/>
              </w:rPr>
              <w:t xml:space="preserve">ohesion </w:t>
            </w:r>
            <w:r w:rsidRPr="008D0341" w:rsidR="001567F3">
              <w:rPr>
                <w:b/>
                <w:bCs/>
                <w:i/>
                <w:iCs/>
                <w:color w:val="000000"/>
                <w:bdr w:val="none" w:color="auto" w:sz="0" w:space="0" w:frame="1"/>
                <w:lang w:val="en-GB"/>
              </w:rPr>
              <w:t>p</w:t>
            </w:r>
            <w:r w:rsidRPr="008D0341" w:rsidR="00352E5C">
              <w:rPr>
                <w:b/>
                <w:bCs/>
                <w:i/>
                <w:iCs/>
                <w:color w:val="000000"/>
                <w:bdr w:val="none" w:color="auto" w:sz="0" w:space="0" w:frame="1"/>
                <w:lang w:val="en-GB"/>
              </w:rPr>
              <w:t>olicy impact and achievements reflect both the performance monitoring requirements and the territorial dimension of the National and Regional Partnership Plans.</w:t>
            </w:r>
          </w:p>
          <w:p w:rsidRPr="008D0341" w:rsidR="0060155E" w:rsidP="00066365" w:rsidRDefault="0060155E" w14:paraId="3EBDCF68" w14:textId="430C5103">
            <w:pPr>
              <w:shd w:val="clear" w:color="auto" w:fill="FFFFFF"/>
              <w:textAlignment w:val="baseline"/>
              <w:rPr>
                <w:color w:val="000000"/>
                <w:bdr w:val="none" w:color="auto" w:sz="0" w:space="0" w:frame="1"/>
                <w:lang w:val="en-GB"/>
              </w:rPr>
            </w:pPr>
            <w:r w:rsidRPr="008D0341">
              <w:rPr>
                <w:b/>
                <w:bCs/>
                <w:i/>
                <w:iCs/>
                <w:color w:val="000000"/>
                <w:bdr w:val="none" w:color="auto" w:sz="0" w:space="0" w:frame="1"/>
                <w:lang w:val="en-GB"/>
              </w:rPr>
              <w:t>7</w:t>
            </w:r>
            <w:r w:rsidRPr="008D0341">
              <w:rPr>
                <w:color w:val="000000"/>
                <w:bdr w:val="none" w:color="auto" w:sz="0" w:space="0" w:frame="1"/>
                <w:lang w:val="en-GB"/>
              </w:rPr>
              <w:t>. The Commission shall publish the data as referred to in paragraph 2 of this Article on the centralised website referred to in Article 12 [Single Gateway] of the Regulation [Performance Regulation].</w:t>
            </w:r>
          </w:p>
          <w:p w:rsidRPr="00066365" w:rsidR="0060155E" w:rsidP="00066365" w:rsidRDefault="0060155E" w14:paraId="15590FA9" w14:textId="3E26E139">
            <w:pPr>
              <w:shd w:val="clear" w:color="auto" w:fill="FFFFFF"/>
              <w:textAlignment w:val="baseline"/>
              <w:rPr>
                <w:color w:val="000000"/>
                <w:lang w:val="en-GB"/>
              </w:rPr>
            </w:pPr>
            <w:r w:rsidRPr="008D0341">
              <w:rPr>
                <w:color w:val="000000"/>
                <w:bdr w:val="none" w:color="auto" w:sz="0" w:space="0" w:frame="1"/>
                <w:lang w:val="en-GB"/>
              </w:rPr>
              <w:t>For the purposes of the first subparagraph, the Commission shall publish the share of the Union contribution in the amounts referred to in Article 63 [Data collection and recording]. The Union contribution shall be established by multiplying the amounts referred to in Article 63 [Data collection and recording] to the co-financing rate applicable to the associated Chapter of the Plan. Amounts in currency other than euro shall be converted to euro by using the monthly accounting exchange rate referred to in Article 19(3) of Regulation (EU, Euratom) 2024/2509.</w:t>
            </w:r>
            <w:r w:rsidR="00066365">
              <w:rPr>
                <w:color w:val="000000"/>
                <w:bdr w:val="none" w:color="auto" w:sz="0" w:space="0" w:frame="1"/>
                <w:lang w:val="en-GB"/>
              </w:rPr>
              <w:t xml:space="preserve"> </w:t>
            </w:r>
            <w:r w:rsidRPr="008D0341" w:rsidR="002D75FD">
              <w:rPr>
                <w:color w:val="000000"/>
                <w:bdr w:val="none" w:color="auto" w:sz="0" w:space="0" w:frame="1"/>
                <w:lang w:val="en-GB"/>
              </w:rPr>
              <w:t>[…]</w:t>
            </w:r>
          </w:p>
        </w:tc>
      </w:tr>
    </w:tbl>
    <w:p w:rsidRPr="008D0341" w:rsidR="00352E5C" w:rsidP="00066365" w:rsidRDefault="00352E5C" w14:paraId="521B8396" w14:textId="77777777">
      <w:pPr>
        <w:rPr>
          <w:rFonts w:eastAsia="Myriad Pro"/>
          <w:lang w:val="en-GB"/>
        </w:rPr>
      </w:pPr>
      <w:r w:rsidRPr="008D0341">
        <w:rPr>
          <w:rFonts w:eastAsia="Myriad Pro"/>
          <w:lang w:val="en-GB"/>
        </w:rPr>
        <w:t xml:space="preserve"> </w:t>
      </w:r>
    </w:p>
    <w:tbl>
      <w:tblPr>
        <w:tblW w:w="9322" w:type="dxa"/>
        <w:tblLook w:val="04A0" w:firstRow="1" w:lastRow="0" w:firstColumn="1" w:lastColumn="0" w:noHBand="0" w:noVBand="1"/>
      </w:tblPr>
      <w:tblGrid>
        <w:gridCol w:w="9322"/>
      </w:tblGrid>
      <w:tr w:rsidRPr="008D0341" w:rsidR="00352E5C" w:rsidTr="008C42DB" w14:paraId="3B52FB0F"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0493F60D" w14:textId="77777777">
            <w:pPr>
              <w:jc w:val="center"/>
              <w:rPr>
                <w:b/>
                <w:bCs/>
                <w:i/>
                <w:iCs/>
                <w:lang w:val="en-GB"/>
              </w:rPr>
            </w:pPr>
            <w:r w:rsidRPr="008D0341">
              <w:rPr>
                <w:b/>
                <w:bCs/>
                <w:i/>
                <w:iCs/>
                <w:lang w:val="en-GB"/>
              </w:rPr>
              <w:t>Reason</w:t>
            </w:r>
          </w:p>
        </w:tc>
      </w:tr>
      <w:tr w:rsidRPr="008D0341" w:rsidR="00352E5C" w:rsidTr="008C42DB" w14:paraId="479B0941"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6A60D8" w14:paraId="797639F9" w14:textId="147CE79B">
            <w:pPr>
              <w:rPr>
                <w:rFonts w:eastAsia="Calibri"/>
                <w:lang w:val="en-GB"/>
              </w:rPr>
            </w:pPr>
            <w:r w:rsidRPr="008D0341">
              <w:rPr>
                <w:rFonts w:eastAsia="Calibri"/>
                <w:lang w:val="en-GB"/>
              </w:rPr>
              <w:t>Proposes</w:t>
            </w:r>
            <w:r w:rsidRPr="008D0341" w:rsidR="00352E5C">
              <w:rPr>
                <w:rFonts w:eastAsia="Calibri"/>
                <w:lang w:val="en-GB"/>
              </w:rPr>
              <w:t xml:space="preserve"> additional requirement</w:t>
            </w:r>
            <w:r w:rsidRPr="008D0341">
              <w:rPr>
                <w:rFonts w:eastAsia="Calibri"/>
                <w:lang w:val="en-GB"/>
              </w:rPr>
              <w:t>s</w:t>
            </w:r>
            <w:r w:rsidRPr="008D0341" w:rsidR="00352E5C">
              <w:rPr>
                <w:rFonts w:eastAsia="Calibri"/>
                <w:lang w:val="en-GB"/>
              </w:rPr>
              <w:t xml:space="preserve"> for communication and information about </w:t>
            </w:r>
            <w:r w:rsidRPr="008D0341">
              <w:rPr>
                <w:rFonts w:eastAsia="Calibri"/>
                <w:lang w:val="en-GB"/>
              </w:rPr>
              <w:t xml:space="preserve">the specific </w:t>
            </w:r>
            <w:r w:rsidRPr="008D0341" w:rsidR="00352E5C">
              <w:rPr>
                <w:rFonts w:eastAsia="Calibri"/>
                <w:lang w:val="en-GB"/>
              </w:rPr>
              <w:t xml:space="preserve">impact and achievements of </w:t>
            </w:r>
            <w:r w:rsidRPr="008D0341" w:rsidR="001567F3">
              <w:rPr>
                <w:rFonts w:eastAsia="Calibri"/>
                <w:lang w:val="en-GB"/>
              </w:rPr>
              <w:t>c</w:t>
            </w:r>
            <w:r w:rsidRPr="008D0341" w:rsidR="00352E5C">
              <w:rPr>
                <w:rFonts w:eastAsia="Calibri"/>
                <w:lang w:val="en-GB"/>
              </w:rPr>
              <w:t xml:space="preserve">ohesion policy, going beyond the requirements of Article 18 of the Performance Framework </w:t>
            </w:r>
            <w:r w:rsidRPr="008D0341" w:rsidR="001567F3">
              <w:rPr>
                <w:rFonts w:eastAsia="Calibri"/>
                <w:lang w:val="en-GB"/>
              </w:rPr>
              <w:t>R</w:t>
            </w:r>
            <w:r w:rsidRPr="008D0341" w:rsidR="00352E5C">
              <w:rPr>
                <w:rFonts w:eastAsia="Calibri"/>
                <w:lang w:val="en-GB"/>
              </w:rPr>
              <w:t>egulation</w:t>
            </w:r>
            <w:r w:rsidRPr="008D0341" w:rsidR="001567F3">
              <w:rPr>
                <w:rFonts w:eastAsia="Calibri"/>
                <w:lang w:val="en-GB"/>
              </w:rPr>
              <w:t>.</w:t>
            </w:r>
          </w:p>
        </w:tc>
      </w:tr>
    </w:tbl>
    <w:p w:rsidRPr="008D0341" w:rsidR="008D5496" w:rsidP="00066365" w:rsidRDefault="008D5496" w14:paraId="2517D8BC" w14:textId="77777777">
      <w:pPr>
        <w:jc w:val="center"/>
        <w:rPr>
          <w:rFonts w:eastAsia="Myriad Pro"/>
          <w:b/>
          <w:bCs/>
          <w:lang w:val="en-GB"/>
        </w:rPr>
      </w:pPr>
    </w:p>
    <w:p w:rsidRPr="008D0341" w:rsidR="00352E5C" w:rsidP="003F40F8" w:rsidRDefault="00352E5C" w14:paraId="7B80D385" w14:textId="65729D77">
      <w:pPr>
        <w:keepNext/>
        <w:keepLines/>
        <w:jc w:val="center"/>
        <w:rPr>
          <w:lang w:val="en-GB"/>
        </w:rPr>
      </w:pPr>
      <w:r w:rsidRPr="008D0341">
        <w:rPr>
          <w:rFonts w:eastAsia="Myriad Pro"/>
          <w:b/>
          <w:bCs/>
          <w:lang w:val="en-GB"/>
        </w:rPr>
        <w:t xml:space="preserve">Amendment </w:t>
      </w:r>
      <w:r w:rsidRPr="008D0341" w:rsidR="00B76394">
        <w:rPr>
          <w:rFonts w:eastAsia="Myriad Pro"/>
          <w:b/>
          <w:bCs/>
          <w:lang w:val="en-GB"/>
        </w:rPr>
        <w:t>3</w:t>
      </w:r>
      <w:r w:rsidRPr="008D0341" w:rsidR="008B5EAB">
        <w:rPr>
          <w:rFonts w:eastAsia="Myriad Pro"/>
          <w:b/>
          <w:bCs/>
          <w:lang w:val="en-GB"/>
        </w:rPr>
        <w:t>4</w:t>
      </w:r>
    </w:p>
    <w:p w:rsidRPr="008D0341" w:rsidR="00352E5C" w:rsidP="003F40F8" w:rsidRDefault="00352E5C" w14:paraId="183F9E96" w14:textId="777E8321">
      <w:pPr>
        <w:keepNext/>
        <w:keepLines/>
        <w:jc w:val="center"/>
        <w:rPr>
          <w:rFonts w:eastAsia="Myriad Pro"/>
          <w:lang w:val="en-GB"/>
        </w:rPr>
      </w:pPr>
      <w:r w:rsidRPr="008D0341">
        <w:rPr>
          <w:rFonts w:eastAsia="Myriad Pro"/>
          <w:lang w:val="en-GB"/>
        </w:rPr>
        <w:t>Article 65</w:t>
      </w:r>
      <w:r w:rsidRPr="008D0341" w:rsidR="002D75FD">
        <w:rPr>
          <w:rFonts w:eastAsia="Myriad Pro"/>
          <w:lang w:val="en-GB"/>
        </w:rPr>
        <w:t xml:space="preserve"> add new paragraph 5 (after paragraph 4)</w:t>
      </w:r>
      <w:r w:rsidRPr="008D0341">
        <w:rPr>
          <w:rFonts w:eastAsia="Myriad Pro"/>
          <w:lang w:val="en-GB"/>
        </w:rPr>
        <w:t xml:space="preserve"> – Payment applications</w:t>
      </w:r>
    </w:p>
    <w:p w:rsidRPr="008D0341" w:rsidR="007A0032" w:rsidP="003F40F8" w:rsidRDefault="007A0032" w14:paraId="7BA9FC21" w14:textId="77777777">
      <w:pPr>
        <w:keepNext/>
        <w:keepLines/>
        <w:jc w:val="center"/>
        <w:rPr>
          <w:rFonts w:eastAsia="Myriad Pro"/>
          <w:lang w:val="en-GB"/>
        </w:rPr>
      </w:pPr>
    </w:p>
    <w:tbl>
      <w:tblPr>
        <w:tblW w:w="9322" w:type="dxa"/>
        <w:tblLook w:val="04A0" w:firstRow="1" w:lastRow="0" w:firstColumn="1" w:lastColumn="0" w:noHBand="0" w:noVBand="1"/>
      </w:tblPr>
      <w:tblGrid>
        <w:gridCol w:w="4502"/>
        <w:gridCol w:w="4820"/>
      </w:tblGrid>
      <w:tr w:rsidRPr="008D0341" w:rsidR="00352E5C" w:rsidTr="008C42DB" w14:paraId="03EBF7BD"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066365" w14:paraId="5BB3B157" w14:textId="775CB58C">
            <w:pPr>
              <w:jc w:val="center"/>
              <w:rPr>
                <w:b/>
                <w:bCs/>
                <w:i/>
                <w:iCs/>
                <w:lang w:val="en-GB"/>
              </w:rPr>
            </w:pPr>
            <w:r w:rsidRPr="008D0341">
              <w:rPr>
                <w:b/>
                <w:bCs/>
                <w:i/>
                <w:iCs/>
                <w:lang w:val="en-GB"/>
              </w:rPr>
              <w:t>Text proposed by the European Commission</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17A73013" w14:textId="77777777">
            <w:pPr>
              <w:jc w:val="center"/>
              <w:rPr>
                <w:b/>
                <w:bCs/>
                <w:i/>
                <w:iCs/>
                <w:lang w:val="en-GB"/>
              </w:rPr>
            </w:pPr>
            <w:r w:rsidRPr="008D0341">
              <w:rPr>
                <w:b/>
                <w:bCs/>
                <w:i/>
                <w:iCs/>
                <w:lang w:val="en-GB"/>
              </w:rPr>
              <w:t>CoR amendment</w:t>
            </w:r>
          </w:p>
        </w:tc>
      </w:tr>
      <w:tr w:rsidRPr="008D0341" w:rsidR="00352E5C" w:rsidTr="008C42DB" w14:paraId="17C26119" w14:textId="77777777">
        <w:trPr>
          <w:trHeight w:val="300"/>
        </w:trPr>
        <w:tc>
          <w:tcPr>
            <w:tcW w:w="450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A716BB" w14:paraId="6E55A29B" w14:textId="6A6063A6">
            <w:pPr>
              <w:shd w:val="clear" w:color="auto" w:fill="FFFFFF"/>
              <w:textAlignment w:val="baseline"/>
              <w:rPr>
                <w:lang w:val="en-GB"/>
              </w:rPr>
            </w:pPr>
            <w:r w:rsidRPr="008D0341">
              <w:rPr>
                <w:lang w:val="en-GB"/>
              </w:rPr>
              <w:t>[…]</w:t>
            </w:r>
          </w:p>
          <w:p w:rsidRPr="008D0341" w:rsidR="00404D71" w:rsidP="00066365" w:rsidRDefault="00352E5C" w14:paraId="168B6B5B" w14:textId="5D9BA84A">
            <w:pPr>
              <w:shd w:val="clear" w:color="auto" w:fill="FFFFFF"/>
              <w:textAlignment w:val="baseline"/>
              <w:rPr>
                <w:lang w:val="en-GB"/>
              </w:rPr>
            </w:pPr>
            <w:r w:rsidRPr="008D0341">
              <w:rPr>
                <w:sz w:val="24"/>
                <w:szCs w:val="24"/>
                <w:lang w:val="en-GB"/>
              </w:rPr>
              <w:t>4.</w:t>
            </w:r>
            <w:r w:rsidRPr="008D0341" w:rsidR="009513D8">
              <w:rPr>
                <w:lang w:val="en-GB"/>
              </w:rPr>
              <w:t xml:space="preserve"> </w:t>
            </w:r>
            <w:r w:rsidRPr="008D0341">
              <w:rPr>
                <w:lang w:val="en-GB"/>
              </w:rPr>
              <w:t xml:space="preserve">Payment applications shall be submitted by the Member States to the Commission in accordance with the template set out in Annex XI up to six times a year by 31 October.   </w:t>
            </w:r>
          </w:p>
          <w:p w:rsidRPr="008D0341" w:rsidR="00352E5C" w:rsidP="00066365" w:rsidRDefault="00404D71" w14:paraId="1ACA7501" w14:textId="472D3F40">
            <w:pPr>
              <w:shd w:val="clear" w:color="auto" w:fill="FFFFFF"/>
              <w:textAlignment w:val="baseline"/>
              <w:rPr>
                <w:lang w:val="en-GB"/>
              </w:rPr>
            </w:pPr>
            <w:r w:rsidRPr="008D0341">
              <w:rPr>
                <w:lang w:val="en-GB"/>
              </w:rPr>
              <w:t>5. Payment applications shall not be admissible if the latest assurance package due has not been submitted yet in accordance with Article 59 [annual assurance package] and until such time that it is submitted.</w:t>
            </w:r>
          </w:p>
          <w:p w:rsidRPr="008D0341" w:rsidR="00352E5C" w:rsidP="00066365" w:rsidRDefault="002D75FD" w14:paraId="74002606" w14:textId="657CA0FA">
            <w:pPr>
              <w:shd w:val="clear" w:color="auto" w:fill="FFFFFF"/>
              <w:textAlignment w:val="baseline"/>
              <w:rPr>
                <w:lang w:val="en-GB"/>
              </w:rPr>
            </w:pPr>
            <w:r w:rsidRPr="008D0341">
              <w:rPr>
                <w:color w:val="000000"/>
                <w:bdr w:val="none" w:color="auto" w:sz="0" w:space="0" w:frame="1"/>
                <w:lang w:val="en-GB"/>
              </w:rPr>
              <w:t>[…]</w:t>
            </w:r>
          </w:p>
        </w:tc>
        <w:tc>
          <w:tcPr>
            <w:tcW w:w="4820"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B25A5E" w:rsidP="00066365" w:rsidRDefault="00B25A5E" w14:paraId="26FD52DA" w14:textId="501FF944">
            <w:pPr>
              <w:shd w:val="clear" w:color="auto" w:fill="FFFFFF"/>
              <w:textAlignment w:val="baseline"/>
              <w:rPr>
                <w:sz w:val="24"/>
                <w:szCs w:val="24"/>
                <w:lang w:val="en-GB"/>
              </w:rPr>
            </w:pPr>
            <w:r w:rsidRPr="008D0341">
              <w:rPr>
                <w:sz w:val="24"/>
                <w:szCs w:val="24"/>
                <w:lang w:val="en-GB"/>
              </w:rPr>
              <w:t>[…]</w:t>
            </w:r>
          </w:p>
          <w:p w:rsidRPr="00066365" w:rsidR="008335CE" w:rsidP="00066365" w:rsidRDefault="00CB4A7F" w14:paraId="50C483AB" w14:textId="12629264">
            <w:pPr>
              <w:shd w:val="clear" w:color="auto" w:fill="FFFFFF"/>
              <w:textAlignment w:val="baseline"/>
              <w:rPr>
                <w:lang w:val="en-GB"/>
              </w:rPr>
            </w:pPr>
            <w:r w:rsidRPr="008D0341">
              <w:rPr>
                <w:lang w:val="en-GB"/>
              </w:rPr>
              <w:t>4.</w:t>
            </w:r>
            <w:r w:rsidRPr="008D0341">
              <w:rPr>
                <w:sz w:val="20"/>
                <w:szCs w:val="20"/>
                <w:lang w:val="en-GB"/>
              </w:rPr>
              <w:t xml:space="preserve"> </w:t>
            </w:r>
            <w:r w:rsidRPr="008D0341">
              <w:rPr>
                <w:lang w:val="en-GB"/>
              </w:rPr>
              <w:t>Payment applications shall be submitted by the Member States to the Commission in accordance with the template set out in Annex XI up to six times a year by 31 October.</w:t>
            </w:r>
          </w:p>
          <w:p w:rsidRPr="008D0341" w:rsidR="00352E5C" w:rsidP="00066365" w:rsidRDefault="00CB4A7F" w14:paraId="27C6E533" w14:textId="7DB08A4C">
            <w:pPr>
              <w:shd w:val="clear" w:color="auto" w:fill="FFFFFF"/>
              <w:textAlignment w:val="baseline"/>
              <w:rPr>
                <w:b/>
                <w:bCs/>
                <w:i/>
                <w:iCs/>
                <w:lang w:val="en-GB"/>
              </w:rPr>
            </w:pPr>
            <w:r w:rsidRPr="008D0341">
              <w:rPr>
                <w:lang w:val="en-GB"/>
              </w:rPr>
              <w:t>5</w:t>
            </w:r>
            <w:r w:rsidRPr="008D0341" w:rsidR="00352E5C">
              <w:rPr>
                <w:b/>
                <w:bCs/>
                <w:i/>
                <w:iCs/>
                <w:lang w:val="en-GB"/>
              </w:rPr>
              <w:t xml:space="preserve">. For measures implemented through </w:t>
            </w:r>
            <w:r w:rsidRPr="008D0341" w:rsidR="001567F3">
              <w:rPr>
                <w:b/>
                <w:bCs/>
                <w:i/>
                <w:iCs/>
                <w:lang w:val="en-GB"/>
              </w:rPr>
              <w:t>r</w:t>
            </w:r>
            <w:r w:rsidRPr="008D0341" w:rsidR="0021207B">
              <w:rPr>
                <w:b/>
                <w:bCs/>
                <w:i/>
                <w:iCs/>
                <w:lang w:val="en-GB"/>
              </w:rPr>
              <w:t xml:space="preserve">egional or </w:t>
            </w:r>
            <w:r w:rsidRPr="008D0341" w:rsidR="001567F3">
              <w:rPr>
                <w:b/>
                <w:bCs/>
                <w:i/>
                <w:iCs/>
                <w:lang w:val="en-GB"/>
              </w:rPr>
              <w:t>t</w:t>
            </w:r>
            <w:r w:rsidRPr="008D0341" w:rsidR="00352E5C">
              <w:rPr>
                <w:b/>
                <w:bCs/>
                <w:i/>
                <w:iCs/>
                <w:lang w:val="en-GB"/>
              </w:rPr>
              <w:t xml:space="preserve">erritorial </w:t>
            </w:r>
            <w:r w:rsidRPr="008D0341" w:rsidR="001567F3">
              <w:rPr>
                <w:b/>
                <w:bCs/>
                <w:i/>
                <w:iCs/>
                <w:lang w:val="en-GB"/>
              </w:rPr>
              <w:t>c</w:t>
            </w:r>
            <w:r w:rsidRPr="008D0341" w:rsidR="00352E5C">
              <w:rPr>
                <w:b/>
                <w:bCs/>
                <w:i/>
                <w:iCs/>
                <w:lang w:val="en-GB"/>
              </w:rPr>
              <w:t>hapters, payment applications submitted by the Member State shall demonstrate progress towards the milestones and targets established at regional level in accordance with Article 22. Such progress shall include both quantitative indicators and the qualitative implementation steps relevant to regional governance, institutional capacity, multi-level coordination and long-term territorial development.</w:t>
            </w:r>
          </w:p>
          <w:p w:rsidRPr="008D0341" w:rsidR="00404D71" w:rsidP="00066365" w:rsidRDefault="00352E5C" w14:paraId="15230F2B" w14:textId="777BF0AD">
            <w:pPr>
              <w:shd w:val="clear" w:color="auto" w:fill="FFFFFF"/>
              <w:textAlignment w:val="baseline"/>
              <w:rPr>
                <w:b/>
                <w:bCs/>
                <w:i/>
                <w:iCs/>
                <w:lang w:val="en-GB"/>
              </w:rPr>
            </w:pPr>
            <w:r w:rsidRPr="008D0341">
              <w:rPr>
                <w:b/>
                <w:bCs/>
                <w:i/>
                <w:iCs/>
                <w:lang w:val="en-GB"/>
              </w:rPr>
              <w:t>Regional managing authorities designated under Article 49 shall provide the national coordinating authority with the necessary evidence and documentation to substantiate the achievement of regional milestones and qualitative progress. The Member State shall ensure that these contributions are accurately reflected in the payment application submitted to the Commission.</w:t>
            </w:r>
          </w:p>
          <w:p w:rsidRPr="00066365" w:rsidR="00352E5C" w:rsidP="00066365" w:rsidRDefault="00404D71" w14:paraId="6A7B503F" w14:textId="3702BCEE">
            <w:pPr>
              <w:shd w:val="clear" w:color="auto" w:fill="FFFFFF"/>
              <w:textAlignment w:val="baseline"/>
              <w:rPr>
                <w:i/>
                <w:iCs/>
                <w:lang w:val="en-GB"/>
              </w:rPr>
            </w:pPr>
            <w:r w:rsidRPr="008D0341">
              <w:rPr>
                <w:b/>
                <w:bCs/>
                <w:i/>
                <w:iCs/>
                <w:lang w:val="en-GB"/>
              </w:rPr>
              <w:t>6.</w:t>
            </w:r>
            <w:r w:rsidRPr="008D0341">
              <w:rPr>
                <w:lang w:val="en-GB"/>
              </w:rPr>
              <w:t xml:space="preserve"> Payment applications shall not be admissible if the latest assurance package due has not been submitted yet in accordance with Article 59 [annual assurance package] and until such time that it is submitted.</w:t>
            </w:r>
          </w:p>
        </w:tc>
      </w:tr>
    </w:tbl>
    <w:p w:rsidRPr="008D0341" w:rsidR="00352E5C" w:rsidP="00066365" w:rsidRDefault="00352E5C" w14:paraId="1713B841" w14:textId="66581898">
      <w:pPr>
        <w:rPr>
          <w:rFonts w:eastAsia="Myriad Pro"/>
          <w:lang w:val="en-GB"/>
        </w:rPr>
      </w:pPr>
    </w:p>
    <w:tbl>
      <w:tblPr>
        <w:tblW w:w="9322" w:type="dxa"/>
        <w:tblLook w:val="04A0" w:firstRow="1" w:lastRow="0" w:firstColumn="1" w:lastColumn="0" w:noHBand="0" w:noVBand="1"/>
      </w:tblPr>
      <w:tblGrid>
        <w:gridCol w:w="9322"/>
      </w:tblGrid>
      <w:tr w:rsidRPr="008D0341" w:rsidR="00352E5C" w:rsidTr="008C42DB" w14:paraId="3B7EF278"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352E5C" w14:paraId="6A90439E" w14:textId="77777777">
            <w:pPr>
              <w:jc w:val="center"/>
              <w:rPr>
                <w:b/>
                <w:bCs/>
                <w:i/>
                <w:iCs/>
                <w:lang w:val="en-GB"/>
              </w:rPr>
            </w:pPr>
            <w:r w:rsidRPr="008D0341">
              <w:rPr>
                <w:b/>
                <w:bCs/>
                <w:i/>
                <w:iCs/>
                <w:lang w:val="en-GB"/>
              </w:rPr>
              <w:t>Reason</w:t>
            </w:r>
          </w:p>
        </w:tc>
      </w:tr>
      <w:tr w:rsidRPr="008D0341" w:rsidR="00352E5C" w:rsidTr="008C42DB" w14:paraId="054AC240" w14:textId="77777777">
        <w:trPr>
          <w:trHeight w:val="300"/>
        </w:trPr>
        <w:tc>
          <w:tcPr>
            <w:tcW w:w="9322"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352E5C" w:rsidP="00066365" w:rsidRDefault="00051BF3" w14:paraId="1028B8EB" w14:textId="2146ACE3">
            <w:pPr>
              <w:rPr>
                <w:rFonts w:eastAsia="Calibri"/>
                <w:lang w:val="en-GB"/>
              </w:rPr>
            </w:pPr>
            <w:r w:rsidRPr="008D0341">
              <w:rPr>
                <w:rFonts w:eastAsia="Calibri"/>
                <w:lang w:val="en-GB"/>
              </w:rPr>
              <w:t>Integrates</w:t>
            </w:r>
            <w:r w:rsidRPr="008D0341" w:rsidR="00352E5C">
              <w:rPr>
                <w:rFonts w:eastAsia="Calibri"/>
                <w:lang w:val="en-GB"/>
              </w:rPr>
              <w:t xml:space="preserve"> previous amendments regarding milestones and targets set at regional level</w:t>
            </w:r>
            <w:r w:rsidRPr="008D0341">
              <w:rPr>
                <w:rFonts w:eastAsia="Calibri"/>
                <w:lang w:val="en-GB"/>
              </w:rPr>
              <w:t>.</w:t>
            </w:r>
          </w:p>
        </w:tc>
      </w:tr>
    </w:tbl>
    <w:p w:rsidR="00352E5C" w:rsidP="00066365" w:rsidRDefault="00352E5C" w14:paraId="200AD18A" w14:textId="77777777">
      <w:pPr>
        <w:rPr>
          <w:lang w:val="en-GB"/>
        </w:rPr>
      </w:pPr>
    </w:p>
    <w:p w:rsidRPr="008D0341" w:rsidR="00F71483" w:rsidP="00066365" w:rsidRDefault="00F71483" w14:paraId="4A1FB28D" w14:textId="77777777">
      <w:pPr>
        <w:rPr>
          <w:lang w:val="en-GB"/>
        </w:rPr>
      </w:pPr>
    </w:p>
    <w:p w:rsidRPr="008D0341" w:rsidR="00175297" w:rsidP="003F40F8" w:rsidRDefault="00175297" w14:paraId="0921AA04" w14:textId="6B715812">
      <w:pPr>
        <w:keepNext/>
        <w:keepLines/>
        <w:jc w:val="center"/>
        <w:rPr>
          <w:sz w:val="21"/>
          <w:szCs w:val="21"/>
          <w:lang w:val="en-GB"/>
        </w:rPr>
      </w:pPr>
      <w:r w:rsidRPr="008D0341">
        <w:rPr>
          <w:rFonts w:eastAsia="Myriad Pro" w:cs="Myriad Pro"/>
          <w:b/>
          <w:bCs/>
          <w:sz w:val="21"/>
          <w:szCs w:val="21"/>
          <w:lang w:val="en-GB"/>
        </w:rPr>
        <w:t xml:space="preserve">Amendment </w:t>
      </w:r>
      <w:r w:rsidRPr="008D0341" w:rsidR="00B76394">
        <w:rPr>
          <w:rFonts w:eastAsia="Myriad Pro" w:cs="Myriad Pro"/>
          <w:b/>
          <w:bCs/>
          <w:sz w:val="21"/>
          <w:szCs w:val="21"/>
          <w:lang w:val="en-GB"/>
        </w:rPr>
        <w:t>3</w:t>
      </w:r>
      <w:r w:rsidRPr="008D0341" w:rsidR="008B5EAB">
        <w:rPr>
          <w:rFonts w:eastAsia="Myriad Pro" w:cs="Myriad Pro"/>
          <w:b/>
          <w:bCs/>
          <w:sz w:val="21"/>
          <w:szCs w:val="21"/>
          <w:lang w:val="en-GB"/>
        </w:rPr>
        <w:t>5</w:t>
      </w:r>
    </w:p>
    <w:p w:rsidRPr="008D0341" w:rsidR="00175297" w:rsidP="003F40F8" w:rsidRDefault="005F73B9" w14:paraId="6B841260" w14:textId="2E0473A9">
      <w:pPr>
        <w:keepNext/>
        <w:keepLines/>
        <w:jc w:val="center"/>
        <w:rPr>
          <w:sz w:val="21"/>
          <w:szCs w:val="21"/>
          <w:lang w:val="en-GB"/>
        </w:rPr>
      </w:pPr>
      <w:r w:rsidRPr="008D0341">
        <w:rPr>
          <w:lang w:val="en-GB"/>
        </w:rPr>
        <w:t>New article after Art.76</w:t>
      </w:r>
      <w:r w:rsidR="003F40F8">
        <w:rPr>
          <w:lang w:val="en-GB"/>
        </w:rPr>
        <w:t xml:space="preserve"> </w:t>
      </w:r>
      <w:r w:rsidRPr="008D0341" w:rsidR="00175297">
        <w:rPr>
          <w:rFonts w:eastAsia="Myriad Pro" w:cs="Myriad Pro"/>
          <w:szCs w:val="23"/>
          <w:lang w:val="en-GB"/>
        </w:rPr>
        <w:t xml:space="preserve">– </w:t>
      </w:r>
      <w:r w:rsidRPr="008D0341" w:rsidR="00175297">
        <w:rPr>
          <w:rFonts w:eastAsia="Calibri"/>
          <w:b/>
          <w:bCs/>
          <w:i/>
          <w:lang w:val="en-GB"/>
        </w:rPr>
        <w:t>Support for place-based innovation and smart specialisation</w:t>
      </w:r>
    </w:p>
    <w:p w:rsidR="00175297" w:rsidP="003F40F8" w:rsidRDefault="00175297" w14:paraId="44C1CC2F" w14:textId="287C7BC9">
      <w:pPr>
        <w:keepNext/>
        <w:keepLines/>
        <w:jc w:val="center"/>
        <w:rPr>
          <w:sz w:val="21"/>
          <w:szCs w:val="21"/>
          <w:lang w:val="en-GB"/>
        </w:rPr>
      </w:pPr>
    </w:p>
    <w:tbl>
      <w:tblPr>
        <w:tblW w:w="0" w:type="auto"/>
        <w:tblLook w:val="04A0" w:firstRow="1" w:lastRow="0" w:firstColumn="1" w:lastColumn="0" w:noHBand="0" w:noVBand="1"/>
      </w:tblPr>
      <w:tblGrid>
        <w:gridCol w:w="4644"/>
        <w:gridCol w:w="4645"/>
      </w:tblGrid>
      <w:tr w:rsidRPr="008D0341" w:rsidR="008C42DB" w:rsidTr="008C42DB" w14:paraId="0DDC2CAB"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8C42DB" w:rsidP="009542EF" w:rsidRDefault="008C42DB" w14:paraId="5CFA86D4" w14:textId="4235892A">
            <w:pPr>
              <w:jc w:val="center"/>
              <w:rPr>
                <w:sz w:val="21"/>
                <w:szCs w:val="21"/>
                <w:lang w:val="en-GB"/>
              </w:rPr>
            </w:pPr>
            <w:r w:rsidRPr="008D0341">
              <w:rPr>
                <w:b/>
                <w:bCs/>
                <w:i/>
                <w:iCs/>
                <w:sz w:val="21"/>
                <w:szCs w:val="21"/>
                <w:lang w:val="en-GB"/>
              </w:rPr>
              <w:t xml:space="preserve">Text proposed by the </w:t>
            </w:r>
            <w:r>
              <w:rPr>
                <w:b/>
                <w:bCs/>
                <w:i/>
                <w:iCs/>
                <w:sz w:val="21"/>
                <w:szCs w:val="21"/>
                <w:lang w:val="en-GB"/>
              </w:rPr>
              <w:t xml:space="preserve">European </w:t>
            </w:r>
            <w:r w:rsidRPr="008D0341">
              <w:rPr>
                <w:b/>
                <w:bCs/>
                <w:i/>
                <w:iCs/>
                <w:sz w:val="21"/>
                <w:szCs w:val="21"/>
                <w:lang w:val="en-GB"/>
              </w:rPr>
              <w:t>Commission</w:t>
            </w:r>
          </w:p>
        </w:tc>
        <w:tc>
          <w:tcPr>
            <w:tcW w:w="4645"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8C42DB" w:rsidP="009542EF" w:rsidRDefault="008C42DB" w14:paraId="12136A28" w14:textId="77777777">
            <w:pPr>
              <w:jc w:val="center"/>
              <w:rPr>
                <w:sz w:val="21"/>
                <w:szCs w:val="21"/>
                <w:lang w:val="en-GB"/>
              </w:rPr>
            </w:pPr>
            <w:r w:rsidRPr="008D0341">
              <w:rPr>
                <w:b/>
                <w:bCs/>
                <w:i/>
                <w:iCs/>
                <w:sz w:val="21"/>
                <w:szCs w:val="21"/>
                <w:lang w:val="en-GB"/>
              </w:rPr>
              <w:t>CoR amendment</w:t>
            </w:r>
          </w:p>
        </w:tc>
      </w:tr>
      <w:tr w:rsidRPr="008D0341" w:rsidR="008C42DB" w:rsidTr="008C42DB" w14:paraId="73AF112A" w14:textId="77777777">
        <w:trPr>
          <w:trHeight w:val="300"/>
        </w:trPr>
        <w:tc>
          <w:tcPr>
            <w:tcW w:w="4644"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8C42DB" w:rsidP="009542EF" w:rsidRDefault="008C42DB" w14:paraId="3E69FCAB" w14:textId="77777777">
            <w:pPr>
              <w:jc w:val="center"/>
              <w:rPr>
                <w:b/>
                <w:bCs/>
                <w:i/>
                <w:iCs/>
                <w:sz w:val="21"/>
                <w:szCs w:val="21"/>
                <w:lang w:val="en-GB"/>
              </w:rPr>
            </w:pPr>
          </w:p>
        </w:tc>
        <w:tc>
          <w:tcPr>
            <w:tcW w:w="4645" w:type="dxa"/>
            <w:tcBorders>
              <w:top w:val="single" w:color="auto" w:sz="8" w:space="0"/>
              <w:left w:val="single" w:color="auto" w:sz="8" w:space="0"/>
              <w:bottom w:val="single" w:color="auto" w:sz="8" w:space="0"/>
              <w:right w:val="single" w:color="auto" w:sz="8" w:space="0"/>
            </w:tcBorders>
            <w:tcMar>
              <w:left w:w="108" w:type="dxa"/>
              <w:right w:w="108" w:type="dxa"/>
            </w:tcMar>
          </w:tcPr>
          <w:p w:rsidR="008C42DB" w:rsidP="008C42DB" w:rsidRDefault="008C42DB" w14:paraId="0DE6D49F" w14:textId="764C99A8">
            <w:pPr>
              <w:rPr>
                <w:b/>
                <w:bCs/>
                <w:i/>
                <w:iCs/>
                <w:lang w:val="en-GB"/>
              </w:rPr>
            </w:pPr>
            <w:r w:rsidRPr="008D0341">
              <w:rPr>
                <w:b/>
                <w:bCs/>
                <w:i/>
                <w:iCs/>
                <w:sz w:val="21"/>
                <w:szCs w:val="21"/>
                <w:lang w:val="en-GB"/>
              </w:rPr>
              <w:t xml:space="preserve">1. </w:t>
            </w:r>
            <w:r w:rsidRPr="008D0341">
              <w:rPr>
                <w:b/>
                <w:bCs/>
                <w:i/>
                <w:iCs/>
                <w:lang w:val="en-GB"/>
              </w:rPr>
              <w:t>As part of the EU՚s ambition to promote competitiveness and close the innovation divide in Europe՚s regions, Member States shall support place-based innovation via renewed smart specialisation strategies</w:t>
            </w:r>
            <w:r w:rsidRPr="0063224B">
              <w:rPr>
                <w:b/>
                <w:bCs/>
                <w:i/>
                <w:lang w:val="en-GB"/>
              </w:rPr>
              <w:t>, developed at the most appropriate level,</w:t>
            </w:r>
            <w:r w:rsidRPr="008D0341">
              <w:rPr>
                <w:b/>
                <w:bCs/>
                <w:i/>
                <w:iCs/>
                <w:lang w:val="en-GB"/>
              </w:rPr>
              <w:t xml:space="preserve"> which are transformational in ambition.</w:t>
            </w:r>
          </w:p>
          <w:p w:rsidR="008C42DB" w:rsidP="008C42DB" w:rsidRDefault="008C42DB" w14:paraId="302ED36A" w14:textId="73AFAA41">
            <w:pPr>
              <w:rPr>
                <w:b/>
                <w:bCs/>
                <w:i/>
                <w:lang w:val="en-GB"/>
              </w:rPr>
            </w:pPr>
            <w:r w:rsidRPr="008D0341">
              <w:rPr>
                <w:b/>
                <w:bCs/>
                <w:i/>
                <w:iCs/>
                <w:lang w:val="en-GB"/>
              </w:rPr>
              <w:t>2. The support should include investment in innovation infrastructure, promotion of effective collaboration of the quadruple helix and the development of holistic strategies to improve regional innovation performance towards societal goals.</w:t>
            </w:r>
            <w:r w:rsidRPr="0063224B">
              <w:rPr>
                <w:b/>
                <w:bCs/>
                <w:i/>
                <w:lang w:val="en-GB"/>
              </w:rPr>
              <w:t xml:space="preserve"> The European Commission should support the creation of European value chains based on </w:t>
            </w:r>
            <w:r>
              <w:rPr>
                <w:b/>
                <w:bCs/>
                <w:i/>
                <w:lang w:val="en-GB"/>
              </w:rPr>
              <w:t>the</w:t>
            </w:r>
            <w:r w:rsidRPr="0063224B">
              <w:rPr>
                <w:b/>
                <w:bCs/>
                <w:i/>
                <w:lang w:val="en-GB"/>
              </w:rPr>
              <w:t xml:space="preserve"> Smart specialisation strategies and the optimisation of regional innovation ecosystems</w:t>
            </w:r>
            <w:r>
              <w:rPr>
                <w:b/>
                <w:bCs/>
                <w:i/>
                <w:lang w:val="en-GB"/>
              </w:rPr>
              <w:t>.</w:t>
            </w:r>
          </w:p>
          <w:p w:rsidRPr="008D0341" w:rsidR="008C42DB" w:rsidP="008C42DB" w:rsidRDefault="008C42DB" w14:paraId="030F0E95" w14:textId="68A44DBA">
            <w:pPr>
              <w:rPr>
                <w:b/>
                <w:bCs/>
                <w:i/>
                <w:iCs/>
                <w:sz w:val="21"/>
                <w:szCs w:val="21"/>
                <w:lang w:val="en-GB"/>
              </w:rPr>
            </w:pPr>
            <w:r w:rsidRPr="008D0341">
              <w:rPr>
                <w:b/>
                <w:bCs/>
                <w:i/>
                <w:iCs/>
                <w:lang w:val="en-GB"/>
              </w:rPr>
              <w:t>3. Special attention should be given to promoting innovation-driven territorial transformation, linking EU priorities with the European Competitiveness Fund’s dedicated instrument.</w:t>
            </w:r>
          </w:p>
        </w:tc>
      </w:tr>
    </w:tbl>
    <w:p w:rsidRPr="008D0341" w:rsidR="008C42DB" w:rsidP="00066365" w:rsidRDefault="008C42DB" w14:paraId="637AE8A6" w14:textId="77777777">
      <w:pPr>
        <w:jc w:val="center"/>
        <w:rPr>
          <w:sz w:val="21"/>
          <w:szCs w:val="21"/>
          <w:lang w:val="en-GB"/>
        </w:rPr>
      </w:pPr>
    </w:p>
    <w:tbl>
      <w:tblPr>
        <w:tblW w:w="0" w:type="auto"/>
        <w:tblLook w:val="04A0" w:firstRow="1" w:lastRow="0" w:firstColumn="1" w:lastColumn="0" w:noHBand="0" w:noVBand="1"/>
      </w:tblPr>
      <w:tblGrid>
        <w:gridCol w:w="9285"/>
      </w:tblGrid>
      <w:tr w:rsidRPr="008D0341" w:rsidR="00175297" w:rsidTr="004244C1" w14:paraId="48CD758A" w14:textId="77777777">
        <w:trPr>
          <w:trHeight w:val="300"/>
        </w:trPr>
        <w:tc>
          <w:tcPr>
            <w:tcW w:w="9285"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75297" w:rsidP="00066365" w:rsidRDefault="00175297" w14:paraId="1F422D38" w14:textId="77777777">
            <w:pPr>
              <w:jc w:val="center"/>
              <w:rPr>
                <w:sz w:val="21"/>
                <w:szCs w:val="21"/>
                <w:lang w:val="en-GB"/>
              </w:rPr>
            </w:pPr>
            <w:r w:rsidRPr="008D0341">
              <w:rPr>
                <w:b/>
                <w:bCs/>
                <w:i/>
                <w:iCs/>
                <w:sz w:val="21"/>
                <w:szCs w:val="21"/>
                <w:lang w:val="en-GB"/>
              </w:rPr>
              <w:t>Reason</w:t>
            </w:r>
          </w:p>
        </w:tc>
      </w:tr>
      <w:tr w:rsidRPr="008D0341" w:rsidR="00175297" w:rsidTr="004244C1" w14:paraId="156F3ADF" w14:textId="77777777">
        <w:trPr>
          <w:trHeight w:val="300"/>
        </w:trPr>
        <w:tc>
          <w:tcPr>
            <w:tcW w:w="9285" w:type="dxa"/>
            <w:tcBorders>
              <w:top w:val="single" w:color="auto" w:sz="8" w:space="0"/>
              <w:left w:val="single" w:color="auto" w:sz="8" w:space="0"/>
              <w:bottom w:val="single" w:color="auto" w:sz="8" w:space="0"/>
              <w:right w:val="single" w:color="auto" w:sz="8" w:space="0"/>
            </w:tcBorders>
            <w:tcMar>
              <w:left w:w="108" w:type="dxa"/>
              <w:right w:w="108" w:type="dxa"/>
            </w:tcMar>
          </w:tcPr>
          <w:p w:rsidRPr="008D0341" w:rsidR="00175297" w:rsidP="00066365" w:rsidRDefault="00051BF3" w14:paraId="0D2311D1" w14:textId="4089FC39">
            <w:pPr>
              <w:rPr>
                <w:sz w:val="21"/>
                <w:szCs w:val="21"/>
                <w:lang w:val="en-GB"/>
              </w:rPr>
            </w:pPr>
            <w:r w:rsidRPr="008D0341">
              <w:rPr>
                <w:lang w:val="en-GB"/>
              </w:rPr>
              <w:t>I</w:t>
            </w:r>
            <w:r w:rsidRPr="008D0341" w:rsidR="00175297">
              <w:rPr>
                <w:lang w:val="en-GB"/>
              </w:rPr>
              <w:t>ntroduces the possibility of support for place-based innovation, building on S3 strategies and making a link with the ECF</w:t>
            </w:r>
            <w:r w:rsidRPr="008D0341" w:rsidR="00387354">
              <w:rPr>
                <w:lang w:val="en-GB"/>
              </w:rPr>
              <w:t>.</w:t>
            </w:r>
          </w:p>
        </w:tc>
      </w:tr>
    </w:tbl>
    <w:p w:rsidRPr="008D0341" w:rsidR="00175297" w:rsidP="00066365" w:rsidRDefault="00175297" w14:paraId="67323C79" w14:textId="77777777">
      <w:pPr>
        <w:rPr>
          <w:lang w:val="en-GB"/>
        </w:rPr>
      </w:pPr>
    </w:p>
    <w:p w:rsidRPr="008D0341" w:rsidR="00FD5B4C" w:rsidP="003F40F8" w:rsidRDefault="00FD5B4C" w14:paraId="148B70B9" w14:textId="1EB3EFA7">
      <w:pPr>
        <w:keepNext/>
        <w:keepLines/>
        <w:tabs>
          <w:tab w:val="left" w:pos="1276"/>
        </w:tabs>
        <w:jc w:val="center"/>
        <w:rPr>
          <w:lang w:val="en-GB"/>
        </w:rPr>
      </w:pPr>
      <w:r w:rsidRPr="008D0341">
        <w:rPr>
          <w:b/>
          <w:bCs/>
          <w:lang w:val="en-GB"/>
        </w:rPr>
        <w:t xml:space="preserve">Amendment </w:t>
      </w:r>
      <w:r w:rsidRPr="008D0341" w:rsidR="00844362">
        <w:rPr>
          <w:b/>
          <w:bCs/>
          <w:lang w:val="en-GB"/>
        </w:rPr>
        <w:t>3</w:t>
      </w:r>
      <w:r w:rsidRPr="008D0341" w:rsidR="008B5EAB">
        <w:rPr>
          <w:b/>
          <w:bCs/>
          <w:lang w:val="en-GB"/>
        </w:rPr>
        <w:t>6</w:t>
      </w:r>
    </w:p>
    <w:p w:rsidRPr="008D0341" w:rsidR="00FD5B4C" w:rsidP="003F40F8" w:rsidRDefault="00FD5B4C" w14:paraId="447025F9" w14:textId="70154B36">
      <w:pPr>
        <w:keepNext/>
        <w:keepLines/>
        <w:tabs>
          <w:tab w:val="left" w:pos="1276"/>
        </w:tabs>
        <w:jc w:val="center"/>
        <w:rPr>
          <w:lang w:val="en-GB"/>
        </w:rPr>
      </w:pPr>
      <w:r w:rsidRPr="008D0341">
        <w:rPr>
          <w:lang w:val="en-GB"/>
        </w:rPr>
        <w:t xml:space="preserve">New article </w:t>
      </w:r>
      <w:r w:rsidRPr="008D0341" w:rsidR="005F73B9">
        <w:rPr>
          <w:lang w:val="en-GB"/>
        </w:rPr>
        <w:t>after Art.76</w:t>
      </w:r>
      <w:r w:rsidR="003F40F8">
        <w:rPr>
          <w:lang w:val="en-GB"/>
        </w:rPr>
        <w:t xml:space="preserve"> </w:t>
      </w:r>
      <w:r w:rsidRPr="008D0341">
        <w:rPr>
          <w:lang w:val="en-GB"/>
        </w:rPr>
        <w:t>–</w:t>
      </w:r>
      <w:r w:rsidR="003F40F8">
        <w:rPr>
          <w:lang w:val="en-GB"/>
        </w:rPr>
        <w:t xml:space="preserve"> </w:t>
      </w:r>
      <w:r w:rsidRPr="008D0341">
        <w:rPr>
          <w:b/>
          <w:bCs/>
          <w:i/>
          <w:iCs/>
          <w:lang w:val="en-GB"/>
        </w:rPr>
        <w:t>Territorial just transition strategies</w:t>
      </w:r>
    </w:p>
    <w:p w:rsidRPr="008D0341" w:rsidR="00FD5B4C" w:rsidP="003F40F8" w:rsidRDefault="00FD5B4C" w14:paraId="1D6DA736" w14:textId="10863BA6">
      <w:pPr>
        <w:keepNext/>
        <w:keepLines/>
        <w:tabs>
          <w:tab w:val="left" w:pos="1276"/>
        </w:tabs>
        <w:jc w:val="left"/>
        <w:rPr>
          <w:lang w:val="en-GB"/>
        </w:rPr>
      </w:pPr>
    </w:p>
    <w:tbl>
      <w:tblPr>
        <w:tblW w:w="92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0"/>
        <w:gridCol w:w="4752"/>
      </w:tblGrid>
      <w:tr w:rsidRPr="008D0341" w:rsidR="00FD5B4C" w:rsidTr="008C42DB" w14:paraId="26AE7454" w14:textId="77777777">
        <w:trPr>
          <w:trHeight w:val="285"/>
        </w:trPr>
        <w:tc>
          <w:tcPr>
            <w:tcW w:w="4470" w:type="dxa"/>
            <w:tcBorders>
              <w:top w:val="single" w:color="auto" w:sz="6" w:space="0"/>
              <w:left w:val="single" w:color="auto" w:sz="6" w:space="0"/>
              <w:bottom w:val="single" w:color="auto" w:sz="6" w:space="0"/>
              <w:right w:val="single" w:color="auto" w:sz="6" w:space="0"/>
            </w:tcBorders>
            <w:hideMark/>
          </w:tcPr>
          <w:p w:rsidRPr="008D0341" w:rsidR="00FD5B4C" w:rsidP="00066365" w:rsidRDefault="00066365" w14:paraId="12B48FB9" w14:textId="5D278BC5">
            <w:pPr>
              <w:tabs>
                <w:tab w:val="left" w:pos="1276"/>
              </w:tabs>
              <w:jc w:val="center"/>
              <w:rPr>
                <w:lang w:val="en-GB"/>
              </w:rPr>
            </w:pPr>
            <w:r w:rsidRPr="008D0341">
              <w:rPr>
                <w:b/>
                <w:bCs/>
                <w:i/>
                <w:iCs/>
                <w:lang w:val="en-GB"/>
              </w:rPr>
              <w:t>Text proposed by the European Commission</w:t>
            </w:r>
          </w:p>
        </w:tc>
        <w:tc>
          <w:tcPr>
            <w:tcW w:w="4752" w:type="dxa"/>
            <w:tcBorders>
              <w:top w:val="single" w:color="auto" w:sz="6" w:space="0"/>
              <w:left w:val="single" w:color="auto" w:sz="6" w:space="0"/>
              <w:bottom w:val="single" w:color="auto" w:sz="6" w:space="0"/>
              <w:right w:val="single" w:color="auto" w:sz="6" w:space="0"/>
            </w:tcBorders>
            <w:hideMark/>
          </w:tcPr>
          <w:p w:rsidRPr="008D0341" w:rsidR="00FD5B4C" w:rsidP="00066365" w:rsidRDefault="00FD5B4C" w14:paraId="33FA5C2A" w14:textId="51C96A9F">
            <w:pPr>
              <w:tabs>
                <w:tab w:val="left" w:pos="1276"/>
              </w:tabs>
              <w:jc w:val="center"/>
              <w:rPr>
                <w:lang w:val="en-GB"/>
              </w:rPr>
            </w:pPr>
            <w:r w:rsidRPr="008D0341">
              <w:rPr>
                <w:b/>
                <w:bCs/>
                <w:i/>
                <w:iCs/>
                <w:lang w:val="en-GB"/>
              </w:rPr>
              <w:t>CoR amendment</w:t>
            </w:r>
          </w:p>
        </w:tc>
      </w:tr>
      <w:tr w:rsidRPr="008D0341" w:rsidR="00FD5B4C" w:rsidTr="008C42DB" w14:paraId="5B0568FC" w14:textId="77777777">
        <w:trPr>
          <w:trHeight w:val="285"/>
        </w:trPr>
        <w:tc>
          <w:tcPr>
            <w:tcW w:w="4470" w:type="dxa"/>
            <w:tcBorders>
              <w:top w:val="single" w:color="auto" w:sz="6" w:space="0"/>
              <w:left w:val="single" w:color="auto" w:sz="6" w:space="0"/>
              <w:bottom w:val="single" w:color="auto" w:sz="6" w:space="0"/>
              <w:right w:val="single" w:color="auto" w:sz="6" w:space="0"/>
            </w:tcBorders>
            <w:hideMark/>
          </w:tcPr>
          <w:p w:rsidRPr="008D0341" w:rsidR="00FD5B4C" w:rsidP="00066365" w:rsidRDefault="00FD5B4C" w14:paraId="0DB16F6B" w14:textId="34BE768F">
            <w:pPr>
              <w:tabs>
                <w:tab w:val="left" w:pos="1276"/>
              </w:tabs>
              <w:jc w:val="left"/>
              <w:rPr>
                <w:lang w:val="en-GB"/>
              </w:rPr>
            </w:pPr>
          </w:p>
        </w:tc>
        <w:tc>
          <w:tcPr>
            <w:tcW w:w="4752" w:type="dxa"/>
            <w:tcBorders>
              <w:top w:val="single" w:color="auto" w:sz="6" w:space="0"/>
              <w:left w:val="single" w:color="auto" w:sz="6" w:space="0"/>
              <w:bottom w:val="single" w:color="auto" w:sz="6" w:space="0"/>
              <w:right w:val="single" w:color="auto" w:sz="6" w:space="0"/>
            </w:tcBorders>
            <w:hideMark/>
          </w:tcPr>
          <w:p w:rsidRPr="008D0341" w:rsidR="00FD5B4C" w:rsidP="00066365" w:rsidRDefault="00FD5B4C" w14:paraId="4A144B3A" w14:textId="086A7112">
            <w:pPr>
              <w:tabs>
                <w:tab w:val="left" w:pos="1276"/>
              </w:tabs>
              <w:rPr>
                <w:b/>
                <w:bCs/>
                <w:i/>
                <w:iCs/>
                <w:lang w:val="en-GB"/>
              </w:rPr>
            </w:pPr>
            <w:r w:rsidRPr="008D0341">
              <w:rPr>
                <w:b/>
                <w:bCs/>
                <w:i/>
                <w:iCs/>
                <w:lang w:val="en-GB"/>
              </w:rPr>
              <w:t>1. Member States shall prepare, together with the relevant local and regional authorities of the territories concerned, one or more territorial just transition strateg</w:t>
            </w:r>
            <w:r w:rsidRPr="008D0341" w:rsidR="00387354">
              <w:rPr>
                <w:b/>
                <w:bCs/>
                <w:i/>
                <w:iCs/>
                <w:lang w:val="en-GB"/>
              </w:rPr>
              <w:t>y</w:t>
            </w:r>
            <w:r w:rsidRPr="008D0341">
              <w:rPr>
                <w:b/>
                <w:bCs/>
                <w:i/>
                <w:iCs/>
                <w:lang w:val="en-GB"/>
              </w:rPr>
              <w:t xml:space="preserve"> within their NRP territorial chapter(s), covering one or more affected territor</w:t>
            </w:r>
            <w:r w:rsidRPr="008D0341" w:rsidR="00387354">
              <w:rPr>
                <w:b/>
                <w:bCs/>
                <w:i/>
                <w:iCs/>
                <w:lang w:val="en-GB"/>
              </w:rPr>
              <w:t>y</w:t>
            </w:r>
            <w:r w:rsidRPr="008D0341">
              <w:rPr>
                <w:b/>
                <w:bCs/>
                <w:i/>
                <w:iCs/>
                <w:lang w:val="en-GB"/>
              </w:rPr>
              <w:t xml:space="preserve"> corresponding to NUTS </w:t>
            </w:r>
            <w:r w:rsidRPr="008D0341" w:rsidR="00387354">
              <w:rPr>
                <w:b/>
                <w:bCs/>
                <w:i/>
                <w:iCs/>
                <w:lang w:val="en-GB"/>
              </w:rPr>
              <w:t xml:space="preserve">3 </w:t>
            </w:r>
            <w:r w:rsidRPr="008D0341">
              <w:rPr>
                <w:b/>
                <w:bCs/>
                <w:i/>
                <w:iCs/>
                <w:lang w:val="en-GB"/>
              </w:rPr>
              <w:t xml:space="preserve">level regions or parts thereof, in accordance with the template set out in Annex XXX </w:t>
            </w:r>
            <w:r w:rsidRPr="008D0341" w:rsidR="00387354">
              <w:rPr>
                <w:b/>
                <w:bCs/>
                <w:i/>
                <w:iCs/>
                <w:lang w:val="en-GB"/>
              </w:rPr>
              <w:t>to</w:t>
            </w:r>
            <w:r w:rsidRPr="008D0341">
              <w:rPr>
                <w:b/>
                <w:bCs/>
                <w:i/>
                <w:iCs/>
                <w:lang w:val="en-GB"/>
              </w:rPr>
              <w:t xml:space="preserve"> this Regulation.</w:t>
            </w:r>
          </w:p>
          <w:p w:rsidRPr="008D0341" w:rsidR="00FD5B4C" w:rsidP="00066365" w:rsidRDefault="00FD5B4C" w14:paraId="3E204914" w14:textId="3029040E">
            <w:pPr>
              <w:tabs>
                <w:tab w:val="left" w:pos="1276"/>
              </w:tabs>
              <w:rPr>
                <w:lang w:val="en-GB"/>
              </w:rPr>
            </w:pPr>
            <w:r w:rsidRPr="008D0341">
              <w:rPr>
                <w:b/>
                <w:bCs/>
                <w:i/>
                <w:iCs/>
                <w:lang w:val="en-GB"/>
              </w:rPr>
              <w:t>2. Those territories shall be those most negatively affected, based on the economic and social impacts resulting from the transition, in particular with regard to the expected adaptation of workers or job losses in fossil fuel production and use and the transformation needs of the production processes of industrial facilities with the highest greenhouse gas intensity.</w:t>
            </w:r>
          </w:p>
          <w:p w:rsidRPr="008D0341" w:rsidR="00FD5B4C" w:rsidP="00066365" w:rsidRDefault="00FD5B4C" w14:paraId="77A0485F" w14:textId="311ED860">
            <w:pPr>
              <w:tabs>
                <w:tab w:val="left" w:pos="1276"/>
              </w:tabs>
              <w:rPr>
                <w:lang w:val="en-GB"/>
              </w:rPr>
            </w:pPr>
            <w:r w:rsidRPr="008D0341">
              <w:rPr>
                <w:b/>
                <w:bCs/>
                <w:i/>
                <w:iCs/>
                <w:lang w:val="en-GB"/>
              </w:rPr>
              <w:t xml:space="preserve">3. A territorial just transition strategy shall contain elements present in Annex XXX </w:t>
            </w:r>
            <w:r w:rsidRPr="008D0341" w:rsidR="00387354">
              <w:rPr>
                <w:b/>
                <w:bCs/>
                <w:i/>
                <w:iCs/>
                <w:lang w:val="en-GB"/>
              </w:rPr>
              <w:t>to</w:t>
            </w:r>
            <w:r w:rsidRPr="008D0341">
              <w:rPr>
                <w:b/>
                <w:bCs/>
                <w:i/>
                <w:iCs/>
                <w:lang w:val="en-GB"/>
              </w:rPr>
              <w:t xml:space="preserve"> this Regulation.</w:t>
            </w:r>
          </w:p>
        </w:tc>
      </w:tr>
    </w:tbl>
    <w:p w:rsidRPr="008D0341" w:rsidR="00FD5B4C" w:rsidP="00066365" w:rsidRDefault="00FD5B4C" w14:paraId="79996AC7" w14:textId="286A5436">
      <w:pPr>
        <w:tabs>
          <w:tab w:val="left" w:pos="1276"/>
        </w:tabs>
        <w:jc w:val="left"/>
        <w:rPr>
          <w:lang w:val="en-GB"/>
        </w:rPr>
      </w:pPr>
    </w:p>
    <w:tbl>
      <w:tblPr>
        <w:tblW w:w="92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22"/>
      </w:tblGrid>
      <w:tr w:rsidRPr="008D0341" w:rsidR="00FD5B4C" w:rsidTr="008C42DB" w14:paraId="26CA06E2" w14:textId="77777777">
        <w:trPr>
          <w:trHeight w:val="285"/>
        </w:trPr>
        <w:tc>
          <w:tcPr>
            <w:tcW w:w="9222" w:type="dxa"/>
            <w:tcBorders>
              <w:top w:val="single" w:color="auto" w:sz="6" w:space="0"/>
              <w:left w:val="single" w:color="auto" w:sz="6" w:space="0"/>
              <w:bottom w:val="single" w:color="auto" w:sz="6" w:space="0"/>
              <w:right w:val="single" w:color="auto" w:sz="6" w:space="0"/>
            </w:tcBorders>
            <w:hideMark/>
          </w:tcPr>
          <w:p w:rsidRPr="008D0341" w:rsidR="00FD5B4C" w:rsidP="00066365" w:rsidRDefault="00FD5B4C" w14:paraId="0DA24F54" w14:textId="77777777">
            <w:pPr>
              <w:pStyle w:val="ListParagraph"/>
              <w:tabs>
                <w:tab w:val="left" w:pos="1276"/>
              </w:tabs>
              <w:jc w:val="center"/>
              <w:rPr>
                <w:lang w:val="en-GB"/>
              </w:rPr>
            </w:pPr>
            <w:r w:rsidRPr="008D0341">
              <w:rPr>
                <w:b/>
                <w:bCs/>
                <w:i/>
                <w:iCs/>
                <w:lang w:val="en-GB"/>
              </w:rPr>
              <w:t>Reason</w:t>
            </w:r>
          </w:p>
        </w:tc>
      </w:tr>
      <w:tr w:rsidRPr="008D0341" w:rsidR="00FD5B4C" w:rsidTr="008C42DB" w14:paraId="7E044FDE" w14:textId="77777777">
        <w:trPr>
          <w:trHeight w:val="285"/>
        </w:trPr>
        <w:tc>
          <w:tcPr>
            <w:tcW w:w="9222" w:type="dxa"/>
            <w:tcBorders>
              <w:top w:val="single" w:color="auto" w:sz="6" w:space="0"/>
              <w:left w:val="single" w:color="auto" w:sz="6" w:space="0"/>
              <w:bottom w:val="single" w:color="auto" w:sz="6" w:space="0"/>
              <w:right w:val="single" w:color="auto" w:sz="6" w:space="0"/>
            </w:tcBorders>
            <w:hideMark/>
          </w:tcPr>
          <w:p w:rsidRPr="008D0341" w:rsidR="00FD5B4C" w:rsidP="00066365" w:rsidRDefault="00051BF3" w14:paraId="2F76DCE0" w14:textId="6F8030EF">
            <w:pPr>
              <w:tabs>
                <w:tab w:val="left" w:pos="1276"/>
              </w:tabs>
              <w:jc w:val="left"/>
              <w:rPr>
                <w:lang w:val="en-GB"/>
              </w:rPr>
            </w:pPr>
            <w:r w:rsidRPr="008D0341">
              <w:rPr>
                <w:lang w:val="en-GB"/>
              </w:rPr>
              <w:t>R</w:t>
            </w:r>
            <w:r w:rsidRPr="008D0341" w:rsidR="00FD5B4C">
              <w:rPr>
                <w:lang w:val="en-GB"/>
              </w:rPr>
              <w:t xml:space="preserve">eintroduces </w:t>
            </w:r>
            <w:r w:rsidRPr="008D0341" w:rsidR="00387354">
              <w:rPr>
                <w:lang w:val="en-GB"/>
              </w:rPr>
              <w:t>‘t</w:t>
            </w:r>
            <w:r w:rsidRPr="008D0341" w:rsidR="00FD5B4C">
              <w:rPr>
                <w:lang w:val="en-GB"/>
              </w:rPr>
              <w:t xml:space="preserve">erritorial </w:t>
            </w:r>
            <w:r w:rsidRPr="008D0341" w:rsidR="00387354">
              <w:rPr>
                <w:lang w:val="en-GB"/>
              </w:rPr>
              <w:t>j</w:t>
            </w:r>
            <w:r w:rsidRPr="008D0341" w:rsidR="00FD5B4C">
              <w:rPr>
                <w:lang w:val="en-GB"/>
              </w:rPr>
              <w:t xml:space="preserve">ust </w:t>
            </w:r>
            <w:r w:rsidRPr="008D0341" w:rsidR="00387354">
              <w:rPr>
                <w:lang w:val="en-GB"/>
              </w:rPr>
              <w:t>t</w:t>
            </w:r>
            <w:r w:rsidRPr="008D0341" w:rsidR="00FD5B4C">
              <w:rPr>
                <w:lang w:val="en-GB"/>
              </w:rPr>
              <w:t xml:space="preserve">ransition </w:t>
            </w:r>
            <w:r w:rsidRPr="008D0341" w:rsidR="00387354">
              <w:rPr>
                <w:lang w:val="en-GB"/>
              </w:rPr>
              <w:t>p</w:t>
            </w:r>
            <w:r w:rsidRPr="008D0341" w:rsidR="00FD5B4C">
              <w:rPr>
                <w:lang w:val="en-GB"/>
              </w:rPr>
              <w:t>lans</w:t>
            </w:r>
            <w:r w:rsidRPr="008D0341" w:rsidR="00387354">
              <w:rPr>
                <w:lang w:val="en-GB"/>
              </w:rPr>
              <w:t>’</w:t>
            </w:r>
            <w:r w:rsidRPr="008D0341" w:rsidR="00FD5B4C">
              <w:rPr>
                <w:lang w:val="en-GB"/>
              </w:rPr>
              <w:t xml:space="preserve"> as </w:t>
            </w:r>
            <w:r w:rsidRPr="008D0341" w:rsidR="00387354">
              <w:rPr>
                <w:lang w:val="en-GB"/>
              </w:rPr>
              <w:t>‘t</w:t>
            </w:r>
            <w:r w:rsidRPr="008D0341" w:rsidR="00FD5B4C">
              <w:rPr>
                <w:lang w:val="en-GB"/>
              </w:rPr>
              <w:t xml:space="preserve">erritorial </w:t>
            </w:r>
            <w:r w:rsidRPr="008D0341" w:rsidR="00387354">
              <w:rPr>
                <w:lang w:val="en-GB"/>
              </w:rPr>
              <w:t>j</w:t>
            </w:r>
            <w:r w:rsidRPr="008D0341" w:rsidR="00FD5B4C">
              <w:rPr>
                <w:lang w:val="en-GB"/>
              </w:rPr>
              <w:t xml:space="preserve">ust </w:t>
            </w:r>
            <w:r w:rsidRPr="008D0341" w:rsidR="00387354">
              <w:rPr>
                <w:lang w:val="en-GB"/>
              </w:rPr>
              <w:t>t</w:t>
            </w:r>
            <w:r w:rsidRPr="008D0341" w:rsidR="00FD5B4C">
              <w:rPr>
                <w:lang w:val="en-GB"/>
              </w:rPr>
              <w:t xml:space="preserve">ransition </w:t>
            </w:r>
            <w:r w:rsidRPr="008D0341" w:rsidR="00387354">
              <w:rPr>
                <w:lang w:val="en-GB"/>
              </w:rPr>
              <w:t>s</w:t>
            </w:r>
            <w:r w:rsidRPr="008D0341" w:rsidR="00FD5B4C">
              <w:rPr>
                <w:lang w:val="en-GB"/>
              </w:rPr>
              <w:t>trategies</w:t>
            </w:r>
            <w:r w:rsidRPr="008D0341" w:rsidR="00387354">
              <w:rPr>
                <w:lang w:val="en-GB"/>
              </w:rPr>
              <w:t>’</w:t>
            </w:r>
            <w:r w:rsidRPr="008D0341" w:rsidR="00FD5B4C">
              <w:rPr>
                <w:lang w:val="en-GB"/>
              </w:rPr>
              <w:t>, as a territorial tool dedicated to supporting territories most affected by the green, digital and demographic transitions.</w:t>
            </w:r>
          </w:p>
        </w:tc>
      </w:tr>
    </w:tbl>
    <w:p w:rsidR="00E5304E" w:rsidP="00066365" w:rsidRDefault="00E5304E" w14:paraId="59AF29F4" w14:textId="77777777">
      <w:pPr>
        <w:jc w:val="left"/>
        <w:rPr>
          <w:b/>
          <w:lang w:val="en-GB"/>
        </w:rPr>
      </w:pPr>
    </w:p>
    <w:p w:rsidRPr="008D0341" w:rsidR="00F71483" w:rsidP="00066365" w:rsidRDefault="00F71483" w14:paraId="65EAEBC9" w14:textId="77777777">
      <w:pPr>
        <w:jc w:val="left"/>
        <w:rPr>
          <w:b/>
          <w:lang w:val="en-GB"/>
        </w:rPr>
      </w:pPr>
    </w:p>
    <w:p w:rsidRPr="008D0341" w:rsidR="00E5304E" w:rsidP="003F40F8" w:rsidRDefault="00E5304E" w14:paraId="2003EC88" w14:textId="54985C10">
      <w:pPr>
        <w:keepNext/>
        <w:keepLines/>
        <w:overflowPunct w:val="0"/>
        <w:autoSpaceDE w:val="0"/>
        <w:autoSpaceDN w:val="0"/>
        <w:adjustRightInd w:val="0"/>
        <w:jc w:val="center"/>
        <w:textAlignment w:val="baseline"/>
        <w:rPr>
          <w:b/>
          <w:bCs/>
          <w:szCs w:val="20"/>
          <w:lang w:val="en-GB"/>
        </w:rPr>
      </w:pPr>
      <w:r w:rsidRPr="008D0341">
        <w:rPr>
          <w:b/>
          <w:bCs/>
          <w:szCs w:val="20"/>
          <w:lang w:val="en-GB"/>
        </w:rPr>
        <w:t xml:space="preserve">Amendment </w:t>
      </w:r>
      <w:r w:rsidRPr="008D0341" w:rsidR="00844362">
        <w:rPr>
          <w:b/>
          <w:bCs/>
          <w:szCs w:val="20"/>
          <w:lang w:val="en-GB"/>
        </w:rPr>
        <w:t>3</w:t>
      </w:r>
      <w:r w:rsidRPr="008D0341" w:rsidR="008B5EAB">
        <w:rPr>
          <w:b/>
          <w:bCs/>
          <w:szCs w:val="20"/>
          <w:lang w:val="en-GB"/>
        </w:rPr>
        <w:t>7</w:t>
      </w:r>
    </w:p>
    <w:p w:rsidRPr="008D0341" w:rsidR="00E5304E" w:rsidP="003F40F8" w:rsidRDefault="00470882" w14:paraId="5195CE8F" w14:textId="7410A8F4">
      <w:pPr>
        <w:keepNext/>
        <w:keepLines/>
        <w:overflowPunct w:val="0"/>
        <w:autoSpaceDE w:val="0"/>
        <w:autoSpaceDN w:val="0"/>
        <w:adjustRightInd w:val="0"/>
        <w:jc w:val="center"/>
        <w:textAlignment w:val="baseline"/>
        <w:rPr>
          <w:szCs w:val="20"/>
          <w:lang w:val="en-GB"/>
        </w:rPr>
      </w:pPr>
      <w:r w:rsidRPr="0063224B">
        <w:rPr>
          <w:lang w:val="en-GB"/>
        </w:rPr>
        <w:t>Annex VII</w:t>
      </w:r>
    </w:p>
    <w:p w:rsidRPr="008D0341" w:rsidR="00E5304E" w:rsidP="003F40F8" w:rsidRDefault="00E5304E" w14:paraId="7B2223C7" w14:textId="77777777">
      <w:pPr>
        <w:keepNext/>
        <w:keepLines/>
        <w:overflowPunct w:val="0"/>
        <w:autoSpaceDE w:val="0"/>
        <w:autoSpaceDN w:val="0"/>
        <w:adjustRightInd w:val="0"/>
        <w:textAlignment w:val="baseline"/>
        <w:rPr>
          <w:szCs w:val="20"/>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2"/>
        <w:gridCol w:w="4645"/>
      </w:tblGrid>
      <w:tr w:rsidRPr="008D0341" w:rsidR="00E5304E" w:rsidTr="0016115B" w14:paraId="727A7081" w14:textId="77777777">
        <w:tc>
          <w:tcPr>
            <w:tcW w:w="4642" w:type="dxa"/>
          </w:tcPr>
          <w:p w:rsidRPr="008D0341" w:rsidR="00E5304E" w:rsidP="00066365" w:rsidRDefault="00E5304E" w14:paraId="67C395B5" w14:textId="77777777">
            <w:pPr>
              <w:overflowPunct w:val="0"/>
              <w:autoSpaceDE w:val="0"/>
              <w:autoSpaceDN w:val="0"/>
              <w:adjustRightInd w:val="0"/>
              <w:jc w:val="center"/>
              <w:textAlignment w:val="baseline"/>
              <w:rPr>
                <w:b/>
                <w:bCs/>
                <w:i/>
                <w:iCs/>
                <w:szCs w:val="20"/>
                <w:lang w:val="en-GB"/>
              </w:rPr>
            </w:pPr>
            <w:r w:rsidRPr="008D0341">
              <w:rPr>
                <w:b/>
                <w:bCs/>
                <w:i/>
                <w:iCs/>
                <w:szCs w:val="20"/>
                <w:lang w:val="en-GB"/>
              </w:rPr>
              <w:t>Text proposed by the European Commission</w:t>
            </w:r>
          </w:p>
        </w:tc>
        <w:tc>
          <w:tcPr>
            <w:tcW w:w="4645" w:type="dxa"/>
          </w:tcPr>
          <w:p w:rsidRPr="008D0341" w:rsidR="00E5304E" w:rsidP="00066365" w:rsidRDefault="00E5304E" w14:paraId="555329E1" w14:textId="77777777">
            <w:pPr>
              <w:overflowPunct w:val="0"/>
              <w:autoSpaceDE w:val="0"/>
              <w:autoSpaceDN w:val="0"/>
              <w:adjustRightInd w:val="0"/>
              <w:jc w:val="center"/>
              <w:textAlignment w:val="baseline"/>
              <w:rPr>
                <w:b/>
                <w:i/>
                <w:szCs w:val="20"/>
                <w:lang w:val="en-GB"/>
              </w:rPr>
            </w:pPr>
            <w:r w:rsidRPr="008D0341">
              <w:rPr>
                <w:b/>
                <w:bCs/>
                <w:i/>
                <w:iCs/>
                <w:color w:val="000000"/>
                <w:szCs w:val="20"/>
                <w:lang w:val="en-GB"/>
              </w:rPr>
              <w:t>CoR amendment</w:t>
            </w:r>
          </w:p>
        </w:tc>
      </w:tr>
      <w:tr w:rsidRPr="008D0341" w:rsidR="00E5304E" w:rsidTr="0016115B" w14:paraId="600EABF0" w14:textId="77777777">
        <w:tc>
          <w:tcPr>
            <w:tcW w:w="4642" w:type="dxa"/>
          </w:tcPr>
          <w:p w:rsidRPr="008D0341" w:rsidR="00E5304E" w:rsidP="00066365" w:rsidRDefault="006D5CF2" w14:paraId="5E3B07E9" w14:textId="4BF911F0">
            <w:pPr>
              <w:overflowPunct w:val="0"/>
              <w:autoSpaceDE w:val="0"/>
              <w:autoSpaceDN w:val="0"/>
              <w:adjustRightInd w:val="0"/>
              <w:textAlignment w:val="baseline"/>
              <w:rPr>
                <w:szCs w:val="20"/>
                <w:lang w:val="en-GB"/>
              </w:rPr>
            </w:pPr>
            <w:r w:rsidRPr="008D0341">
              <w:rPr>
                <w:lang w:val="en-GB"/>
              </w:rPr>
              <w:t xml:space="preserve">For the purpose of Article 22(2), point (h), Member States shall allocate resources to the below categories of regions, taking into account: […] e) the specific needs and challenges of Eastern border regions (NUTS 2 regions that have borders with Russia </w:t>
            </w:r>
            <w:r w:rsidRPr="008D0341">
              <w:rPr>
                <w:b/>
                <w:bCs/>
                <w:i/>
                <w:lang w:val="en-GB"/>
              </w:rPr>
              <w:t>and</w:t>
            </w:r>
            <w:r w:rsidRPr="008D0341">
              <w:rPr>
                <w:lang w:val="en-GB"/>
              </w:rPr>
              <w:t xml:space="preserve"> Belarus), particularly in the areas of security, border management and economic development; […]</w:t>
            </w:r>
          </w:p>
        </w:tc>
        <w:tc>
          <w:tcPr>
            <w:tcW w:w="4645" w:type="dxa"/>
          </w:tcPr>
          <w:p w:rsidRPr="008D0341" w:rsidR="00E5304E" w:rsidP="00066365" w:rsidRDefault="002F4C6B" w14:paraId="19AB6A03" w14:textId="10C90E6B">
            <w:pPr>
              <w:overflowPunct w:val="0"/>
              <w:autoSpaceDE w:val="0"/>
              <w:autoSpaceDN w:val="0"/>
              <w:adjustRightInd w:val="0"/>
              <w:textAlignment w:val="baseline"/>
              <w:rPr>
                <w:szCs w:val="20"/>
                <w:lang w:val="en-GB"/>
              </w:rPr>
            </w:pPr>
            <w:r w:rsidRPr="008D0341">
              <w:rPr>
                <w:lang w:val="en-GB"/>
              </w:rPr>
              <w:t>For the purpose of Article 22(2), point (h), Member States shall allocate resources to the below categories of regions, taking into account: […] e) the specific needs and challenges of Eastern border regions (NUTS 2 regions that have borders with Russia</w:t>
            </w:r>
            <w:r w:rsidRPr="008D0341">
              <w:rPr>
                <w:b/>
                <w:bCs/>
                <w:i/>
                <w:lang w:val="en-GB"/>
              </w:rPr>
              <w:t>,</w:t>
            </w:r>
            <w:r w:rsidRPr="008D0341">
              <w:rPr>
                <w:lang w:val="en-GB"/>
              </w:rPr>
              <w:t xml:space="preserve"> Belarus </w:t>
            </w:r>
            <w:r w:rsidRPr="008D0341">
              <w:rPr>
                <w:b/>
                <w:bCs/>
                <w:i/>
                <w:lang w:val="en-GB"/>
              </w:rPr>
              <w:t>and Ukraine</w:t>
            </w:r>
            <w:r w:rsidRPr="008D0341">
              <w:rPr>
                <w:lang w:val="en-GB"/>
              </w:rPr>
              <w:t>), particularly in the areas of security, border management and economic development; […]</w:t>
            </w:r>
          </w:p>
        </w:tc>
      </w:tr>
    </w:tbl>
    <w:p w:rsidRPr="008D0341" w:rsidR="00E5304E" w:rsidP="00066365" w:rsidRDefault="00E5304E" w14:paraId="2DE6EE88" w14:textId="77777777">
      <w:pPr>
        <w:overflowPunct w:val="0"/>
        <w:autoSpaceDE w:val="0"/>
        <w:autoSpaceDN w:val="0"/>
        <w:adjustRightInd w:val="0"/>
        <w:textAlignment w:val="baseline"/>
        <w:rPr>
          <w:szCs w:val="20"/>
          <w:lang w:val="en-GB"/>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7"/>
      </w:tblGrid>
      <w:tr w:rsidRPr="008D0341" w:rsidR="00E5304E" w:rsidTr="0016115B" w14:paraId="7A14E78E" w14:textId="77777777">
        <w:tc>
          <w:tcPr>
            <w:tcW w:w="9287" w:type="dxa"/>
          </w:tcPr>
          <w:p w:rsidRPr="008D0341" w:rsidR="00E5304E" w:rsidP="00066365" w:rsidRDefault="00E5304E" w14:paraId="0F5990CE" w14:textId="77777777">
            <w:pPr>
              <w:overflowPunct w:val="0"/>
              <w:autoSpaceDE w:val="0"/>
              <w:autoSpaceDN w:val="0"/>
              <w:adjustRightInd w:val="0"/>
              <w:jc w:val="center"/>
              <w:textAlignment w:val="baseline"/>
              <w:rPr>
                <w:b/>
                <w:i/>
                <w:szCs w:val="20"/>
                <w:lang w:val="en-GB"/>
              </w:rPr>
            </w:pPr>
            <w:r w:rsidRPr="008D0341">
              <w:rPr>
                <w:b/>
                <w:bCs/>
                <w:i/>
                <w:szCs w:val="20"/>
                <w:lang w:val="en-GB"/>
              </w:rPr>
              <w:t>Reason</w:t>
            </w:r>
          </w:p>
        </w:tc>
      </w:tr>
      <w:tr w:rsidRPr="008D0341" w:rsidR="00E5304E" w:rsidTr="0016115B" w14:paraId="2C404209" w14:textId="77777777">
        <w:tc>
          <w:tcPr>
            <w:tcW w:w="9287" w:type="dxa"/>
          </w:tcPr>
          <w:p w:rsidRPr="008D0341" w:rsidR="00E5304E" w:rsidP="00066365" w:rsidRDefault="00E5304E" w14:paraId="0F041FAF" w14:textId="77777777">
            <w:pPr>
              <w:overflowPunct w:val="0"/>
              <w:autoSpaceDE w:val="0"/>
              <w:autoSpaceDN w:val="0"/>
              <w:adjustRightInd w:val="0"/>
              <w:textAlignment w:val="baseline"/>
              <w:rPr>
                <w:szCs w:val="20"/>
                <w:lang w:val="en-GB"/>
              </w:rPr>
            </w:pPr>
          </w:p>
        </w:tc>
      </w:tr>
    </w:tbl>
    <w:p w:rsidRPr="008D0341" w:rsidR="00E76ECD" w:rsidP="00066365" w:rsidRDefault="00E76ECD" w14:paraId="3C80528E" w14:textId="2360F54C">
      <w:pPr>
        <w:jc w:val="left"/>
        <w:rPr>
          <w:b/>
          <w:lang w:val="en-GB"/>
        </w:rPr>
      </w:pPr>
      <w:r w:rsidRPr="008D0341">
        <w:rPr>
          <w:b/>
          <w:lang w:val="en-GB"/>
        </w:rPr>
        <w:br w:type="page"/>
      </w:r>
    </w:p>
    <w:p w:rsidRPr="008D0341" w:rsidR="007C7F2A" w:rsidP="00066365" w:rsidRDefault="007C7F2A" w14:paraId="0965FF92" w14:textId="6CA26434">
      <w:pPr>
        <w:numPr>
          <w:ilvl w:val="0"/>
          <w:numId w:val="2"/>
        </w:numPr>
        <w:ind w:left="567" w:hanging="567"/>
        <w:rPr>
          <w:lang w:val="en-GB"/>
        </w:rPr>
      </w:pPr>
      <w:r w:rsidRPr="008D0341">
        <w:rPr>
          <w:b/>
          <w:lang w:val="en-GB"/>
        </w:rPr>
        <w:t>POLICY RECOMMENDATIONS</w:t>
      </w:r>
    </w:p>
    <w:p w:rsidRPr="008D0341" w:rsidR="007C7F2A" w:rsidP="00066365" w:rsidRDefault="007C7F2A" w14:paraId="68D39175" w14:textId="77777777">
      <w:pPr>
        <w:rPr>
          <w:lang w:val="en-GB"/>
        </w:rPr>
      </w:pPr>
    </w:p>
    <w:p w:rsidRPr="008D0341" w:rsidR="00444A98" w:rsidP="00066365" w:rsidRDefault="00444A98" w14:paraId="798C7675" w14:textId="58481950">
      <w:pPr>
        <w:rPr>
          <w:lang w:val="en-GB"/>
        </w:rPr>
      </w:pPr>
      <w:r w:rsidRPr="008D0341">
        <w:rPr>
          <w:lang w:val="en-GB"/>
        </w:rPr>
        <w:t>THE EUROPEAN COMMITTEE OF THE REGIONS (CoR)</w:t>
      </w:r>
    </w:p>
    <w:p w:rsidRPr="008D0341" w:rsidR="00444A98" w:rsidP="00066365" w:rsidRDefault="00444A98" w14:paraId="1CA96788" w14:textId="5A910D1C">
      <w:pPr>
        <w:rPr>
          <w:lang w:val="en-GB"/>
        </w:rPr>
      </w:pPr>
    </w:p>
    <w:p w:rsidRPr="008D0341" w:rsidR="00B64BF1" w:rsidP="00066365" w:rsidRDefault="004A6D32" w14:paraId="02E2BC7E" w14:textId="6B53A447">
      <w:pPr>
        <w:pStyle w:val="Heading1"/>
        <w:rPr>
          <w:lang w:val="en-GB"/>
        </w:rPr>
      </w:pPr>
      <w:r w:rsidRPr="008D0341">
        <w:rPr>
          <w:lang w:val="en-GB"/>
        </w:rPr>
        <w:t>points to</w:t>
      </w:r>
      <w:r w:rsidRPr="008D0341" w:rsidR="00B64BF1">
        <w:rPr>
          <w:lang w:val="en-GB"/>
        </w:rPr>
        <w:t xml:space="preserve"> its long-standing positions on the future of </w:t>
      </w:r>
      <w:r w:rsidRPr="008D0341">
        <w:rPr>
          <w:lang w:val="en-GB"/>
        </w:rPr>
        <w:t>c</w:t>
      </w:r>
      <w:r w:rsidRPr="008D0341" w:rsidR="00B64BF1">
        <w:rPr>
          <w:lang w:val="en-GB"/>
        </w:rPr>
        <w:t>ohesion policy</w:t>
      </w:r>
      <w:r w:rsidRPr="008D0341">
        <w:rPr>
          <w:lang w:val="en-GB"/>
        </w:rPr>
        <w:t>,</w:t>
      </w:r>
      <w:r w:rsidRPr="008D0341" w:rsidR="00B64BF1">
        <w:rPr>
          <w:lang w:val="en-GB"/>
        </w:rPr>
        <w:t xml:space="preserve"> as laid out in the two </w:t>
      </w:r>
      <w:r w:rsidRPr="008D0341">
        <w:rPr>
          <w:lang w:val="en-GB"/>
        </w:rPr>
        <w:t>o</w:t>
      </w:r>
      <w:r w:rsidRPr="008D0341" w:rsidR="00B64BF1">
        <w:rPr>
          <w:lang w:val="en-GB"/>
        </w:rPr>
        <w:t>pinions on the Future of Cohesion Policy (Boc-Cordeiro 2023 and 2024)</w:t>
      </w:r>
      <w:r w:rsidRPr="008D0341">
        <w:rPr>
          <w:lang w:val="en-GB"/>
        </w:rPr>
        <w:t>, as well as</w:t>
      </w:r>
      <w:r w:rsidRPr="008D0341" w:rsidR="00B64BF1">
        <w:rPr>
          <w:lang w:val="en-GB"/>
        </w:rPr>
        <w:t xml:space="preserve"> on the future architecture and governance of EU investment policies, as set out notably in its opinion on </w:t>
      </w:r>
      <w:r w:rsidRPr="008D0341">
        <w:rPr>
          <w:lang w:val="en-GB"/>
        </w:rPr>
        <w:t>C</w:t>
      </w:r>
      <w:r w:rsidRPr="008D0341" w:rsidR="00B64BF1">
        <w:rPr>
          <w:lang w:val="en-GB"/>
        </w:rPr>
        <w:t>ohesion policy and performance (Boudineau, 2025), which collectively stress the need for a</w:t>
      </w:r>
      <w:r w:rsidRPr="008D0341" w:rsidR="1AD953EC">
        <w:rPr>
          <w:lang w:val="en-GB"/>
        </w:rPr>
        <w:t xml:space="preserve"> </w:t>
      </w:r>
      <w:r w:rsidRPr="008D0341" w:rsidR="00B64BF1">
        <w:rPr>
          <w:lang w:val="en-GB"/>
        </w:rPr>
        <w:t xml:space="preserve">strengthening of </w:t>
      </w:r>
      <w:r w:rsidRPr="008D0341">
        <w:rPr>
          <w:lang w:val="en-GB"/>
        </w:rPr>
        <w:t>c</w:t>
      </w:r>
      <w:r w:rsidRPr="008D0341" w:rsidR="00B64BF1">
        <w:rPr>
          <w:lang w:val="en-GB"/>
        </w:rPr>
        <w:t xml:space="preserve">ohesion </w:t>
      </w:r>
      <w:r w:rsidRPr="008D0341">
        <w:rPr>
          <w:lang w:val="en-GB"/>
        </w:rPr>
        <w:t>p</w:t>
      </w:r>
      <w:r w:rsidRPr="008D0341" w:rsidR="00B64BF1">
        <w:rPr>
          <w:lang w:val="en-GB"/>
        </w:rPr>
        <w:t>olicy based on its fundamental principles, whilst underlining the central role of cohesion, partnership and territorial impact in any future EU investment</w:t>
      </w:r>
      <w:r w:rsidRPr="008D0341" w:rsidR="3532058E">
        <w:rPr>
          <w:lang w:val="en-GB"/>
        </w:rPr>
        <w:t xml:space="preserve"> </w:t>
      </w:r>
      <w:r w:rsidRPr="008D0341" w:rsidR="00B64BF1">
        <w:rPr>
          <w:lang w:val="en-GB"/>
        </w:rPr>
        <w:t>framework;</w:t>
      </w:r>
    </w:p>
    <w:p w:rsidRPr="008D0341" w:rsidR="00B64BF1" w:rsidP="00066365" w:rsidRDefault="00B64BF1" w14:paraId="4F65D81B" w14:textId="77777777">
      <w:pPr>
        <w:pStyle w:val="Heading1"/>
        <w:numPr>
          <w:ilvl w:val="0"/>
          <w:numId w:val="0"/>
        </w:numPr>
        <w:ind w:left="709" w:hanging="709"/>
        <w:rPr>
          <w:lang w:val="en-GB"/>
        </w:rPr>
      </w:pPr>
    </w:p>
    <w:p w:rsidRPr="008D0341" w:rsidR="00B64BF1" w:rsidP="00066365" w:rsidRDefault="00B64BF1" w14:paraId="112075B5" w14:textId="3FEC9B44">
      <w:pPr>
        <w:pStyle w:val="Heading1"/>
        <w:rPr>
          <w:lang w:val="en-GB"/>
        </w:rPr>
      </w:pPr>
      <w:r w:rsidRPr="008D0341">
        <w:rPr>
          <w:lang w:val="en-GB"/>
        </w:rPr>
        <w:t>further</w:t>
      </w:r>
      <w:r w:rsidRPr="008D0341" w:rsidR="004A6D32">
        <w:rPr>
          <w:lang w:val="en-GB"/>
        </w:rPr>
        <w:t xml:space="preserve"> points to</w:t>
      </w:r>
      <w:r w:rsidRPr="008D0341">
        <w:rPr>
          <w:lang w:val="en-GB"/>
        </w:rPr>
        <w:t xml:space="preserve"> the key messages of the CoR resolution adopted on 15 May in view of the post-2027 MFF in anticipation of the Commission proposals for the National and Regional Partnership Plans (NRPP) Regulation, stressing the need for a place-based, multi-level approach that strengthens rather than replaces the foundations of </w:t>
      </w:r>
      <w:r w:rsidRPr="008D0341" w:rsidR="004A6D32">
        <w:rPr>
          <w:lang w:val="en-GB"/>
        </w:rPr>
        <w:t>c</w:t>
      </w:r>
      <w:r w:rsidRPr="008D0341">
        <w:rPr>
          <w:lang w:val="en-GB"/>
        </w:rPr>
        <w:t xml:space="preserve">ohesion </w:t>
      </w:r>
      <w:r w:rsidRPr="008D0341" w:rsidR="004A6D32">
        <w:rPr>
          <w:lang w:val="en-GB"/>
        </w:rPr>
        <w:t>p</w:t>
      </w:r>
      <w:r w:rsidRPr="008D0341">
        <w:rPr>
          <w:lang w:val="en-GB"/>
        </w:rPr>
        <w:t>olicy;</w:t>
      </w:r>
    </w:p>
    <w:p w:rsidRPr="008D0341" w:rsidR="00B64BF1" w:rsidP="00066365" w:rsidRDefault="00B64BF1" w14:paraId="25504878" w14:textId="77777777">
      <w:pPr>
        <w:pStyle w:val="Heading1"/>
        <w:numPr>
          <w:ilvl w:val="0"/>
          <w:numId w:val="0"/>
        </w:numPr>
        <w:ind w:left="709" w:hanging="709"/>
        <w:rPr>
          <w:lang w:val="en-GB"/>
        </w:rPr>
      </w:pPr>
    </w:p>
    <w:p w:rsidRPr="008D0341" w:rsidR="0068471B" w:rsidP="00066365" w:rsidRDefault="00B64BF1" w14:paraId="1C38DD25" w14:textId="61EBFE45">
      <w:pPr>
        <w:pStyle w:val="Heading1"/>
        <w:rPr>
          <w:lang w:val="en-GB"/>
        </w:rPr>
      </w:pPr>
      <w:r w:rsidRPr="008D0341">
        <w:rPr>
          <w:lang w:val="en-GB"/>
        </w:rPr>
        <w:t xml:space="preserve">emphasises that this </w:t>
      </w:r>
      <w:r w:rsidRPr="008D0341" w:rsidR="003F2CC2">
        <w:rPr>
          <w:lang w:val="en-GB"/>
        </w:rPr>
        <w:t>o</w:t>
      </w:r>
      <w:r w:rsidRPr="008D0341">
        <w:rPr>
          <w:lang w:val="en-GB"/>
        </w:rPr>
        <w:t>pinion aims to address the broad political orientation, structure and governance of the proposed NRPP Regulation, ensuring its alignment with the Treaties, the principles of shared management and the needs of local and regional authorities across the Union;</w:t>
      </w:r>
    </w:p>
    <w:p w:rsidRPr="008D0341" w:rsidR="003D4AAE" w:rsidP="00066365" w:rsidRDefault="003D4AAE" w14:paraId="54316E54" w14:textId="77777777">
      <w:pPr>
        <w:pStyle w:val="Heading1"/>
        <w:numPr>
          <w:ilvl w:val="0"/>
          <w:numId w:val="0"/>
        </w:numPr>
        <w:ind w:left="709" w:hanging="709"/>
        <w:rPr>
          <w:lang w:val="en-GB"/>
        </w:rPr>
      </w:pPr>
    </w:p>
    <w:p w:rsidRPr="008D0341" w:rsidR="003D4AAE" w:rsidP="00066365" w:rsidRDefault="003F2CC2" w14:paraId="2229212C" w14:textId="6E53C8AA">
      <w:pPr>
        <w:pStyle w:val="Heading1"/>
        <w:rPr>
          <w:lang w:val="en-GB"/>
        </w:rPr>
      </w:pPr>
      <w:r w:rsidRPr="008D0341">
        <w:rPr>
          <w:lang w:val="en-GB"/>
        </w:rPr>
        <w:t xml:space="preserve">points out </w:t>
      </w:r>
      <w:r w:rsidRPr="008D0341" w:rsidR="00457A3D">
        <w:rPr>
          <w:lang w:val="en-GB"/>
        </w:rPr>
        <w:t>that economic, social and territorial cohesion is a core Treaty objective</w:t>
      </w:r>
      <w:r w:rsidRPr="008D0341" w:rsidR="003108D3">
        <w:rPr>
          <w:lang w:val="en-GB"/>
        </w:rPr>
        <w:t xml:space="preserve">. The </w:t>
      </w:r>
      <w:r w:rsidRPr="008D0341">
        <w:rPr>
          <w:lang w:val="en-GB"/>
        </w:rPr>
        <w:t>‘</w:t>
      </w:r>
      <w:r w:rsidRPr="008D0341" w:rsidR="003108D3">
        <w:rPr>
          <w:lang w:val="en-GB"/>
        </w:rPr>
        <w:t>do no harm to cohesion</w:t>
      </w:r>
      <w:r w:rsidRPr="008D0341">
        <w:rPr>
          <w:lang w:val="en-GB"/>
        </w:rPr>
        <w:t>’</w:t>
      </w:r>
      <w:r w:rsidRPr="008D0341" w:rsidR="003108D3">
        <w:rPr>
          <w:lang w:val="en-GB"/>
        </w:rPr>
        <w:t xml:space="preserve"> principle must therefore be placed at the top of the NRPP Fund’s hierarchy of objectives</w:t>
      </w:r>
      <w:r w:rsidRPr="008D0341">
        <w:rPr>
          <w:lang w:val="en-GB"/>
        </w:rPr>
        <w:t>;</w:t>
      </w:r>
      <w:r w:rsidRPr="008D0341" w:rsidR="00562BD5">
        <w:rPr>
          <w:lang w:val="en-GB"/>
        </w:rPr>
        <w:t xml:space="preserve"> </w:t>
      </w:r>
      <w:r w:rsidRPr="008D0341">
        <w:rPr>
          <w:lang w:val="en-GB"/>
        </w:rPr>
        <w:t>notes</w:t>
      </w:r>
      <w:r w:rsidRPr="008D0341" w:rsidR="00F61840">
        <w:rPr>
          <w:lang w:val="en-GB"/>
        </w:rPr>
        <w:t xml:space="preserve"> that </w:t>
      </w:r>
      <w:r w:rsidRPr="008D0341" w:rsidR="004F710A">
        <w:rPr>
          <w:lang w:val="en-GB"/>
        </w:rPr>
        <w:t xml:space="preserve">the first pillar of the Common Agricultural Policy and the </w:t>
      </w:r>
      <w:r w:rsidRPr="008D0341" w:rsidR="00F61840">
        <w:rPr>
          <w:lang w:val="en-GB"/>
        </w:rPr>
        <w:t>Cohesion Policy</w:t>
      </w:r>
      <w:r w:rsidRPr="008D0341" w:rsidR="00CA46E9">
        <w:rPr>
          <w:lang w:val="en-GB"/>
        </w:rPr>
        <w:t xml:space="preserve">, </w:t>
      </w:r>
      <w:r w:rsidRPr="008D0341" w:rsidR="00671009">
        <w:rPr>
          <w:lang w:val="en-GB"/>
        </w:rPr>
        <w:t>which includes</w:t>
      </w:r>
      <w:r w:rsidRPr="008D0341" w:rsidR="00CA46E9">
        <w:rPr>
          <w:lang w:val="en-GB"/>
        </w:rPr>
        <w:t xml:space="preserve"> the European Social Fund</w:t>
      </w:r>
      <w:r w:rsidRPr="008D0341" w:rsidR="00671009">
        <w:rPr>
          <w:lang w:val="en-GB"/>
        </w:rPr>
        <w:t xml:space="preserve"> and the second pillar of the CAP</w:t>
      </w:r>
      <w:r w:rsidRPr="008D0341" w:rsidR="00CA46E9">
        <w:rPr>
          <w:lang w:val="en-GB"/>
        </w:rPr>
        <w:t>,</w:t>
      </w:r>
      <w:r w:rsidRPr="008D0341" w:rsidR="00F61840">
        <w:rPr>
          <w:lang w:val="en-GB"/>
        </w:rPr>
        <w:t xml:space="preserve"> are the cornerstones of </w:t>
      </w:r>
      <w:r w:rsidRPr="008D0341" w:rsidR="008A360D">
        <w:rPr>
          <w:lang w:val="en-GB"/>
        </w:rPr>
        <w:t>the EU</w:t>
      </w:r>
      <w:r w:rsidRPr="008D0341" w:rsidR="00F61840">
        <w:rPr>
          <w:lang w:val="en-GB"/>
        </w:rPr>
        <w:t xml:space="preserve"> </w:t>
      </w:r>
      <w:r w:rsidRPr="008D0341">
        <w:rPr>
          <w:lang w:val="en-GB"/>
        </w:rPr>
        <w:t>s</w:t>
      </w:r>
      <w:r w:rsidRPr="008D0341" w:rsidR="00F61840">
        <w:rPr>
          <w:lang w:val="en-GB"/>
        </w:rPr>
        <w:t xml:space="preserve">ingle </w:t>
      </w:r>
      <w:r w:rsidRPr="008D0341">
        <w:rPr>
          <w:lang w:val="en-GB"/>
        </w:rPr>
        <w:t>m</w:t>
      </w:r>
      <w:r w:rsidRPr="008D0341" w:rsidR="00F61840">
        <w:rPr>
          <w:lang w:val="en-GB"/>
        </w:rPr>
        <w:t>arket</w:t>
      </w:r>
      <w:r w:rsidRPr="008D0341" w:rsidR="008A360D">
        <w:rPr>
          <w:lang w:val="en-GB"/>
        </w:rPr>
        <w:t xml:space="preserve"> and contribute to the</w:t>
      </w:r>
      <w:r w:rsidRPr="008D0341" w:rsidR="00F61840">
        <w:rPr>
          <w:lang w:val="en-GB"/>
        </w:rPr>
        <w:t xml:space="preserve"> </w:t>
      </w:r>
      <w:r w:rsidRPr="008D0341" w:rsidR="00A41CA3">
        <w:rPr>
          <w:lang w:val="en-GB"/>
        </w:rPr>
        <w:t>long-term</w:t>
      </w:r>
      <w:r w:rsidRPr="008D0341" w:rsidR="00F61840">
        <w:rPr>
          <w:lang w:val="en-GB"/>
        </w:rPr>
        <w:t xml:space="preserve"> development of all European regions, there</w:t>
      </w:r>
      <w:r w:rsidRPr="008D0341" w:rsidR="008A360D">
        <w:rPr>
          <w:lang w:val="en-GB"/>
        </w:rPr>
        <w:t>by</w:t>
      </w:r>
      <w:r w:rsidRPr="008D0341" w:rsidR="00F61840">
        <w:rPr>
          <w:lang w:val="en-GB"/>
        </w:rPr>
        <w:t xml:space="preserve"> </w:t>
      </w:r>
      <w:r w:rsidRPr="008D0341" w:rsidR="008A360D">
        <w:rPr>
          <w:lang w:val="en-GB"/>
        </w:rPr>
        <w:t>strengthening overall</w:t>
      </w:r>
      <w:r w:rsidRPr="008D0341" w:rsidR="00F61840">
        <w:rPr>
          <w:lang w:val="en-GB"/>
        </w:rPr>
        <w:t xml:space="preserve"> European competitiveness</w:t>
      </w:r>
      <w:r w:rsidRPr="008D0341">
        <w:rPr>
          <w:lang w:val="en-GB"/>
        </w:rPr>
        <w:t>;</w:t>
      </w:r>
      <w:r w:rsidRPr="008D0341" w:rsidR="00562BD5">
        <w:rPr>
          <w:lang w:val="en-GB"/>
        </w:rPr>
        <w:t xml:space="preserve"> </w:t>
      </w:r>
      <w:r w:rsidRPr="008D0341">
        <w:rPr>
          <w:lang w:val="en-GB"/>
        </w:rPr>
        <w:t>s</w:t>
      </w:r>
      <w:r w:rsidRPr="008D0341" w:rsidR="008A360D">
        <w:rPr>
          <w:lang w:val="en-GB"/>
        </w:rPr>
        <w:t>tresses that</w:t>
      </w:r>
      <w:r w:rsidRPr="008D0341" w:rsidR="00F61840">
        <w:rPr>
          <w:lang w:val="en-GB"/>
        </w:rPr>
        <w:t xml:space="preserve"> these essential policies must be </w:t>
      </w:r>
      <w:r w:rsidRPr="008D0341" w:rsidR="008A360D">
        <w:rPr>
          <w:lang w:val="en-GB"/>
        </w:rPr>
        <w:t xml:space="preserve">provided with </w:t>
      </w:r>
      <w:r w:rsidRPr="008D0341" w:rsidR="00F61840">
        <w:rPr>
          <w:lang w:val="en-GB"/>
        </w:rPr>
        <w:t>sufficient</w:t>
      </w:r>
      <w:r w:rsidRPr="008D0341" w:rsidR="00CA46E9">
        <w:rPr>
          <w:lang w:val="en-GB"/>
        </w:rPr>
        <w:t>, long-term</w:t>
      </w:r>
      <w:r w:rsidRPr="008D0341" w:rsidR="00F61840">
        <w:rPr>
          <w:lang w:val="en-GB"/>
        </w:rPr>
        <w:t xml:space="preserve"> and clear</w:t>
      </w:r>
      <w:r w:rsidRPr="008D0341" w:rsidR="008A360D">
        <w:rPr>
          <w:lang w:val="en-GB"/>
        </w:rPr>
        <w:t>ly</w:t>
      </w:r>
      <w:r w:rsidRPr="008D0341" w:rsidR="00F61840">
        <w:rPr>
          <w:lang w:val="en-GB"/>
        </w:rPr>
        <w:t xml:space="preserve"> dedicated funding</w:t>
      </w:r>
      <w:r w:rsidRPr="008D0341" w:rsidR="00A41CA3">
        <w:rPr>
          <w:lang w:val="en-GB"/>
        </w:rPr>
        <w:t>;</w:t>
      </w:r>
    </w:p>
    <w:p w:rsidRPr="008D0341" w:rsidR="003D4AAE" w:rsidP="00066365" w:rsidRDefault="003D4AAE" w14:paraId="2242EAFB" w14:textId="77777777">
      <w:pPr>
        <w:rPr>
          <w:b/>
          <w:bCs/>
          <w:lang w:val="en-GB"/>
        </w:rPr>
      </w:pPr>
    </w:p>
    <w:p w:rsidRPr="008D0341" w:rsidR="00BC3DDB" w:rsidP="00066365" w:rsidRDefault="00BC3DDB" w14:paraId="281B7568" w14:textId="7C3D7379">
      <w:pPr>
        <w:keepNext/>
        <w:keepLines/>
        <w:rPr>
          <w:b/>
          <w:bCs/>
          <w:lang w:val="en-GB"/>
        </w:rPr>
      </w:pPr>
      <w:r w:rsidRPr="008D0341">
        <w:rPr>
          <w:b/>
          <w:bCs/>
          <w:lang w:val="en-GB"/>
        </w:rPr>
        <w:t>General provisions</w:t>
      </w:r>
    </w:p>
    <w:p w:rsidRPr="008D0341" w:rsidR="00481716" w:rsidP="00066365" w:rsidRDefault="00481716" w14:paraId="72E0D71C" w14:textId="77777777">
      <w:pPr>
        <w:pStyle w:val="Heading1"/>
        <w:keepNext/>
        <w:keepLines/>
        <w:numPr>
          <w:ilvl w:val="0"/>
          <w:numId w:val="0"/>
        </w:numPr>
        <w:ind w:left="567"/>
        <w:rPr>
          <w:lang w:val="en-GB"/>
        </w:rPr>
      </w:pPr>
    </w:p>
    <w:p w:rsidRPr="008D0341" w:rsidR="00F61840" w:rsidP="00066365" w:rsidRDefault="003F2CC2" w14:paraId="4E842DB9" w14:textId="70964E70">
      <w:pPr>
        <w:pStyle w:val="Heading1"/>
        <w:rPr>
          <w:lang w:val="en-GB"/>
        </w:rPr>
      </w:pPr>
      <w:r w:rsidRPr="008D0341">
        <w:rPr>
          <w:lang w:val="en-GB"/>
        </w:rPr>
        <w:t xml:space="preserve">points to </w:t>
      </w:r>
      <w:r w:rsidRPr="008D0341" w:rsidR="00F50CEC">
        <w:rPr>
          <w:lang w:val="en-GB"/>
        </w:rPr>
        <w:t>the CoR opinion on the next multiannual financial framework (MFF</w:t>
      </w:r>
      <w:r w:rsidRPr="008D0341" w:rsidR="00CE53EE">
        <w:rPr>
          <w:lang w:val="en-GB"/>
        </w:rPr>
        <w:t>)</w:t>
      </w:r>
      <w:r w:rsidRPr="008D0341" w:rsidR="00F50CEC">
        <w:rPr>
          <w:lang w:val="en-GB"/>
        </w:rPr>
        <w:t xml:space="preserve">, which calls for the first pillar of the MFF to be structured around sub-headings that clearly identify </w:t>
      </w:r>
      <w:r w:rsidRPr="008D0341" w:rsidR="002C04E5">
        <w:rPr>
          <w:lang w:val="en-GB"/>
        </w:rPr>
        <w:t xml:space="preserve">dedicated and clearly labelled </w:t>
      </w:r>
      <w:r w:rsidRPr="008D0341" w:rsidR="00F50CEC">
        <w:rPr>
          <w:lang w:val="en-GB"/>
        </w:rPr>
        <w:t>budget lines for cohesion, agriculture and fisheries, and security</w:t>
      </w:r>
      <w:r w:rsidRPr="008D0341" w:rsidR="00A41CA3">
        <w:rPr>
          <w:lang w:val="en-GB"/>
        </w:rPr>
        <w:t>;</w:t>
      </w:r>
    </w:p>
    <w:p w:rsidRPr="008D0341" w:rsidR="000B3B8A" w:rsidP="00066365" w:rsidRDefault="000B3B8A" w14:paraId="19A55980" w14:textId="77777777">
      <w:pPr>
        <w:ind w:left="709" w:hanging="709"/>
        <w:rPr>
          <w:lang w:val="en-GB"/>
        </w:rPr>
      </w:pPr>
    </w:p>
    <w:p w:rsidRPr="008D0341" w:rsidR="00B600BE" w:rsidP="00066365" w:rsidRDefault="00C30CA7" w14:paraId="7CDB7DB2" w14:textId="73249E44">
      <w:pPr>
        <w:pStyle w:val="Heading1"/>
        <w:rPr>
          <w:lang w:val="en-GB"/>
        </w:rPr>
      </w:pPr>
      <w:r w:rsidRPr="008D0341">
        <w:rPr>
          <w:lang w:val="en-GB"/>
        </w:rPr>
        <w:t>s</w:t>
      </w:r>
      <w:r w:rsidRPr="008D0341" w:rsidR="00CA46E9">
        <w:rPr>
          <w:lang w:val="en-GB"/>
        </w:rPr>
        <w:t>hares</w:t>
      </w:r>
      <w:r w:rsidRPr="008D0341" w:rsidR="007C7F2A">
        <w:rPr>
          <w:lang w:val="en-GB"/>
        </w:rPr>
        <w:t xml:space="preserve"> the European Commission’s objective to modernise and increase </w:t>
      </w:r>
      <w:r w:rsidRPr="008D0341" w:rsidR="008A360D">
        <w:rPr>
          <w:lang w:val="en-GB"/>
        </w:rPr>
        <w:t xml:space="preserve">the </w:t>
      </w:r>
      <w:r w:rsidRPr="008D0341" w:rsidR="007C7F2A">
        <w:rPr>
          <w:lang w:val="en-GB"/>
        </w:rPr>
        <w:t xml:space="preserve">efficiency and flexibility </w:t>
      </w:r>
      <w:r w:rsidRPr="008D0341" w:rsidR="008A360D">
        <w:rPr>
          <w:lang w:val="en-GB"/>
        </w:rPr>
        <w:t>of the Union’s</w:t>
      </w:r>
      <w:r w:rsidRPr="008D0341" w:rsidR="007C7F2A">
        <w:rPr>
          <w:lang w:val="en-GB"/>
        </w:rPr>
        <w:t xml:space="preserve"> main investment policies, in particular </w:t>
      </w:r>
      <w:r w:rsidRPr="008D0341" w:rsidR="003F2CC2">
        <w:rPr>
          <w:lang w:val="en-GB"/>
        </w:rPr>
        <w:t>c</w:t>
      </w:r>
      <w:r w:rsidRPr="008D0341" w:rsidR="007C7F2A">
        <w:rPr>
          <w:lang w:val="en-GB"/>
        </w:rPr>
        <w:t xml:space="preserve">ohesion </w:t>
      </w:r>
      <w:r w:rsidRPr="008D0341" w:rsidR="003F2CC2">
        <w:rPr>
          <w:lang w:val="en-GB"/>
        </w:rPr>
        <w:t>p</w:t>
      </w:r>
      <w:r w:rsidRPr="008D0341" w:rsidR="007C7F2A">
        <w:rPr>
          <w:lang w:val="en-GB"/>
        </w:rPr>
        <w:t xml:space="preserve">olicy and the </w:t>
      </w:r>
      <w:r w:rsidRPr="008D0341" w:rsidR="003F2CC2">
        <w:rPr>
          <w:lang w:val="en-GB"/>
        </w:rPr>
        <w:t>c</w:t>
      </w:r>
      <w:r w:rsidRPr="008D0341" w:rsidR="007C7F2A">
        <w:rPr>
          <w:lang w:val="en-GB"/>
        </w:rPr>
        <w:t xml:space="preserve">ommon </w:t>
      </w:r>
      <w:r w:rsidRPr="008D0341" w:rsidR="003F2CC2">
        <w:rPr>
          <w:lang w:val="en-GB"/>
        </w:rPr>
        <w:t>a</w:t>
      </w:r>
      <w:r w:rsidRPr="008D0341" w:rsidR="007C7F2A">
        <w:rPr>
          <w:lang w:val="en-GB"/>
        </w:rPr>
        <w:t xml:space="preserve">gricultural </w:t>
      </w:r>
      <w:r w:rsidRPr="008D0341" w:rsidR="003F2CC2">
        <w:rPr>
          <w:lang w:val="en-GB"/>
        </w:rPr>
        <w:t>p</w:t>
      </w:r>
      <w:r w:rsidRPr="008D0341" w:rsidR="007C7F2A">
        <w:rPr>
          <w:lang w:val="en-GB"/>
        </w:rPr>
        <w:t>olic</w:t>
      </w:r>
      <w:r w:rsidRPr="008D0341" w:rsidR="00E06B90">
        <w:rPr>
          <w:lang w:val="en-GB"/>
        </w:rPr>
        <w:t>y</w:t>
      </w:r>
      <w:r w:rsidRPr="008D0341" w:rsidR="00042244">
        <w:rPr>
          <w:lang w:val="en-GB"/>
        </w:rPr>
        <w:t>;</w:t>
      </w:r>
      <w:r w:rsidRPr="008D0341" w:rsidR="007C7F2A">
        <w:rPr>
          <w:lang w:val="en-GB"/>
        </w:rPr>
        <w:t xml:space="preserve"> </w:t>
      </w:r>
    </w:p>
    <w:p w:rsidRPr="008D0341" w:rsidR="000B3B8A" w:rsidP="00066365" w:rsidRDefault="000B3B8A" w14:paraId="51CD84EF" w14:textId="54719ED0">
      <w:pPr>
        <w:ind w:left="709" w:hanging="709"/>
        <w:rPr>
          <w:lang w:val="en-GB"/>
        </w:rPr>
      </w:pPr>
    </w:p>
    <w:p w:rsidR="00A668FB" w:rsidP="00066365" w:rsidRDefault="00C30CA7" w14:paraId="5988A297" w14:textId="0D936516">
      <w:pPr>
        <w:pStyle w:val="Heading1"/>
        <w:rPr>
          <w:lang w:val="en-GB"/>
        </w:rPr>
      </w:pPr>
      <w:r w:rsidRPr="008D0341">
        <w:rPr>
          <w:lang w:val="en-GB"/>
        </w:rPr>
        <w:t>a</w:t>
      </w:r>
      <w:r w:rsidRPr="008D0341" w:rsidR="000B3B8A">
        <w:rPr>
          <w:lang w:val="en-GB"/>
        </w:rPr>
        <w:t>cknowledges that</w:t>
      </w:r>
      <w:r w:rsidRPr="008D0341" w:rsidR="005B24E7">
        <w:rPr>
          <w:lang w:val="en-GB"/>
        </w:rPr>
        <w:t xml:space="preserve">, with </w:t>
      </w:r>
      <w:r w:rsidRPr="008D0341" w:rsidR="00673B72">
        <w:rPr>
          <w:lang w:val="en-GB"/>
        </w:rPr>
        <w:t>effective</w:t>
      </w:r>
      <w:r w:rsidRPr="008D0341" w:rsidR="005B24E7">
        <w:rPr>
          <w:lang w:val="en-GB"/>
        </w:rPr>
        <w:t xml:space="preserve"> multilevel governance,</w:t>
      </w:r>
      <w:r w:rsidRPr="008D0341" w:rsidR="000B3B8A">
        <w:rPr>
          <w:lang w:val="en-GB"/>
        </w:rPr>
        <w:t xml:space="preserve"> </w:t>
      </w:r>
      <w:r w:rsidRPr="008D0341" w:rsidR="00CE53EE">
        <w:rPr>
          <w:lang w:val="en-GB"/>
        </w:rPr>
        <w:t xml:space="preserve">national and regional </w:t>
      </w:r>
      <w:r w:rsidRPr="008D0341" w:rsidR="00881243">
        <w:rPr>
          <w:lang w:val="en-GB"/>
        </w:rPr>
        <w:t>partnership plans (</w:t>
      </w:r>
      <w:r w:rsidRPr="008D0341" w:rsidR="000B3B8A">
        <w:rPr>
          <w:lang w:val="en-GB"/>
        </w:rPr>
        <w:t>NRPPs</w:t>
      </w:r>
      <w:r w:rsidRPr="008D0341" w:rsidR="00881243">
        <w:rPr>
          <w:lang w:val="en-GB"/>
        </w:rPr>
        <w:t>)</w:t>
      </w:r>
      <w:r w:rsidRPr="008D0341" w:rsidR="000B3B8A">
        <w:rPr>
          <w:lang w:val="en-GB"/>
        </w:rPr>
        <w:t xml:space="preserve"> could </w:t>
      </w:r>
      <w:r w:rsidRPr="008D0341" w:rsidR="00847FC7">
        <w:rPr>
          <w:lang w:val="en-GB"/>
        </w:rPr>
        <w:t>enhance</w:t>
      </w:r>
      <w:r w:rsidRPr="008D0341" w:rsidR="000B3B8A">
        <w:rPr>
          <w:lang w:val="en-GB"/>
        </w:rPr>
        <w:t xml:space="preserve"> synergies </w:t>
      </w:r>
      <w:r w:rsidRPr="008D0341" w:rsidR="00847FC7">
        <w:rPr>
          <w:lang w:val="en-GB"/>
        </w:rPr>
        <w:t>among</w:t>
      </w:r>
      <w:r w:rsidRPr="008D0341" w:rsidR="000B3B8A">
        <w:rPr>
          <w:lang w:val="en-GB"/>
        </w:rPr>
        <w:t xml:space="preserve"> the shared management funds, in particular </w:t>
      </w:r>
      <w:r w:rsidRPr="008D0341" w:rsidR="00E32497">
        <w:rPr>
          <w:lang w:val="en-GB"/>
        </w:rPr>
        <w:t>the European</w:t>
      </w:r>
      <w:r w:rsidRPr="008D0341" w:rsidR="002B021C">
        <w:rPr>
          <w:lang w:val="en-GB"/>
        </w:rPr>
        <w:t xml:space="preserve"> </w:t>
      </w:r>
      <w:r w:rsidRPr="008D0341" w:rsidR="00E32497">
        <w:rPr>
          <w:lang w:val="en-GB"/>
        </w:rPr>
        <w:t xml:space="preserve">Regional </w:t>
      </w:r>
      <w:r w:rsidRPr="008D0341" w:rsidR="00673B72">
        <w:rPr>
          <w:lang w:val="en-GB"/>
        </w:rPr>
        <w:t>Development Fund (</w:t>
      </w:r>
      <w:r w:rsidRPr="008D0341" w:rsidR="000B3B8A">
        <w:rPr>
          <w:lang w:val="en-GB"/>
        </w:rPr>
        <w:t>ERDF</w:t>
      </w:r>
      <w:r w:rsidRPr="008D0341" w:rsidR="00673B72">
        <w:rPr>
          <w:lang w:val="en-GB"/>
        </w:rPr>
        <w:t>)</w:t>
      </w:r>
      <w:r w:rsidRPr="008D0341" w:rsidR="000B3B8A">
        <w:rPr>
          <w:lang w:val="en-GB"/>
        </w:rPr>
        <w:t xml:space="preserve">, </w:t>
      </w:r>
      <w:r w:rsidRPr="008D0341" w:rsidR="00B94A53">
        <w:rPr>
          <w:lang w:val="en-GB"/>
        </w:rPr>
        <w:t>t</w:t>
      </w:r>
      <w:r w:rsidRPr="008D0341" w:rsidR="00673B72">
        <w:rPr>
          <w:lang w:val="en-GB"/>
        </w:rPr>
        <w:t>he European Social Fund</w:t>
      </w:r>
      <w:r w:rsidRPr="008D0341" w:rsidR="00477208">
        <w:rPr>
          <w:lang w:val="en-GB"/>
        </w:rPr>
        <w:t xml:space="preserve"> (</w:t>
      </w:r>
      <w:r w:rsidRPr="008D0341" w:rsidR="000B3B8A">
        <w:rPr>
          <w:lang w:val="en-GB"/>
        </w:rPr>
        <w:t>ESF</w:t>
      </w:r>
      <w:r w:rsidRPr="008D0341" w:rsidR="00673B72">
        <w:rPr>
          <w:lang w:val="en-GB"/>
        </w:rPr>
        <w:t>+</w:t>
      </w:r>
      <w:r w:rsidRPr="008D0341" w:rsidR="00477208">
        <w:rPr>
          <w:lang w:val="en-GB"/>
        </w:rPr>
        <w:t xml:space="preserve">) </w:t>
      </w:r>
      <w:r w:rsidRPr="008D0341" w:rsidR="000B3B8A">
        <w:rPr>
          <w:lang w:val="en-GB"/>
        </w:rPr>
        <w:t xml:space="preserve">and the </w:t>
      </w:r>
      <w:r w:rsidRPr="008D0341" w:rsidR="00673B72">
        <w:rPr>
          <w:lang w:val="en-GB"/>
        </w:rPr>
        <w:t xml:space="preserve">future </w:t>
      </w:r>
      <w:r w:rsidRPr="008D0341" w:rsidR="000B3B8A">
        <w:rPr>
          <w:lang w:val="en-GB"/>
        </w:rPr>
        <w:t>rural fund;</w:t>
      </w:r>
    </w:p>
    <w:p w:rsidR="00F71483" w:rsidP="00F71483" w:rsidRDefault="00F71483" w14:paraId="406FBAB9" w14:textId="77777777">
      <w:pPr>
        <w:rPr>
          <w:lang w:val="en-GB"/>
        </w:rPr>
      </w:pPr>
    </w:p>
    <w:p w:rsidRPr="008D0341" w:rsidR="00BC3DDB" w:rsidP="00066365" w:rsidRDefault="00C30CA7" w14:paraId="4EBDB53B" w14:textId="55FB3931">
      <w:pPr>
        <w:pStyle w:val="Heading1"/>
        <w:rPr>
          <w:lang w:val="en-GB"/>
        </w:rPr>
      </w:pPr>
      <w:r w:rsidRPr="008D0341">
        <w:rPr>
          <w:lang w:val="en-GB"/>
        </w:rPr>
        <w:t>c</w:t>
      </w:r>
      <w:r w:rsidRPr="008D0341" w:rsidR="00BC3DDB">
        <w:rPr>
          <w:lang w:val="en-GB"/>
        </w:rPr>
        <w:t>alls for the objective of the Just Transition to be explicitly reintegrated in</w:t>
      </w:r>
      <w:r w:rsidRPr="008D0341" w:rsidR="008A360D">
        <w:rPr>
          <w:lang w:val="en-GB"/>
        </w:rPr>
        <w:t>to</w:t>
      </w:r>
      <w:r w:rsidRPr="008D0341" w:rsidR="00BC3DDB">
        <w:rPr>
          <w:lang w:val="en-GB"/>
        </w:rPr>
        <w:t xml:space="preserve"> the </w:t>
      </w:r>
      <w:r w:rsidRPr="008D0341" w:rsidR="002E08EA">
        <w:rPr>
          <w:lang w:val="en-GB"/>
        </w:rPr>
        <w:t>s</w:t>
      </w:r>
      <w:r w:rsidRPr="008D0341" w:rsidR="00BC3DDB">
        <w:rPr>
          <w:lang w:val="en-GB"/>
        </w:rPr>
        <w:t xml:space="preserve">pecific </w:t>
      </w:r>
      <w:r w:rsidRPr="008D0341" w:rsidR="006A2FF7">
        <w:rPr>
          <w:lang w:val="en-GB"/>
        </w:rPr>
        <w:t>o</w:t>
      </w:r>
      <w:r w:rsidRPr="008D0341" w:rsidR="00BC3DDB">
        <w:rPr>
          <w:lang w:val="en-GB"/>
        </w:rPr>
        <w:t>bjectives of the Fund</w:t>
      </w:r>
      <w:r w:rsidRPr="008D0341" w:rsidR="003F2CC2">
        <w:rPr>
          <w:lang w:val="en-GB"/>
        </w:rPr>
        <w:t>,</w:t>
      </w:r>
      <w:r w:rsidRPr="008D0341" w:rsidR="00281E82">
        <w:rPr>
          <w:lang w:val="en-GB"/>
        </w:rPr>
        <w:t xml:space="preserve"> </w:t>
      </w:r>
      <w:r w:rsidRPr="008D0341" w:rsidR="00626A17">
        <w:rPr>
          <w:lang w:val="en-GB"/>
        </w:rPr>
        <w:t xml:space="preserve">ensuring that </w:t>
      </w:r>
      <w:r w:rsidRPr="008D0341" w:rsidR="003F2CC2">
        <w:rPr>
          <w:lang w:val="en-GB"/>
        </w:rPr>
        <w:t>c</w:t>
      </w:r>
      <w:r w:rsidRPr="008D0341" w:rsidR="00626A17">
        <w:rPr>
          <w:lang w:val="en-GB"/>
        </w:rPr>
        <w:t xml:space="preserve">ohesion </w:t>
      </w:r>
      <w:r w:rsidRPr="008D0341" w:rsidR="003F2CC2">
        <w:rPr>
          <w:lang w:val="en-GB"/>
        </w:rPr>
        <w:t>p</w:t>
      </w:r>
      <w:r w:rsidRPr="008D0341" w:rsidR="00626A17">
        <w:rPr>
          <w:lang w:val="en-GB"/>
        </w:rPr>
        <w:t xml:space="preserve">olicy can continue to play a critical role to ensure that no one is left behind in the transition to a climate neutral economy </w:t>
      </w:r>
      <w:r w:rsidRPr="008D0341" w:rsidR="00281E82">
        <w:rPr>
          <w:lang w:val="en-GB"/>
        </w:rPr>
        <w:t xml:space="preserve">and </w:t>
      </w:r>
      <w:r w:rsidRPr="008D0341" w:rsidR="00F15634">
        <w:rPr>
          <w:lang w:val="en-GB"/>
        </w:rPr>
        <w:t xml:space="preserve">advocate </w:t>
      </w:r>
      <w:r w:rsidRPr="008D0341" w:rsidR="00281E82">
        <w:rPr>
          <w:lang w:val="en-GB"/>
        </w:rPr>
        <w:t>for a clear</w:t>
      </w:r>
      <w:r w:rsidRPr="006A411D" w:rsidR="003A69D6">
        <w:t>, transparent and EU-wide</w:t>
      </w:r>
      <w:r w:rsidRPr="006A411D" w:rsidR="00281E82">
        <w:t xml:space="preserve"> definition </w:t>
      </w:r>
      <w:r w:rsidRPr="006A411D" w:rsidR="003A69D6">
        <w:t>of</w:t>
      </w:r>
      <w:r w:rsidRPr="006A411D" w:rsidR="00281E82">
        <w:t xml:space="preserve"> regions</w:t>
      </w:r>
      <w:r w:rsidRPr="006A411D" w:rsidR="00897C05">
        <w:t xml:space="preserve"> in </w:t>
      </w:r>
      <w:r w:rsidRPr="006A411D" w:rsidR="008E21C3">
        <w:t>transition</w:t>
      </w:r>
      <w:r w:rsidRPr="006A411D" w:rsidR="009E2865">
        <w:t>, taking into account time criteria that enable levels of urgency to be identified,</w:t>
      </w:r>
      <w:r w:rsidRPr="006A411D" w:rsidR="0064577E">
        <w:t xml:space="preserve"> in order to ensure that these regions can continue to receive a </w:t>
      </w:r>
      <w:r w:rsidRPr="006A411D" w:rsidR="00CD500F">
        <w:t>top-up</w:t>
      </w:r>
      <w:r w:rsidRPr="006A411D" w:rsidR="0064577E">
        <w:t xml:space="preserve"> of </w:t>
      </w:r>
      <w:r w:rsidRPr="006A411D" w:rsidR="00626A17">
        <w:t xml:space="preserve">European </w:t>
      </w:r>
      <w:r w:rsidRPr="006A411D" w:rsidR="0064577E">
        <w:t>funds to face their particular</w:t>
      </w:r>
      <w:r w:rsidRPr="008D0341" w:rsidR="0064577E">
        <w:rPr>
          <w:lang w:val="en-GB"/>
        </w:rPr>
        <w:t xml:space="preserve"> challenges</w:t>
      </w:r>
      <w:r w:rsidRPr="008D0341" w:rsidR="008E21C3">
        <w:rPr>
          <w:lang w:val="en-GB"/>
        </w:rPr>
        <w:t>;</w:t>
      </w:r>
    </w:p>
    <w:p w:rsidRPr="008D0341" w:rsidR="0003242E" w:rsidP="00066365" w:rsidRDefault="0003242E" w14:paraId="57938203" w14:textId="77777777">
      <w:pPr>
        <w:rPr>
          <w:lang w:val="en-GB"/>
        </w:rPr>
      </w:pPr>
    </w:p>
    <w:p w:rsidRPr="008D0341" w:rsidR="0003242E" w:rsidP="00066365" w:rsidRDefault="0003242E" w14:paraId="10CA621E" w14:textId="7BDF830D">
      <w:pPr>
        <w:pStyle w:val="Heading1"/>
        <w:rPr>
          <w:lang w:val="en-GB"/>
        </w:rPr>
      </w:pPr>
      <w:r w:rsidRPr="008D0341">
        <w:rPr>
          <w:lang w:val="en-GB"/>
        </w:rPr>
        <w:t xml:space="preserve">proposes that specific communication, evaluation and visibility requirements are introduced to promote the impact of </w:t>
      </w:r>
      <w:r w:rsidRPr="008D0341" w:rsidR="003F2CC2">
        <w:rPr>
          <w:lang w:val="en-GB"/>
        </w:rPr>
        <w:t>c</w:t>
      </w:r>
      <w:r w:rsidRPr="008D0341">
        <w:rPr>
          <w:lang w:val="en-GB"/>
        </w:rPr>
        <w:t xml:space="preserve">ohesion </w:t>
      </w:r>
      <w:r w:rsidRPr="008D0341" w:rsidR="003F2CC2">
        <w:rPr>
          <w:lang w:val="en-GB"/>
        </w:rPr>
        <w:t>p</w:t>
      </w:r>
      <w:r w:rsidRPr="008D0341">
        <w:rPr>
          <w:lang w:val="en-GB"/>
        </w:rPr>
        <w:t>olicy as a distinct EU policy, with clear references to all funds under shared management, in full complementarity with requirements laid out in the Performance Framework Regulation;</w:t>
      </w:r>
    </w:p>
    <w:p w:rsidRPr="008D0341" w:rsidR="000512A8" w:rsidP="00066365" w:rsidRDefault="000512A8" w14:paraId="7D21990B" w14:textId="77777777">
      <w:pPr>
        <w:rPr>
          <w:lang w:val="en-GB"/>
        </w:rPr>
      </w:pPr>
    </w:p>
    <w:p w:rsidRPr="008D0341" w:rsidR="000512A8" w:rsidP="00066365" w:rsidRDefault="000512A8" w14:paraId="50B72165" w14:textId="23BC1847">
      <w:pPr>
        <w:keepNext/>
        <w:keepLines/>
        <w:rPr>
          <w:b/>
          <w:bCs/>
          <w:lang w:val="en-GB"/>
        </w:rPr>
      </w:pPr>
      <w:r w:rsidRPr="008D0341">
        <w:rPr>
          <w:b/>
          <w:bCs/>
          <w:lang w:val="en-GB"/>
        </w:rPr>
        <w:t>On governance</w:t>
      </w:r>
    </w:p>
    <w:p w:rsidRPr="008D0341" w:rsidR="00FA2D71" w:rsidP="00066365" w:rsidRDefault="00FA2D71" w14:paraId="3EBF86A6" w14:textId="77777777">
      <w:pPr>
        <w:keepNext/>
        <w:keepLines/>
        <w:ind w:left="709" w:hanging="709"/>
        <w:rPr>
          <w:lang w:val="en-GB"/>
        </w:rPr>
      </w:pPr>
    </w:p>
    <w:p w:rsidRPr="008D0341" w:rsidR="00400456" w:rsidP="00066365" w:rsidRDefault="00C30CA7" w14:paraId="0C173772" w14:textId="49C9E636">
      <w:pPr>
        <w:pStyle w:val="Heading1"/>
        <w:rPr>
          <w:lang w:val="en-GB"/>
        </w:rPr>
      </w:pPr>
      <w:r w:rsidRPr="008D0341">
        <w:rPr>
          <w:lang w:val="en-GB"/>
        </w:rPr>
        <w:t>n</w:t>
      </w:r>
      <w:r w:rsidRPr="008D0341" w:rsidR="00400456">
        <w:rPr>
          <w:lang w:val="en-GB"/>
        </w:rPr>
        <w:t>otes with satisfaction the references to the partnership principle, the European Code of Conduct on Partnership and the principle of multilevel governance</w:t>
      </w:r>
      <w:r w:rsidRPr="008D0341" w:rsidR="008A360D">
        <w:rPr>
          <w:lang w:val="en-GB"/>
        </w:rPr>
        <w:t xml:space="preserve">; </w:t>
      </w:r>
      <w:r w:rsidRPr="008D0341" w:rsidR="003F2CC2">
        <w:rPr>
          <w:lang w:val="en-GB"/>
        </w:rPr>
        <w:t>notes</w:t>
      </w:r>
      <w:r w:rsidRPr="008D0341" w:rsidR="008A360D">
        <w:rPr>
          <w:lang w:val="en-GB"/>
        </w:rPr>
        <w:t>,</w:t>
      </w:r>
      <w:r w:rsidRPr="008D0341" w:rsidR="00400456">
        <w:rPr>
          <w:lang w:val="en-GB"/>
        </w:rPr>
        <w:t xml:space="preserve"> however</w:t>
      </w:r>
      <w:r w:rsidRPr="008D0341" w:rsidR="003F2CC2">
        <w:rPr>
          <w:lang w:val="en-GB"/>
        </w:rPr>
        <w:t>,</w:t>
      </w:r>
      <w:r w:rsidRPr="008D0341" w:rsidR="00400456">
        <w:rPr>
          <w:lang w:val="en-GB"/>
        </w:rPr>
        <w:t xml:space="preserve"> the distinction between partnership principles – which aims </w:t>
      </w:r>
      <w:r w:rsidRPr="008D0341" w:rsidR="008A360D">
        <w:rPr>
          <w:lang w:val="en-GB"/>
        </w:rPr>
        <w:t>to involve</w:t>
      </w:r>
      <w:r w:rsidRPr="008D0341" w:rsidR="00400456">
        <w:rPr>
          <w:lang w:val="en-GB"/>
        </w:rPr>
        <w:t xml:space="preserve"> all relevant stakeholders in the implementation of EU investments</w:t>
      </w:r>
      <w:r w:rsidRPr="008D0341" w:rsidR="008A360D">
        <w:rPr>
          <w:lang w:val="en-GB"/>
        </w:rPr>
        <w:t xml:space="preserve"> </w:t>
      </w:r>
      <w:r w:rsidRPr="008D0341" w:rsidR="00021F8E">
        <w:rPr>
          <w:lang w:val="en-GB"/>
        </w:rPr>
        <w:t>–</w:t>
      </w:r>
      <w:r w:rsidRPr="008D0341" w:rsidR="008A360D">
        <w:rPr>
          <w:lang w:val="en-GB"/>
        </w:rPr>
        <w:t xml:space="preserve"> </w:t>
      </w:r>
      <w:r w:rsidRPr="008D0341" w:rsidR="00400456">
        <w:rPr>
          <w:lang w:val="en-GB"/>
        </w:rPr>
        <w:t>and</w:t>
      </w:r>
      <w:r w:rsidRPr="008D0341" w:rsidR="00021F8E">
        <w:rPr>
          <w:lang w:val="en-GB"/>
        </w:rPr>
        <w:t xml:space="preserve"> </w:t>
      </w:r>
      <w:r w:rsidRPr="008D0341" w:rsidR="00400456">
        <w:rPr>
          <w:lang w:val="en-GB"/>
        </w:rPr>
        <w:t>multilevel governance</w:t>
      </w:r>
      <w:r w:rsidRPr="008D0341" w:rsidR="008A360D">
        <w:rPr>
          <w:lang w:val="en-GB"/>
        </w:rPr>
        <w:t>,</w:t>
      </w:r>
      <w:r w:rsidRPr="008D0341" w:rsidR="00400456">
        <w:rPr>
          <w:lang w:val="en-GB"/>
        </w:rPr>
        <w:t xml:space="preserve"> which refers to the cooperation </w:t>
      </w:r>
      <w:r w:rsidRPr="008D0341" w:rsidR="008A360D">
        <w:rPr>
          <w:lang w:val="en-GB"/>
        </w:rPr>
        <w:t xml:space="preserve">among </w:t>
      </w:r>
      <w:r w:rsidRPr="008D0341" w:rsidR="00400456">
        <w:rPr>
          <w:lang w:val="en-GB"/>
        </w:rPr>
        <w:t>all</w:t>
      </w:r>
      <w:r w:rsidRPr="008D0341" w:rsidR="008A360D">
        <w:rPr>
          <w:lang w:val="en-GB"/>
        </w:rPr>
        <w:t xml:space="preserve"> levels of </w:t>
      </w:r>
      <w:r w:rsidRPr="008D0341" w:rsidR="00400456">
        <w:rPr>
          <w:lang w:val="en-GB"/>
        </w:rPr>
        <w:t xml:space="preserve">government </w:t>
      </w:r>
      <w:r w:rsidRPr="008D0341" w:rsidR="008A360D">
        <w:rPr>
          <w:lang w:val="en-GB"/>
        </w:rPr>
        <w:t>within a Member State</w:t>
      </w:r>
      <w:r w:rsidRPr="008D0341" w:rsidR="00375B82">
        <w:rPr>
          <w:lang w:val="en-GB"/>
        </w:rPr>
        <w:t>;</w:t>
      </w:r>
    </w:p>
    <w:p w:rsidRPr="008D0341" w:rsidR="00400456" w:rsidP="00066365" w:rsidRDefault="00400456" w14:paraId="16E3203B" w14:textId="77777777">
      <w:pPr>
        <w:ind w:left="709" w:hanging="709"/>
        <w:rPr>
          <w:lang w:val="en-GB"/>
        </w:rPr>
      </w:pPr>
    </w:p>
    <w:p w:rsidRPr="008D0341" w:rsidR="00400456" w:rsidP="00066365" w:rsidRDefault="00C30CA7" w14:paraId="5801D888" w14:textId="701C46F7">
      <w:pPr>
        <w:pStyle w:val="Heading1"/>
        <w:rPr>
          <w:lang w:val="en-GB"/>
        </w:rPr>
      </w:pPr>
      <w:r w:rsidRPr="008D0341">
        <w:rPr>
          <w:lang w:val="en-GB"/>
        </w:rPr>
        <w:t>s</w:t>
      </w:r>
      <w:r w:rsidRPr="008D0341" w:rsidR="008A360D">
        <w:rPr>
          <w:lang w:val="en-GB"/>
        </w:rPr>
        <w:t>tresses</w:t>
      </w:r>
      <w:r w:rsidRPr="008D0341" w:rsidR="00375B82">
        <w:rPr>
          <w:lang w:val="en-GB"/>
        </w:rPr>
        <w:t>,</w:t>
      </w:r>
      <w:r w:rsidRPr="008D0341" w:rsidR="00400456">
        <w:rPr>
          <w:lang w:val="en-GB"/>
        </w:rPr>
        <w:t xml:space="preserve"> therefore, that the participation of </w:t>
      </w:r>
      <w:r w:rsidRPr="008D0341" w:rsidR="003F5E5C">
        <w:rPr>
          <w:lang w:val="en-GB"/>
        </w:rPr>
        <w:t>sub-national</w:t>
      </w:r>
      <w:r w:rsidRPr="008D0341" w:rsidR="00400456">
        <w:rPr>
          <w:lang w:val="en-GB"/>
        </w:rPr>
        <w:t xml:space="preserve"> </w:t>
      </w:r>
      <w:r w:rsidRPr="008D0341" w:rsidR="008A360D">
        <w:rPr>
          <w:lang w:val="en-GB"/>
        </w:rPr>
        <w:t xml:space="preserve">levels of </w:t>
      </w:r>
      <w:r w:rsidRPr="008D0341" w:rsidR="00400456">
        <w:rPr>
          <w:lang w:val="en-GB"/>
        </w:rPr>
        <w:t>government must be ensured</w:t>
      </w:r>
      <w:r w:rsidRPr="008D0341" w:rsidR="008A360D">
        <w:rPr>
          <w:lang w:val="en-GB"/>
        </w:rPr>
        <w:t xml:space="preserve">, with strong </w:t>
      </w:r>
      <w:r w:rsidRPr="008D0341" w:rsidR="00CB5DCB">
        <w:rPr>
          <w:lang w:val="en-GB"/>
        </w:rPr>
        <w:t>and bi</w:t>
      </w:r>
      <w:r w:rsidRPr="008D0341" w:rsidR="00CD500F">
        <w:rPr>
          <w:lang w:val="en-GB"/>
        </w:rPr>
        <w:t>n</w:t>
      </w:r>
      <w:r w:rsidRPr="008D0341" w:rsidR="00CB5DCB">
        <w:rPr>
          <w:lang w:val="en-GB"/>
        </w:rPr>
        <w:t xml:space="preserve">ding legislative </w:t>
      </w:r>
      <w:r w:rsidRPr="008D0341" w:rsidR="008A360D">
        <w:rPr>
          <w:lang w:val="en-GB"/>
        </w:rPr>
        <w:t>safeguards,</w:t>
      </w:r>
      <w:r w:rsidRPr="008D0341" w:rsidR="00400456">
        <w:rPr>
          <w:lang w:val="en-GB"/>
        </w:rPr>
        <w:t xml:space="preserve"> in the preparation, implementation and</w:t>
      </w:r>
      <w:r w:rsidRPr="008D0341" w:rsidR="00CD500F">
        <w:rPr>
          <w:lang w:val="en-GB"/>
        </w:rPr>
        <w:t xml:space="preserve"> </w:t>
      </w:r>
      <w:r w:rsidRPr="008D0341" w:rsidR="00400456">
        <w:rPr>
          <w:lang w:val="en-GB"/>
        </w:rPr>
        <w:t xml:space="preserve">evaluation of the </w:t>
      </w:r>
      <w:r w:rsidRPr="008D0341" w:rsidR="008A360D">
        <w:rPr>
          <w:lang w:val="en-GB"/>
        </w:rPr>
        <w:t>NRP</w:t>
      </w:r>
      <w:r w:rsidRPr="008D0341" w:rsidR="00D46D49">
        <w:rPr>
          <w:lang w:val="en-GB"/>
        </w:rPr>
        <w:t>Ps</w:t>
      </w:r>
      <w:r w:rsidRPr="008D0341" w:rsidR="00971E0F">
        <w:rPr>
          <w:lang w:val="en-GB"/>
        </w:rPr>
        <w:t>. Th</w:t>
      </w:r>
      <w:r w:rsidRPr="008D0341" w:rsidR="00D46D49">
        <w:rPr>
          <w:lang w:val="en-GB"/>
        </w:rPr>
        <w:t>ese</w:t>
      </w:r>
      <w:r w:rsidRPr="008D0341" w:rsidR="00971E0F">
        <w:rPr>
          <w:lang w:val="en-GB"/>
        </w:rPr>
        <w:t xml:space="preserve"> </w:t>
      </w:r>
      <w:r w:rsidRPr="008D0341" w:rsidR="00DE261D">
        <w:rPr>
          <w:lang w:val="en-GB"/>
        </w:rPr>
        <w:t xml:space="preserve">new legislative </w:t>
      </w:r>
      <w:r w:rsidRPr="008D0341" w:rsidR="00971E0F">
        <w:rPr>
          <w:lang w:val="en-GB"/>
        </w:rPr>
        <w:t>safeguard</w:t>
      </w:r>
      <w:r w:rsidRPr="008D0341" w:rsidR="00D46D49">
        <w:rPr>
          <w:lang w:val="en-GB"/>
        </w:rPr>
        <w:t>s</w:t>
      </w:r>
      <w:r w:rsidRPr="008D0341" w:rsidR="00971E0F">
        <w:rPr>
          <w:lang w:val="en-GB"/>
        </w:rPr>
        <w:t xml:space="preserve"> </w:t>
      </w:r>
      <w:r w:rsidRPr="008D0341" w:rsidR="00D46D49">
        <w:rPr>
          <w:lang w:val="en-GB"/>
        </w:rPr>
        <w:t>should be</w:t>
      </w:r>
      <w:r w:rsidRPr="008D0341" w:rsidR="00971E0F">
        <w:rPr>
          <w:lang w:val="en-GB"/>
        </w:rPr>
        <w:t xml:space="preserve"> enshrined in new articles concerning the </w:t>
      </w:r>
      <w:r w:rsidRPr="008D0341" w:rsidR="003F2CC2">
        <w:rPr>
          <w:lang w:val="en-GB"/>
        </w:rPr>
        <w:t>‘</w:t>
      </w:r>
      <w:r w:rsidRPr="008D0341" w:rsidR="00B3043A">
        <w:rPr>
          <w:b/>
          <w:bCs/>
          <w:lang w:val="en-GB"/>
        </w:rPr>
        <w:t xml:space="preserve">multilevel governance </w:t>
      </w:r>
      <w:r w:rsidRPr="008D0341" w:rsidR="00A47D9E">
        <w:rPr>
          <w:b/>
          <w:bCs/>
          <w:lang w:val="en-GB"/>
        </w:rPr>
        <w:t>assessment</w:t>
      </w:r>
      <w:r w:rsidRPr="008D0341" w:rsidR="003F2CC2">
        <w:rPr>
          <w:lang w:val="en-GB"/>
        </w:rPr>
        <w:t>’</w:t>
      </w:r>
      <w:r w:rsidRPr="008D0341" w:rsidR="00C4111D">
        <w:rPr>
          <w:lang w:val="en-GB"/>
        </w:rPr>
        <w:t xml:space="preserve"> and the </w:t>
      </w:r>
      <w:r w:rsidRPr="008D0341" w:rsidR="003F2CC2">
        <w:rPr>
          <w:lang w:val="en-GB"/>
        </w:rPr>
        <w:t>‘</w:t>
      </w:r>
      <w:r w:rsidRPr="008D0341" w:rsidR="00971E0F">
        <w:rPr>
          <w:b/>
          <w:bCs/>
          <w:lang w:val="en-GB"/>
        </w:rPr>
        <w:t>subsidiarity clause</w:t>
      </w:r>
      <w:r w:rsidRPr="008D0341" w:rsidR="003F2CC2">
        <w:rPr>
          <w:lang w:val="en-GB"/>
        </w:rPr>
        <w:t>’</w:t>
      </w:r>
      <w:r w:rsidRPr="008D0341" w:rsidR="00971E0F">
        <w:rPr>
          <w:lang w:val="en-GB"/>
        </w:rPr>
        <w:t xml:space="preserve"> of the present regulation</w:t>
      </w:r>
      <w:r w:rsidRPr="008D0341" w:rsidR="00DE261D">
        <w:rPr>
          <w:lang w:val="en-GB"/>
        </w:rPr>
        <w:t>;</w:t>
      </w:r>
      <w:r w:rsidRPr="008D0341" w:rsidR="0000107B">
        <w:rPr>
          <w:lang w:val="en-GB"/>
        </w:rPr>
        <w:t xml:space="preserve"> </w:t>
      </w:r>
    </w:p>
    <w:p w:rsidRPr="008D0341" w:rsidR="001165F9" w:rsidP="00066365" w:rsidRDefault="001165F9" w14:paraId="16C76D29" w14:textId="77777777">
      <w:pPr>
        <w:ind w:left="709" w:hanging="709"/>
        <w:rPr>
          <w:lang w:val="en-GB"/>
        </w:rPr>
      </w:pPr>
    </w:p>
    <w:p w:rsidRPr="008D0341" w:rsidR="000761D5" w:rsidP="00066365" w:rsidRDefault="00C30CA7" w14:paraId="26543B39" w14:textId="0E1D5985">
      <w:pPr>
        <w:pStyle w:val="Heading1"/>
        <w:rPr>
          <w:lang w:val="en-GB"/>
        </w:rPr>
      </w:pPr>
      <w:r w:rsidRPr="008D0341">
        <w:rPr>
          <w:lang w:val="en-GB"/>
        </w:rPr>
        <w:t>u</w:t>
      </w:r>
      <w:r w:rsidRPr="008D0341" w:rsidR="00DE2045">
        <w:rPr>
          <w:lang w:val="en-GB"/>
        </w:rPr>
        <w:t xml:space="preserve">nderscores that, </w:t>
      </w:r>
      <w:r w:rsidRPr="008D0341" w:rsidR="00DE7F6F">
        <w:rPr>
          <w:lang w:val="en-GB"/>
        </w:rPr>
        <w:t>i</w:t>
      </w:r>
      <w:r w:rsidRPr="008D0341" w:rsidR="00C41CDB">
        <w:rPr>
          <w:lang w:val="en-GB"/>
        </w:rPr>
        <w:t>n response to</w:t>
      </w:r>
      <w:r w:rsidRPr="008D0341" w:rsidR="00DE2045">
        <w:rPr>
          <w:lang w:val="en-GB"/>
        </w:rPr>
        <w:t xml:space="preserve"> the European Commission President’s informal proposal for a </w:t>
      </w:r>
      <w:r w:rsidRPr="008D0341" w:rsidR="003F2CC2">
        <w:rPr>
          <w:lang w:val="en-GB"/>
        </w:rPr>
        <w:t>‘</w:t>
      </w:r>
      <w:r w:rsidRPr="008D0341" w:rsidR="00DE2045">
        <w:rPr>
          <w:lang w:val="en-GB"/>
        </w:rPr>
        <w:t>regional check</w:t>
      </w:r>
      <w:r w:rsidRPr="008D0341" w:rsidR="003F2CC2">
        <w:rPr>
          <w:lang w:val="en-GB"/>
        </w:rPr>
        <w:t>’</w:t>
      </w:r>
      <w:r w:rsidRPr="008D0341" w:rsidR="00DE2045">
        <w:rPr>
          <w:lang w:val="en-GB"/>
        </w:rPr>
        <w:t xml:space="preserve">, a formal </w:t>
      </w:r>
      <w:r w:rsidRPr="008D0341" w:rsidR="003F2CC2">
        <w:rPr>
          <w:lang w:val="en-GB"/>
        </w:rPr>
        <w:t>‘</w:t>
      </w:r>
      <w:r w:rsidRPr="008D0341" w:rsidR="003033B5">
        <w:rPr>
          <w:b/>
          <w:bCs/>
          <w:lang w:val="en-GB"/>
        </w:rPr>
        <w:t>multilevel governance assessment</w:t>
      </w:r>
      <w:r w:rsidRPr="008D0341" w:rsidR="003F2CC2">
        <w:rPr>
          <w:lang w:val="en-GB"/>
        </w:rPr>
        <w:t>’</w:t>
      </w:r>
      <w:r w:rsidRPr="008D0341" w:rsidR="00DE2045">
        <w:rPr>
          <w:lang w:val="en-GB"/>
        </w:rPr>
        <w:t xml:space="preserve"> must be </w:t>
      </w:r>
      <w:r w:rsidRPr="008D0341" w:rsidR="00C41CDB">
        <w:rPr>
          <w:lang w:val="en-GB"/>
        </w:rPr>
        <w:t>established</w:t>
      </w:r>
      <w:r w:rsidRPr="008D0341" w:rsidR="00DE2045">
        <w:rPr>
          <w:lang w:val="en-GB"/>
        </w:rPr>
        <w:t xml:space="preserve"> to </w:t>
      </w:r>
      <w:r w:rsidRPr="008D0341" w:rsidR="00C41CDB">
        <w:rPr>
          <w:lang w:val="en-GB"/>
        </w:rPr>
        <w:t>verify</w:t>
      </w:r>
      <w:r w:rsidRPr="008D0341" w:rsidR="00DE2045">
        <w:rPr>
          <w:lang w:val="en-GB"/>
        </w:rPr>
        <w:t xml:space="preserve"> that preconditions are met regarding both the consultation of local and regional authorities and </w:t>
      </w:r>
      <w:r w:rsidRPr="008D0341" w:rsidR="00EA6E24">
        <w:rPr>
          <w:lang w:val="en-GB"/>
        </w:rPr>
        <w:t xml:space="preserve">in </w:t>
      </w:r>
      <w:r w:rsidRPr="008D0341" w:rsidR="004E5F03">
        <w:rPr>
          <w:lang w:val="en-GB"/>
        </w:rPr>
        <w:t xml:space="preserve">full </w:t>
      </w:r>
      <w:r w:rsidRPr="008D0341" w:rsidR="00DE2045">
        <w:rPr>
          <w:lang w:val="en-GB"/>
        </w:rPr>
        <w:t xml:space="preserve">respect </w:t>
      </w:r>
      <w:r w:rsidRPr="008D0341" w:rsidR="00EA6E24">
        <w:rPr>
          <w:lang w:val="en-GB"/>
        </w:rPr>
        <w:t>of</w:t>
      </w:r>
      <w:r w:rsidRPr="008D0341" w:rsidR="00DE2045">
        <w:rPr>
          <w:lang w:val="en-GB"/>
        </w:rPr>
        <w:t xml:space="preserve"> their competences; </w:t>
      </w:r>
    </w:p>
    <w:p w:rsidRPr="008D0341" w:rsidR="000761D5" w:rsidP="00066365" w:rsidRDefault="000761D5" w14:paraId="695F8B53" w14:textId="77777777">
      <w:pPr>
        <w:ind w:left="709" w:hanging="709"/>
        <w:rPr>
          <w:lang w:val="en-GB"/>
        </w:rPr>
      </w:pPr>
    </w:p>
    <w:p w:rsidRPr="008D0341" w:rsidR="00FA2D71" w:rsidP="00066365" w:rsidRDefault="00DE2045" w14:paraId="2AD9A7AC" w14:textId="710A9DDB">
      <w:pPr>
        <w:pStyle w:val="Heading1"/>
        <w:rPr>
          <w:lang w:val="en-GB"/>
        </w:rPr>
      </w:pPr>
      <w:r w:rsidRPr="008D0341">
        <w:rPr>
          <w:lang w:val="en-GB"/>
        </w:rPr>
        <w:t>emphasi</w:t>
      </w:r>
      <w:r w:rsidRPr="008D0341" w:rsidR="003F2CC2">
        <w:rPr>
          <w:lang w:val="en-GB"/>
        </w:rPr>
        <w:t>s</w:t>
      </w:r>
      <w:r w:rsidRPr="008D0341">
        <w:rPr>
          <w:lang w:val="en-GB"/>
        </w:rPr>
        <w:t xml:space="preserve">es that, once this check is completed, the </w:t>
      </w:r>
      <w:r w:rsidRPr="008D0341" w:rsidR="003F2CC2">
        <w:rPr>
          <w:lang w:val="en-GB"/>
        </w:rPr>
        <w:t>‘</w:t>
      </w:r>
      <w:r w:rsidRPr="008D0341">
        <w:rPr>
          <w:b/>
          <w:bCs/>
          <w:lang w:val="en-GB"/>
        </w:rPr>
        <w:t>subsidiarity</w:t>
      </w:r>
      <w:r w:rsidRPr="008D0341" w:rsidR="004E5F03">
        <w:rPr>
          <w:b/>
          <w:bCs/>
          <w:lang w:val="en-GB"/>
        </w:rPr>
        <w:t xml:space="preserve"> </w:t>
      </w:r>
      <w:r w:rsidRPr="008D0341">
        <w:rPr>
          <w:b/>
          <w:bCs/>
          <w:lang w:val="en-GB"/>
        </w:rPr>
        <w:t>clause</w:t>
      </w:r>
      <w:r w:rsidRPr="008D0341" w:rsidR="003F2CC2">
        <w:rPr>
          <w:lang w:val="en-GB"/>
        </w:rPr>
        <w:t>’</w:t>
      </w:r>
      <w:r w:rsidRPr="008D0341">
        <w:rPr>
          <w:lang w:val="en-GB"/>
        </w:rPr>
        <w:t xml:space="preserve"> applies</w:t>
      </w:r>
      <w:r w:rsidRPr="008D0341" w:rsidR="001D559E">
        <w:rPr>
          <w:lang w:val="en-GB"/>
        </w:rPr>
        <w:t xml:space="preserve">: </w:t>
      </w:r>
      <w:r w:rsidRPr="008D0341" w:rsidR="006A65B0">
        <w:rPr>
          <w:lang w:val="en-GB"/>
        </w:rPr>
        <w:t>if</w:t>
      </w:r>
      <w:r w:rsidRPr="008D0341">
        <w:rPr>
          <w:lang w:val="en-GB"/>
        </w:rPr>
        <w:t xml:space="preserve"> </w:t>
      </w:r>
      <w:r w:rsidRPr="008D0341" w:rsidR="00EF60C9">
        <w:rPr>
          <w:lang w:val="en-GB"/>
        </w:rPr>
        <w:t>a Member State’s internal constitutional organi</w:t>
      </w:r>
      <w:r w:rsidRPr="008D0341" w:rsidR="003F2CC2">
        <w:rPr>
          <w:lang w:val="en-GB"/>
        </w:rPr>
        <w:t>s</w:t>
      </w:r>
      <w:r w:rsidRPr="008D0341" w:rsidR="00EF60C9">
        <w:rPr>
          <w:lang w:val="en-GB"/>
        </w:rPr>
        <w:t xml:space="preserve">ation explicitly attributes competences to regions and local authorities </w:t>
      </w:r>
      <w:r w:rsidRPr="008D0341" w:rsidR="00760926">
        <w:rPr>
          <w:lang w:val="en-GB"/>
        </w:rPr>
        <w:t>linked to</w:t>
      </w:r>
      <w:r w:rsidRPr="008D0341" w:rsidR="00EF60C9">
        <w:rPr>
          <w:lang w:val="en-GB"/>
        </w:rPr>
        <w:t xml:space="preserve"> the implementation of </w:t>
      </w:r>
      <w:r w:rsidRPr="008D0341" w:rsidR="00C25817">
        <w:rPr>
          <w:lang w:val="en-GB"/>
        </w:rPr>
        <w:t>NRPPs</w:t>
      </w:r>
      <w:r w:rsidRPr="008D0341" w:rsidR="00EF60C9">
        <w:rPr>
          <w:lang w:val="en-GB"/>
        </w:rPr>
        <w:t xml:space="preserve">, the </w:t>
      </w:r>
      <w:r w:rsidRPr="008D0341" w:rsidR="7C9E405F">
        <w:rPr>
          <w:lang w:val="en-GB"/>
        </w:rPr>
        <w:t>creation</w:t>
      </w:r>
      <w:r w:rsidRPr="008D0341" w:rsidR="00EF60C9">
        <w:rPr>
          <w:lang w:val="en-GB"/>
        </w:rPr>
        <w:t xml:space="preserve"> of regional and/or territorial chapters shall be mandatory, and no plan may be approved without the explicit agreement of the regions concerned</w:t>
      </w:r>
      <w:r w:rsidRPr="008D0341" w:rsidR="00CF0598">
        <w:rPr>
          <w:lang w:val="en-GB"/>
        </w:rPr>
        <w:t xml:space="preserve">. </w:t>
      </w:r>
      <w:r w:rsidRPr="008D0341" w:rsidR="003F5E5C">
        <w:rPr>
          <w:lang w:val="en-GB"/>
        </w:rPr>
        <w:t>Sub-national</w:t>
      </w:r>
      <w:r w:rsidRPr="008D0341" w:rsidR="00CF0598">
        <w:rPr>
          <w:lang w:val="en-GB"/>
        </w:rPr>
        <w:t xml:space="preserve"> authorities concerned can alert the European Commission </w:t>
      </w:r>
      <w:r w:rsidRPr="008D0341" w:rsidR="283BCD34">
        <w:rPr>
          <w:lang w:val="en-GB"/>
        </w:rPr>
        <w:t xml:space="preserve">officially </w:t>
      </w:r>
      <w:r w:rsidRPr="008D0341" w:rsidR="00CF0598">
        <w:rPr>
          <w:lang w:val="en-GB"/>
        </w:rPr>
        <w:t>if they consider they have</w:t>
      </w:r>
      <w:r w:rsidRPr="008D0341" w:rsidR="005704B9">
        <w:rPr>
          <w:lang w:val="en-GB"/>
        </w:rPr>
        <w:t xml:space="preserve"> not</w:t>
      </w:r>
      <w:r w:rsidRPr="008D0341" w:rsidR="00CF0598">
        <w:rPr>
          <w:lang w:val="en-GB"/>
        </w:rPr>
        <w:t xml:space="preserve"> been sufficiently consulted;</w:t>
      </w:r>
    </w:p>
    <w:p w:rsidRPr="008D0341" w:rsidR="00BC38DF" w:rsidP="00066365" w:rsidRDefault="00BC38DF" w14:paraId="1BDBAFB0" w14:textId="77777777">
      <w:pPr>
        <w:ind w:left="709" w:hanging="709"/>
        <w:rPr>
          <w:lang w:val="en-GB"/>
        </w:rPr>
      </w:pPr>
    </w:p>
    <w:p w:rsidR="009209F6" w:rsidP="00066365" w:rsidRDefault="00A3612D" w14:paraId="68BFA915" w14:textId="1B443C88">
      <w:pPr>
        <w:pStyle w:val="Heading1"/>
        <w:rPr>
          <w:lang w:val="en-GB"/>
        </w:rPr>
      </w:pPr>
      <w:r w:rsidRPr="008D0341">
        <w:rPr>
          <w:lang w:val="en-GB"/>
        </w:rPr>
        <w:t xml:space="preserve">calls for a requirement for each Member State </w:t>
      </w:r>
      <w:r w:rsidRPr="008D0341" w:rsidR="00175297">
        <w:rPr>
          <w:lang w:val="en-GB"/>
        </w:rPr>
        <w:t xml:space="preserve">to </w:t>
      </w:r>
      <w:r w:rsidRPr="008D0341">
        <w:rPr>
          <w:lang w:val="en-GB"/>
        </w:rPr>
        <w:t>include at least one</w:t>
      </w:r>
      <w:r w:rsidRPr="008D0341" w:rsidR="00175297">
        <w:rPr>
          <w:lang w:val="en-GB"/>
        </w:rPr>
        <w:t xml:space="preserve"> regional or</w:t>
      </w:r>
      <w:r w:rsidRPr="008D0341">
        <w:rPr>
          <w:lang w:val="en-GB"/>
        </w:rPr>
        <w:t xml:space="preserve"> territorial chapter in its NRPP</w:t>
      </w:r>
      <w:r w:rsidRPr="008D0341" w:rsidR="003F2CC2">
        <w:rPr>
          <w:lang w:val="en-GB"/>
        </w:rPr>
        <w:t>,</w:t>
      </w:r>
      <w:r w:rsidRPr="008D0341" w:rsidR="00175297">
        <w:rPr>
          <w:lang w:val="en-GB"/>
        </w:rPr>
        <w:t xml:space="preserve"> in </w:t>
      </w:r>
      <w:r w:rsidRPr="008D0341" w:rsidR="003F2CC2">
        <w:rPr>
          <w:lang w:val="en-GB"/>
        </w:rPr>
        <w:t>line</w:t>
      </w:r>
      <w:r w:rsidRPr="008D0341" w:rsidR="00175297">
        <w:rPr>
          <w:lang w:val="en-GB"/>
        </w:rPr>
        <w:t xml:space="preserve"> with the multilevel governance assessment and the subsidiarity clause</w:t>
      </w:r>
      <w:r w:rsidRPr="008D0341" w:rsidR="009209F6">
        <w:rPr>
          <w:lang w:val="en-GB"/>
        </w:rPr>
        <w:t>;</w:t>
      </w:r>
    </w:p>
    <w:p w:rsidRPr="008D0341" w:rsidR="009209F6" w:rsidP="0063224B" w:rsidRDefault="009209F6" w14:paraId="7F9AC965" w14:textId="77777777">
      <w:pPr>
        <w:rPr>
          <w:lang w:val="en-GB"/>
        </w:rPr>
      </w:pPr>
    </w:p>
    <w:p w:rsidRPr="006A411D" w:rsidR="00C170A4" w:rsidP="00066365" w:rsidRDefault="009209F6" w14:paraId="5CA74662" w14:textId="15F0F46B">
      <w:pPr>
        <w:pStyle w:val="Heading1"/>
        <w:rPr>
          <w:iCs/>
          <w:lang w:val="en-GB"/>
        </w:rPr>
      </w:pPr>
      <w:r w:rsidRPr="006A411D">
        <w:rPr>
          <w:iCs/>
          <w:lang w:val="en-GB"/>
        </w:rPr>
        <w:t>believes that a stronger chapter-based approach should be discussed, including the possibility of separate approval of chapters. This would allow well-prepared chapters to progress without being delayed by unresolved issues in unrelated areas, supporting the timely adoption of the Plan</w:t>
      </w:r>
      <w:r w:rsidRPr="006A411D" w:rsidR="00C170A4">
        <w:rPr>
          <w:iCs/>
          <w:lang w:val="en-GB"/>
        </w:rPr>
        <w:t>;</w:t>
      </w:r>
    </w:p>
    <w:p w:rsidRPr="008D0341" w:rsidR="005D0272" w:rsidP="0063224B" w:rsidRDefault="005D0272" w14:paraId="1EF17C9B" w14:textId="77777777">
      <w:pPr>
        <w:pStyle w:val="Heading1"/>
        <w:numPr>
          <w:ilvl w:val="0"/>
          <w:numId w:val="0"/>
        </w:numPr>
        <w:ind w:left="567"/>
        <w:rPr>
          <w:lang w:val="en-GB"/>
        </w:rPr>
      </w:pPr>
    </w:p>
    <w:p w:rsidRPr="008D0341" w:rsidR="00A668FB" w:rsidP="00066365" w:rsidRDefault="00A668FB" w14:paraId="24D6369D" w14:textId="020F45B2">
      <w:pPr>
        <w:keepNext/>
        <w:keepLines/>
        <w:ind w:left="709" w:hanging="709"/>
        <w:rPr>
          <w:b/>
          <w:bCs/>
          <w:lang w:val="en-GB"/>
        </w:rPr>
      </w:pPr>
      <w:r w:rsidRPr="008D0341">
        <w:rPr>
          <w:b/>
          <w:bCs/>
          <w:lang w:val="en-GB"/>
        </w:rPr>
        <w:t>Financial framework</w:t>
      </w:r>
    </w:p>
    <w:p w:rsidRPr="008D0341" w:rsidR="00A668FB" w:rsidP="00066365" w:rsidRDefault="00A668FB" w14:paraId="564E12D3" w14:textId="77777777">
      <w:pPr>
        <w:keepNext/>
        <w:keepLines/>
        <w:ind w:left="709" w:hanging="709"/>
        <w:rPr>
          <w:lang w:val="en-GB"/>
        </w:rPr>
      </w:pPr>
    </w:p>
    <w:p w:rsidR="009862DB" w:rsidP="00066365" w:rsidRDefault="00C30CA7" w14:paraId="6AFB70EE" w14:textId="1E451146">
      <w:pPr>
        <w:pStyle w:val="Heading1"/>
        <w:rPr>
          <w:lang w:val="en-GB"/>
        </w:rPr>
      </w:pPr>
      <w:r w:rsidRPr="008D0341">
        <w:rPr>
          <w:lang w:val="en-GB"/>
        </w:rPr>
        <w:t>p</w:t>
      </w:r>
      <w:r w:rsidRPr="008D0341" w:rsidR="00A668FB">
        <w:rPr>
          <w:lang w:val="en-GB"/>
        </w:rPr>
        <w:t>oints</w:t>
      </w:r>
      <w:r w:rsidRPr="008D0341" w:rsidR="008A360D">
        <w:rPr>
          <w:lang w:val="en-GB"/>
        </w:rPr>
        <w:t xml:space="preserve"> out</w:t>
      </w:r>
      <w:r w:rsidRPr="008D0341" w:rsidR="00A668FB">
        <w:rPr>
          <w:lang w:val="en-GB"/>
        </w:rPr>
        <w:t xml:space="preserve"> the absence of clear allocation</w:t>
      </w:r>
      <w:r w:rsidRPr="008D0341" w:rsidR="00DB6DE0">
        <w:rPr>
          <w:lang w:val="en-GB"/>
        </w:rPr>
        <w:t>s</w:t>
      </w:r>
      <w:r w:rsidRPr="008D0341" w:rsidR="008A360D">
        <w:rPr>
          <w:lang w:val="en-GB"/>
        </w:rPr>
        <w:t xml:space="preserve"> within the EU budget for the</w:t>
      </w:r>
      <w:r w:rsidRPr="008D0341" w:rsidR="00A668FB">
        <w:rPr>
          <w:lang w:val="en-GB"/>
        </w:rPr>
        <w:t xml:space="preserve"> objective</w:t>
      </w:r>
      <w:r w:rsidRPr="008D0341" w:rsidR="00610C1E">
        <w:rPr>
          <w:lang w:val="en-GB"/>
        </w:rPr>
        <w:t xml:space="preserve"> of economic, social and territorial cohesion</w:t>
      </w:r>
      <w:r w:rsidRPr="008D0341" w:rsidR="008A360D">
        <w:rPr>
          <w:lang w:val="en-GB"/>
        </w:rPr>
        <w:t>,</w:t>
      </w:r>
      <w:r w:rsidRPr="008D0341" w:rsidR="00610C1E">
        <w:rPr>
          <w:lang w:val="en-GB"/>
        </w:rPr>
        <w:t xml:space="preserve"> as set out in Part Three, Title XVIII of the TFEU, beyond the minimum allocation to less developed regions</w:t>
      </w:r>
      <w:r w:rsidRPr="008D0341" w:rsidR="008A360D">
        <w:rPr>
          <w:lang w:val="en-GB"/>
        </w:rPr>
        <w:t>;</w:t>
      </w:r>
      <w:r w:rsidRPr="008D0341" w:rsidR="00610C1E">
        <w:rPr>
          <w:lang w:val="en-GB"/>
        </w:rPr>
        <w:t xml:space="preserve"> </w:t>
      </w:r>
      <w:r w:rsidRPr="008D0341" w:rsidR="008A360D">
        <w:rPr>
          <w:lang w:val="en-GB"/>
        </w:rPr>
        <w:t>s</w:t>
      </w:r>
      <w:r w:rsidRPr="008D0341" w:rsidR="00A668FB">
        <w:rPr>
          <w:lang w:val="en-GB"/>
        </w:rPr>
        <w:t xml:space="preserve">tresses that all European regions should remain eligible for funding and </w:t>
      </w:r>
      <w:r w:rsidRPr="008D0341" w:rsidR="00610C1E">
        <w:rPr>
          <w:lang w:val="en-GB"/>
        </w:rPr>
        <w:t>call</w:t>
      </w:r>
      <w:r w:rsidRPr="008D0341" w:rsidR="008A360D">
        <w:rPr>
          <w:lang w:val="en-GB"/>
        </w:rPr>
        <w:t>s</w:t>
      </w:r>
      <w:r w:rsidRPr="008D0341" w:rsidR="00610C1E">
        <w:rPr>
          <w:lang w:val="en-GB"/>
        </w:rPr>
        <w:t xml:space="preserve"> for clarification o</w:t>
      </w:r>
      <w:r w:rsidRPr="008D0341" w:rsidR="008A360D">
        <w:rPr>
          <w:lang w:val="en-GB"/>
        </w:rPr>
        <w:t>n</w:t>
      </w:r>
      <w:r w:rsidRPr="008D0341" w:rsidR="00610C1E">
        <w:rPr>
          <w:lang w:val="en-GB"/>
        </w:rPr>
        <w:t xml:space="preserve"> the percentages of national financial envelopes </w:t>
      </w:r>
      <w:r w:rsidRPr="008D0341" w:rsidR="008A360D">
        <w:rPr>
          <w:lang w:val="en-GB"/>
        </w:rPr>
        <w:t xml:space="preserve">benefiting </w:t>
      </w:r>
      <w:r w:rsidRPr="008D0341" w:rsidR="00610C1E">
        <w:rPr>
          <w:lang w:val="en-GB"/>
        </w:rPr>
        <w:t>less developed, transition and more developed regions in each Member States</w:t>
      </w:r>
      <w:r w:rsidRPr="008D0341" w:rsidR="00BB7BF4">
        <w:rPr>
          <w:lang w:val="en-GB"/>
        </w:rPr>
        <w:t xml:space="preserve">; </w:t>
      </w:r>
      <w:r w:rsidRPr="008D0341" w:rsidR="00B018AF">
        <w:rPr>
          <w:lang w:val="en-GB"/>
        </w:rPr>
        <w:t>proposes</w:t>
      </w:r>
      <w:r w:rsidRPr="008D0341" w:rsidR="003F2CC2">
        <w:rPr>
          <w:lang w:val="en-GB"/>
        </w:rPr>
        <w:t>,</w:t>
      </w:r>
      <w:r w:rsidRPr="008D0341" w:rsidR="00B018AF">
        <w:rPr>
          <w:lang w:val="en-GB"/>
        </w:rPr>
        <w:t xml:space="preserve"> therefore</w:t>
      </w:r>
      <w:r w:rsidRPr="008D0341" w:rsidR="003F2CC2">
        <w:rPr>
          <w:lang w:val="en-GB"/>
        </w:rPr>
        <w:t>,</w:t>
      </w:r>
      <w:r w:rsidRPr="008D0341" w:rsidR="00B018AF">
        <w:rPr>
          <w:lang w:val="en-GB"/>
        </w:rPr>
        <w:t xml:space="preserve"> to reintroduce distinct budget lines for all categories of regions (less developed, transition and more developed) by setting minimum percentages of the overall </w:t>
      </w:r>
      <w:r w:rsidRPr="008D0341" w:rsidR="003F2CC2">
        <w:rPr>
          <w:lang w:val="en-GB"/>
        </w:rPr>
        <w:t>c</w:t>
      </w:r>
      <w:r w:rsidRPr="008D0341" w:rsidR="00B018AF">
        <w:rPr>
          <w:lang w:val="en-GB"/>
        </w:rPr>
        <w:t xml:space="preserve">ohesion </w:t>
      </w:r>
      <w:r w:rsidRPr="008D0341" w:rsidR="003F2CC2">
        <w:rPr>
          <w:lang w:val="en-GB"/>
        </w:rPr>
        <w:t>p</w:t>
      </w:r>
      <w:r w:rsidRPr="008D0341" w:rsidR="00B018AF">
        <w:rPr>
          <w:lang w:val="en-GB"/>
        </w:rPr>
        <w:t>olicy resources, as in the 2021</w:t>
      </w:r>
      <w:r w:rsidRPr="008D0341" w:rsidR="003F2CC2">
        <w:rPr>
          <w:lang w:val="en-GB"/>
        </w:rPr>
        <w:t>-</w:t>
      </w:r>
      <w:r w:rsidRPr="008D0341" w:rsidR="00B018AF">
        <w:rPr>
          <w:lang w:val="en-GB"/>
        </w:rPr>
        <w:t>2027 period</w:t>
      </w:r>
      <w:r w:rsidRPr="008D0341" w:rsidR="009862DB">
        <w:rPr>
          <w:lang w:val="en-GB"/>
        </w:rPr>
        <w:t>;</w:t>
      </w:r>
    </w:p>
    <w:p w:rsidR="00066365" w:rsidP="00066365" w:rsidRDefault="00066365" w14:paraId="693D4E58" w14:textId="77777777">
      <w:pPr>
        <w:rPr>
          <w:lang w:val="en-GB"/>
        </w:rPr>
      </w:pPr>
    </w:p>
    <w:p w:rsidRPr="006A411D" w:rsidR="00A668FB" w:rsidRDefault="009862DB" w14:paraId="6A5C9A0B" w14:textId="07A84987">
      <w:pPr>
        <w:pStyle w:val="Heading1"/>
      </w:pPr>
      <w:r w:rsidRPr="006A411D">
        <w:t>welcomes the ring-fencing of funding for migration, border management and internal security and urges the co-legislators to protect this minimum level of financing, especially to foster integration measures in cities and regions and to tackle irregular migration</w:t>
      </w:r>
      <w:r w:rsidRPr="006A411D" w:rsidR="00B018AF">
        <w:t>;</w:t>
      </w:r>
    </w:p>
    <w:p w:rsidRPr="008D0341" w:rsidR="00A059D7" w:rsidP="00066365" w:rsidRDefault="00A059D7" w14:paraId="6732FC64" w14:textId="77777777">
      <w:pPr>
        <w:ind w:left="709" w:hanging="709"/>
        <w:rPr>
          <w:lang w:val="en-GB"/>
        </w:rPr>
      </w:pPr>
    </w:p>
    <w:p w:rsidRPr="008D0341" w:rsidR="003222ED" w:rsidP="00066365" w:rsidRDefault="00270E43" w14:paraId="072A4B92" w14:textId="6F2F3E2A">
      <w:pPr>
        <w:pStyle w:val="Heading1"/>
        <w:rPr>
          <w:lang w:val="en-GB"/>
        </w:rPr>
      </w:pPr>
      <w:r w:rsidRPr="008D0341">
        <w:rPr>
          <w:lang w:val="en-GB"/>
        </w:rPr>
        <w:t>welcomes the intention to introduce flexibility within the NRPP, but stresses that flexibility must not be a one-way instrument in the hands of central governments only; proposes a clear mechanism through which the 25% flexibility margin is accessed on the same basis as the programming (i.e.</w:t>
      </w:r>
      <w:r w:rsidRPr="008D0341" w:rsidR="008F6107">
        <w:rPr>
          <w:lang w:val="en-GB"/>
        </w:rPr>
        <w:t>,</w:t>
      </w:r>
      <w:r w:rsidRPr="008D0341">
        <w:rPr>
          <w:lang w:val="en-GB"/>
        </w:rPr>
        <w:t xml:space="preserve"> multi-level governance </w:t>
      </w:r>
      <w:r w:rsidRPr="008D0341" w:rsidR="008F6107">
        <w:rPr>
          <w:lang w:val="en-GB"/>
        </w:rPr>
        <w:t xml:space="preserve">assessment </w:t>
      </w:r>
      <w:r w:rsidRPr="008D0341">
        <w:rPr>
          <w:lang w:val="en-GB"/>
        </w:rPr>
        <w:t xml:space="preserve">and </w:t>
      </w:r>
      <w:r w:rsidRPr="008D0341" w:rsidR="008F6107">
        <w:rPr>
          <w:lang w:val="en-GB"/>
        </w:rPr>
        <w:t>subsidiarity clause</w:t>
      </w:r>
      <w:r w:rsidRPr="008D0341">
        <w:rPr>
          <w:lang w:val="en-GB"/>
        </w:rPr>
        <w:t xml:space="preserve">), based on clear and transparent criteria and supporting </w:t>
      </w:r>
      <w:r w:rsidRPr="008D0341" w:rsidR="003F2CC2">
        <w:rPr>
          <w:lang w:val="en-GB"/>
        </w:rPr>
        <w:t xml:space="preserve">the </w:t>
      </w:r>
      <w:r w:rsidRPr="008D0341">
        <w:rPr>
          <w:lang w:val="en-GB"/>
        </w:rPr>
        <w:t>multilevel governance and partnership principles;</w:t>
      </w:r>
    </w:p>
    <w:p w:rsidRPr="008D0341" w:rsidR="00F262AB" w:rsidP="00066365" w:rsidRDefault="00F262AB" w14:paraId="65247A9D" w14:textId="77777777">
      <w:pPr>
        <w:rPr>
          <w:lang w:val="en-GB"/>
        </w:rPr>
      </w:pPr>
    </w:p>
    <w:p w:rsidRPr="008D0341" w:rsidR="00F262AB" w:rsidP="00066365" w:rsidRDefault="00F262AB" w14:paraId="3D3277D7" w14:textId="76D086C9">
      <w:pPr>
        <w:pStyle w:val="Heading1"/>
        <w:rPr>
          <w:lang w:val="en-GB"/>
        </w:rPr>
      </w:pPr>
      <w:r w:rsidRPr="008D0341">
        <w:rPr>
          <w:lang w:val="en-GB"/>
        </w:rPr>
        <w:t>calls for the mid-term review of NRP plans to include a mandatory requirement for Member States to formally involve regional authorities to better align NRPP investments with new and emerging priorities, as per the multilevel governance assessment and subsidiarity clause;</w:t>
      </w:r>
    </w:p>
    <w:p w:rsidRPr="008D0341" w:rsidR="003222ED" w:rsidP="00066365" w:rsidRDefault="003222ED" w14:paraId="6672AF45" w14:textId="77777777">
      <w:pPr>
        <w:ind w:left="709" w:hanging="709"/>
        <w:rPr>
          <w:lang w:val="en-GB"/>
        </w:rPr>
      </w:pPr>
    </w:p>
    <w:p w:rsidRPr="008D0341" w:rsidR="00481716" w:rsidP="00066365" w:rsidRDefault="00C30CA7" w14:paraId="0CE75670" w14:textId="160626C1">
      <w:pPr>
        <w:pStyle w:val="Heading1"/>
        <w:rPr>
          <w:lang w:val="en-GB"/>
        </w:rPr>
      </w:pPr>
      <w:r w:rsidRPr="008D0341">
        <w:rPr>
          <w:lang w:val="en-GB"/>
        </w:rPr>
        <w:t>s</w:t>
      </w:r>
      <w:r w:rsidRPr="008D0341" w:rsidR="00481716">
        <w:rPr>
          <w:lang w:val="en-GB"/>
        </w:rPr>
        <w:t xml:space="preserve">tresses that flexibility </w:t>
      </w:r>
      <w:r w:rsidRPr="008D0341" w:rsidR="008A360D">
        <w:rPr>
          <w:lang w:val="en-GB"/>
        </w:rPr>
        <w:t xml:space="preserve">must </w:t>
      </w:r>
      <w:r w:rsidRPr="008D0341" w:rsidR="00481716">
        <w:rPr>
          <w:lang w:val="en-GB"/>
        </w:rPr>
        <w:t xml:space="preserve">not </w:t>
      </w:r>
      <w:r w:rsidRPr="008D0341" w:rsidR="008A360D">
        <w:rPr>
          <w:lang w:val="en-GB"/>
        </w:rPr>
        <w:t xml:space="preserve">undermine </w:t>
      </w:r>
      <w:r w:rsidRPr="008D0341" w:rsidR="00481716">
        <w:rPr>
          <w:lang w:val="en-GB"/>
        </w:rPr>
        <w:t>predictability for beneficiaries</w:t>
      </w:r>
      <w:r w:rsidRPr="008D0341" w:rsidR="008A360D">
        <w:rPr>
          <w:lang w:val="en-GB"/>
        </w:rPr>
        <w:t xml:space="preserve"> or</w:t>
      </w:r>
      <w:r w:rsidRPr="008D0341" w:rsidR="00481716">
        <w:rPr>
          <w:lang w:val="en-GB"/>
        </w:rPr>
        <w:t xml:space="preserve"> the long-term nature of E</w:t>
      </w:r>
      <w:r w:rsidRPr="008D0341" w:rsidR="008A360D">
        <w:rPr>
          <w:lang w:val="en-GB"/>
        </w:rPr>
        <w:t>U</w:t>
      </w:r>
      <w:r w:rsidRPr="008D0341" w:rsidR="00481716">
        <w:rPr>
          <w:lang w:val="en-GB"/>
        </w:rPr>
        <w:t xml:space="preserve"> structural investment</w:t>
      </w:r>
      <w:r w:rsidRPr="008D0341" w:rsidR="008A360D">
        <w:rPr>
          <w:lang w:val="en-GB"/>
        </w:rPr>
        <w:t>; c</w:t>
      </w:r>
      <w:r w:rsidRPr="008D0341" w:rsidR="00481716">
        <w:rPr>
          <w:lang w:val="en-GB"/>
        </w:rPr>
        <w:t>alls</w:t>
      </w:r>
      <w:r w:rsidRPr="008D0341" w:rsidR="003F2CC2">
        <w:rPr>
          <w:lang w:val="en-GB"/>
        </w:rPr>
        <w:t>,</w:t>
      </w:r>
      <w:r w:rsidRPr="008D0341" w:rsidR="00481716">
        <w:rPr>
          <w:lang w:val="en-GB"/>
        </w:rPr>
        <w:t xml:space="preserve"> therefore</w:t>
      </w:r>
      <w:r w:rsidRPr="008D0341" w:rsidR="003F2CC2">
        <w:rPr>
          <w:lang w:val="en-GB"/>
        </w:rPr>
        <w:t>,</w:t>
      </w:r>
      <w:r w:rsidRPr="008D0341" w:rsidR="00481716">
        <w:rPr>
          <w:lang w:val="en-GB"/>
        </w:rPr>
        <w:t xml:space="preserve"> for decommi</w:t>
      </w:r>
      <w:r w:rsidRPr="008D0341" w:rsidR="008A360D">
        <w:rPr>
          <w:lang w:val="en-GB"/>
        </w:rPr>
        <w:t>tments</w:t>
      </w:r>
      <w:r w:rsidRPr="008D0341" w:rsidR="00481716">
        <w:rPr>
          <w:lang w:val="en-GB"/>
        </w:rPr>
        <w:t xml:space="preserve"> to take place </w:t>
      </w:r>
      <w:r w:rsidRPr="008D0341" w:rsidR="00451CEA">
        <w:rPr>
          <w:lang w:val="en-GB"/>
        </w:rPr>
        <w:t>24</w:t>
      </w:r>
      <w:r w:rsidRPr="008D0341" w:rsidR="00481716">
        <w:rPr>
          <w:lang w:val="en-GB"/>
        </w:rPr>
        <w:t xml:space="preserve"> months </w:t>
      </w:r>
      <w:r w:rsidRPr="008D0341" w:rsidR="008A360D">
        <w:rPr>
          <w:lang w:val="en-GB"/>
        </w:rPr>
        <w:t>after</w:t>
      </w:r>
      <w:r w:rsidRPr="008D0341" w:rsidR="00481716">
        <w:rPr>
          <w:lang w:val="en-GB"/>
        </w:rPr>
        <w:t xml:space="preserve"> the year of the budgetary commitment</w:t>
      </w:r>
      <w:r w:rsidRPr="008D0341" w:rsidR="000E1C58">
        <w:rPr>
          <w:lang w:val="en-GB"/>
        </w:rPr>
        <w:t>;</w:t>
      </w:r>
    </w:p>
    <w:p w:rsidRPr="008D0341" w:rsidR="00481716" w:rsidP="00066365" w:rsidRDefault="00481716" w14:paraId="644D84AA" w14:textId="77777777">
      <w:pPr>
        <w:ind w:left="709" w:hanging="709"/>
        <w:rPr>
          <w:lang w:val="en-GB"/>
        </w:rPr>
      </w:pPr>
    </w:p>
    <w:p w:rsidRPr="008D0341" w:rsidR="00FC2DE0" w:rsidP="00066365" w:rsidRDefault="00C40A07" w14:paraId="17906DA6" w14:textId="38E3A86F">
      <w:pPr>
        <w:keepNext/>
        <w:keepLines/>
        <w:ind w:left="709" w:hanging="709"/>
        <w:rPr>
          <w:b/>
          <w:bCs/>
          <w:lang w:val="en-GB"/>
        </w:rPr>
      </w:pPr>
      <w:r w:rsidRPr="008D0341">
        <w:rPr>
          <w:b/>
          <w:bCs/>
          <w:lang w:val="en-GB"/>
        </w:rPr>
        <w:t>On milestones and targets</w:t>
      </w:r>
    </w:p>
    <w:p w:rsidRPr="008D0341" w:rsidR="00C40A07" w:rsidP="00066365" w:rsidRDefault="00C40A07" w14:paraId="4617DA92" w14:textId="77777777">
      <w:pPr>
        <w:keepNext/>
        <w:keepLines/>
        <w:ind w:left="709" w:hanging="709"/>
        <w:rPr>
          <w:b/>
          <w:bCs/>
          <w:lang w:val="en-GB"/>
        </w:rPr>
      </w:pPr>
    </w:p>
    <w:p w:rsidRPr="008D0341" w:rsidR="00C40A07" w:rsidP="00066365" w:rsidRDefault="00A424D4" w14:paraId="23C7C711" w14:textId="36AAE7D3">
      <w:pPr>
        <w:pStyle w:val="Heading1"/>
        <w:rPr>
          <w:lang w:val="en-GB"/>
        </w:rPr>
      </w:pPr>
      <w:r w:rsidRPr="008D0341">
        <w:rPr>
          <w:lang w:val="en-GB"/>
        </w:rPr>
        <w:t>stresses that milestones and targets set in the context of the NRPs must be designed in a way that reflects the distribution of competences across levels of government;</w:t>
      </w:r>
    </w:p>
    <w:p w:rsidRPr="008D0341" w:rsidR="006C4A35" w:rsidP="00066365" w:rsidRDefault="006C4A35" w14:paraId="0C9DF799" w14:textId="77777777">
      <w:pPr>
        <w:ind w:left="709" w:hanging="709"/>
        <w:rPr>
          <w:lang w:val="en-GB"/>
        </w:rPr>
      </w:pPr>
    </w:p>
    <w:p w:rsidRPr="008D0341" w:rsidR="006C4A35" w:rsidP="00066365" w:rsidRDefault="006C4A35" w14:paraId="3816F4EF" w14:textId="21099110">
      <w:pPr>
        <w:pStyle w:val="Heading1"/>
        <w:rPr>
          <w:lang w:val="en-GB"/>
        </w:rPr>
      </w:pPr>
      <w:r w:rsidRPr="008D0341">
        <w:rPr>
          <w:lang w:val="en-GB"/>
        </w:rPr>
        <w:t>proposes that milestones related to parts of NRP</w:t>
      </w:r>
      <w:r w:rsidRPr="008D0341" w:rsidR="00F33B66">
        <w:rPr>
          <w:lang w:val="en-GB"/>
        </w:rPr>
        <w:t>P</w:t>
      </w:r>
      <w:r w:rsidRPr="008D0341">
        <w:rPr>
          <w:lang w:val="en-GB"/>
        </w:rPr>
        <w:t>s implemented at sub-national level be explicitly aligned with regional competences and implementation responsibilities;</w:t>
      </w:r>
    </w:p>
    <w:p w:rsidRPr="008D0341" w:rsidR="00E4583B" w:rsidP="00066365" w:rsidRDefault="00E4583B" w14:paraId="45B465E8" w14:textId="77777777">
      <w:pPr>
        <w:ind w:left="709" w:hanging="709"/>
        <w:rPr>
          <w:lang w:val="en-GB"/>
        </w:rPr>
      </w:pPr>
    </w:p>
    <w:p w:rsidRPr="008D0341" w:rsidR="00E4583B" w:rsidP="00066365" w:rsidRDefault="00E4583B" w14:paraId="6A81897A" w14:textId="5667A3E5">
      <w:pPr>
        <w:pStyle w:val="Heading1"/>
        <w:rPr>
          <w:lang w:val="en-GB"/>
        </w:rPr>
      </w:pPr>
      <w:r w:rsidRPr="008D0341">
        <w:rPr>
          <w:lang w:val="en-GB"/>
        </w:rPr>
        <w:t>calls for milestones to be clearly linked to qualitative implementation steps, not only quantitative financial or output indicators, in line with the approach advocated in the CoR</w:t>
      </w:r>
      <w:r w:rsidRPr="008D0341" w:rsidR="003F2CC2">
        <w:rPr>
          <w:lang w:val="en-GB"/>
        </w:rPr>
        <w:t>’s</w:t>
      </w:r>
      <w:r w:rsidRPr="008D0341">
        <w:rPr>
          <w:lang w:val="en-GB"/>
        </w:rPr>
        <w:t xml:space="preserve"> Boudineau </w:t>
      </w:r>
      <w:r w:rsidRPr="008D0341" w:rsidR="003F2CC2">
        <w:rPr>
          <w:lang w:val="en-GB"/>
        </w:rPr>
        <w:t>o</w:t>
      </w:r>
      <w:r w:rsidRPr="008D0341">
        <w:rPr>
          <w:lang w:val="en-GB"/>
        </w:rPr>
        <w:t>pinion;</w:t>
      </w:r>
    </w:p>
    <w:p w:rsidRPr="008D0341" w:rsidR="00FA2AB1" w:rsidP="00066365" w:rsidRDefault="00FA2AB1" w14:paraId="1DC61393" w14:textId="77777777">
      <w:pPr>
        <w:ind w:left="709" w:hanging="709"/>
        <w:rPr>
          <w:lang w:val="en-GB"/>
        </w:rPr>
      </w:pPr>
    </w:p>
    <w:p w:rsidR="00FA2AB1" w:rsidP="00066365" w:rsidRDefault="00FA2AB1" w14:paraId="51C82DC9" w14:textId="5BD1FE09">
      <w:pPr>
        <w:keepNext/>
        <w:keepLines/>
        <w:ind w:left="709" w:hanging="709"/>
        <w:rPr>
          <w:b/>
          <w:bCs/>
          <w:lang w:val="en-GB"/>
        </w:rPr>
      </w:pPr>
      <w:r w:rsidRPr="008D0341">
        <w:rPr>
          <w:b/>
          <w:bCs/>
          <w:lang w:val="en-GB"/>
        </w:rPr>
        <w:t>On specific types of territories</w:t>
      </w:r>
    </w:p>
    <w:p w:rsidR="00F71483" w:rsidP="00066365" w:rsidRDefault="00F71483" w14:paraId="30BCA8DF" w14:textId="77777777">
      <w:pPr>
        <w:keepNext/>
        <w:keepLines/>
        <w:ind w:left="709" w:hanging="709"/>
        <w:rPr>
          <w:b/>
          <w:bCs/>
          <w:lang w:val="en-GB"/>
        </w:rPr>
      </w:pPr>
    </w:p>
    <w:p w:rsidR="00FA2AB1" w:rsidP="00066365" w:rsidRDefault="003F2CC2" w14:paraId="74257F0B" w14:textId="0A6C6205">
      <w:pPr>
        <w:pStyle w:val="Heading1"/>
        <w:rPr>
          <w:lang w:val="en-GB"/>
        </w:rPr>
      </w:pPr>
      <w:r w:rsidRPr="008D0341">
        <w:rPr>
          <w:lang w:val="en-GB"/>
        </w:rPr>
        <w:t>notes</w:t>
      </w:r>
      <w:r w:rsidRPr="008D0341" w:rsidR="00AD4E10">
        <w:rPr>
          <w:lang w:val="en-GB"/>
        </w:rPr>
        <w:t xml:space="preserve"> that </w:t>
      </w:r>
      <w:r w:rsidRPr="008D0341" w:rsidR="00311252">
        <w:rPr>
          <w:lang w:val="en-GB"/>
        </w:rPr>
        <w:t>o</w:t>
      </w:r>
      <w:r w:rsidRPr="008D0341" w:rsidR="00AD4E10">
        <w:rPr>
          <w:lang w:val="en-GB"/>
        </w:rPr>
        <w:t xml:space="preserve">utermost </w:t>
      </w:r>
      <w:r w:rsidRPr="008D0341" w:rsidR="00311252">
        <w:rPr>
          <w:lang w:val="en-GB"/>
        </w:rPr>
        <w:t>r</w:t>
      </w:r>
      <w:r w:rsidRPr="008D0341" w:rsidR="00AD4E10">
        <w:rPr>
          <w:lang w:val="en-GB"/>
        </w:rPr>
        <w:t>egions</w:t>
      </w:r>
      <w:r w:rsidRPr="008D0341" w:rsidR="00C533CD">
        <w:rPr>
          <w:lang w:val="en-GB"/>
        </w:rPr>
        <w:t xml:space="preserve">, </w:t>
      </w:r>
      <w:r w:rsidRPr="008D0341" w:rsidR="00AD4E10">
        <w:rPr>
          <w:lang w:val="en-GB"/>
        </w:rPr>
        <w:t xml:space="preserve">northern sparsely populated areas </w:t>
      </w:r>
      <w:r w:rsidRPr="006A411D" w:rsidR="00C533CD">
        <w:rPr>
          <w:bCs/>
          <w:iCs/>
          <w:lang w:val="en-GB"/>
        </w:rPr>
        <w:t>and areas affected by industrial transition</w:t>
      </w:r>
      <w:r w:rsidRPr="008D0341" w:rsidR="00C533CD">
        <w:rPr>
          <w:lang w:val="en-GB"/>
        </w:rPr>
        <w:t xml:space="preserve"> </w:t>
      </w:r>
      <w:r w:rsidRPr="008D0341" w:rsidR="00AD4E10">
        <w:rPr>
          <w:lang w:val="en-GB"/>
        </w:rPr>
        <w:t xml:space="preserve">are explicitly recognised in the Treaties and in </w:t>
      </w:r>
      <w:r w:rsidRPr="008D0341">
        <w:rPr>
          <w:lang w:val="en-GB"/>
        </w:rPr>
        <w:t>c</w:t>
      </w:r>
      <w:r w:rsidRPr="008D0341" w:rsidR="00AD4E10">
        <w:rPr>
          <w:lang w:val="en-GB"/>
        </w:rPr>
        <w:t xml:space="preserve">ohesion </w:t>
      </w:r>
      <w:r w:rsidRPr="008D0341">
        <w:rPr>
          <w:lang w:val="en-GB"/>
        </w:rPr>
        <w:t>p</w:t>
      </w:r>
      <w:r w:rsidRPr="008D0341" w:rsidR="00AD4E10">
        <w:rPr>
          <w:lang w:val="en-GB"/>
        </w:rPr>
        <w:t>olicy as deserving of specific attention and support;</w:t>
      </w:r>
    </w:p>
    <w:p w:rsidRPr="00F71483" w:rsidR="00F71483" w:rsidP="00F71483" w:rsidRDefault="00F71483" w14:paraId="5D91B39E" w14:textId="77777777">
      <w:pPr>
        <w:rPr>
          <w:lang w:val="en-GB"/>
        </w:rPr>
      </w:pPr>
    </w:p>
    <w:p w:rsidRPr="006A411D" w:rsidR="001B16FA" w:rsidP="00066365" w:rsidRDefault="001B16FA" w14:paraId="77E70356" w14:textId="10C5ED1B">
      <w:pPr>
        <w:pStyle w:val="Heading1"/>
      </w:pPr>
      <w:r w:rsidRPr="006A411D">
        <w:t>underlines that the NRPP</w:t>
      </w:r>
      <w:r w:rsidRPr="006A411D" w:rsidR="00EE74B9">
        <w:t>s</w:t>
      </w:r>
      <w:r w:rsidRPr="006A411D">
        <w:t xml:space="preserve"> must address both urban and rural challenges in a balanced, integrated way, in line with the EU Agenda for Cities and the Long-term Vision for Rural Areas;</w:t>
      </w:r>
      <w:r w:rsidRPr="006A411D" w:rsidR="00827147">
        <w:t xml:space="preserve"> stresses that strengthening rural areas is indispensable for the EU’s strategic autonomy, particularly in food production, and highlights the importance of supporting small and medium farms and SMEs as pillars of the rural economy and ensuring sustainable generational renewal;</w:t>
      </w:r>
    </w:p>
    <w:p w:rsidRPr="008D0341" w:rsidR="001B16FA" w:rsidP="00066365" w:rsidRDefault="001B16FA" w14:paraId="31F5E339" w14:textId="77777777">
      <w:pPr>
        <w:ind w:left="709" w:hanging="709"/>
        <w:rPr>
          <w:lang w:val="en-GB"/>
        </w:rPr>
      </w:pPr>
    </w:p>
    <w:p w:rsidRPr="008D0341" w:rsidR="001B16FA" w:rsidP="00066365" w:rsidRDefault="009D41F5" w14:paraId="72CD41BC" w14:textId="5A951925">
      <w:pPr>
        <w:pStyle w:val="Heading1"/>
        <w:rPr>
          <w:lang w:val="en-GB"/>
        </w:rPr>
      </w:pPr>
      <w:r w:rsidRPr="008D0341">
        <w:rPr>
          <w:lang w:val="en-GB"/>
        </w:rPr>
        <w:t xml:space="preserve">calls for a minimum target of </w:t>
      </w:r>
      <w:r w:rsidRPr="008D0341" w:rsidR="00582DA8">
        <w:rPr>
          <w:lang w:val="en-GB"/>
        </w:rPr>
        <w:t>20</w:t>
      </w:r>
      <w:r w:rsidRPr="008D0341">
        <w:rPr>
          <w:lang w:val="en-GB"/>
        </w:rPr>
        <w:t xml:space="preserve">% of national allocations for integrated territorial development strategies (integrated territorial investments, community-led local development, LEADER or other territorial tools designed by Member States) in urban or rural areas, as </w:t>
      </w:r>
      <w:r w:rsidRPr="008D0341" w:rsidR="003F2CC2">
        <w:rPr>
          <w:lang w:val="en-GB"/>
        </w:rPr>
        <w:t xml:space="preserve">a </w:t>
      </w:r>
      <w:r w:rsidRPr="008D0341">
        <w:rPr>
          <w:lang w:val="en-GB"/>
        </w:rPr>
        <w:t>guarantee of a genuinely place-based approach that empowers local communities and stakeholders.</w:t>
      </w:r>
    </w:p>
    <w:p w:rsidRPr="008D0341" w:rsidR="00D43B84" w:rsidP="00066365" w:rsidRDefault="00D43B84" w14:paraId="43E19DE8" w14:textId="77777777">
      <w:pPr>
        <w:ind w:left="709" w:hanging="709"/>
        <w:rPr>
          <w:lang w:val="en-GB"/>
        </w:rPr>
      </w:pPr>
    </w:p>
    <w:p w:rsidRPr="008D0341" w:rsidR="00D43B84" w:rsidP="00066365" w:rsidRDefault="00D43B84" w14:paraId="0DF31586" w14:textId="290D4926">
      <w:pPr>
        <w:keepNext/>
        <w:keepLines/>
        <w:ind w:left="709" w:hanging="709"/>
        <w:rPr>
          <w:b/>
          <w:bCs/>
          <w:lang w:val="en-GB"/>
        </w:rPr>
      </w:pPr>
      <w:r w:rsidRPr="008D0341">
        <w:rPr>
          <w:b/>
          <w:bCs/>
          <w:lang w:val="en-GB"/>
        </w:rPr>
        <w:t xml:space="preserve">On the link with the </w:t>
      </w:r>
      <w:r w:rsidRPr="008D0341" w:rsidR="00D07DE8">
        <w:rPr>
          <w:b/>
          <w:bCs/>
          <w:lang w:val="en-GB"/>
        </w:rPr>
        <w:t>common agriculture policy (CAP)</w:t>
      </w:r>
    </w:p>
    <w:p w:rsidRPr="008D0341" w:rsidR="00D43B84" w:rsidP="00066365" w:rsidRDefault="00D43B84" w14:paraId="546D7F88" w14:textId="77777777">
      <w:pPr>
        <w:keepNext/>
        <w:keepLines/>
        <w:ind w:left="709" w:hanging="709"/>
        <w:rPr>
          <w:lang w:val="en-GB"/>
        </w:rPr>
      </w:pPr>
    </w:p>
    <w:p w:rsidRPr="008D0341" w:rsidR="001D3352" w:rsidP="00066365" w:rsidRDefault="00D42B47" w14:paraId="1D89DD37" w14:textId="740A74D8">
      <w:pPr>
        <w:pStyle w:val="Heading1"/>
        <w:rPr>
          <w:lang w:val="en-GB"/>
        </w:rPr>
      </w:pPr>
      <w:r w:rsidRPr="008D0341">
        <w:rPr>
          <w:lang w:val="en-GB"/>
        </w:rPr>
        <w:t>calls on the CAP-specific articles (1st</w:t>
      </w:r>
      <w:r w:rsidRPr="008D0341" w:rsidR="00582DA8">
        <w:rPr>
          <w:lang w:val="en-GB"/>
        </w:rPr>
        <w:t xml:space="preserve"> </w:t>
      </w:r>
      <w:r w:rsidRPr="008D0341">
        <w:rPr>
          <w:lang w:val="en-GB"/>
        </w:rPr>
        <w:t>pillar) in the NRPP Fund Regulation to be transferred to the CAP Regulation, and for rural development to be specifically supported under the NRPPs;</w:t>
      </w:r>
    </w:p>
    <w:p w:rsidRPr="008D0341" w:rsidR="001D3352" w:rsidP="00066365" w:rsidRDefault="001D3352" w14:paraId="69F2EBA8" w14:textId="77777777">
      <w:pPr>
        <w:ind w:left="709" w:hanging="709"/>
        <w:rPr>
          <w:lang w:val="en-GB"/>
        </w:rPr>
      </w:pPr>
    </w:p>
    <w:p w:rsidRPr="008D0341" w:rsidR="00AD4E10" w:rsidP="00066365" w:rsidRDefault="003F0609" w14:paraId="12B5BB1E" w14:textId="13F66EB0">
      <w:pPr>
        <w:pStyle w:val="Heading1"/>
        <w:rPr>
          <w:lang w:val="en-GB"/>
        </w:rPr>
      </w:pPr>
      <w:r w:rsidRPr="008D0341">
        <w:rPr>
          <w:lang w:val="en-GB"/>
        </w:rPr>
        <w:t>a</w:t>
      </w:r>
      <w:r w:rsidRPr="008D0341" w:rsidR="00EA27EF">
        <w:rPr>
          <w:lang w:val="en-GB"/>
        </w:rPr>
        <w:t xml:space="preserve">cknowledges that greater flexibility for Member States and regions within </w:t>
      </w:r>
      <w:r w:rsidRPr="008D0341" w:rsidR="00D07DE8">
        <w:rPr>
          <w:lang w:val="en-GB"/>
        </w:rPr>
        <w:t xml:space="preserve">the CAP </w:t>
      </w:r>
      <w:r w:rsidRPr="008D0341" w:rsidR="00EA27EF">
        <w:rPr>
          <w:lang w:val="en-GB"/>
        </w:rPr>
        <w:t>is essential to tailor interventions to local needs</w:t>
      </w:r>
      <w:r w:rsidRPr="008D0341" w:rsidR="00C619BD">
        <w:rPr>
          <w:lang w:val="en-GB"/>
        </w:rPr>
        <w:t>,</w:t>
      </w:r>
      <w:r w:rsidRPr="008D0341" w:rsidR="00760CA0">
        <w:rPr>
          <w:lang w:val="en-GB"/>
        </w:rPr>
        <w:t xml:space="preserve"> </w:t>
      </w:r>
      <w:r w:rsidRPr="008D0341" w:rsidR="00EA27EF">
        <w:rPr>
          <w:lang w:val="en-GB"/>
        </w:rPr>
        <w:t>as long advocated by the CoR</w:t>
      </w:r>
      <w:r w:rsidRPr="008D0341" w:rsidR="00760CA0">
        <w:rPr>
          <w:lang w:val="en-GB"/>
        </w:rPr>
        <w:t>,</w:t>
      </w:r>
      <w:r w:rsidRPr="008D0341">
        <w:rPr>
          <w:lang w:val="en-GB"/>
        </w:rPr>
        <w:t xml:space="preserve"> </w:t>
      </w:r>
      <w:r w:rsidRPr="008D0341" w:rsidR="00EA27EF">
        <w:rPr>
          <w:lang w:val="en-GB"/>
        </w:rPr>
        <w:t>but warns that this risks creating disparities in support levels for farmers across the EU. Without common safeguards, such flexibility could distort competition, undermining the single market’s level playing</w:t>
      </w:r>
      <w:r w:rsidRPr="008D0341" w:rsidR="00965A6C">
        <w:rPr>
          <w:lang w:val="en-GB"/>
        </w:rPr>
        <w:t>-</w:t>
      </w:r>
      <w:r w:rsidRPr="008D0341" w:rsidR="00EA27EF">
        <w:rPr>
          <w:lang w:val="en-GB"/>
        </w:rPr>
        <w:t>field and eroding trust in the fairness of EU agricultural policies</w:t>
      </w:r>
      <w:r w:rsidRPr="008D0341" w:rsidR="00965A6C">
        <w:rPr>
          <w:lang w:val="en-GB"/>
        </w:rPr>
        <w:t>;</w:t>
      </w:r>
    </w:p>
    <w:p w:rsidRPr="008D0341" w:rsidR="007226EB" w:rsidP="00066365" w:rsidRDefault="007226EB" w14:paraId="1BAF88EB" w14:textId="77777777">
      <w:pPr>
        <w:ind w:left="709" w:hanging="709"/>
        <w:rPr>
          <w:lang w:val="en-GB"/>
        </w:rPr>
      </w:pPr>
    </w:p>
    <w:p w:rsidRPr="008D0341" w:rsidR="007226EB" w:rsidP="00066365" w:rsidRDefault="007226EB" w14:paraId="64F85B96" w14:textId="700101D8">
      <w:pPr>
        <w:pStyle w:val="Heading1"/>
        <w:rPr>
          <w:lang w:val="en-GB"/>
        </w:rPr>
      </w:pPr>
      <w:r w:rsidRPr="008D0341">
        <w:rPr>
          <w:lang w:val="en-GB"/>
        </w:rPr>
        <w:t>a</w:t>
      </w:r>
      <w:r w:rsidRPr="008D0341" w:rsidR="005C3BD5">
        <w:rPr>
          <w:lang w:val="en-GB"/>
        </w:rPr>
        <w:t>sks, therefore, the European Commission to ensure a level playing</w:t>
      </w:r>
      <w:r w:rsidRPr="008D0341" w:rsidR="00965A6C">
        <w:rPr>
          <w:lang w:val="en-GB"/>
        </w:rPr>
        <w:t>-</w:t>
      </w:r>
      <w:r w:rsidRPr="008D0341" w:rsidR="005C3BD5">
        <w:rPr>
          <w:lang w:val="en-GB"/>
        </w:rPr>
        <w:t>field among Member States and regions by including quantified targets to be met by all Member States as proposed in the CoR</w:t>
      </w:r>
      <w:r w:rsidRPr="008D0341" w:rsidR="00965A6C">
        <w:rPr>
          <w:lang w:val="en-GB"/>
        </w:rPr>
        <w:t>’s</w:t>
      </w:r>
      <w:r w:rsidRPr="008D0341" w:rsidR="005C3BD5">
        <w:rPr>
          <w:lang w:val="en-GB"/>
        </w:rPr>
        <w:t xml:space="preserve"> previous opinion on the reform of the CAP</w:t>
      </w:r>
      <w:r w:rsidRPr="008D0341" w:rsidR="00E17C1E">
        <w:rPr>
          <w:lang w:val="en-GB"/>
        </w:rPr>
        <w:t>;</w:t>
      </w:r>
    </w:p>
    <w:p w:rsidRPr="008D0341" w:rsidR="0063133E" w:rsidP="00066365" w:rsidRDefault="0063133E" w14:paraId="325C50BB" w14:textId="77777777">
      <w:pPr>
        <w:ind w:left="709" w:hanging="709"/>
        <w:rPr>
          <w:lang w:val="en-GB"/>
        </w:rPr>
      </w:pPr>
    </w:p>
    <w:p w:rsidRPr="008D0341" w:rsidR="0063133E" w:rsidP="00066365" w:rsidRDefault="00E17C1E" w14:paraId="6B7492ED" w14:textId="015FD240">
      <w:pPr>
        <w:pStyle w:val="Heading1"/>
        <w:rPr>
          <w:lang w:val="en-GB"/>
        </w:rPr>
      </w:pPr>
      <w:r w:rsidRPr="008D0341">
        <w:rPr>
          <w:lang w:val="en-GB"/>
        </w:rPr>
        <w:t xml:space="preserve">recommends that the European Commission introduce measurable and </w:t>
      </w:r>
      <w:r w:rsidRPr="008D0341" w:rsidR="00741A04">
        <w:rPr>
          <w:lang w:val="en-GB"/>
        </w:rPr>
        <w:t>comprehensive</w:t>
      </w:r>
      <w:r w:rsidRPr="008D0341">
        <w:rPr>
          <w:lang w:val="en-GB"/>
        </w:rPr>
        <w:t xml:space="preserve"> impact indicators at the heart of </w:t>
      </w:r>
      <w:r w:rsidRPr="008D0341" w:rsidR="00741A04">
        <w:rPr>
          <w:lang w:val="en-GB"/>
        </w:rPr>
        <w:t xml:space="preserve">the CAP </w:t>
      </w:r>
      <w:r w:rsidRPr="008D0341">
        <w:rPr>
          <w:lang w:val="en-GB"/>
        </w:rPr>
        <w:t xml:space="preserve">policy design to strengthen the comparability and validity of the overall </w:t>
      </w:r>
      <w:r w:rsidRPr="008D0341" w:rsidR="00E15BC2">
        <w:rPr>
          <w:lang w:val="en-GB"/>
        </w:rPr>
        <w:t xml:space="preserve">policy </w:t>
      </w:r>
      <w:r w:rsidRPr="008D0341">
        <w:rPr>
          <w:lang w:val="en-GB"/>
        </w:rPr>
        <w:t>and to ensure transparency and comparability of policy performance across the Union.</w:t>
      </w:r>
    </w:p>
    <w:p w:rsidRPr="008D0341" w:rsidR="00C65D03" w:rsidP="00066365" w:rsidRDefault="00C65D03" w14:paraId="068351B8" w14:textId="77777777">
      <w:pPr>
        <w:ind w:left="709" w:hanging="709"/>
        <w:rPr>
          <w:lang w:val="en-GB"/>
        </w:rPr>
      </w:pPr>
    </w:p>
    <w:p w:rsidRPr="008D0341" w:rsidR="00AD4E10" w:rsidP="00066365" w:rsidRDefault="00273C8B" w14:paraId="1AEF64AF" w14:textId="3B9408AD">
      <w:pPr>
        <w:ind w:left="709" w:hanging="709"/>
        <w:rPr>
          <w:lang w:val="en-GB"/>
        </w:rPr>
      </w:pPr>
      <w:r w:rsidRPr="008D0341">
        <w:rPr>
          <w:lang w:val="en-GB"/>
        </w:rPr>
        <w:t>Brussels,</w:t>
      </w:r>
    </w:p>
    <w:p w:rsidRPr="008D0341" w:rsidR="00E76ECD" w:rsidP="00066365" w:rsidRDefault="00E76ECD" w14:paraId="7CB8958C" w14:textId="2898BD01">
      <w:pPr>
        <w:jc w:val="left"/>
        <w:rPr>
          <w:lang w:val="en-GB"/>
        </w:rPr>
      </w:pPr>
      <w:r w:rsidRPr="008D0341">
        <w:rPr>
          <w:lang w:val="en-GB"/>
        </w:rPr>
        <w:br w:type="page"/>
      </w:r>
    </w:p>
    <w:p w:rsidRPr="008D0341" w:rsidR="0049114F" w:rsidP="00066365" w:rsidRDefault="0049114F" w14:paraId="02AC3606" w14:textId="77777777">
      <w:pPr>
        <w:numPr>
          <w:ilvl w:val="0"/>
          <w:numId w:val="2"/>
        </w:numPr>
        <w:overflowPunct w:val="0"/>
        <w:autoSpaceDE w:val="0"/>
        <w:autoSpaceDN w:val="0"/>
        <w:adjustRightInd w:val="0"/>
        <w:ind w:left="567" w:hanging="567"/>
        <w:textAlignment w:val="baseline"/>
        <w:rPr>
          <w:b/>
          <w:bCs/>
          <w:lang w:val="en-GB"/>
        </w:rPr>
      </w:pPr>
      <w:r w:rsidRPr="008D0341">
        <w:rPr>
          <w:b/>
          <w:bCs/>
          <w:lang w:val="en-GB"/>
        </w:rPr>
        <w:t>PROCEDURE</w:t>
      </w:r>
    </w:p>
    <w:p w:rsidRPr="008D0341" w:rsidR="0049114F" w:rsidP="00066365" w:rsidRDefault="0049114F" w14:paraId="23A13855" w14:textId="77777777">
      <w:pPr>
        <w:rPr>
          <w:lang w:val="en-GB"/>
        </w:rPr>
      </w:pPr>
    </w:p>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8D0341" w:rsidR="0049114F" w:rsidTr="006B6634" w14:paraId="1772C57B" w14:textId="77777777">
        <w:tc>
          <w:tcPr>
            <w:tcW w:w="3848" w:type="dxa"/>
            <w:noWrap/>
          </w:tcPr>
          <w:p w:rsidRPr="008D0341" w:rsidR="0049114F" w:rsidP="00066365" w:rsidRDefault="0049114F" w14:paraId="7AFAD88A" w14:textId="77777777">
            <w:pPr>
              <w:jc w:val="left"/>
              <w:rPr>
                <w:b/>
                <w:bCs/>
                <w:lang w:val="en-GB"/>
              </w:rPr>
            </w:pPr>
            <w:r w:rsidRPr="008D0341">
              <w:rPr>
                <w:b/>
                <w:bCs/>
                <w:lang w:val="en-GB"/>
              </w:rPr>
              <w:t>Title</w:t>
            </w:r>
          </w:p>
          <w:p w:rsidRPr="008D0341" w:rsidR="0049114F" w:rsidP="00066365" w:rsidRDefault="0049114F" w14:paraId="045217CE" w14:textId="77777777">
            <w:pPr>
              <w:jc w:val="left"/>
              <w:rPr>
                <w:lang w:val="en-GB"/>
              </w:rPr>
            </w:pPr>
          </w:p>
        </w:tc>
        <w:tc>
          <w:tcPr>
            <w:tcW w:w="5441" w:type="dxa"/>
            <w:noWrap/>
          </w:tcPr>
          <w:p w:rsidRPr="008D0341" w:rsidR="0049114F" w:rsidP="00066365" w:rsidRDefault="00B30AD8" w14:paraId="5C67DC14" w14:textId="1A4C6409">
            <w:pPr>
              <w:rPr>
                <w:lang w:val="en-GB"/>
              </w:rPr>
            </w:pPr>
            <w:r w:rsidRPr="008D0341">
              <w:rPr>
                <w:lang w:val="en-GB"/>
              </w:rPr>
              <w:t>NRPP Fund Regulation</w:t>
            </w:r>
          </w:p>
        </w:tc>
      </w:tr>
      <w:tr w:rsidRPr="008D0341" w:rsidR="0049114F" w:rsidTr="006B6634" w14:paraId="3F26BE24" w14:textId="77777777">
        <w:tc>
          <w:tcPr>
            <w:tcW w:w="3848" w:type="dxa"/>
            <w:noWrap/>
          </w:tcPr>
          <w:p w:rsidRPr="008D0341" w:rsidR="0049114F" w:rsidP="00066365" w:rsidRDefault="0049114F" w14:paraId="290ECDD6" w14:textId="77777777">
            <w:pPr>
              <w:jc w:val="left"/>
              <w:rPr>
                <w:b/>
                <w:bCs/>
                <w:lang w:val="en-GB"/>
              </w:rPr>
            </w:pPr>
            <w:r w:rsidRPr="008D0341">
              <w:rPr>
                <w:b/>
                <w:bCs/>
                <w:lang w:val="en-GB"/>
              </w:rPr>
              <w:t>Reference(s)</w:t>
            </w:r>
          </w:p>
        </w:tc>
        <w:tc>
          <w:tcPr>
            <w:tcW w:w="5441" w:type="dxa"/>
            <w:noWrap/>
          </w:tcPr>
          <w:p w:rsidRPr="008D0341" w:rsidR="009D0F43" w:rsidP="00066365" w:rsidRDefault="009D0F43" w14:paraId="44A0FE30" w14:textId="77777777">
            <w:pPr>
              <w:rPr>
                <w:bCs/>
                <w:lang w:val="en-GB"/>
              </w:rPr>
            </w:pPr>
            <w:r w:rsidRPr="008D0341">
              <w:rPr>
                <w:bCs/>
                <w:lang w:val="en-GB"/>
              </w:rPr>
              <w:t>COM/2025/565 final/2</w:t>
            </w:r>
          </w:p>
          <w:p w:rsidRPr="008D0341" w:rsidR="0049114F" w:rsidP="00066365" w:rsidRDefault="009D0F43" w14:paraId="37FB4F87" w14:textId="0FAE8CBA">
            <w:pPr>
              <w:rPr>
                <w:b/>
                <w:bCs/>
                <w:lang w:val="en-GB"/>
              </w:rPr>
            </w:pPr>
            <w:r w:rsidRPr="008D0341">
              <w:rPr>
                <w:bCs/>
                <w:lang w:val="en-GB"/>
              </w:rPr>
              <w:t xml:space="preserve">Proposal for a </w:t>
            </w:r>
            <w:r w:rsidRPr="008D0341" w:rsidR="00066365">
              <w:rPr>
                <w:bCs/>
                <w:lang w:val="en-GB"/>
              </w:rPr>
              <w:t>Regulation of th</w:t>
            </w:r>
            <w:r w:rsidR="00066365">
              <w:rPr>
                <w:bCs/>
                <w:lang w:val="en-GB"/>
              </w:rPr>
              <w:t>e</w:t>
            </w:r>
            <w:r w:rsidRPr="008D0341">
              <w:rPr>
                <w:bCs/>
                <w:lang w:val="en-GB"/>
              </w:rPr>
              <w:t xml:space="preserve"> </w:t>
            </w:r>
            <w:r w:rsidRPr="008D0341" w:rsidR="00066365">
              <w:rPr>
                <w:bCs/>
                <w:lang w:val="en-GB"/>
              </w:rPr>
              <w:t>European Parliament</w:t>
            </w:r>
            <w:r w:rsidRPr="008D0341">
              <w:rPr>
                <w:bCs/>
                <w:lang w:val="en-GB"/>
              </w:rPr>
              <w:t xml:space="preserve"> </w:t>
            </w:r>
            <w:r w:rsidRPr="008D0341" w:rsidR="00066365">
              <w:rPr>
                <w:bCs/>
                <w:lang w:val="en-GB"/>
              </w:rPr>
              <w:t xml:space="preserve">and of the Council </w:t>
            </w:r>
            <w:r w:rsidRPr="008D0341">
              <w:rPr>
                <w:bCs/>
                <w:lang w:val="en-GB"/>
              </w:rPr>
              <w:t>establishing the European Fund for economic, social and territorial cohesion, agriculture and rural, fisheries and maritime, prosperity and security for the period 2028-2034 and amending Regulation (EU) 2023/955 and Regulation (EU, Euratom) 2024/2509</w:t>
            </w:r>
          </w:p>
        </w:tc>
      </w:tr>
      <w:tr w:rsidRPr="008D0341" w:rsidR="0049114F" w:rsidTr="006B6634" w14:paraId="089CF8A9" w14:textId="77777777">
        <w:tc>
          <w:tcPr>
            <w:tcW w:w="3848" w:type="dxa"/>
            <w:noWrap/>
          </w:tcPr>
          <w:p w:rsidRPr="008D0341" w:rsidR="0049114F" w:rsidP="00066365" w:rsidRDefault="0049114F" w14:paraId="4C594B96" w14:textId="77777777">
            <w:pPr>
              <w:jc w:val="left"/>
              <w:rPr>
                <w:b/>
                <w:bCs/>
                <w:lang w:val="en-GB"/>
              </w:rPr>
            </w:pPr>
            <w:r w:rsidRPr="008D0341">
              <w:rPr>
                <w:b/>
                <w:bCs/>
                <w:lang w:val="en-GB"/>
              </w:rPr>
              <w:t>Legal basis</w:t>
            </w:r>
          </w:p>
        </w:tc>
        <w:tc>
          <w:tcPr>
            <w:tcW w:w="5441" w:type="dxa"/>
            <w:noWrap/>
          </w:tcPr>
          <w:p w:rsidRPr="008D0341" w:rsidR="0049114F" w:rsidP="00066365" w:rsidRDefault="00B30AD8" w14:paraId="18B59189" w14:textId="71B0A63D">
            <w:pPr>
              <w:rPr>
                <w:lang w:val="en-GB"/>
              </w:rPr>
            </w:pPr>
            <w:r w:rsidRPr="008D0341">
              <w:rPr>
                <w:shd w:val="clear" w:color="auto" w:fill="FFFFFF"/>
                <w:lang w:val="en-GB"/>
              </w:rPr>
              <w:t xml:space="preserve">Art. 307, </w:t>
            </w:r>
            <w:r w:rsidRPr="008D0341" w:rsidR="0076519F">
              <w:rPr>
                <w:shd w:val="clear" w:color="auto" w:fill="FFFFFF"/>
                <w:lang w:val="en-GB"/>
              </w:rPr>
              <w:t>paragraph 1</w:t>
            </w:r>
            <w:r w:rsidRPr="008D0341">
              <w:rPr>
                <w:shd w:val="clear" w:color="auto" w:fill="FFFFFF"/>
                <w:lang w:val="en-GB"/>
              </w:rPr>
              <w:t>.</w:t>
            </w:r>
          </w:p>
        </w:tc>
      </w:tr>
      <w:tr w:rsidRPr="008D0341" w:rsidR="0049114F" w:rsidTr="006B6634" w14:paraId="48E4993C" w14:textId="77777777">
        <w:tc>
          <w:tcPr>
            <w:tcW w:w="3848" w:type="dxa"/>
            <w:noWrap/>
          </w:tcPr>
          <w:p w:rsidRPr="008D0341" w:rsidR="0049114F" w:rsidP="00066365" w:rsidRDefault="0049114F" w14:paraId="08FC0E3D" w14:textId="77777777">
            <w:pPr>
              <w:jc w:val="left"/>
              <w:rPr>
                <w:b/>
                <w:bCs/>
                <w:lang w:val="en-GB"/>
              </w:rPr>
            </w:pPr>
            <w:r w:rsidRPr="008D0341">
              <w:rPr>
                <w:b/>
                <w:bCs/>
                <w:lang w:val="en-GB"/>
              </w:rPr>
              <w:t>Procedural basis</w:t>
            </w:r>
          </w:p>
        </w:tc>
        <w:tc>
          <w:tcPr>
            <w:tcW w:w="5441" w:type="dxa"/>
            <w:noWrap/>
          </w:tcPr>
          <w:p w:rsidRPr="008D0341" w:rsidR="0049114F" w:rsidP="00066365" w:rsidRDefault="001D0089" w14:paraId="48BAFF65" w14:textId="0281D8AF">
            <w:pPr>
              <w:rPr>
                <w:lang w:val="en-GB"/>
              </w:rPr>
            </w:pPr>
            <w:r w:rsidRPr="008D0341">
              <w:rPr>
                <w:lang w:val="en-GB"/>
              </w:rPr>
              <w:t>Rule</w:t>
            </w:r>
            <w:r w:rsidRPr="008D0341" w:rsidR="00B30AD8">
              <w:rPr>
                <w:lang w:val="en-GB"/>
              </w:rPr>
              <w:t xml:space="preserve"> 41(a)</w:t>
            </w:r>
            <w:r w:rsidRPr="008D0341">
              <w:rPr>
                <w:lang w:val="en-GB"/>
              </w:rPr>
              <w:t xml:space="preserve"> RoP</w:t>
            </w:r>
            <w:r w:rsidRPr="008D0341" w:rsidR="00B30AD8">
              <w:rPr>
                <w:lang w:val="en-GB"/>
              </w:rPr>
              <w:t xml:space="preserve"> - Mandatory, </w:t>
            </w:r>
            <w:r w:rsidRPr="008D0341">
              <w:rPr>
                <w:lang w:val="en-GB"/>
              </w:rPr>
              <w:t>o</w:t>
            </w:r>
            <w:r w:rsidRPr="008D0341" w:rsidR="00B30AD8">
              <w:rPr>
                <w:lang w:val="en-GB"/>
              </w:rPr>
              <w:t xml:space="preserve">ptional and </w:t>
            </w:r>
            <w:r w:rsidRPr="008D0341">
              <w:rPr>
                <w:lang w:val="en-GB"/>
              </w:rPr>
              <w:t>o</w:t>
            </w:r>
            <w:r w:rsidRPr="008D0341" w:rsidR="00B30AD8">
              <w:rPr>
                <w:lang w:val="en-GB"/>
              </w:rPr>
              <w:t>utlook opinions</w:t>
            </w:r>
          </w:p>
        </w:tc>
      </w:tr>
      <w:tr w:rsidRPr="008D0341" w:rsidR="0049114F" w:rsidTr="006B6634" w14:paraId="2754483A" w14:textId="77777777">
        <w:tc>
          <w:tcPr>
            <w:tcW w:w="3848" w:type="dxa"/>
          </w:tcPr>
          <w:p w:rsidRPr="008D0341" w:rsidR="0049114F" w:rsidP="00066365" w:rsidRDefault="0049114F" w14:paraId="04D780F2" w14:textId="77777777">
            <w:pPr>
              <w:jc w:val="left"/>
              <w:rPr>
                <w:lang w:val="en-GB"/>
              </w:rPr>
            </w:pPr>
            <w:r w:rsidRPr="008D0341">
              <w:rPr>
                <w:b/>
                <w:bCs/>
                <w:lang w:val="en-GB"/>
              </w:rPr>
              <w:t>Date of Council/EP referral/Date of Commission letter</w:t>
            </w:r>
          </w:p>
        </w:tc>
        <w:tc>
          <w:tcPr>
            <w:tcW w:w="5441" w:type="dxa"/>
            <w:noWrap/>
          </w:tcPr>
          <w:p w:rsidRPr="008D0341" w:rsidR="0049114F" w:rsidP="00066365" w:rsidRDefault="0049114F" w14:paraId="5A7A77D7" w14:textId="77777777">
            <w:pPr>
              <w:rPr>
                <w:lang w:val="en-GB"/>
              </w:rPr>
            </w:pPr>
          </w:p>
        </w:tc>
      </w:tr>
      <w:tr w:rsidRPr="008D0341" w:rsidR="0049114F" w:rsidTr="006B6634" w14:paraId="6A9E0F8D" w14:textId="77777777">
        <w:tc>
          <w:tcPr>
            <w:tcW w:w="3848" w:type="dxa"/>
          </w:tcPr>
          <w:p w:rsidRPr="008D0341" w:rsidR="0049114F" w:rsidP="00066365" w:rsidRDefault="0049114F" w14:paraId="676399BB" w14:textId="77777777">
            <w:pPr>
              <w:jc w:val="left"/>
              <w:rPr>
                <w:lang w:val="en-GB"/>
              </w:rPr>
            </w:pPr>
            <w:r w:rsidRPr="008D0341">
              <w:rPr>
                <w:b/>
                <w:bCs/>
                <w:lang w:val="en-GB"/>
              </w:rPr>
              <w:t>Date of Bureau/President’s decision</w:t>
            </w:r>
          </w:p>
        </w:tc>
        <w:tc>
          <w:tcPr>
            <w:tcW w:w="5441" w:type="dxa"/>
            <w:noWrap/>
          </w:tcPr>
          <w:p w:rsidRPr="008D0341" w:rsidR="0049114F" w:rsidP="00066365" w:rsidRDefault="009D0F43" w14:paraId="730D91C4" w14:textId="4D384514">
            <w:pPr>
              <w:rPr>
                <w:lang w:val="en-GB"/>
              </w:rPr>
            </w:pPr>
            <w:r w:rsidRPr="008D0341">
              <w:rPr>
                <w:lang w:val="en-GB"/>
              </w:rPr>
              <w:t>13 October 2025</w:t>
            </w:r>
          </w:p>
        </w:tc>
      </w:tr>
      <w:tr w:rsidRPr="008D0341" w:rsidR="0049114F" w:rsidTr="006B6634" w14:paraId="77784C09" w14:textId="77777777">
        <w:tc>
          <w:tcPr>
            <w:tcW w:w="3848" w:type="dxa"/>
            <w:noWrap/>
          </w:tcPr>
          <w:p w:rsidRPr="008D0341" w:rsidR="0049114F" w:rsidP="00066365" w:rsidRDefault="0049114F" w14:paraId="4CC77E19" w14:textId="77777777">
            <w:pPr>
              <w:jc w:val="left"/>
              <w:rPr>
                <w:b/>
                <w:bCs/>
                <w:lang w:val="en-GB"/>
              </w:rPr>
            </w:pPr>
            <w:r w:rsidRPr="008D0341">
              <w:rPr>
                <w:b/>
                <w:bCs/>
                <w:lang w:val="en-GB"/>
              </w:rPr>
              <w:t>Commission responsible</w:t>
            </w:r>
          </w:p>
        </w:tc>
        <w:tc>
          <w:tcPr>
            <w:tcW w:w="5441" w:type="dxa"/>
            <w:noWrap/>
          </w:tcPr>
          <w:p w:rsidRPr="008D0341" w:rsidR="0049114F" w:rsidP="00066365" w:rsidRDefault="00B30AD8" w14:paraId="1C3D51D0" w14:textId="08B65DEA">
            <w:pPr>
              <w:rPr>
                <w:lang w:val="en-GB"/>
              </w:rPr>
            </w:pPr>
            <w:r w:rsidRPr="008D0341">
              <w:rPr>
                <w:lang w:val="en-GB"/>
              </w:rPr>
              <w:t>Commission for Territorial Cohesion Policy and EU Budget</w:t>
            </w:r>
          </w:p>
        </w:tc>
      </w:tr>
      <w:tr w:rsidRPr="00D62C2E" w:rsidR="0049114F" w:rsidTr="006B6634" w14:paraId="4B324789" w14:textId="77777777">
        <w:tc>
          <w:tcPr>
            <w:tcW w:w="3848" w:type="dxa"/>
            <w:noWrap/>
          </w:tcPr>
          <w:p w:rsidRPr="008D0341" w:rsidR="0049114F" w:rsidP="00066365" w:rsidRDefault="0049114F" w14:paraId="5D09ED4E" w14:textId="77777777">
            <w:pPr>
              <w:jc w:val="left"/>
              <w:rPr>
                <w:b/>
                <w:bCs/>
                <w:lang w:val="en-GB"/>
              </w:rPr>
            </w:pPr>
            <w:r w:rsidRPr="008D0341">
              <w:rPr>
                <w:b/>
                <w:bCs/>
                <w:lang w:val="en-GB"/>
              </w:rPr>
              <w:t>Rapporteur</w:t>
            </w:r>
          </w:p>
        </w:tc>
        <w:tc>
          <w:tcPr>
            <w:tcW w:w="5441" w:type="dxa"/>
            <w:noWrap/>
          </w:tcPr>
          <w:p w:rsidRPr="00D62C2E" w:rsidR="0049114F" w:rsidP="00066365" w:rsidRDefault="00B30AD8" w14:paraId="60E1A2E0" w14:textId="2D03703E">
            <w:pPr>
              <w:rPr>
                <w:lang w:val="pt-PT"/>
              </w:rPr>
            </w:pPr>
            <w:r w:rsidRPr="00D62C2E">
              <w:rPr>
                <w:lang w:val="pt-PT"/>
              </w:rPr>
              <w:t>Vasco ALVES CORDEIRO (PT/PES) and Emil BOC (RO/EPP)</w:t>
            </w:r>
          </w:p>
        </w:tc>
      </w:tr>
      <w:tr w:rsidRPr="008D0341" w:rsidR="0049114F" w:rsidTr="006B6634" w14:paraId="1ACE43F6" w14:textId="77777777">
        <w:tc>
          <w:tcPr>
            <w:tcW w:w="3848" w:type="dxa"/>
            <w:noWrap/>
          </w:tcPr>
          <w:p w:rsidRPr="008D0341" w:rsidR="0049114F" w:rsidP="00066365" w:rsidRDefault="0049114F" w14:paraId="62EF3CA4" w14:textId="77777777">
            <w:pPr>
              <w:jc w:val="left"/>
              <w:rPr>
                <w:b/>
                <w:bCs/>
                <w:lang w:val="en-GB"/>
              </w:rPr>
            </w:pPr>
            <w:r w:rsidRPr="008D0341">
              <w:rPr>
                <w:b/>
                <w:bCs/>
                <w:lang w:val="en-GB"/>
              </w:rPr>
              <w:t>Discussed in commission</w:t>
            </w:r>
          </w:p>
        </w:tc>
        <w:tc>
          <w:tcPr>
            <w:tcW w:w="5441" w:type="dxa"/>
            <w:noWrap/>
          </w:tcPr>
          <w:p w:rsidRPr="008D0341" w:rsidR="0049114F" w:rsidP="00066365" w:rsidRDefault="00B30AD8" w14:paraId="0EF652AC" w14:textId="548C383F">
            <w:pPr>
              <w:rPr>
                <w:lang w:val="en-GB"/>
              </w:rPr>
            </w:pPr>
            <w:r w:rsidRPr="008D0341">
              <w:rPr>
                <w:lang w:val="en-GB"/>
              </w:rPr>
              <w:t>1 December 2025</w:t>
            </w:r>
          </w:p>
        </w:tc>
      </w:tr>
      <w:tr w:rsidRPr="008D0341" w:rsidR="0049114F" w:rsidTr="006B6634" w14:paraId="0D0EBF7C" w14:textId="77777777">
        <w:tc>
          <w:tcPr>
            <w:tcW w:w="3848" w:type="dxa"/>
            <w:noWrap/>
          </w:tcPr>
          <w:p w:rsidRPr="008D0341" w:rsidR="0049114F" w:rsidP="00066365" w:rsidRDefault="0049114F" w14:paraId="76120609" w14:textId="77777777">
            <w:pPr>
              <w:jc w:val="left"/>
              <w:rPr>
                <w:b/>
                <w:bCs/>
                <w:lang w:val="en-GB"/>
              </w:rPr>
            </w:pPr>
            <w:r w:rsidRPr="008D0341">
              <w:rPr>
                <w:b/>
                <w:bCs/>
                <w:lang w:val="en-GB"/>
              </w:rPr>
              <w:t>Date adopted by commission</w:t>
            </w:r>
          </w:p>
        </w:tc>
        <w:tc>
          <w:tcPr>
            <w:tcW w:w="5441" w:type="dxa"/>
            <w:noWrap/>
          </w:tcPr>
          <w:p w:rsidRPr="008D0341" w:rsidR="0049114F" w:rsidP="00066365" w:rsidRDefault="00B30AD8" w14:paraId="2C7E8706" w14:textId="7AF90C9D">
            <w:pPr>
              <w:rPr>
                <w:lang w:val="en-GB"/>
              </w:rPr>
            </w:pPr>
            <w:r w:rsidRPr="008D0341">
              <w:rPr>
                <w:lang w:val="en-GB"/>
              </w:rPr>
              <w:t>5 February 2026</w:t>
            </w:r>
          </w:p>
        </w:tc>
      </w:tr>
      <w:tr w:rsidRPr="008D0341" w:rsidR="0049114F" w:rsidTr="006B6634" w14:paraId="1B7581F5" w14:textId="77777777">
        <w:tc>
          <w:tcPr>
            <w:tcW w:w="3848" w:type="dxa"/>
            <w:noWrap/>
          </w:tcPr>
          <w:p w:rsidRPr="008D0341" w:rsidR="0049114F" w:rsidP="00066365" w:rsidRDefault="0049114F" w14:paraId="09D4A468" w14:textId="77777777">
            <w:pPr>
              <w:jc w:val="left"/>
              <w:rPr>
                <w:b/>
                <w:bCs/>
                <w:lang w:val="en-GB"/>
              </w:rPr>
            </w:pPr>
            <w:r w:rsidRPr="008D0341">
              <w:rPr>
                <w:b/>
                <w:bCs/>
                <w:lang w:val="en-GB"/>
              </w:rPr>
              <w:t>Result of the vote in commission</w:t>
            </w:r>
          </w:p>
          <w:p w:rsidRPr="008D0341" w:rsidR="0049114F" w:rsidP="00066365" w:rsidRDefault="0049114F" w14:paraId="3DB3F1A3" w14:textId="77777777">
            <w:pPr>
              <w:jc w:val="left"/>
              <w:rPr>
                <w:b/>
                <w:bCs/>
                <w:lang w:val="en-GB"/>
              </w:rPr>
            </w:pPr>
            <w:r w:rsidRPr="008D0341">
              <w:rPr>
                <w:b/>
                <w:bCs/>
                <w:lang w:val="en-GB"/>
              </w:rPr>
              <w:t>(majority, unanimity)</w:t>
            </w:r>
          </w:p>
        </w:tc>
        <w:tc>
          <w:tcPr>
            <w:tcW w:w="5441" w:type="dxa"/>
            <w:noWrap/>
          </w:tcPr>
          <w:p w:rsidRPr="008D0341" w:rsidR="0049114F" w:rsidP="00066365" w:rsidRDefault="007D6CA7" w14:paraId="3B49DB79" w14:textId="33EC54F0">
            <w:pPr>
              <w:rPr>
                <w:lang w:val="en-GB"/>
              </w:rPr>
            </w:pPr>
            <w:r w:rsidRPr="008D0341">
              <w:rPr>
                <w:lang w:val="en-GB"/>
              </w:rPr>
              <w:t>Unanimity</w:t>
            </w:r>
          </w:p>
        </w:tc>
      </w:tr>
      <w:tr w:rsidRPr="008D0341" w:rsidR="0049114F" w:rsidTr="006B6634" w14:paraId="24DF59A9" w14:textId="77777777">
        <w:tc>
          <w:tcPr>
            <w:tcW w:w="3848" w:type="dxa"/>
            <w:noWrap/>
          </w:tcPr>
          <w:p w:rsidRPr="008D0341" w:rsidR="0049114F" w:rsidP="00066365" w:rsidRDefault="0049114F" w14:paraId="0607550C" w14:textId="77777777">
            <w:pPr>
              <w:jc w:val="left"/>
              <w:rPr>
                <w:b/>
                <w:bCs/>
                <w:lang w:val="en-GB"/>
              </w:rPr>
            </w:pPr>
            <w:r w:rsidRPr="008D0341">
              <w:rPr>
                <w:b/>
                <w:bCs/>
                <w:lang w:val="en-GB"/>
              </w:rPr>
              <w:t>Date adopted in plenary</w:t>
            </w:r>
          </w:p>
        </w:tc>
        <w:tc>
          <w:tcPr>
            <w:tcW w:w="5441" w:type="dxa"/>
            <w:noWrap/>
          </w:tcPr>
          <w:p w:rsidRPr="008D0341" w:rsidR="0049114F" w:rsidP="00066365" w:rsidRDefault="00F941A1" w14:paraId="625653F2" w14:textId="49AA3287">
            <w:pPr>
              <w:rPr>
                <w:lang w:val="en-GB"/>
              </w:rPr>
            </w:pPr>
            <w:r w:rsidRPr="008D0341">
              <w:rPr>
                <w:lang w:val="en-GB"/>
              </w:rPr>
              <w:t xml:space="preserve">Planned for </w:t>
            </w:r>
            <w:r w:rsidRPr="008D0341" w:rsidR="00B30AD8">
              <w:rPr>
                <w:lang w:val="en-GB"/>
              </w:rPr>
              <w:t>6-7 May 2026</w:t>
            </w:r>
          </w:p>
        </w:tc>
      </w:tr>
      <w:tr w:rsidRPr="008D0341" w:rsidR="0049114F" w:rsidTr="006B6634" w14:paraId="4B7EC3F1" w14:textId="77777777">
        <w:tc>
          <w:tcPr>
            <w:tcW w:w="3848" w:type="dxa"/>
            <w:noWrap/>
          </w:tcPr>
          <w:p w:rsidRPr="008D0341" w:rsidR="0049114F" w:rsidP="00066365" w:rsidRDefault="0049114F" w14:paraId="277F6DB4" w14:textId="77777777">
            <w:pPr>
              <w:jc w:val="left"/>
              <w:rPr>
                <w:b/>
                <w:bCs/>
                <w:lang w:val="en-GB"/>
              </w:rPr>
            </w:pPr>
            <w:r w:rsidRPr="008D0341">
              <w:rPr>
                <w:b/>
                <w:bCs/>
                <w:lang w:val="en-GB"/>
              </w:rPr>
              <w:t>Previous Committee opinions</w:t>
            </w:r>
          </w:p>
        </w:tc>
        <w:tc>
          <w:tcPr>
            <w:tcW w:w="5441" w:type="dxa"/>
            <w:noWrap/>
          </w:tcPr>
          <w:p w:rsidRPr="008D0341" w:rsidR="0049114F" w:rsidP="00066365" w:rsidRDefault="0049114F" w14:paraId="5EA06CE7" w14:textId="77777777">
            <w:pPr>
              <w:rPr>
                <w:lang w:val="en-GB"/>
              </w:rPr>
            </w:pPr>
          </w:p>
        </w:tc>
      </w:tr>
      <w:tr w:rsidRPr="008D0341" w:rsidR="0049114F" w:rsidTr="006B6634" w14:paraId="555FFA30" w14:textId="77777777">
        <w:tc>
          <w:tcPr>
            <w:tcW w:w="3848" w:type="dxa"/>
            <w:noWrap/>
          </w:tcPr>
          <w:p w:rsidRPr="008D0341" w:rsidR="0049114F" w:rsidP="00066365" w:rsidRDefault="0049114F" w14:paraId="592FCF36" w14:textId="77777777">
            <w:pPr>
              <w:jc w:val="left"/>
              <w:rPr>
                <w:b/>
                <w:bCs/>
                <w:lang w:val="en-GB"/>
              </w:rPr>
            </w:pPr>
            <w:r w:rsidRPr="008D0341">
              <w:rPr>
                <w:b/>
                <w:bCs/>
                <w:lang w:val="en-GB"/>
              </w:rPr>
              <w:t>Subsidiarity reference</w:t>
            </w:r>
          </w:p>
        </w:tc>
        <w:tc>
          <w:tcPr>
            <w:tcW w:w="5441" w:type="dxa"/>
            <w:noWrap/>
          </w:tcPr>
          <w:p w:rsidRPr="008D0341" w:rsidR="0049114F" w:rsidP="00066365" w:rsidRDefault="0049114F" w14:paraId="1A2D4294" w14:textId="77777777">
            <w:pPr>
              <w:rPr>
                <w:lang w:val="en-GB"/>
              </w:rPr>
            </w:pPr>
          </w:p>
        </w:tc>
      </w:tr>
    </w:tbl>
    <w:p w:rsidRPr="008D0341" w:rsidR="0049114F" w:rsidP="00066365" w:rsidRDefault="0049114F" w14:paraId="5E0DD5C8" w14:textId="77777777">
      <w:pPr>
        <w:rPr>
          <w:lang w:val="en-GB"/>
        </w:rPr>
      </w:pPr>
    </w:p>
    <w:p w:rsidRPr="008D0341" w:rsidR="00444A98" w:rsidP="00066365" w:rsidRDefault="0049114F" w14:paraId="0697882A" w14:textId="53CF4B66">
      <w:pPr>
        <w:ind w:left="709" w:hanging="709"/>
        <w:jc w:val="center"/>
        <w:rPr>
          <w:lang w:val="en-GB"/>
        </w:rPr>
      </w:pPr>
      <w:r w:rsidRPr="008D0341">
        <w:rPr>
          <w:lang w:val="en-GB"/>
        </w:rPr>
        <w:t>_____________</w:t>
      </w:r>
    </w:p>
    <w:sectPr w:rsidRPr="008D0341" w:rsidR="00444A98" w:rsidSect="00A8115B">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690" w:rsidRDefault="00B94690" w14:paraId="1A956E35" w14:textId="77777777">
      <w:r>
        <w:separator/>
      </w:r>
    </w:p>
  </w:endnote>
  <w:endnote w:type="continuationSeparator" w:id="0">
    <w:p w:rsidR="00B94690" w:rsidRDefault="00B94690" w14:paraId="49D997F2" w14:textId="77777777">
      <w:r>
        <w:continuationSeparator/>
      </w:r>
    </w:p>
  </w:endnote>
  <w:endnote w:type="continuationNotice" w:id="1">
    <w:p w:rsidR="00B94690" w:rsidRDefault="00B94690" w14:paraId="0E2666D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not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A8115B" w:rsidP="00A8115B" w:rsidRDefault="00A8115B" w14:paraId="5FC92F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1530DB" w:rsidP="00A8115B" w:rsidRDefault="00A8115B" w14:paraId="540448A1" w14:textId="702F73D2">
    <w:pPr>
      <w:pStyle w:val="Footer"/>
    </w:pPr>
    <w:r>
      <w:t xml:space="preserve">COR-2025-03467-00-01-PAC-TRA (EN) </w:t>
    </w:r>
    <w:r>
      <w:fldChar w:fldCharType="begin"/>
    </w:r>
    <w:r>
      <w:instrText xml:space="preserve"> PAGE  \* Arabic  \* MERGEFORMAT </w:instrText>
    </w:r>
    <w:r>
      <w:fldChar w:fldCharType="separate"/>
    </w:r>
    <w:r w:rsidR="00B46407">
      <w:rPr>
        <w:noProof/>
      </w:rPr>
      <w:t>1</w:t>
    </w:r>
    <w:r>
      <w:fldChar w:fldCharType="end"/>
    </w:r>
    <w:r>
      <w:t>/</w:t>
    </w:r>
    <w:r>
      <w:fldChar w:fldCharType="begin"/>
    </w:r>
    <w:r>
      <w:instrText xml:space="preserve"> NUMPAGES </w:instrText>
    </w:r>
    <w:r>
      <w:fldChar w:fldCharType="separate"/>
    </w:r>
    <w:r w:rsidR="00B4640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A8115B" w:rsidP="00A8115B" w:rsidRDefault="00A8115B" w14:paraId="16B3DB2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663F85" w:rsidP="00A8115B" w:rsidRDefault="00663F85" w14:paraId="390BAA3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663F85" w:rsidP="00A8115B" w:rsidRDefault="00A8115B" w14:paraId="3BFFA7A5" w14:textId="602C3442">
    <w:pPr>
      <w:pStyle w:val="Footer"/>
    </w:pPr>
    <w:r>
      <w:t xml:space="preserve">COR-2025-03467-00-01-PAC-TRA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663F85" w:rsidP="00A8115B" w:rsidRDefault="00663F85" w14:paraId="08C241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690" w:rsidRDefault="00B94690" w14:paraId="3A0580FF" w14:textId="77777777">
      <w:r>
        <w:separator/>
      </w:r>
    </w:p>
  </w:footnote>
  <w:footnote w:type="continuationSeparator" w:id="0">
    <w:p w:rsidR="00B94690" w:rsidRDefault="00B94690" w14:paraId="2B1D5530" w14:textId="77777777">
      <w:r>
        <w:continuationSeparator/>
      </w:r>
    </w:p>
  </w:footnote>
  <w:footnote w:type="continuationNotice" w:id="1">
    <w:p w:rsidR="00B94690" w:rsidRDefault="00B94690" w14:paraId="5706C8A5"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A8115B" w:rsidP="00A8115B" w:rsidRDefault="00A8115B" w14:paraId="7F6230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A8115B" w:rsidP="00A8115B" w:rsidRDefault="00A8115B" w14:paraId="3B3FDC90" w14:textId="6FEE2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A8115B" w:rsidP="00A8115B" w:rsidRDefault="00A8115B" w14:paraId="03FC77F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663F85" w:rsidP="00A8115B" w:rsidRDefault="00663F85" w14:paraId="70453A9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663F85" w:rsidP="00A8115B" w:rsidRDefault="00663F85" w14:paraId="7A227F3B" w14:textId="14E675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8115B" w:rsidR="00663F85" w:rsidP="00A8115B" w:rsidRDefault="00663F85" w14:paraId="139005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090CBD4"/>
    <w:lvl w:ilvl="0">
      <w:start w:val="1"/>
      <w:numFmt w:val="decimal"/>
      <w:pStyle w:val="Heading1"/>
      <w:lvlText w:val="%1."/>
      <w:legacy w:legacy="1" w:legacySpace="0" w:legacyIndent="0"/>
      <w:lvlJc w:val="left"/>
      <w:rPr>
        <w:b w:val="0"/>
        <w:bCs w:val="0"/>
        <w:i w:val="0"/>
        <w:i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9A2985"/>
    <w:multiLevelType w:val="multilevel"/>
    <w:tmpl w:val="37EE2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A0942"/>
    <w:multiLevelType w:val="multilevel"/>
    <w:tmpl w:val="B148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83B30"/>
    <w:multiLevelType w:val="multilevel"/>
    <w:tmpl w:val="AAE0D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13538E"/>
    <w:multiLevelType w:val="multilevel"/>
    <w:tmpl w:val="57561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92A36"/>
    <w:multiLevelType w:val="multilevel"/>
    <w:tmpl w:val="4076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84D78"/>
    <w:multiLevelType w:val="hybridMultilevel"/>
    <w:tmpl w:val="637CE6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6410C67"/>
    <w:multiLevelType w:val="multilevel"/>
    <w:tmpl w:val="18A4A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81D22"/>
    <w:multiLevelType w:val="multilevel"/>
    <w:tmpl w:val="A54E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A6D47"/>
    <w:multiLevelType w:val="hybridMultilevel"/>
    <w:tmpl w:val="DB46BF28"/>
    <w:lvl w:ilvl="0" w:tplc="EAD0EAD8">
      <w:start w:val="1"/>
      <w:numFmt w:val="bullet"/>
      <w:lvlText w:val=""/>
      <w:lvlJc w:val="left"/>
      <w:pPr>
        <w:ind w:left="720" w:hanging="360"/>
      </w:pPr>
      <w:rPr>
        <w:rFonts w:ascii="Wingdings" w:hAnsi="Wingdings" w:hint="default"/>
        <w:color w:val="008BC5"/>
      </w:rPr>
    </w:lvl>
    <w:lvl w:ilvl="1" w:tplc="E93A0E9C">
      <w:start w:val="1"/>
      <w:numFmt w:val="bullet"/>
      <w:lvlText w:val=""/>
      <w:lvlJc w:val="left"/>
      <w:pPr>
        <w:ind w:left="1440" w:hanging="360"/>
      </w:pPr>
      <w:rPr>
        <w:rFonts w:ascii="Wingdings" w:hAnsi="Wingdings" w:hint="default"/>
        <w:color w:val="57575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363CA9"/>
    <w:multiLevelType w:val="multilevel"/>
    <w:tmpl w:val="CFAA5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77B64"/>
    <w:multiLevelType w:val="multilevel"/>
    <w:tmpl w:val="11C28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D28E2"/>
    <w:multiLevelType w:val="multilevel"/>
    <w:tmpl w:val="5D807C44"/>
    <w:lvl w:ilvl="0">
      <w:start w:val="1"/>
      <w:numFmt w:val="decimal"/>
      <w:lvlText w:val="%1"/>
      <w:lvlJc w:val="left"/>
      <w:pPr>
        <w:ind w:left="851" w:hanging="567"/>
      </w:pPr>
      <w:rPr>
        <w:rFonts w:hint="default"/>
        <w:color w:val="9BBB59" w:themeColor="accent3"/>
      </w:rPr>
    </w:lvl>
    <w:lvl w:ilvl="1">
      <w:start w:val="1"/>
      <w:numFmt w:val="decimal"/>
      <w:lvlText w:val="%2.%1"/>
      <w:lvlJc w:val="left"/>
      <w:pPr>
        <w:ind w:left="1135" w:hanging="567"/>
      </w:pPr>
      <w:rPr>
        <w:rFonts w:hint="default"/>
        <w:color w:val="000000" w:themeColor="text1"/>
      </w:rPr>
    </w:lvl>
    <w:lvl w:ilvl="2">
      <w:start w:val="1"/>
      <w:numFmt w:val="decimal"/>
      <w:lvlText w:val="%1.%2.%3"/>
      <w:lvlJc w:val="left"/>
      <w:pPr>
        <w:ind w:left="1419" w:hanging="567"/>
      </w:pPr>
      <w:rPr>
        <w:rFonts w:hint="default"/>
        <w:color w:val="666666" w:themeColor="text1" w:themeTint="99"/>
      </w:rPr>
    </w:lvl>
    <w:lvl w:ilvl="3">
      <w:start w:val="1"/>
      <w:numFmt w:val="decimal"/>
      <w:lvlText w:val="%1.%2.%4.%!"/>
      <w:lvlJc w:val="left"/>
      <w:pPr>
        <w:ind w:left="1703" w:hanging="567"/>
      </w:pPr>
      <w:rPr>
        <w:rFonts w:hint="default"/>
        <w:color w:val="666666" w:themeColor="text1" w:themeTint="99"/>
      </w:rPr>
    </w:lvl>
    <w:lvl w:ilvl="4">
      <w:start w:val="1"/>
      <w:numFmt w:val="lowerLetter"/>
      <w:lvlText w:val="(%5)"/>
      <w:lvlJc w:val="left"/>
      <w:pPr>
        <w:ind w:left="1987" w:hanging="567"/>
      </w:pPr>
      <w:rPr>
        <w:rFonts w:hint="default"/>
      </w:rPr>
    </w:lvl>
    <w:lvl w:ilvl="5">
      <w:start w:val="1"/>
      <w:numFmt w:val="lowerRoman"/>
      <w:lvlText w:val="(%6)"/>
      <w:lvlJc w:val="left"/>
      <w:pPr>
        <w:ind w:left="2271" w:hanging="567"/>
      </w:pPr>
      <w:rPr>
        <w:rFonts w:hint="default"/>
      </w:rPr>
    </w:lvl>
    <w:lvl w:ilvl="6">
      <w:start w:val="1"/>
      <w:numFmt w:val="decimal"/>
      <w:lvlText w:val="%7."/>
      <w:lvlJc w:val="left"/>
      <w:pPr>
        <w:ind w:left="2555" w:hanging="567"/>
      </w:pPr>
      <w:rPr>
        <w:rFonts w:hint="default"/>
      </w:rPr>
    </w:lvl>
    <w:lvl w:ilvl="7">
      <w:start w:val="1"/>
      <w:numFmt w:val="lowerLetter"/>
      <w:lvlText w:val="%8."/>
      <w:lvlJc w:val="left"/>
      <w:pPr>
        <w:ind w:left="2839" w:hanging="567"/>
      </w:pPr>
      <w:rPr>
        <w:rFonts w:hint="default"/>
      </w:rPr>
    </w:lvl>
    <w:lvl w:ilvl="8">
      <w:start w:val="1"/>
      <w:numFmt w:val="lowerRoman"/>
      <w:lvlText w:val="%9."/>
      <w:lvlJc w:val="left"/>
      <w:pPr>
        <w:ind w:left="3123" w:hanging="567"/>
      </w:pPr>
      <w:rPr>
        <w:rFonts w:hint="default"/>
      </w:rPr>
    </w:lvl>
  </w:abstractNum>
  <w:abstractNum w:abstractNumId="16" w15:restartNumberingAfterBreak="0">
    <w:nsid w:val="6FE6268C"/>
    <w:multiLevelType w:val="hybridMultilevel"/>
    <w:tmpl w:val="2FA66C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D810271"/>
    <w:multiLevelType w:val="multilevel"/>
    <w:tmpl w:val="90E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55220"/>
    <w:multiLevelType w:val="multilevel"/>
    <w:tmpl w:val="9474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9"/>
  </w:num>
  <w:num w:numId="4">
    <w:abstractNumId w:val="10"/>
  </w:num>
  <w:num w:numId="5">
    <w:abstractNumId w:val="15"/>
    <w:lvlOverride w:ilvl="0">
      <w:lvl w:ilvl="0">
        <w:start w:val="1"/>
        <w:numFmt w:val="decimal"/>
        <w:lvlText w:val="%1"/>
        <w:lvlJc w:val="left"/>
        <w:pPr>
          <w:ind w:left="851" w:hanging="567"/>
        </w:pPr>
        <w:rPr>
          <w:rFonts w:hint="default"/>
          <w:color w:val="008BC5"/>
        </w:rPr>
      </w:lvl>
    </w:lvlOverride>
    <w:lvlOverride w:ilvl="1">
      <w:lvl w:ilvl="1">
        <w:start w:val="1"/>
        <w:numFmt w:val="decimal"/>
        <w:lvlText w:val="%2.%1"/>
        <w:lvlJc w:val="left"/>
        <w:pPr>
          <w:ind w:left="1135" w:hanging="567"/>
        </w:pPr>
        <w:rPr>
          <w:rFonts w:hint="default"/>
          <w:color w:val="575756"/>
        </w:rPr>
      </w:lvl>
    </w:lvlOverride>
    <w:lvlOverride w:ilvl="2">
      <w:lvl w:ilvl="2">
        <w:start w:val="1"/>
        <w:numFmt w:val="decimal"/>
        <w:lvlText w:val="%1.%2.%3"/>
        <w:lvlJc w:val="left"/>
        <w:pPr>
          <w:ind w:left="1419" w:hanging="567"/>
        </w:pPr>
        <w:rPr>
          <w:rFonts w:hint="default"/>
          <w:color w:val="9A9A99"/>
        </w:rPr>
      </w:lvl>
    </w:lvlOverride>
  </w:num>
  <w:num w:numId="6">
    <w:abstractNumId w:val="15"/>
  </w:num>
  <w:num w:numId="7">
    <w:abstractNumId w:val="15"/>
    <w:lvlOverride w:ilvl="0">
      <w:lvl w:ilvl="0">
        <w:start w:val="1"/>
        <w:numFmt w:val="decimal"/>
        <w:lvlText w:val="%1"/>
        <w:lvlJc w:val="left"/>
        <w:pPr>
          <w:ind w:left="851" w:hanging="567"/>
        </w:pPr>
        <w:rPr>
          <w:rFonts w:hint="default"/>
          <w:color w:val="008BC5"/>
        </w:rPr>
      </w:lvl>
    </w:lvlOverride>
    <w:lvlOverride w:ilvl="1">
      <w:lvl w:ilvl="1">
        <w:start w:val="1"/>
        <w:numFmt w:val="decimal"/>
        <w:lvlText w:val="%2.%1"/>
        <w:lvlJc w:val="left"/>
        <w:pPr>
          <w:ind w:left="1135" w:hanging="567"/>
        </w:pPr>
        <w:rPr>
          <w:rFonts w:hint="default"/>
          <w:color w:val="575756"/>
        </w:rPr>
      </w:lvl>
    </w:lvlOverride>
    <w:lvlOverride w:ilvl="2">
      <w:lvl w:ilvl="2">
        <w:start w:val="1"/>
        <w:numFmt w:val="decimal"/>
        <w:lvlText w:val="%1.%2.%3"/>
        <w:lvlJc w:val="left"/>
        <w:pPr>
          <w:ind w:left="1419" w:hanging="567"/>
        </w:pPr>
        <w:rPr>
          <w:rFonts w:hint="default"/>
          <w:color w:val="9A9A99"/>
        </w:rPr>
      </w:lvl>
    </w:lvlOverride>
  </w:num>
  <w:num w:numId="8">
    <w:abstractNumId w:val="18"/>
  </w:num>
  <w:num w:numId="9">
    <w:abstractNumId w:val="11"/>
  </w:num>
  <w:num w:numId="10">
    <w:abstractNumId w:val="3"/>
  </w:num>
  <w:num w:numId="11">
    <w:abstractNumId w:val="1"/>
  </w:num>
  <w:num w:numId="12">
    <w:abstractNumId w:val="8"/>
  </w:num>
  <w:num w:numId="13">
    <w:abstractNumId w:val="13"/>
  </w:num>
  <w:num w:numId="14">
    <w:abstractNumId w:val="5"/>
  </w:num>
  <w:num w:numId="15">
    <w:abstractNumId w:val="19"/>
  </w:num>
  <w:num w:numId="16">
    <w:abstractNumId w:val="14"/>
  </w:num>
  <w:num w:numId="17">
    <w:abstractNumId w:val="6"/>
  </w:num>
  <w:num w:numId="18">
    <w:abstractNumId w:val="7"/>
  </w:num>
  <w:num w:numId="19">
    <w:abstractNumId w:val="16"/>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107B"/>
    <w:rsid w:val="00001234"/>
    <w:rsid w:val="000027E9"/>
    <w:rsid w:val="00004A82"/>
    <w:rsid w:val="000054F1"/>
    <w:rsid w:val="00006856"/>
    <w:rsid w:val="000118EC"/>
    <w:rsid w:val="00012791"/>
    <w:rsid w:val="00013CB8"/>
    <w:rsid w:val="00017720"/>
    <w:rsid w:val="0002092A"/>
    <w:rsid w:val="00020D7F"/>
    <w:rsid w:val="00021F8E"/>
    <w:rsid w:val="00024A70"/>
    <w:rsid w:val="00024E61"/>
    <w:rsid w:val="000273A5"/>
    <w:rsid w:val="0003215C"/>
    <w:rsid w:val="0003242E"/>
    <w:rsid w:val="00037573"/>
    <w:rsid w:val="00041165"/>
    <w:rsid w:val="00042244"/>
    <w:rsid w:val="000441A1"/>
    <w:rsid w:val="00050E45"/>
    <w:rsid w:val="000512A8"/>
    <w:rsid w:val="00051586"/>
    <w:rsid w:val="00051BF3"/>
    <w:rsid w:val="000521E4"/>
    <w:rsid w:val="00053CEE"/>
    <w:rsid w:val="000560AD"/>
    <w:rsid w:val="0006108F"/>
    <w:rsid w:val="000615B3"/>
    <w:rsid w:val="00063FC5"/>
    <w:rsid w:val="00064C5B"/>
    <w:rsid w:val="00066365"/>
    <w:rsid w:val="00066870"/>
    <w:rsid w:val="00067BA8"/>
    <w:rsid w:val="00071281"/>
    <w:rsid w:val="000715CB"/>
    <w:rsid w:val="00073137"/>
    <w:rsid w:val="0007523F"/>
    <w:rsid w:val="0007551C"/>
    <w:rsid w:val="000761D5"/>
    <w:rsid w:val="00077A9B"/>
    <w:rsid w:val="00083AE8"/>
    <w:rsid w:val="00084776"/>
    <w:rsid w:val="0009381E"/>
    <w:rsid w:val="00095AB3"/>
    <w:rsid w:val="00095DAF"/>
    <w:rsid w:val="00097A11"/>
    <w:rsid w:val="000A12C8"/>
    <w:rsid w:val="000A3E53"/>
    <w:rsid w:val="000A4533"/>
    <w:rsid w:val="000B3249"/>
    <w:rsid w:val="000B3433"/>
    <w:rsid w:val="000B3B8A"/>
    <w:rsid w:val="000B4641"/>
    <w:rsid w:val="000B5D1C"/>
    <w:rsid w:val="000B74D3"/>
    <w:rsid w:val="000C0D03"/>
    <w:rsid w:val="000C1D42"/>
    <w:rsid w:val="000C38B3"/>
    <w:rsid w:val="000C3BC1"/>
    <w:rsid w:val="000C7C6E"/>
    <w:rsid w:val="000C7F22"/>
    <w:rsid w:val="000D2085"/>
    <w:rsid w:val="000D4F2D"/>
    <w:rsid w:val="000D53B4"/>
    <w:rsid w:val="000D6A84"/>
    <w:rsid w:val="000E1082"/>
    <w:rsid w:val="000E1C58"/>
    <w:rsid w:val="000E6CF4"/>
    <w:rsid w:val="000F02E6"/>
    <w:rsid w:val="000F1CA5"/>
    <w:rsid w:val="000F22E6"/>
    <w:rsid w:val="000F6AC8"/>
    <w:rsid w:val="000F7FEE"/>
    <w:rsid w:val="0010038C"/>
    <w:rsid w:val="00101FBB"/>
    <w:rsid w:val="0010509F"/>
    <w:rsid w:val="001114A4"/>
    <w:rsid w:val="00112717"/>
    <w:rsid w:val="00112E32"/>
    <w:rsid w:val="001165F9"/>
    <w:rsid w:val="001206B0"/>
    <w:rsid w:val="0012190B"/>
    <w:rsid w:val="001236C0"/>
    <w:rsid w:val="00126169"/>
    <w:rsid w:val="0013425B"/>
    <w:rsid w:val="001349CD"/>
    <w:rsid w:val="00134D05"/>
    <w:rsid w:val="00140542"/>
    <w:rsid w:val="00141EFF"/>
    <w:rsid w:val="001429B6"/>
    <w:rsid w:val="001471F4"/>
    <w:rsid w:val="00150252"/>
    <w:rsid w:val="001530DB"/>
    <w:rsid w:val="0015645B"/>
    <w:rsid w:val="001567F3"/>
    <w:rsid w:val="0016006A"/>
    <w:rsid w:val="00163796"/>
    <w:rsid w:val="001648FE"/>
    <w:rsid w:val="0017286F"/>
    <w:rsid w:val="001733FA"/>
    <w:rsid w:val="0017365B"/>
    <w:rsid w:val="00175297"/>
    <w:rsid w:val="001762CA"/>
    <w:rsid w:val="001763A3"/>
    <w:rsid w:val="001805E1"/>
    <w:rsid w:val="00180D36"/>
    <w:rsid w:val="00182DC4"/>
    <w:rsid w:val="001831BA"/>
    <w:rsid w:val="00183EE2"/>
    <w:rsid w:val="001854C2"/>
    <w:rsid w:val="00186A21"/>
    <w:rsid w:val="00186CA3"/>
    <w:rsid w:val="00193251"/>
    <w:rsid w:val="00193552"/>
    <w:rsid w:val="00196B38"/>
    <w:rsid w:val="00197313"/>
    <w:rsid w:val="001A06FB"/>
    <w:rsid w:val="001A42D3"/>
    <w:rsid w:val="001A5DD6"/>
    <w:rsid w:val="001A6722"/>
    <w:rsid w:val="001A6D24"/>
    <w:rsid w:val="001B04AC"/>
    <w:rsid w:val="001B1587"/>
    <w:rsid w:val="001B16FA"/>
    <w:rsid w:val="001B33A4"/>
    <w:rsid w:val="001B7605"/>
    <w:rsid w:val="001C467C"/>
    <w:rsid w:val="001C46EF"/>
    <w:rsid w:val="001C66A9"/>
    <w:rsid w:val="001C6E98"/>
    <w:rsid w:val="001C7D32"/>
    <w:rsid w:val="001D0089"/>
    <w:rsid w:val="001D3352"/>
    <w:rsid w:val="001D559E"/>
    <w:rsid w:val="001D7843"/>
    <w:rsid w:val="001E1AFA"/>
    <w:rsid w:val="001E44A6"/>
    <w:rsid w:val="001E5620"/>
    <w:rsid w:val="001F1AB8"/>
    <w:rsid w:val="001F23D8"/>
    <w:rsid w:val="001F2CF7"/>
    <w:rsid w:val="001F7A7F"/>
    <w:rsid w:val="002033F5"/>
    <w:rsid w:val="002054D0"/>
    <w:rsid w:val="00205667"/>
    <w:rsid w:val="00205B44"/>
    <w:rsid w:val="00206FC4"/>
    <w:rsid w:val="00210A7C"/>
    <w:rsid w:val="0021207B"/>
    <w:rsid w:val="0021332F"/>
    <w:rsid w:val="002134C8"/>
    <w:rsid w:val="00213ED2"/>
    <w:rsid w:val="00215283"/>
    <w:rsid w:val="0021635B"/>
    <w:rsid w:val="00216390"/>
    <w:rsid w:val="00216432"/>
    <w:rsid w:val="0021715B"/>
    <w:rsid w:val="002219D8"/>
    <w:rsid w:val="0022340D"/>
    <w:rsid w:val="00224624"/>
    <w:rsid w:val="002250C3"/>
    <w:rsid w:val="002302F1"/>
    <w:rsid w:val="002356A4"/>
    <w:rsid w:val="002359DA"/>
    <w:rsid w:val="00236DBD"/>
    <w:rsid w:val="00240936"/>
    <w:rsid w:val="00243B3D"/>
    <w:rsid w:val="002447CA"/>
    <w:rsid w:val="0024622B"/>
    <w:rsid w:val="00252BFF"/>
    <w:rsid w:val="00252EB2"/>
    <w:rsid w:val="00254B94"/>
    <w:rsid w:val="00255CFB"/>
    <w:rsid w:val="002576B9"/>
    <w:rsid w:val="00260052"/>
    <w:rsid w:val="0026039E"/>
    <w:rsid w:val="002621FA"/>
    <w:rsid w:val="00264514"/>
    <w:rsid w:val="0026540B"/>
    <w:rsid w:val="0026767E"/>
    <w:rsid w:val="00270199"/>
    <w:rsid w:val="0027086B"/>
    <w:rsid w:val="00270BA1"/>
    <w:rsid w:val="00270E3F"/>
    <w:rsid w:val="00270E43"/>
    <w:rsid w:val="00273C8B"/>
    <w:rsid w:val="00274A72"/>
    <w:rsid w:val="00276032"/>
    <w:rsid w:val="00281E82"/>
    <w:rsid w:val="00284449"/>
    <w:rsid w:val="0028584D"/>
    <w:rsid w:val="00286700"/>
    <w:rsid w:val="00291FC7"/>
    <w:rsid w:val="00293319"/>
    <w:rsid w:val="0029370D"/>
    <w:rsid w:val="002963D8"/>
    <w:rsid w:val="00297A73"/>
    <w:rsid w:val="002A67BF"/>
    <w:rsid w:val="002A7D2A"/>
    <w:rsid w:val="002B021C"/>
    <w:rsid w:val="002B02EB"/>
    <w:rsid w:val="002B0BBD"/>
    <w:rsid w:val="002B1E5E"/>
    <w:rsid w:val="002B4048"/>
    <w:rsid w:val="002C04E5"/>
    <w:rsid w:val="002C5C63"/>
    <w:rsid w:val="002D180A"/>
    <w:rsid w:val="002D26D9"/>
    <w:rsid w:val="002D3894"/>
    <w:rsid w:val="002D618D"/>
    <w:rsid w:val="002D674E"/>
    <w:rsid w:val="002D6A56"/>
    <w:rsid w:val="002D75FD"/>
    <w:rsid w:val="002E08EA"/>
    <w:rsid w:val="002E0CDF"/>
    <w:rsid w:val="002E17A2"/>
    <w:rsid w:val="002E3156"/>
    <w:rsid w:val="002E3662"/>
    <w:rsid w:val="002E4A3C"/>
    <w:rsid w:val="002E5895"/>
    <w:rsid w:val="002E7B6D"/>
    <w:rsid w:val="002F03D6"/>
    <w:rsid w:val="002F4C6B"/>
    <w:rsid w:val="002F67B8"/>
    <w:rsid w:val="002F75C6"/>
    <w:rsid w:val="003033B5"/>
    <w:rsid w:val="00305992"/>
    <w:rsid w:val="003108D3"/>
    <w:rsid w:val="00311252"/>
    <w:rsid w:val="003134BD"/>
    <w:rsid w:val="00313DD6"/>
    <w:rsid w:val="00314BCD"/>
    <w:rsid w:val="00316EDD"/>
    <w:rsid w:val="003172AC"/>
    <w:rsid w:val="0032073C"/>
    <w:rsid w:val="003213FB"/>
    <w:rsid w:val="0032149D"/>
    <w:rsid w:val="003222ED"/>
    <w:rsid w:val="00322488"/>
    <w:rsid w:val="00334D96"/>
    <w:rsid w:val="00334ED1"/>
    <w:rsid w:val="0033537E"/>
    <w:rsid w:val="00337680"/>
    <w:rsid w:val="00350468"/>
    <w:rsid w:val="00352379"/>
    <w:rsid w:val="00352E5C"/>
    <w:rsid w:val="003563A4"/>
    <w:rsid w:val="00360FD6"/>
    <w:rsid w:val="0036342F"/>
    <w:rsid w:val="00367564"/>
    <w:rsid w:val="00367D80"/>
    <w:rsid w:val="00370737"/>
    <w:rsid w:val="003710A5"/>
    <w:rsid w:val="00373ED4"/>
    <w:rsid w:val="00375B82"/>
    <w:rsid w:val="0038246E"/>
    <w:rsid w:val="00383975"/>
    <w:rsid w:val="00383D53"/>
    <w:rsid w:val="00387354"/>
    <w:rsid w:val="00391964"/>
    <w:rsid w:val="00395B0B"/>
    <w:rsid w:val="003A043C"/>
    <w:rsid w:val="003A20F5"/>
    <w:rsid w:val="003A2E37"/>
    <w:rsid w:val="003A587B"/>
    <w:rsid w:val="003A69D6"/>
    <w:rsid w:val="003B0723"/>
    <w:rsid w:val="003B1C77"/>
    <w:rsid w:val="003C0F98"/>
    <w:rsid w:val="003C15AD"/>
    <w:rsid w:val="003D1C15"/>
    <w:rsid w:val="003D1DC2"/>
    <w:rsid w:val="003D2403"/>
    <w:rsid w:val="003D4A26"/>
    <w:rsid w:val="003D4AAE"/>
    <w:rsid w:val="003D6FA9"/>
    <w:rsid w:val="003D7856"/>
    <w:rsid w:val="003E14E6"/>
    <w:rsid w:val="003E1CB2"/>
    <w:rsid w:val="003E3F89"/>
    <w:rsid w:val="003E420C"/>
    <w:rsid w:val="003E5246"/>
    <w:rsid w:val="003E6AB3"/>
    <w:rsid w:val="003F0609"/>
    <w:rsid w:val="003F2CC2"/>
    <w:rsid w:val="003F2D9B"/>
    <w:rsid w:val="003F3966"/>
    <w:rsid w:val="003F3D10"/>
    <w:rsid w:val="003F40F8"/>
    <w:rsid w:val="003F5E5C"/>
    <w:rsid w:val="003F6EC7"/>
    <w:rsid w:val="00400456"/>
    <w:rsid w:val="00404D71"/>
    <w:rsid w:val="00405B19"/>
    <w:rsid w:val="00406724"/>
    <w:rsid w:val="00407804"/>
    <w:rsid w:val="0041292F"/>
    <w:rsid w:val="00414361"/>
    <w:rsid w:val="0042047D"/>
    <w:rsid w:val="0042728F"/>
    <w:rsid w:val="00430D7E"/>
    <w:rsid w:val="004336B4"/>
    <w:rsid w:val="004340F5"/>
    <w:rsid w:val="00435B7E"/>
    <w:rsid w:val="00437236"/>
    <w:rsid w:val="00443BD4"/>
    <w:rsid w:val="00444658"/>
    <w:rsid w:val="00444A98"/>
    <w:rsid w:val="00444E36"/>
    <w:rsid w:val="00446A8D"/>
    <w:rsid w:val="004503B3"/>
    <w:rsid w:val="0045160B"/>
    <w:rsid w:val="00451AD8"/>
    <w:rsid w:val="00451CEA"/>
    <w:rsid w:val="0045224D"/>
    <w:rsid w:val="00454AD9"/>
    <w:rsid w:val="00455050"/>
    <w:rsid w:val="00457A3D"/>
    <w:rsid w:val="004637E3"/>
    <w:rsid w:val="004637FB"/>
    <w:rsid w:val="00470882"/>
    <w:rsid w:val="00471ED9"/>
    <w:rsid w:val="00473819"/>
    <w:rsid w:val="00475484"/>
    <w:rsid w:val="00477139"/>
    <w:rsid w:val="00477208"/>
    <w:rsid w:val="00480933"/>
    <w:rsid w:val="00481716"/>
    <w:rsid w:val="004862AD"/>
    <w:rsid w:val="004862B7"/>
    <w:rsid w:val="00487A62"/>
    <w:rsid w:val="0049114F"/>
    <w:rsid w:val="00497B19"/>
    <w:rsid w:val="004A0288"/>
    <w:rsid w:val="004A0683"/>
    <w:rsid w:val="004A0C7C"/>
    <w:rsid w:val="004A2F2D"/>
    <w:rsid w:val="004A3A4D"/>
    <w:rsid w:val="004A41CF"/>
    <w:rsid w:val="004A4EE1"/>
    <w:rsid w:val="004A5818"/>
    <w:rsid w:val="004A6D32"/>
    <w:rsid w:val="004B08BE"/>
    <w:rsid w:val="004B0961"/>
    <w:rsid w:val="004B50A2"/>
    <w:rsid w:val="004B5566"/>
    <w:rsid w:val="004B675B"/>
    <w:rsid w:val="004C3C7C"/>
    <w:rsid w:val="004C664E"/>
    <w:rsid w:val="004C6663"/>
    <w:rsid w:val="004C6669"/>
    <w:rsid w:val="004C6CEF"/>
    <w:rsid w:val="004D07EA"/>
    <w:rsid w:val="004D0FB6"/>
    <w:rsid w:val="004D3684"/>
    <w:rsid w:val="004D5ADB"/>
    <w:rsid w:val="004E074F"/>
    <w:rsid w:val="004E08DF"/>
    <w:rsid w:val="004E2949"/>
    <w:rsid w:val="004E5BBE"/>
    <w:rsid w:val="004E5F03"/>
    <w:rsid w:val="004E605D"/>
    <w:rsid w:val="004E7B17"/>
    <w:rsid w:val="004E7BCF"/>
    <w:rsid w:val="004F6B23"/>
    <w:rsid w:val="004F710A"/>
    <w:rsid w:val="00503685"/>
    <w:rsid w:val="00511E90"/>
    <w:rsid w:val="005131C9"/>
    <w:rsid w:val="00513BB4"/>
    <w:rsid w:val="0051403D"/>
    <w:rsid w:val="005158E1"/>
    <w:rsid w:val="00520E7B"/>
    <w:rsid w:val="005215CA"/>
    <w:rsid w:val="00521785"/>
    <w:rsid w:val="00523BDD"/>
    <w:rsid w:val="00523F2A"/>
    <w:rsid w:val="00524F1F"/>
    <w:rsid w:val="005253EF"/>
    <w:rsid w:val="005339C0"/>
    <w:rsid w:val="00543D86"/>
    <w:rsid w:val="0055146A"/>
    <w:rsid w:val="00555CBF"/>
    <w:rsid w:val="00556203"/>
    <w:rsid w:val="005626D1"/>
    <w:rsid w:val="00562BD5"/>
    <w:rsid w:val="0056516F"/>
    <w:rsid w:val="00565E98"/>
    <w:rsid w:val="0056647C"/>
    <w:rsid w:val="005704B9"/>
    <w:rsid w:val="005707C3"/>
    <w:rsid w:val="005714DF"/>
    <w:rsid w:val="005716B7"/>
    <w:rsid w:val="00571B98"/>
    <w:rsid w:val="00572874"/>
    <w:rsid w:val="00573B8E"/>
    <w:rsid w:val="00573E00"/>
    <w:rsid w:val="0057405A"/>
    <w:rsid w:val="00575FC1"/>
    <w:rsid w:val="00580F6D"/>
    <w:rsid w:val="00582167"/>
    <w:rsid w:val="00582DA8"/>
    <w:rsid w:val="00583866"/>
    <w:rsid w:val="0058639F"/>
    <w:rsid w:val="005918A5"/>
    <w:rsid w:val="005A41BB"/>
    <w:rsid w:val="005A7621"/>
    <w:rsid w:val="005A7F8D"/>
    <w:rsid w:val="005B0460"/>
    <w:rsid w:val="005B24E7"/>
    <w:rsid w:val="005B2905"/>
    <w:rsid w:val="005B54DB"/>
    <w:rsid w:val="005B73DB"/>
    <w:rsid w:val="005C36CD"/>
    <w:rsid w:val="005C3BD5"/>
    <w:rsid w:val="005C4B78"/>
    <w:rsid w:val="005C4F1C"/>
    <w:rsid w:val="005C6C9C"/>
    <w:rsid w:val="005D0272"/>
    <w:rsid w:val="005D2900"/>
    <w:rsid w:val="005D31A6"/>
    <w:rsid w:val="005D540C"/>
    <w:rsid w:val="005D5A84"/>
    <w:rsid w:val="005E174D"/>
    <w:rsid w:val="005E4236"/>
    <w:rsid w:val="005E43AB"/>
    <w:rsid w:val="005E43B4"/>
    <w:rsid w:val="005E49CB"/>
    <w:rsid w:val="005E58C7"/>
    <w:rsid w:val="005F2A5D"/>
    <w:rsid w:val="005F378B"/>
    <w:rsid w:val="005F4948"/>
    <w:rsid w:val="005F4F05"/>
    <w:rsid w:val="005F73B9"/>
    <w:rsid w:val="0060155E"/>
    <w:rsid w:val="00602016"/>
    <w:rsid w:val="0060305D"/>
    <w:rsid w:val="00605EE8"/>
    <w:rsid w:val="00606954"/>
    <w:rsid w:val="00610C1E"/>
    <w:rsid w:val="00611921"/>
    <w:rsid w:val="006130F8"/>
    <w:rsid w:val="006164BC"/>
    <w:rsid w:val="006178E4"/>
    <w:rsid w:val="00626A17"/>
    <w:rsid w:val="006311E4"/>
    <w:rsid w:val="0063131D"/>
    <w:rsid w:val="0063133E"/>
    <w:rsid w:val="0063224B"/>
    <w:rsid w:val="00636B72"/>
    <w:rsid w:val="00641F67"/>
    <w:rsid w:val="0064577E"/>
    <w:rsid w:val="00645DBF"/>
    <w:rsid w:val="006468A1"/>
    <w:rsid w:val="00653433"/>
    <w:rsid w:val="0065419A"/>
    <w:rsid w:val="00656482"/>
    <w:rsid w:val="0066396F"/>
    <w:rsid w:val="00663F85"/>
    <w:rsid w:val="00666E0C"/>
    <w:rsid w:val="00670891"/>
    <w:rsid w:val="00671009"/>
    <w:rsid w:val="006720EC"/>
    <w:rsid w:val="00673B72"/>
    <w:rsid w:val="0067416E"/>
    <w:rsid w:val="0067553D"/>
    <w:rsid w:val="00676508"/>
    <w:rsid w:val="00677471"/>
    <w:rsid w:val="006810C9"/>
    <w:rsid w:val="0068306B"/>
    <w:rsid w:val="00683639"/>
    <w:rsid w:val="0068471B"/>
    <w:rsid w:val="00685709"/>
    <w:rsid w:val="00686B25"/>
    <w:rsid w:val="00691635"/>
    <w:rsid w:val="00691850"/>
    <w:rsid w:val="00692236"/>
    <w:rsid w:val="006923D9"/>
    <w:rsid w:val="006924BC"/>
    <w:rsid w:val="006933C5"/>
    <w:rsid w:val="006A1C92"/>
    <w:rsid w:val="006A2FF7"/>
    <w:rsid w:val="006A411D"/>
    <w:rsid w:val="006A4474"/>
    <w:rsid w:val="006A46B0"/>
    <w:rsid w:val="006A4A0A"/>
    <w:rsid w:val="006A60D8"/>
    <w:rsid w:val="006A65B0"/>
    <w:rsid w:val="006B0EDA"/>
    <w:rsid w:val="006C03B8"/>
    <w:rsid w:val="006C3E49"/>
    <w:rsid w:val="006C41D3"/>
    <w:rsid w:val="006C4A35"/>
    <w:rsid w:val="006C670F"/>
    <w:rsid w:val="006D0087"/>
    <w:rsid w:val="006D146E"/>
    <w:rsid w:val="006D3344"/>
    <w:rsid w:val="006D4010"/>
    <w:rsid w:val="006D5486"/>
    <w:rsid w:val="006D5CF2"/>
    <w:rsid w:val="006D78CA"/>
    <w:rsid w:val="006E0247"/>
    <w:rsid w:val="006E0FF4"/>
    <w:rsid w:val="006E1C66"/>
    <w:rsid w:val="006E49BA"/>
    <w:rsid w:val="006E51D6"/>
    <w:rsid w:val="006E5CED"/>
    <w:rsid w:val="006F1D16"/>
    <w:rsid w:val="006F2753"/>
    <w:rsid w:val="006F2979"/>
    <w:rsid w:val="006F3A3F"/>
    <w:rsid w:val="006F4CFB"/>
    <w:rsid w:val="006F6A3B"/>
    <w:rsid w:val="0070361D"/>
    <w:rsid w:val="00703D14"/>
    <w:rsid w:val="00705E18"/>
    <w:rsid w:val="00714C73"/>
    <w:rsid w:val="00720994"/>
    <w:rsid w:val="007217E9"/>
    <w:rsid w:val="007226EB"/>
    <w:rsid w:val="00722912"/>
    <w:rsid w:val="00722C78"/>
    <w:rsid w:val="0072450E"/>
    <w:rsid w:val="00724630"/>
    <w:rsid w:val="007333C6"/>
    <w:rsid w:val="00733546"/>
    <w:rsid w:val="00733685"/>
    <w:rsid w:val="007347EB"/>
    <w:rsid w:val="00734A75"/>
    <w:rsid w:val="007352D7"/>
    <w:rsid w:val="00736EF7"/>
    <w:rsid w:val="00741A04"/>
    <w:rsid w:val="00743293"/>
    <w:rsid w:val="007452FA"/>
    <w:rsid w:val="00747871"/>
    <w:rsid w:val="00750999"/>
    <w:rsid w:val="0075254D"/>
    <w:rsid w:val="00753B61"/>
    <w:rsid w:val="00754260"/>
    <w:rsid w:val="00754850"/>
    <w:rsid w:val="0075508D"/>
    <w:rsid w:val="00757B33"/>
    <w:rsid w:val="00760524"/>
    <w:rsid w:val="00760926"/>
    <w:rsid w:val="00760CA0"/>
    <w:rsid w:val="0076519F"/>
    <w:rsid w:val="00765314"/>
    <w:rsid w:val="00765E7F"/>
    <w:rsid w:val="00766868"/>
    <w:rsid w:val="0077293E"/>
    <w:rsid w:val="007744C9"/>
    <w:rsid w:val="00777F79"/>
    <w:rsid w:val="00781B83"/>
    <w:rsid w:val="007834AD"/>
    <w:rsid w:val="00784E0A"/>
    <w:rsid w:val="00785967"/>
    <w:rsid w:val="00787023"/>
    <w:rsid w:val="007922D4"/>
    <w:rsid w:val="0079294C"/>
    <w:rsid w:val="007939BB"/>
    <w:rsid w:val="007966D7"/>
    <w:rsid w:val="00796D27"/>
    <w:rsid w:val="007A0032"/>
    <w:rsid w:val="007A158B"/>
    <w:rsid w:val="007A6D76"/>
    <w:rsid w:val="007B10B2"/>
    <w:rsid w:val="007B11A3"/>
    <w:rsid w:val="007B2E4D"/>
    <w:rsid w:val="007B47D3"/>
    <w:rsid w:val="007B76F9"/>
    <w:rsid w:val="007B7DBD"/>
    <w:rsid w:val="007C302C"/>
    <w:rsid w:val="007C4EBB"/>
    <w:rsid w:val="007C5EDF"/>
    <w:rsid w:val="007C69DA"/>
    <w:rsid w:val="007C6C29"/>
    <w:rsid w:val="007C7F2A"/>
    <w:rsid w:val="007D3483"/>
    <w:rsid w:val="007D3A84"/>
    <w:rsid w:val="007D6CA7"/>
    <w:rsid w:val="007E0D52"/>
    <w:rsid w:val="007E3DE2"/>
    <w:rsid w:val="007E5406"/>
    <w:rsid w:val="007E5DAE"/>
    <w:rsid w:val="007F0079"/>
    <w:rsid w:val="007F103F"/>
    <w:rsid w:val="007F146F"/>
    <w:rsid w:val="007F292E"/>
    <w:rsid w:val="007F2956"/>
    <w:rsid w:val="007F370B"/>
    <w:rsid w:val="007F44C3"/>
    <w:rsid w:val="007F626C"/>
    <w:rsid w:val="007F6351"/>
    <w:rsid w:val="007F68C4"/>
    <w:rsid w:val="00810512"/>
    <w:rsid w:val="00814EF3"/>
    <w:rsid w:val="008152E3"/>
    <w:rsid w:val="008224B6"/>
    <w:rsid w:val="00822AF5"/>
    <w:rsid w:val="00827147"/>
    <w:rsid w:val="00827609"/>
    <w:rsid w:val="008335CE"/>
    <w:rsid w:val="00836016"/>
    <w:rsid w:val="00837FA5"/>
    <w:rsid w:val="00844362"/>
    <w:rsid w:val="00844749"/>
    <w:rsid w:val="0084493E"/>
    <w:rsid w:val="00847238"/>
    <w:rsid w:val="00847E17"/>
    <w:rsid w:val="00847FC7"/>
    <w:rsid w:val="008509BC"/>
    <w:rsid w:val="00852465"/>
    <w:rsid w:val="0085269B"/>
    <w:rsid w:val="00852754"/>
    <w:rsid w:val="00852B43"/>
    <w:rsid w:val="00852EEA"/>
    <w:rsid w:val="0086028A"/>
    <w:rsid w:val="008604C5"/>
    <w:rsid w:val="00860809"/>
    <w:rsid w:val="0086112E"/>
    <w:rsid w:val="00862D06"/>
    <w:rsid w:val="00863F97"/>
    <w:rsid w:val="00866F5C"/>
    <w:rsid w:val="00870EE1"/>
    <w:rsid w:val="00874F76"/>
    <w:rsid w:val="00875950"/>
    <w:rsid w:val="00880D19"/>
    <w:rsid w:val="00881243"/>
    <w:rsid w:val="0088341F"/>
    <w:rsid w:val="0089383A"/>
    <w:rsid w:val="00893DF4"/>
    <w:rsid w:val="008956CC"/>
    <w:rsid w:val="00896B98"/>
    <w:rsid w:val="00897898"/>
    <w:rsid w:val="00897B4D"/>
    <w:rsid w:val="00897C05"/>
    <w:rsid w:val="008A1E49"/>
    <w:rsid w:val="008A360D"/>
    <w:rsid w:val="008B02CB"/>
    <w:rsid w:val="008B1BDB"/>
    <w:rsid w:val="008B28D4"/>
    <w:rsid w:val="008B3820"/>
    <w:rsid w:val="008B4B47"/>
    <w:rsid w:val="008B5EAB"/>
    <w:rsid w:val="008C42DB"/>
    <w:rsid w:val="008D0341"/>
    <w:rsid w:val="008D3638"/>
    <w:rsid w:val="008D511B"/>
    <w:rsid w:val="008D5496"/>
    <w:rsid w:val="008D57EF"/>
    <w:rsid w:val="008D5CBC"/>
    <w:rsid w:val="008D7A47"/>
    <w:rsid w:val="008E0BA2"/>
    <w:rsid w:val="008E21C3"/>
    <w:rsid w:val="008E295B"/>
    <w:rsid w:val="008E7200"/>
    <w:rsid w:val="008F237F"/>
    <w:rsid w:val="008F53D5"/>
    <w:rsid w:val="008F6107"/>
    <w:rsid w:val="0090073C"/>
    <w:rsid w:val="00901652"/>
    <w:rsid w:val="009041F6"/>
    <w:rsid w:val="009111DF"/>
    <w:rsid w:val="009126E9"/>
    <w:rsid w:val="00913B7D"/>
    <w:rsid w:val="009209F6"/>
    <w:rsid w:val="00923161"/>
    <w:rsid w:val="0092321E"/>
    <w:rsid w:val="00925BD3"/>
    <w:rsid w:val="00926641"/>
    <w:rsid w:val="00932164"/>
    <w:rsid w:val="00933A24"/>
    <w:rsid w:val="009352AE"/>
    <w:rsid w:val="00937284"/>
    <w:rsid w:val="00940DBB"/>
    <w:rsid w:val="009412F9"/>
    <w:rsid w:val="00941929"/>
    <w:rsid w:val="0094287D"/>
    <w:rsid w:val="00943DA3"/>
    <w:rsid w:val="00945168"/>
    <w:rsid w:val="0094668B"/>
    <w:rsid w:val="009470A5"/>
    <w:rsid w:val="00947CFE"/>
    <w:rsid w:val="00947EC3"/>
    <w:rsid w:val="009513D8"/>
    <w:rsid w:val="009514A2"/>
    <w:rsid w:val="0095201C"/>
    <w:rsid w:val="00953A1A"/>
    <w:rsid w:val="00955E69"/>
    <w:rsid w:val="0095610B"/>
    <w:rsid w:val="0095731F"/>
    <w:rsid w:val="0096359A"/>
    <w:rsid w:val="00963966"/>
    <w:rsid w:val="00965A6C"/>
    <w:rsid w:val="00966BBC"/>
    <w:rsid w:val="00971E0F"/>
    <w:rsid w:val="00973D89"/>
    <w:rsid w:val="00985496"/>
    <w:rsid w:val="009862DB"/>
    <w:rsid w:val="00986586"/>
    <w:rsid w:val="00990507"/>
    <w:rsid w:val="009905F7"/>
    <w:rsid w:val="00991D96"/>
    <w:rsid w:val="009935BC"/>
    <w:rsid w:val="00995CAA"/>
    <w:rsid w:val="009970B1"/>
    <w:rsid w:val="00997A06"/>
    <w:rsid w:val="009A0192"/>
    <w:rsid w:val="009A16C1"/>
    <w:rsid w:val="009A335B"/>
    <w:rsid w:val="009A6E15"/>
    <w:rsid w:val="009A7141"/>
    <w:rsid w:val="009B01D6"/>
    <w:rsid w:val="009B29E9"/>
    <w:rsid w:val="009C0C40"/>
    <w:rsid w:val="009C1B84"/>
    <w:rsid w:val="009C2E20"/>
    <w:rsid w:val="009C4D83"/>
    <w:rsid w:val="009C58A8"/>
    <w:rsid w:val="009D0F43"/>
    <w:rsid w:val="009D41F5"/>
    <w:rsid w:val="009D529B"/>
    <w:rsid w:val="009E00CB"/>
    <w:rsid w:val="009E18C2"/>
    <w:rsid w:val="009E2865"/>
    <w:rsid w:val="009E28DE"/>
    <w:rsid w:val="009E756B"/>
    <w:rsid w:val="009F0B69"/>
    <w:rsid w:val="009F1BE5"/>
    <w:rsid w:val="009F2339"/>
    <w:rsid w:val="009F23A5"/>
    <w:rsid w:val="009F255D"/>
    <w:rsid w:val="009F3E2C"/>
    <w:rsid w:val="009F43AB"/>
    <w:rsid w:val="009F57A1"/>
    <w:rsid w:val="009F74F6"/>
    <w:rsid w:val="009F7D37"/>
    <w:rsid w:val="00A012E5"/>
    <w:rsid w:val="00A01722"/>
    <w:rsid w:val="00A02675"/>
    <w:rsid w:val="00A0369E"/>
    <w:rsid w:val="00A04077"/>
    <w:rsid w:val="00A059D7"/>
    <w:rsid w:val="00A05DE3"/>
    <w:rsid w:val="00A07CD4"/>
    <w:rsid w:val="00A1166D"/>
    <w:rsid w:val="00A1328B"/>
    <w:rsid w:val="00A14C25"/>
    <w:rsid w:val="00A20D3E"/>
    <w:rsid w:val="00A2488F"/>
    <w:rsid w:val="00A349D4"/>
    <w:rsid w:val="00A35FFC"/>
    <w:rsid w:val="00A3612D"/>
    <w:rsid w:val="00A402C8"/>
    <w:rsid w:val="00A41CA3"/>
    <w:rsid w:val="00A424D4"/>
    <w:rsid w:val="00A424F9"/>
    <w:rsid w:val="00A43FB6"/>
    <w:rsid w:val="00A442CE"/>
    <w:rsid w:val="00A457D6"/>
    <w:rsid w:val="00A45A24"/>
    <w:rsid w:val="00A45AEA"/>
    <w:rsid w:val="00A47D9E"/>
    <w:rsid w:val="00A50438"/>
    <w:rsid w:val="00A50C65"/>
    <w:rsid w:val="00A510D7"/>
    <w:rsid w:val="00A51EDA"/>
    <w:rsid w:val="00A52564"/>
    <w:rsid w:val="00A527A4"/>
    <w:rsid w:val="00A532EB"/>
    <w:rsid w:val="00A56EE7"/>
    <w:rsid w:val="00A61C95"/>
    <w:rsid w:val="00A64BF5"/>
    <w:rsid w:val="00A668FB"/>
    <w:rsid w:val="00A66B65"/>
    <w:rsid w:val="00A716BB"/>
    <w:rsid w:val="00A763B9"/>
    <w:rsid w:val="00A77B8B"/>
    <w:rsid w:val="00A8115B"/>
    <w:rsid w:val="00A82F01"/>
    <w:rsid w:val="00A84676"/>
    <w:rsid w:val="00A8467A"/>
    <w:rsid w:val="00A86E56"/>
    <w:rsid w:val="00A911A9"/>
    <w:rsid w:val="00A91F95"/>
    <w:rsid w:val="00A93687"/>
    <w:rsid w:val="00A95270"/>
    <w:rsid w:val="00A95887"/>
    <w:rsid w:val="00A95F61"/>
    <w:rsid w:val="00A96841"/>
    <w:rsid w:val="00A97D53"/>
    <w:rsid w:val="00AA0C7B"/>
    <w:rsid w:val="00AA1E60"/>
    <w:rsid w:val="00AA3C2D"/>
    <w:rsid w:val="00AA3C44"/>
    <w:rsid w:val="00AA6921"/>
    <w:rsid w:val="00AA77B1"/>
    <w:rsid w:val="00AA7A3B"/>
    <w:rsid w:val="00AB0937"/>
    <w:rsid w:val="00AB5429"/>
    <w:rsid w:val="00AC0151"/>
    <w:rsid w:val="00AC12AA"/>
    <w:rsid w:val="00AC5220"/>
    <w:rsid w:val="00AD0F79"/>
    <w:rsid w:val="00AD4E10"/>
    <w:rsid w:val="00AE0F28"/>
    <w:rsid w:val="00AE4401"/>
    <w:rsid w:val="00AE74D7"/>
    <w:rsid w:val="00AF3674"/>
    <w:rsid w:val="00AF488A"/>
    <w:rsid w:val="00AF5CAA"/>
    <w:rsid w:val="00B016BF"/>
    <w:rsid w:val="00B018AF"/>
    <w:rsid w:val="00B02650"/>
    <w:rsid w:val="00B03F9D"/>
    <w:rsid w:val="00B06B01"/>
    <w:rsid w:val="00B07A53"/>
    <w:rsid w:val="00B119C7"/>
    <w:rsid w:val="00B17BF7"/>
    <w:rsid w:val="00B25A5E"/>
    <w:rsid w:val="00B273B8"/>
    <w:rsid w:val="00B27404"/>
    <w:rsid w:val="00B30360"/>
    <w:rsid w:val="00B3043A"/>
    <w:rsid w:val="00B30AD8"/>
    <w:rsid w:val="00B30EB6"/>
    <w:rsid w:val="00B3337F"/>
    <w:rsid w:val="00B33430"/>
    <w:rsid w:val="00B35197"/>
    <w:rsid w:val="00B359BE"/>
    <w:rsid w:val="00B35EE2"/>
    <w:rsid w:val="00B3722C"/>
    <w:rsid w:val="00B4127B"/>
    <w:rsid w:val="00B46407"/>
    <w:rsid w:val="00B5124C"/>
    <w:rsid w:val="00B51CA1"/>
    <w:rsid w:val="00B522D4"/>
    <w:rsid w:val="00B52BA5"/>
    <w:rsid w:val="00B52E1A"/>
    <w:rsid w:val="00B546B6"/>
    <w:rsid w:val="00B57642"/>
    <w:rsid w:val="00B576D1"/>
    <w:rsid w:val="00B57DAC"/>
    <w:rsid w:val="00B600BE"/>
    <w:rsid w:val="00B6079E"/>
    <w:rsid w:val="00B64BF1"/>
    <w:rsid w:val="00B65BCA"/>
    <w:rsid w:val="00B65DB1"/>
    <w:rsid w:val="00B702C1"/>
    <w:rsid w:val="00B70940"/>
    <w:rsid w:val="00B70C5C"/>
    <w:rsid w:val="00B71B0C"/>
    <w:rsid w:val="00B72DC3"/>
    <w:rsid w:val="00B75A1B"/>
    <w:rsid w:val="00B76394"/>
    <w:rsid w:val="00B82B84"/>
    <w:rsid w:val="00B86005"/>
    <w:rsid w:val="00B868F2"/>
    <w:rsid w:val="00B94690"/>
    <w:rsid w:val="00B94A53"/>
    <w:rsid w:val="00B97EE2"/>
    <w:rsid w:val="00BA036B"/>
    <w:rsid w:val="00BA2E5B"/>
    <w:rsid w:val="00BB475E"/>
    <w:rsid w:val="00BB4B32"/>
    <w:rsid w:val="00BB7BF4"/>
    <w:rsid w:val="00BB7F55"/>
    <w:rsid w:val="00BC2A6F"/>
    <w:rsid w:val="00BC2C50"/>
    <w:rsid w:val="00BC38DF"/>
    <w:rsid w:val="00BC3DDB"/>
    <w:rsid w:val="00BC60B0"/>
    <w:rsid w:val="00BC6414"/>
    <w:rsid w:val="00BC6ACF"/>
    <w:rsid w:val="00BC6BA1"/>
    <w:rsid w:val="00BC7019"/>
    <w:rsid w:val="00BC705D"/>
    <w:rsid w:val="00BC790C"/>
    <w:rsid w:val="00BD0A53"/>
    <w:rsid w:val="00BD29D1"/>
    <w:rsid w:val="00BD2CED"/>
    <w:rsid w:val="00BE006D"/>
    <w:rsid w:val="00BE061F"/>
    <w:rsid w:val="00BE19B2"/>
    <w:rsid w:val="00BE26C6"/>
    <w:rsid w:val="00BE3E20"/>
    <w:rsid w:val="00BE6C6B"/>
    <w:rsid w:val="00BE6CAE"/>
    <w:rsid w:val="00BE7434"/>
    <w:rsid w:val="00BF2801"/>
    <w:rsid w:val="00BF4635"/>
    <w:rsid w:val="00BF7AE7"/>
    <w:rsid w:val="00C02E30"/>
    <w:rsid w:val="00C07D82"/>
    <w:rsid w:val="00C142A4"/>
    <w:rsid w:val="00C1445B"/>
    <w:rsid w:val="00C170A4"/>
    <w:rsid w:val="00C205AE"/>
    <w:rsid w:val="00C238A9"/>
    <w:rsid w:val="00C25817"/>
    <w:rsid w:val="00C307E0"/>
    <w:rsid w:val="00C30CA7"/>
    <w:rsid w:val="00C35436"/>
    <w:rsid w:val="00C3552F"/>
    <w:rsid w:val="00C35F38"/>
    <w:rsid w:val="00C40A07"/>
    <w:rsid w:val="00C4111D"/>
    <w:rsid w:val="00C41523"/>
    <w:rsid w:val="00C41CDB"/>
    <w:rsid w:val="00C533CD"/>
    <w:rsid w:val="00C53DE6"/>
    <w:rsid w:val="00C5567D"/>
    <w:rsid w:val="00C56D30"/>
    <w:rsid w:val="00C6092E"/>
    <w:rsid w:val="00C619BD"/>
    <w:rsid w:val="00C62132"/>
    <w:rsid w:val="00C639CA"/>
    <w:rsid w:val="00C63D0D"/>
    <w:rsid w:val="00C6405B"/>
    <w:rsid w:val="00C651F6"/>
    <w:rsid w:val="00C65D03"/>
    <w:rsid w:val="00C6681F"/>
    <w:rsid w:val="00C67150"/>
    <w:rsid w:val="00C817B4"/>
    <w:rsid w:val="00C82639"/>
    <w:rsid w:val="00C85B0B"/>
    <w:rsid w:val="00C923D9"/>
    <w:rsid w:val="00CA31AB"/>
    <w:rsid w:val="00CA46E9"/>
    <w:rsid w:val="00CA6B49"/>
    <w:rsid w:val="00CB0304"/>
    <w:rsid w:val="00CB2ED6"/>
    <w:rsid w:val="00CB48C7"/>
    <w:rsid w:val="00CB4A7F"/>
    <w:rsid w:val="00CB5DB8"/>
    <w:rsid w:val="00CB5DCB"/>
    <w:rsid w:val="00CB7BAE"/>
    <w:rsid w:val="00CC100F"/>
    <w:rsid w:val="00CC703A"/>
    <w:rsid w:val="00CD016C"/>
    <w:rsid w:val="00CD10EF"/>
    <w:rsid w:val="00CD168E"/>
    <w:rsid w:val="00CD500F"/>
    <w:rsid w:val="00CD51C7"/>
    <w:rsid w:val="00CD5808"/>
    <w:rsid w:val="00CD6AA6"/>
    <w:rsid w:val="00CD7C32"/>
    <w:rsid w:val="00CE2B0B"/>
    <w:rsid w:val="00CE2BB4"/>
    <w:rsid w:val="00CE53EE"/>
    <w:rsid w:val="00CE5929"/>
    <w:rsid w:val="00CE5E8A"/>
    <w:rsid w:val="00CE64BF"/>
    <w:rsid w:val="00CF0598"/>
    <w:rsid w:val="00CF0FDC"/>
    <w:rsid w:val="00CF104D"/>
    <w:rsid w:val="00CF3A27"/>
    <w:rsid w:val="00CF3F76"/>
    <w:rsid w:val="00CF6004"/>
    <w:rsid w:val="00CF7395"/>
    <w:rsid w:val="00D049F6"/>
    <w:rsid w:val="00D07DE8"/>
    <w:rsid w:val="00D12BC1"/>
    <w:rsid w:val="00D12BD6"/>
    <w:rsid w:val="00D12C2E"/>
    <w:rsid w:val="00D14737"/>
    <w:rsid w:val="00D170CE"/>
    <w:rsid w:val="00D17AD8"/>
    <w:rsid w:val="00D17B93"/>
    <w:rsid w:val="00D22DF3"/>
    <w:rsid w:val="00D22FCA"/>
    <w:rsid w:val="00D23090"/>
    <w:rsid w:val="00D24C5F"/>
    <w:rsid w:val="00D27BFA"/>
    <w:rsid w:val="00D302A8"/>
    <w:rsid w:val="00D32118"/>
    <w:rsid w:val="00D328C6"/>
    <w:rsid w:val="00D33852"/>
    <w:rsid w:val="00D33B2E"/>
    <w:rsid w:val="00D3730B"/>
    <w:rsid w:val="00D37765"/>
    <w:rsid w:val="00D402C5"/>
    <w:rsid w:val="00D42B47"/>
    <w:rsid w:val="00D43B84"/>
    <w:rsid w:val="00D46D49"/>
    <w:rsid w:val="00D46F0D"/>
    <w:rsid w:val="00D47A8D"/>
    <w:rsid w:val="00D50749"/>
    <w:rsid w:val="00D55281"/>
    <w:rsid w:val="00D62906"/>
    <w:rsid w:val="00D62C2E"/>
    <w:rsid w:val="00D765DA"/>
    <w:rsid w:val="00D8033F"/>
    <w:rsid w:val="00D80D10"/>
    <w:rsid w:val="00D8398A"/>
    <w:rsid w:val="00D84200"/>
    <w:rsid w:val="00D94DF8"/>
    <w:rsid w:val="00D97C5D"/>
    <w:rsid w:val="00DA0453"/>
    <w:rsid w:val="00DA0819"/>
    <w:rsid w:val="00DA085F"/>
    <w:rsid w:val="00DA22C8"/>
    <w:rsid w:val="00DA3DEA"/>
    <w:rsid w:val="00DA4504"/>
    <w:rsid w:val="00DA6320"/>
    <w:rsid w:val="00DA6578"/>
    <w:rsid w:val="00DB31D8"/>
    <w:rsid w:val="00DB6DE0"/>
    <w:rsid w:val="00DC2BA9"/>
    <w:rsid w:val="00DC2EC9"/>
    <w:rsid w:val="00DC55CB"/>
    <w:rsid w:val="00DC6770"/>
    <w:rsid w:val="00DC6FD3"/>
    <w:rsid w:val="00DD509C"/>
    <w:rsid w:val="00DD66B3"/>
    <w:rsid w:val="00DD6E7C"/>
    <w:rsid w:val="00DE0213"/>
    <w:rsid w:val="00DE1DC7"/>
    <w:rsid w:val="00DE2045"/>
    <w:rsid w:val="00DE261D"/>
    <w:rsid w:val="00DE3021"/>
    <w:rsid w:val="00DE3C1C"/>
    <w:rsid w:val="00DE431A"/>
    <w:rsid w:val="00DE5160"/>
    <w:rsid w:val="00DE664B"/>
    <w:rsid w:val="00DE7F6F"/>
    <w:rsid w:val="00DF135D"/>
    <w:rsid w:val="00DF5986"/>
    <w:rsid w:val="00DF6A50"/>
    <w:rsid w:val="00DF7D46"/>
    <w:rsid w:val="00E01ACA"/>
    <w:rsid w:val="00E04452"/>
    <w:rsid w:val="00E06B90"/>
    <w:rsid w:val="00E07F7B"/>
    <w:rsid w:val="00E107B1"/>
    <w:rsid w:val="00E12527"/>
    <w:rsid w:val="00E1330D"/>
    <w:rsid w:val="00E145CD"/>
    <w:rsid w:val="00E15BC2"/>
    <w:rsid w:val="00E1619A"/>
    <w:rsid w:val="00E17C1E"/>
    <w:rsid w:val="00E20036"/>
    <w:rsid w:val="00E20192"/>
    <w:rsid w:val="00E20D62"/>
    <w:rsid w:val="00E259E8"/>
    <w:rsid w:val="00E30D3A"/>
    <w:rsid w:val="00E310E7"/>
    <w:rsid w:val="00E32497"/>
    <w:rsid w:val="00E3666C"/>
    <w:rsid w:val="00E36EF4"/>
    <w:rsid w:val="00E37B22"/>
    <w:rsid w:val="00E4583B"/>
    <w:rsid w:val="00E45AD6"/>
    <w:rsid w:val="00E45D6B"/>
    <w:rsid w:val="00E505C0"/>
    <w:rsid w:val="00E52232"/>
    <w:rsid w:val="00E527EE"/>
    <w:rsid w:val="00E5304E"/>
    <w:rsid w:val="00E546BC"/>
    <w:rsid w:val="00E5532C"/>
    <w:rsid w:val="00E560BD"/>
    <w:rsid w:val="00E5664A"/>
    <w:rsid w:val="00E5720E"/>
    <w:rsid w:val="00E5795E"/>
    <w:rsid w:val="00E60E63"/>
    <w:rsid w:val="00E66316"/>
    <w:rsid w:val="00E66EB4"/>
    <w:rsid w:val="00E67837"/>
    <w:rsid w:val="00E73277"/>
    <w:rsid w:val="00E73283"/>
    <w:rsid w:val="00E73CF3"/>
    <w:rsid w:val="00E7423E"/>
    <w:rsid w:val="00E76ECD"/>
    <w:rsid w:val="00E8259A"/>
    <w:rsid w:val="00E83A27"/>
    <w:rsid w:val="00E83AE3"/>
    <w:rsid w:val="00E83E7B"/>
    <w:rsid w:val="00E866EF"/>
    <w:rsid w:val="00E86C2C"/>
    <w:rsid w:val="00E90ADE"/>
    <w:rsid w:val="00E91B25"/>
    <w:rsid w:val="00E93456"/>
    <w:rsid w:val="00E93CA8"/>
    <w:rsid w:val="00E9426E"/>
    <w:rsid w:val="00E97B47"/>
    <w:rsid w:val="00EA1DAE"/>
    <w:rsid w:val="00EA27EF"/>
    <w:rsid w:val="00EA2917"/>
    <w:rsid w:val="00EA6E24"/>
    <w:rsid w:val="00EB3B52"/>
    <w:rsid w:val="00EC1FE8"/>
    <w:rsid w:val="00EC33CD"/>
    <w:rsid w:val="00ED40A3"/>
    <w:rsid w:val="00ED59EA"/>
    <w:rsid w:val="00EE11CD"/>
    <w:rsid w:val="00EE3960"/>
    <w:rsid w:val="00EE4485"/>
    <w:rsid w:val="00EE74B9"/>
    <w:rsid w:val="00EF20D4"/>
    <w:rsid w:val="00EF4431"/>
    <w:rsid w:val="00EF5A49"/>
    <w:rsid w:val="00EF60C9"/>
    <w:rsid w:val="00EF6E1B"/>
    <w:rsid w:val="00F049DC"/>
    <w:rsid w:val="00F05F44"/>
    <w:rsid w:val="00F06B23"/>
    <w:rsid w:val="00F109E1"/>
    <w:rsid w:val="00F12A59"/>
    <w:rsid w:val="00F14171"/>
    <w:rsid w:val="00F14DB5"/>
    <w:rsid w:val="00F14F32"/>
    <w:rsid w:val="00F14FA4"/>
    <w:rsid w:val="00F15634"/>
    <w:rsid w:val="00F262AB"/>
    <w:rsid w:val="00F3012B"/>
    <w:rsid w:val="00F331AB"/>
    <w:rsid w:val="00F33B66"/>
    <w:rsid w:val="00F34C4A"/>
    <w:rsid w:val="00F360DD"/>
    <w:rsid w:val="00F36954"/>
    <w:rsid w:val="00F4023F"/>
    <w:rsid w:val="00F40F26"/>
    <w:rsid w:val="00F41936"/>
    <w:rsid w:val="00F42975"/>
    <w:rsid w:val="00F42EDA"/>
    <w:rsid w:val="00F45402"/>
    <w:rsid w:val="00F46A78"/>
    <w:rsid w:val="00F46C25"/>
    <w:rsid w:val="00F47F91"/>
    <w:rsid w:val="00F50BD4"/>
    <w:rsid w:val="00F50CEC"/>
    <w:rsid w:val="00F53342"/>
    <w:rsid w:val="00F55286"/>
    <w:rsid w:val="00F61840"/>
    <w:rsid w:val="00F636AA"/>
    <w:rsid w:val="00F7049E"/>
    <w:rsid w:val="00F71483"/>
    <w:rsid w:val="00F7193C"/>
    <w:rsid w:val="00F71DC2"/>
    <w:rsid w:val="00F72F45"/>
    <w:rsid w:val="00F74E2E"/>
    <w:rsid w:val="00F775EF"/>
    <w:rsid w:val="00F81AA8"/>
    <w:rsid w:val="00F8308F"/>
    <w:rsid w:val="00F84BCE"/>
    <w:rsid w:val="00F85741"/>
    <w:rsid w:val="00F85924"/>
    <w:rsid w:val="00F8592A"/>
    <w:rsid w:val="00F90F5A"/>
    <w:rsid w:val="00F9209E"/>
    <w:rsid w:val="00F922A9"/>
    <w:rsid w:val="00F92D06"/>
    <w:rsid w:val="00F941A1"/>
    <w:rsid w:val="00F96651"/>
    <w:rsid w:val="00FA1EEE"/>
    <w:rsid w:val="00FA2AB1"/>
    <w:rsid w:val="00FA2D71"/>
    <w:rsid w:val="00FA68B7"/>
    <w:rsid w:val="00FB014C"/>
    <w:rsid w:val="00FB3E13"/>
    <w:rsid w:val="00FB7869"/>
    <w:rsid w:val="00FC1DE3"/>
    <w:rsid w:val="00FC2DE0"/>
    <w:rsid w:val="00FC3DA9"/>
    <w:rsid w:val="00FC6A5B"/>
    <w:rsid w:val="00FD1B07"/>
    <w:rsid w:val="00FD435C"/>
    <w:rsid w:val="00FD5B4C"/>
    <w:rsid w:val="00FD619C"/>
    <w:rsid w:val="00FD7344"/>
    <w:rsid w:val="00FD78E3"/>
    <w:rsid w:val="00FE0AEC"/>
    <w:rsid w:val="00FE3ADE"/>
    <w:rsid w:val="00FE63EB"/>
    <w:rsid w:val="00FE7A02"/>
    <w:rsid w:val="00FE7B56"/>
    <w:rsid w:val="00FF5122"/>
    <w:rsid w:val="00FF53DC"/>
    <w:rsid w:val="00FF5830"/>
    <w:rsid w:val="00FF695E"/>
    <w:rsid w:val="06167F6E"/>
    <w:rsid w:val="18AF2D9B"/>
    <w:rsid w:val="18F92443"/>
    <w:rsid w:val="1AD953EC"/>
    <w:rsid w:val="25AA6765"/>
    <w:rsid w:val="283BCD34"/>
    <w:rsid w:val="2EDE8AB0"/>
    <w:rsid w:val="3532058E"/>
    <w:rsid w:val="4201224F"/>
    <w:rsid w:val="4571E22B"/>
    <w:rsid w:val="47D3038D"/>
    <w:rsid w:val="4B9F7F3E"/>
    <w:rsid w:val="4D0198B6"/>
    <w:rsid w:val="57E94C7F"/>
    <w:rsid w:val="7957B2AB"/>
    <w:rsid w:val="7C83E334"/>
    <w:rsid w:val="7C9E405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15:docId w15:val="{F4CFAD7C-4109-40A8-B219-F0626A71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2A4"/>
    <w:pPr>
      <w:spacing w:line="288" w:lineRule="auto"/>
      <w:jc w:val="both"/>
    </w:pPr>
    <w:rPr>
      <w:sz w:val="22"/>
      <w:szCs w:val="22"/>
      <w:lang w:val="en-US" w:eastAsia="en-US"/>
    </w:rPr>
  </w:style>
  <w:style w:type="paragraph" w:styleId="Heading1">
    <w:name w:val="heading 1"/>
    <w:basedOn w:val="Normal"/>
    <w:next w:val="Normal"/>
    <w:link w:val="Heading1Char"/>
    <w:qFormat/>
    <w:rsid w:val="00C142A4"/>
    <w:pPr>
      <w:numPr>
        <w:numId w:val="1"/>
      </w:numPr>
      <w:ind w:left="567" w:hanging="567"/>
      <w:outlineLvl w:val="0"/>
    </w:pPr>
    <w:rPr>
      <w:kern w:val="28"/>
    </w:rPr>
  </w:style>
  <w:style w:type="paragraph" w:styleId="Heading2">
    <w:name w:val="heading 2"/>
    <w:basedOn w:val="Normal"/>
    <w:next w:val="Normal"/>
    <w:link w:val="Heading2Char"/>
    <w:qFormat/>
    <w:rsid w:val="00C142A4"/>
    <w:pPr>
      <w:numPr>
        <w:ilvl w:val="1"/>
        <w:numId w:val="1"/>
      </w:numPr>
      <w:ind w:left="567" w:hanging="567"/>
      <w:outlineLvl w:val="1"/>
    </w:pPr>
  </w:style>
  <w:style w:type="paragraph" w:styleId="Heading3">
    <w:name w:val="heading 3"/>
    <w:basedOn w:val="Normal"/>
    <w:next w:val="Normal"/>
    <w:link w:val="Heading3Char"/>
    <w:qFormat/>
    <w:rsid w:val="00C142A4"/>
    <w:pPr>
      <w:numPr>
        <w:ilvl w:val="2"/>
        <w:numId w:val="1"/>
      </w:numPr>
      <w:ind w:left="567" w:hanging="567"/>
      <w:outlineLvl w:val="2"/>
    </w:pPr>
  </w:style>
  <w:style w:type="paragraph" w:styleId="Heading4">
    <w:name w:val="heading 4"/>
    <w:basedOn w:val="Normal"/>
    <w:next w:val="Normal"/>
    <w:link w:val="Heading4Char"/>
    <w:qFormat/>
    <w:rsid w:val="00C142A4"/>
    <w:pPr>
      <w:numPr>
        <w:ilvl w:val="3"/>
        <w:numId w:val="1"/>
      </w:numPr>
      <w:ind w:left="567" w:hanging="567"/>
      <w:outlineLvl w:val="3"/>
    </w:pPr>
  </w:style>
  <w:style w:type="paragraph" w:styleId="Heading5">
    <w:name w:val="heading 5"/>
    <w:basedOn w:val="Normal"/>
    <w:next w:val="Normal"/>
    <w:link w:val="Heading5Char"/>
    <w:qFormat/>
    <w:rsid w:val="00C142A4"/>
    <w:pPr>
      <w:numPr>
        <w:ilvl w:val="4"/>
        <w:numId w:val="1"/>
      </w:numPr>
      <w:ind w:left="567" w:hanging="567"/>
      <w:outlineLvl w:val="4"/>
    </w:pPr>
  </w:style>
  <w:style w:type="paragraph" w:styleId="Heading6">
    <w:name w:val="heading 6"/>
    <w:basedOn w:val="Normal"/>
    <w:next w:val="Normal"/>
    <w:link w:val="Heading6Char"/>
    <w:qFormat/>
    <w:rsid w:val="00C142A4"/>
    <w:pPr>
      <w:numPr>
        <w:ilvl w:val="5"/>
        <w:numId w:val="1"/>
      </w:numPr>
      <w:ind w:left="567" w:hanging="567"/>
      <w:outlineLvl w:val="5"/>
    </w:pPr>
  </w:style>
  <w:style w:type="paragraph" w:styleId="Heading7">
    <w:name w:val="heading 7"/>
    <w:basedOn w:val="Normal"/>
    <w:next w:val="Normal"/>
    <w:link w:val="Heading7Char"/>
    <w:qFormat/>
    <w:rsid w:val="00C142A4"/>
    <w:pPr>
      <w:numPr>
        <w:ilvl w:val="6"/>
        <w:numId w:val="1"/>
      </w:numPr>
      <w:ind w:left="567" w:hanging="567"/>
      <w:outlineLvl w:val="6"/>
    </w:pPr>
  </w:style>
  <w:style w:type="paragraph" w:styleId="Heading8">
    <w:name w:val="heading 8"/>
    <w:basedOn w:val="Normal"/>
    <w:next w:val="Normal"/>
    <w:link w:val="Heading8Char"/>
    <w:qFormat/>
    <w:rsid w:val="00C142A4"/>
    <w:pPr>
      <w:numPr>
        <w:ilvl w:val="7"/>
        <w:numId w:val="1"/>
      </w:numPr>
      <w:ind w:left="567" w:hanging="567"/>
      <w:outlineLvl w:val="7"/>
    </w:pPr>
  </w:style>
  <w:style w:type="paragraph" w:styleId="Heading9">
    <w:name w:val="heading 9"/>
    <w:basedOn w:val="Normal"/>
    <w:next w:val="Normal"/>
    <w:link w:val="Heading9Char"/>
    <w:qFormat/>
    <w:rsid w:val="00C142A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7EF"/>
    <w:rPr>
      <w:kern w:val="28"/>
      <w:sz w:val="22"/>
      <w:szCs w:val="22"/>
      <w:lang w:val="en-US" w:eastAsia="en-US"/>
    </w:rPr>
  </w:style>
  <w:style w:type="character" w:customStyle="1" w:styleId="Heading2Char">
    <w:name w:val="Heading 2 Char"/>
    <w:basedOn w:val="DefaultParagraphFont"/>
    <w:link w:val="Heading2"/>
    <w:rsid w:val="009D66A8"/>
    <w:rPr>
      <w:sz w:val="22"/>
      <w:szCs w:val="22"/>
      <w:lang w:val="en-US" w:eastAsia="en-US"/>
    </w:rPr>
  </w:style>
  <w:style w:type="character" w:customStyle="1" w:styleId="Heading3Char">
    <w:name w:val="Heading 3 Char"/>
    <w:basedOn w:val="DefaultParagraphFont"/>
    <w:link w:val="Heading3"/>
    <w:rsid w:val="009D66A8"/>
    <w:rPr>
      <w:sz w:val="22"/>
      <w:szCs w:val="22"/>
      <w:lang w:val="en-US" w:eastAsia="en-US"/>
    </w:rPr>
  </w:style>
  <w:style w:type="character" w:customStyle="1" w:styleId="Heading4Char">
    <w:name w:val="Heading 4 Char"/>
    <w:basedOn w:val="DefaultParagraphFont"/>
    <w:link w:val="Heading4"/>
    <w:rsid w:val="009D66A8"/>
    <w:rPr>
      <w:sz w:val="22"/>
      <w:szCs w:val="22"/>
      <w:lang w:val="en-US" w:eastAsia="en-US"/>
    </w:rPr>
  </w:style>
  <w:style w:type="character" w:customStyle="1" w:styleId="Heading5Char">
    <w:name w:val="Heading 5 Char"/>
    <w:basedOn w:val="DefaultParagraphFont"/>
    <w:link w:val="Heading5"/>
    <w:rsid w:val="009D66A8"/>
    <w:rPr>
      <w:sz w:val="22"/>
      <w:szCs w:val="22"/>
      <w:lang w:val="en-US" w:eastAsia="en-US"/>
    </w:rPr>
  </w:style>
  <w:style w:type="character" w:customStyle="1" w:styleId="Heading6Char">
    <w:name w:val="Heading 6 Char"/>
    <w:basedOn w:val="DefaultParagraphFont"/>
    <w:link w:val="Heading6"/>
    <w:rsid w:val="009D66A8"/>
    <w:rPr>
      <w:sz w:val="22"/>
      <w:szCs w:val="22"/>
      <w:lang w:val="en-US" w:eastAsia="en-US"/>
    </w:rPr>
  </w:style>
  <w:style w:type="character" w:customStyle="1" w:styleId="Heading7Char">
    <w:name w:val="Heading 7 Char"/>
    <w:basedOn w:val="DefaultParagraphFont"/>
    <w:link w:val="Heading7"/>
    <w:rsid w:val="009D66A8"/>
    <w:rPr>
      <w:sz w:val="22"/>
      <w:szCs w:val="22"/>
      <w:lang w:val="en-US" w:eastAsia="en-US"/>
    </w:rPr>
  </w:style>
  <w:style w:type="character" w:customStyle="1" w:styleId="Heading8Char">
    <w:name w:val="Heading 8 Char"/>
    <w:basedOn w:val="DefaultParagraphFont"/>
    <w:link w:val="Heading8"/>
    <w:rsid w:val="009D66A8"/>
    <w:rPr>
      <w:sz w:val="22"/>
      <w:szCs w:val="22"/>
      <w:lang w:val="en-US" w:eastAsia="en-US"/>
    </w:rPr>
  </w:style>
  <w:style w:type="character" w:customStyle="1" w:styleId="Heading9Char">
    <w:name w:val="Heading 9 Char"/>
    <w:basedOn w:val="DefaultParagraphFont"/>
    <w:link w:val="Heading9"/>
    <w:rsid w:val="009D66A8"/>
    <w:rPr>
      <w:sz w:val="22"/>
      <w:szCs w:val="22"/>
      <w:lang w:val="en-US" w:eastAsia="en-US"/>
    </w:rPr>
  </w:style>
  <w:style w:type="paragraph" w:styleId="Footer">
    <w:name w:val="footer"/>
    <w:basedOn w:val="Normal"/>
    <w:link w:val="FooterChar"/>
    <w:qFormat/>
    <w:rsid w:val="00C142A4"/>
  </w:style>
  <w:style w:type="character" w:customStyle="1" w:styleId="FooterChar">
    <w:name w:val="Footer Char"/>
    <w:basedOn w:val="DefaultParagraphFont"/>
    <w:link w:val="Footer"/>
    <w:rsid w:val="009D66A8"/>
    <w:rPr>
      <w:sz w:val="22"/>
      <w:szCs w:val="22"/>
      <w:lang w:val="en-US" w:eastAsia="en-US"/>
    </w:rPr>
  </w:style>
  <w:style w:type="paragraph" w:styleId="FootnoteText">
    <w:name w:val="footnote text"/>
    <w:basedOn w:val="Normal"/>
    <w:link w:val="FootnoteTextChar"/>
    <w:qFormat/>
    <w:rsid w:val="00C142A4"/>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en-US" w:eastAsia="en-US"/>
    </w:rPr>
  </w:style>
  <w:style w:type="paragraph" w:styleId="Header">
    <w:name w:val="header"/>
    <w:basedOn w:val="Normal"/>
    <w:link w:val="HeaderChar"/>
    <w:qFormat/>
    <w:rsid w:val="00C142A4"/>
  </w:style>
  <w:style w:type="character" w:customStyle="1" w:styleId="HeaderChar">
    <w:name w:val="Header Char"/>
    <w:basedOn w:val="DefaultParagraphFont"/>
    <w:link w:val="Header"/>
    <w:rsid w:val="009D66A8"/>
    <w:rPr>
      <w:sz w:val="22"/>
      <w:szCs w:val="22"/>
      <w:lang w:val="en-US" w:eastAsia="en-US"/>
    </w:rPr>
  </w:style>
  <w:style w:type="paragraph" w:customStyle="1" w:styleId="quotes">
    <w:name w:val="quotes"/>
    <w:basedOn w:val="Normal"/>
    <w:next w:val="Normal"/>
    <w:rsid w:val="00C142A4"/>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C142A4"/>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2B0BBD"/>
    <w:rPr>
      <w:sz w:val="22"/>
      <w:lang w:eastAsia="en-US"/>
    </w:rPr>
  </w:style>
  <w:style w:type="table" w:styleId="TableGrid">
    <w:name w:val="Table Grid"/>
    <w:basedOn w:val="TableNormal"/>
    <w:rsid w:val="00E93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352E5C"/>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352E5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0554">
      <w:bodyDiv w:val="1"/>
      <w:marLeft w:val="0"/>
      <w:marRight w:val="0"/>
      <w:marTop w:val="0"/>
      <w:marBottom w:val="0"/>
      <w:divBdr>
        <w:top w:val="none" w:sz="0" w:space="0" w:color="auto"/>
        <w:left w:val="none" w:sz="0" w:space="0" w:color="auto"/>
        <w:bottom w:val="none" w:sz="0" w:space="0" w:color="auto"/>
        <w:right w:val="none" w:sz="0" w:space="0" w:color="auto"/>
      </w:divBdr>
    </w:div>
    <w:div w:id="329603053">
      <w:bodyDiv w:val="1"/>
      <w:marLeft w:val="0"/>
      <w:marRight w:val="0"/>
      <w:marTop w:val="0"/>
      <w:marBottom w:val="0"/>
      <w:divBdr>
        <w:top w:val="none" w:sz="0" w:space="0" w:color="auto"/>
        <w:left w:val="none" w:sz="0" w:space="0" w:color="auto"/>
        <w:bottom w:val="none" w:sz="0" w:space="0" w:color="auto"/>
        <w:right w:val="none" w:sz="0" w:space="0" w:color="auto"/>
      </w:divBdr>
    </w:div>
    <w:div w:id="633947199">
      <w:bodyDiv w:val="1"/>
      <w:marLeft w:val="0"/>
      <w:marRight w:val="0"/>
      <w:marTop w:val="0"/>
      <w:marBottom w:val="0"/>
      <w:divBdr>
        <w:top w:val="none" w:sz="0" w:space="0" w:color="auto"/>
        <w:left w:val="none" w:sz="0" w:space="0" w:color="auto"/>
        <w:bottom w:val="none" w:sz="0" w:space="0" w:color="auto"/>
        <w:right w:val="none" w:sz="0" w:space="0" w:color="auto"/>
      </w:divBdr>
    </w:div>
    <w:div w:id="724060849">
      <w:bodyDiv w:val="1"/>
      <w:marLeft w:val="0"/>
      <w:marRight w:val="0"/>
      <w:marTop w:val="0"/>
      <w:marBottom w:val="0"/>
      <w:divBdr>
        <w:top w:val="none" w:sz="0" w:space="0" w:color="auto"/>
        <w:left w:val="none" w:sz="0" w:space="0" w:color="auto"/>
        <w:bottom w:val="none" w:sz="0" w:space="0" w:color="auto"/>
        <w:right w:val="none" w:sz="0" w:space="0" w:color="auto"/>
      </w:divBdr>
    </w:div>
    <w:div w:id="781727753">
      <w:bodyDiv w:val="1"/>
      <w:marLeft w:val="0"/>
      <w:marRight w:val="0"/>
      <w:marTop w:val="0"/>
      <w:marBottom w:val="0"/>
      <w:divBdr>
        <w:top w:val="none" w:sz="0" w:space="0" w:color="auto"/>
        <w:left w:val="none" w:sz="0" w:space="0" w:color="auto"/>
        <w:bottom w:val="none" w:sz="0" w:space="0" w:color="auto"/>
        <w:right w:val="none" w:sz="0" w:space="0" w:color="auto"/>
      </w:divBdr>
    </w:div>
    <w:div w:id="19848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fontTable" Target="fontTable.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memportal.cor.europa.eu/" TargetMode="External"/><Relationship Id="rId17" Type="http://schemas.openxmlformats.org/officeDocument/2006/relationships/footer" Target="footer2.xml"/><Relationship Id="rId25" Type="http://schemas.openxmlformats.org/officeDocument/2006/relationships/footer" Target="footer6.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3WJDCDQUXNHJ-2058325966-10745</_dlc_DocId>
    <_dlc_DocIdUrl xmlns="28cf4dd3-9bb7-4441-a43c-55eeac69d3a9">
      <Url>http://dm/cor/2025/_layouts/15/DocIdRedir.aspx?ID=3WJDCDQUXNHJ-2058325966-10745</Url>
      <Description>3WJDCDQUXNHJ-2058325966-10745</Description>
    </_dlc_DocIdUrl>
    <Procedure xmlns="28cf4dd3-9bb7-4441-a43c-55eeac69d3a9">2025/0240(COD)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2026-03-06T12:00:00+00:00</ProductionDate>
    <FicheYear xmlns="28cf4dd3-9bb7-4441-a43c-55eeac69d3a9" xsi:nil="true"/>
    <DocumentNumber xmlns="cbd36fe1-24db-4e3c-903b-f62df1691146">3467</DocumentNumber>
    <DossierNumber xmlns="28cf4dd3-9bb7-4441-a43c-55eeac69d3a9">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2026-05-06T12:00:00+00:00</MeetingDate>
    <TaxCatchAll xmlns="28cf4dd3-9bb7-4441-a43c-55eeac69d3a9">
      <Value>85</Value>
      <Value>69</Value>
      <Value>68</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BOC &amp; ALVES CORDEIRO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300700</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 xsi:nil="true"/>
    <RequestingService xmlns="28cf4dd3-9bb7-4441-a43c-55eeac69d3a9">Commission COTER</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171</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COTER-VIII</TermName>
          <TermId xmlns="http://schemas.microsoft.com/office/infopath/2007/PartnerControls">982da916-060f-41eb-9412-0d5186b3b058</TermId>
        </TermInfo>
      </Terms>
    </DossierName_0>
    <DocumentVersion xmlns="28cf4dd3-9bb7-4441-a43c-55eeac69d3a9">1</DocumentVersion>
  </documentManagement>
</p:properties>
</file>

<file path=customXml/itemProps1.xml><?xml version="1.0" encoding="utf-8"?>
<ds:datastoreItem xmlns:ds="http://schemas.openxmlformats.org/officeDocument/2006/customXml" ds:itemID="{38052A3E-E54A-4A63-BAA5-C2F00CB24566}"/>
</file>

<file path=customXml/itemProps2.xml><?xml version="1.0" encoding="utf-8"?>
<ds:datastoreItem xmlns:ds="http://schemas.openxmlformats.org/officeDocument/2006/customXml" ds:itemID="{A8BB55D9-80D6-4A5A-8997-1F806C50BBB1}"/>
</file>

<file path=customXml/itemProps3.xml><?xml version="1.0" encoding="utf-8"?>
<ds:datastoreItem xmlns:ds="http://schemas.openxmlformats.org/officeDocument/2006/customXml" ds:itemID="{DA3DF8AA-4BBB-4FEC-98AA-C389610F1238}"/>
</file>

<file path=customXml/itemProps4.xml><?xml version="1.0" encoding="utf-8"?>
<ds:datastoreItem xmlns:ds="http://schemas.openxmlformats.org/officeDocument/2006/customXml" ds:itemID="{F78651BC-4945-4E62-B818-F2E125A857F4}"/>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15888</Words>
  <Characters>90566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NRPP Fund Regulation</vt:lpstr>
    </vt:vector>
  </TitlesOfParts>
  <Manager/>
  <Company>CESE-CdR</Company>
  <LinksUpToDate>false</LinksUpToDate>
  <CharactersWithSpaces>106242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NRPP Fund Regulation</dc:title>
  <dc:subject>Draft Committee opinion</dc:subject>
  <dc:creator>Cordeiro Da Silva Rui</dc:creator>
  <cp:keywords>COR-2025-03467-00-01-PAC-TRA-EN</cp:keywords>
  <dc:description>Rapporteur: - BOC &amp; ALVES CORDEIRO Original language: - EN Date of document: - 06/03/2026 Date of meeting: - 06/05/2026 External documents: - SWD(2025)565 Administrator responsible: -  BROOKES NICOLAS</dc:description>
  <cp:lastModifiedBy>TDriveSVCUserProd</cp:lastModifiedBy>
  <cp:revision>5</cp:revision>
  <cp:lastPrinted>2007-01-10T10:43:00Z</cp:lastPrinted>
  <dcterms:created xsi:type="dcterms:W3CDTF">2026-03-06T14:56:00Z</dcterms:created>
  <dcterms:modified xsi:type="dcterms:W3CDTF">2026-03-06T14:57:00Z</dcterms:modified>
  <cp:category>COTER-VIII/9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06/03/2026, 18/02/2026, 14/01/2026, 09/01/2026, 19/05/2025, 24/03/2025, 17/03/2025, 17/02/2025, 21/06/2024</vt:lpwstr>
  </property>
  <property fmtid="{D5CDD505-2E9C-101B-9397-08002B2CF9AE}" pid="4" name="Pref_Time">
    <vt:lpwstr>15:54:32, 08:34:01, 15:33:11, 16:39:05, 14:01:37, 17:31:18, 14:32:34, 14:05:32, 12:40:47</vt:lpwstr>
  </property>
  <property fmtid="{D5CDD505-2E9C-101B-9397-08002B2CF9AE}" pid="5" name="Pref_User">
    <vt:lpwstr>pacup, amett, pacup, pacup, pacup, jhvi, amett, pacup, enied</vt:lpwstr>
  </property>
  <property fmtid="{D5CDD505-2E9C-101B-9397-08002B2CF9AE}" pid="6" name="Pref_FileName">
    <vt:lpwstr>COR-2025-03467-00-01-PAC-ORI.docx, COR-2025-03467-00-00-PAC-TRA-EN-CRR.docx, COR-2025-03467-00-01-PA-ORI.docx, COR-2025-03467-00-00-PA-TRA-EN-CRR.docx, cor-2025-00237-00-00-ac-ori.docx, COR-2025-00237-00-01-PAC-ORI.docx, COR-2025-00237-00-00-PAC-TRA-EN-CR</vt:lpwstr>
  </property>
  <property fmtid="{D5CDD505-2E9C-101B-9397-08002B2CF9AE}" pid="7" name="ContentTypeId">
    <vt:lpwstr>0x010100EA97B91038054C99906057A708A1480A001F94EFE2E72A564D8CAF0394B7E016F0</vt:lpwstr>
  </property>
  <property fmtid="{D5CDD505-2E9C-101B-9397-08002B2CF9AE}" pid="8" name="_dlc_DocIdItemGuid">
    <vt:lpwstr>2337a225-228c-40f3-a6e3-ef0ef46a6441</vt:lpwstr>
  </property>
  <property fmtid="{D5CDD505-2E9C-101B-9397-08002B2CF9AE}" pid="9" name="Procedure">
    <vt:lpwstr>2025/0240(COD)</vt:lpwstr>
  </property>
  <property fmtid="{D5CDD505-2E9C-101B-9397-08002B2CF9AE}" pid="10" name="AvailableTranslations">
    <vt:lpwstr>23;#PT|50ccc04a-eadd-42ae-a0cb-acaf45f812ba;#14;#RO|feb747a2-64cd-4299-af12-4833ddc30497;#15;#DE|f6b31e5a-26fa-4935-b661-318e46daf27e;#25;#DA|5d49c027-8956-412b-aa16-e85a0f96ad0e;#34;#EL|6d4f4d51-af9b-4650-94b4-4276bee85c91;#24;#ES|e7a6b05b-ae16-40c8-add9-68b64b03aeba;#12;#LT|a7ff5ce7-6123-4f68-865a-a57c31810414;#21;#SV|c2ed69e7-a339-43d7-8f22-d93680a92aa0;#36;#GA|762d2456-c427-4ecb-b312-af3dad8e258c;#20;#PL|1e03da61-4678-4e07-b136-b5024ca9197b;#27;#LV|46f7e311-5d9f-4663-b433-18aeccb7ace7;#31;#HR|2f555653-ed1a-4fe6-8362-9082d95989e5;#35;#ET|ff6c3f4c-b02c-4c3c-ab07-2c37995a7a0a;#28;#CS|72f9705b-0217-4fd3-bea2-cbc7ed80e26e;#19;#FR|d2afafd3-4c81-4f60-8f52-ee33f2f54ff3;#26;#HU|6b229040-c589-4408-b4c1-4285663d20a8;#22;#IT|0774613c-01ed-4e5d-a25d-11d2388de825;#30;#FI|87606a43-d45f-42d6-b8c9-e1a3457db5b7;#13;#SK|46d9fce0-ef79-4f71-b89b-cd6aa82426b8;#37;#BG|1a1b3951-7821-4e6a-85f5-5673fc08bd2c;#16;#NL|55c6556c-b4f4-441d-9acf-c498d4f838bd;#4;#EN|f2175f21-25d7-44a3-96da-d6a61b075e1b;#33;#MT|7df99101-6854-4a26-b53a-b88c0da02c26;#29;#SL|98a412ae-eb01-49e9-ae3d-585a81724cfc</vt:lpwstr>
  </property>
  <property fmtid="{D5CDD505-2E9C-101B-9397-08002B2CF9AE}" pid="11" name="DocumentType_0">
    <vt:lpwstr>PAC|719e5324-e7b4-48f6-9bbb-a2f1f3496a94</vt:lpwstr>
  </property>
  <property fmtid="{D5CDD505-2E9C-101B-9397-08002B2CF9AE}" pid="12" name="MeetingNumber">
    <vt:i4>171</vt:i4>
  </property>
  <property fmtid="{D5CDD505-2E9C-101B-9397-08002B2CF9AE}" pid="13" name="DossierName_0">
    <vt:lpwstr>COTER-VIII|982da916-060f-41eb-9412-0d5186b3b058</vt:lpwstr>
  </property>
  <property fmtid="{D5CDD505-2E9C-101B-9397-08002B2CF9AE}" pid="14" name="DocumentSource_0">
    <vt:lpwstr>CoR|cb2d75ef-4a7d-4393-b797-49ed6298a5ea</vt:lpwstr>
  </property>
  <property fmtid="{D5CDD505-2E9C-101B-9397-08002B2CF9AE}" pid="15" name="DocumentNumber">
    <vt:i4>3467</vt:i4>
  </property>
  <property fmtid="{D5CDD505-2E9C-101B-9397-08002B2CF9AE}" pid="16" name="FicheYear">
    <vt:i4>2025</vt:i4>
  </property>
  <property fmtid="{D5CDD505-2E9C-101B-9397-08002B2CF9AE}" pid="17" name="DocumentVersion">
    <vt:i4>1</vt:i4>
  </property>
  <property fmtid="{D5CDD505-2E9C-101B-9397-08002B2CF9AE}" pid="18" name="DossierNumber">
    <vt:i4>9</vt:i4>
  </property>
  <property fmtid="{D5CDD505-2E9C-101B-9397-08002B2CF9AE}" pid="19" name="DocumentStatus">
    <vt:lpwstr>8;#TRA|150d2a88-1431-44e6-a8ca-0bb753ab8672</vt:lpwstr>
  </property>
  <property fmtid="{D5CDD505-2E9C-101B-9397-08002B2CF9AE}" pid="20" name="DossierName">
    <vt:lpwstr>85;#COTER-VIII|982da916-060f-41eb-9412-0d5186b3b058</vt:lpwstr>
  </property>
  <property fmtid="{D5CDD505-2E9C-101B-9397-08002B2CF9AE}" pid="21" name="RequestingService">
    <vt:lpwstr>Commission COTER</vt:lpwstr>
  </property>
  <property fmtid="{D5CDD505-2E9C-101B-9397-08002B2CF9AE}" pid="22" name="Confidentiality">
    <vt:lpwstr>10;#Unrestricted|826e22d7-d029-4ec0-a450-0c28ff673572</vt:lpwstr>
  </property>
  <property fmtid="{D5CDD505-2E9C-101B-9397-08002B2CF9AE}" pid="23" name="MeetingName_0">
    <vt:lpwstr>SPL-CDR|8f822234-72c1-4721-9e21-9e3c2bc35462</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69;#SPL-CDR|8f822234-72c1-4721-9e21-9e3c2bc35462</vt:lpwstr>
  </property>
  <property fmtid="{D5CDD505-2E9C-101B-9397-08002B2CF9AE}" pid="27" name="MeetingDate">
    <vt:filetime>2026-05-06T12:00:00Z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69;#SPL-CDR|8f822234-72c1-4721-9e21-9e3c2bc35462;#10;#Unrestricted|826e22d7-d029-4ec0-a450-0c28ff673572;#8;#TRA|150d2a88-1431-44e6-a8ca-0bb753ab8672;#6;#Final|ea5e6674-7b27-4bac-b091-73adbb394efe;#68;#PAC|719e5324-e7b4-48f6-9bbb-a2f1f3496a94;#4;#EN|f2175f21-25d7-44a3-96da-d6a61b075e1b;#1;#CoR|cb2d75ef-4a7d-4393-b797-49ed6298a5ea;#85;#COTER-VIII|982da916-060f-41eb-9412-0d5186b3b058</vt:lpwstr>
  </property>
  <property fmtid="{D5CDD505-2E9C-101B-9397-08002B2CF9AE}" pid="32" name="Rapporteur">
    <vt:lpwstr>BOC &amp; ALVES CORDEIRO</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2025</vt:i4>
  </property>
  <property fmtid="{D5CDD505-2E9C-101B-9397-08002B2CF9AE}" pid="36" name="FicheNumber">
    <vt:i4>2506</vt:i4>
  </property>
  <property fmtid="{D5CDD505-2E9C-101B-9397-08002B2CF9AE}" pid="37" name="DocumentPart">
    <vt:i4>0</vt:i4>
  </property>
  <property fmtid="{D5CDD505-2E9C-101B-9397-08002B2CF9AE}" pid="38" name="DocumentSource">
    <vt:lpwstr>1;#CoR|cb2d75ef-4a7d-4393-b797-49ed6298a5ea</vt:lpwstr>
  </property>
  <property fmtid="{D5CDD505-2E9C-101B-9397-08002B2CF9AE}" pid="40" name="DocumentType">
    <vt:lpwstr>68;#PAC|719e5324-e7b4-48f6-9bbb-a2f1f3496a94</vt:lpwstr>
  </property>
  <property fmtid="{D5CDD505-2E9C-101B-9397-08002B2CF9AE}" pid="41" name="DocumentLanguage">
    <vt:lpwstr>4;#EN|f2175f21-25d7-44a3-96da-d6a61b075e1b</vt:lpwstr>
  </property>
  <property fmtid="{D5CDD505-2E9C-101B-9397-08002B2CF9AE}" pid="42" name="_docset_NoMedatataSyncRequired">
    <vt:lpwstr>False</vt:lpwstr>
  </property>
</Properties>
</file>