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FDD9" w14:textId="1491B6A5" w:rsidR="001C2816" w:rsidRDefault="004E45F3" w:rsidP="003208AB">
      <w:pPr>
        <w:pStyle w:val="Pagedecouverture"/>
      </w:pPr>
      <w:r>
        <w:rPr>
          <w:noProof/>
        </w:rPr>
        <w:pict w14:anchorId="181652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014841A5-9CC8-42FA-8E1C-A5F300F46AF8" style="width:455.5pt;height:345.6pt;mso-width-percent:0;mso-height-percent:0;mso-width-percent:0;mso-height-percent:0">
            <v:imagedata r:id="rId11" o:title=""/>
          </v:shape>
        </w:pict>
      </w:r>
    </w:p>
    <w:p w14:paraId="335244FA" w14:textId="77777777" w:rsidR="00270701" w:rsidRPr="00922C91" w:rsidRDefault="00270701">
      <w:pPr>
        <w:sectPr w:rsidR="00270701" w:rsidRPr="00922C91" w:rsidSect="0052014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762CE7CF" w14:textId="52EC83B6" w:rsidR="00270701" w:rsidRPr="00922C91" w:rsidRDefault="000E526B" w:rsidP="000E526B">
      <w:pPr>
        <w:pStyle w:val="Typedudocument"/>
      </w:pPr>
      <w:r w:rsidRPr="000E526B">
        <w:lastRenderedPageBreak/>
        <w:t>COMMISSION IMPLEMENTING REGULATION (EU) …/...</w:t>
      </w:r>
    </w:p>
    <w:p w14:paraId="33C5EADC" w14:textId="4A0067F0" w:rsidR="00270701" w:rsidRPr="00922C91" w:rsidRDefault="000E526B" w:rsidP="000E526B">
      <w:pPr>
        <w:pStyle w:val="Datedadoption"/>
      </w:pPr>
      <w:r w:rsidRPr="000E526B">
        <w:t xml:space="preserve">of </w:t>
      </w:r>
      <w:r w:rsidRPr="000E526B">
        <w:rPr>
          <w:rStyle w:val="Marker2"/>
        </w:rPr>
        <w:t>XXX</w:t>
      </w:r>
    </w:p>
    <w:p w14:paraId="4ACFBABC" w14:textId="79D28E39" w:rsidR="00270701" w:rsidRPr="00922C91" w:rsidRDefault="000E526B" w:rsidP="000E526B">
      <w:pPr>
        <w:pStyle w:val="Titreobjet"/>
      </w:pPr>
      <w:r w:rsidRPr="000E526B">
        <w:t>determining revised benchmark values for free allocation of emission allowances for the period from 2026 to 2030 pursuant to Article 10a(2) of Directive 2003/87/EC of the European Parliament and of the Council</w:t>
      </w:r>
    </w:p>
    <w:p w14:paraId="1E3B9CB5" w14:textId="2BBB299A" w:rsidR="005A121B" w:rsidRDefault="000E526B" w:rsidP="000E526B">
      <w:pPr>
        <w:pStyle w:val="IntrtEEE"/>
      </w:pPr>
      <w:r w:rsidRPr="000E526B">
        <w:t>(Text with EEA relevance)</w:t>
      </w:r>
    </w:p>
    <w:p w14:paraId="6FF7A07F" w14:textId="77777777" w:rsidR="00270701" w:rsidRPr="00922C91" w:rsidRDefault="00270701">
      <w:pPr>
        <w:pStyle w:val="Institutionquiagit"/>
      </w:pPr>
      <w:r w:rsidRPr="00922C91">
        <w:t>THE EUROPEAN COMMISSION,</w:t>
      </w:r>
    </w:p>
    <w:p w14:paraId="09D512B0" w14:textId="77777777" w:rsidR="00270701" w:rsidRPr="004621C7" w:rsidRDefault="00270701">
      <w:pPr>
        <w:rPr>
          <w:lang w:val="en-IE"/>
        </w:rPr>
      </w:pPr>
      <w:r w:rsidRPr="00922C91">
        <w:rPr>
          <w:color w:val="000000"/>
        </w:rPr>
        <w:t>Having regard to the Treaty on the Functioning of the European Union</w:t>
      </w:r>
      <w:r w:rsidRPr="00922C91">
        <w:t>,</w:t>
      </w:r>
    </w:p>
    <w:p w14:paraId="4E3AA8CD" w14:textId="425805D4" w:rsidR="00270701" w:rsidRDefault="005A121B">
      <w:r w:rsidRPr="005A121B">
        <w:t>Having regard to Directive 2003/87/EC of the European Parliament and of the Council of 13</w:t>
      </w:r>
      <w:r w:rsidR="00D231F6">
        <w:t> </w:t>
      </w:r>
      <w:r w:rsidRPr="005A121B">
        <w:t>October 2003 establishing a system for greenhouse gas emission allowance trading within the Union and amending Council Directive 96/61/EC</w:t>
      </w:r>
      <w:r w:rsidR="00270701" w:rsidRPr="00922C91">
        <w:rPr>
          <w:rStyle w:val="Appelnotedebasdep"/>
        </w:rPr>
        <w:footnoteReference w:id="1"/>
      </w:r>
      <w:r w:rsidR="00270701" w:rsidRPr="00922C91">
        <w:t>, and in particular Article</w:t>
      </w:r>
      <w:r>
        <w:t xml:space="preserve"> 10a</w:t>
      </w:r>
      <w:r w:rsidR="0063412E">
        <w:t>(2)</w:t>
      </w:r>
      <w:r w:rsidR="00270701" w:rsidRPr="00922C91">
        <w:t xml:space="preserve"> thereof,</w:t>
      </w:r>
    </w:p>
    <w:p w14:paraId="3B6AA986" w14:textId="77777777" w:rsidR="005A121B" w:rsidRPr="003C6C85" w:rsidRDefault="005A121B" w:rsidP="009C68B2">
      <w:r w:rsidRPr="00937BA9">
        <w:t>Wher</w:t>
      </w:r>
      <w:r w:rsidRPr="003C6C85">
        <w:t>eas:</w:t>
      </w:r>
    </w:p>
    <w:p w14:paraId="41265DE5" w14:textId="31748BDB" w:rsidR="002A77EA" w:rsidRDefault="002A77EA" w:rsidP="00692A94">
      <w:pPr>
        <w:pStyle w:val="Considrant"/>
        <w:numPr>
          <w:ilvl w:val="0"/>
          <w:numId w:val="10"/>
        </w:numPr>
      </w:pPr>
      <w:r>
        <w:t xml:space="preserve">Commission </w:t>
      </w:r>
      <w:r w:rsidRPr="00FB4A9A">
        <w:t>Decision 2011/278/EU</w:t>
      </w:r>
      <w:r>
        <w:rPr>
          <w:rStyle w:val="Appelnotedebasdep"/>
        </w:rPr>
        <w:footnoteReference w:id="2"/>
      </w:r>
      <w:r w:rsidRPr="00FB4A9A">
        <w:t xml:space="preserve"> </w:t>
      </w:r>
      <w:r>
        <w:t xml:space="preserve">determined </w:t>
      </w:r>
      <w:r w:rsidRPr="00901270">
        <w:rPr>
          <w:highlight w:val="yellow"/>
        </w:rPr>
        <w:t>54 benchmarks serving as basis for free allocation</w:t>
      </w:r>
      <w:r w:rsidRPr="00FB4A9A">
        <w:t xml:space="preserve"> </w:t>
      </w:r>
      <w:r>
        <w:t xml:space="preserve">(the ‘benchmarks’) </w:t>
      </w:r>
      <w:r w:rsidRPr="00FB4A9A">
        <w:t>and values for those benchmarks for the period from 2013 to 2020.</w:t>
      </w:r>
      <w:r>
        <w:t xml:space="preserve"> </w:t>
      </w:r>
      <w:r w:rsidRPr="003F6E79">
        <w:t>Commission Delegated Regulation (EU) 2019/331</w:t>
      </w:r>
      <w:r>
        <w:rPr>
          <w:rStyle w:val="Appelnotedebasdep"/>
        </w:rPr>
        <w:footnoteReference w:id="3"/>
      </w:r>
      <w:r w:rsidRPr="003F6E79">
        <w:t xml:space="preserve"> </w:t>
      </w:r>
      <w:r>
        <w:t xml:space="preserve">replaced Decision 2011/278/EU and laid </w:t>
      </w:r>
      <w:r w:rsidRPr="003F6E79">
        <w:t xml:space="preserve">down </w:t>
      </w:r>
      <w:r>
        <w:t xml:space="preserve">identical starting points for the determination of annual reduction rates for each benchmark value update for the period </w:t>
      </w:r>
      <w:r w:rsidRPr="003F6E79">
        <w:t>from 2021 to 2030</w:t>
      </w:r>
      <w:r>
        <w:t>.</w:t>
      </w:r>
    </w:p>
    <w:p w14:paraId="1FD4E868" w14:textId="26DD7689" w:rsidR="00524946" w:rsidRDefault="00524946" w:rsidP="00524946">
      <w:pPr>
        <w:pStyle w:val="Considrant"/>
      </w:pPr>
      <w:r w:rsidRPr="00524946">
        <w:t>Commission Implementing Regulation (EU) 2021/447</w:t>
      </w:r>
      <w:r>
        <w:rPr>
          <w:rStyle w:val="Appelnotedebasdep"/>
        </w:rPr>
        <w:footnoteReference w:id="4"/>
      </w:r>
      <w:r w:rsidR="0081471D">
        <w:t xml:space="preserve"> </w:t>
      </w:r>
      <w:r w:rsidRPr="00524946">
        <w:t xml:space="preserve">determined the revised benchmark values for the period </w:t>
      </w:r>
      <w:r w:rsidR="0096737F">
        <w:t xml:space="preserve">from </w:t>
      </w:r>
      <w:r w:rsidRPr="00524946">
        <w:t xml:space="preserve">2021 to 2025 pursuant to Article 10a(2) of Directive 2003/87/EC. The </w:t>
      </w:r>
      <w:r w:rsidR="0081471D">
        <w:t xml:space="preserve">revised </w:t>
      </w:r>
      <w:r w:rsidRPr="00524946">
        <w:t xml:space="preserve">benchmark values for the period </w:t>
      </w:r>
      <w:r w:rsidR="00FA5972">
        <w:t xml:space="preserve">from </w:t>
      </w:r>
      <w:r w:rsidRPr="00524946">
        <w:t xml:space="preserve">2026 to 2030 are </w:t>
      </w:r>
      <w:r w:rsidR="00847548">
        <w:t xml:space="preserve">to be </w:t>
      </w:r>
      <w:r w:rsidRPr="00524946">
        <w:t xml:space="preserve">based on a new reference period </w:t>
      </w:r>
      <w:r w:rsidR="00847548">
        <w:t xml:space="preserve">as regards the submission of </w:t>
      </w:r>
      <w:r w:rsidRPr="00524946">
        <w:t>data</w:t>
      </w:r>
      <w:r w:rsidR="00847548">
        <w:t xml:space="preserve"> and the application of </w:t>
      </w:r>
      <w:r w:rsidR="00847548" w:rsidRPr="00847548">
        <w:t>the annual reduction rate</w:t>
      </w:r>
      <w:r w:rsidR="00847548">
        <w:t xml:space="preserve">. </w:t>
      </w:r>
      <w:r w:rsidR="003A5DA2">
        <w:t>T</w:t>
      </w:r>
      <w:r w:rsidRPr="00524946">
        <w:t>h</w:t>
      </w:r>
      <w:r w:rsidR="003A5DA2">
        <w:t>erefore, tho</w:t>
      </w:r>
      <w:r w:rsidRPr="00524946">
        <w:t xml:space="preserve">se </w:t>
      </w:r>
      <w:r w:rsidR="003A5DA2">
        <w:t xml:space="preserve">revised </w:t>
      </w:r>
      <w:r w:rsidRPr="00524946">
        <w:t xml:space="preserve">values </w:t>
      </w:r>
      <w:r w:rsidR="00111442">
        <w:t xml:space="preserve">should be </w:t>
      </w:r>
      <w:r w:rsidR="00111442" w:rsidRPr="00524946">
        <w:t>establish</w:t>
      </w:r>
      <w:r w:rsidR="00111442">
        <w:t>ed</w:t>
      </w:r>
      <w:r w:rsidR="00111442" w:rsidRPr="00524946">
        <w:t xml:space="preserve"> </w:t>
      </w:r>
      <w:r w:rsidRPr="00524946">
        <w:t xml:space="preserve">in this </w:t>
      </w:r>
      <w:r w:rsidR="003A5DA2">
        <w:t>Regulation</w:t>
      </w:r>
      <w:r w:rsidRPr="00524946">
        <w:t>.</w:t>
      </w:r>
    </w:p>
    <w:p w14:paraId="41561DCE" w14:textId="4937A38E" w:rsidR="008701DD" w:rsidRPr="00524946" w:rsidRDefault="008701DD" w:rsidP="008701DD">
      <w:pPr>
        <w:pStyle w:val="Considrant"/>
      </w:pPr>
      <w:r>
        <w:t xml:space="preserve">Directive </w:t>
      </w:r>
      <w:r w:rsidRPr="007F45F5">
        <w:t>2003/87/</w:t>
      </w:r>
      <w:r>
        <w:t>EC</w:t>
      </w:r>
      <w:r w:rsidRPr="007F45F5" w:rsidDel="00B24DC2">
        <w:t xml:space="preserve"> </w:t>
      </w:r>
      <w:r>
        <w:t>was</w:t>
      </w:r>
      <w:r w:rsidRPr="007F45F5">
        <w:t xml:space="preserve"> amended by Directive </w:t>
      </w:r>
      <w:r w:rsidRPr="00321A5C">
        <w:rPr>
          <w:rFonts w:eastAsia="Times New Roman"/>
          <w:lang w:eastAsia="en-GB"/>
        </w:rPr>
        <w:t>(EU) 2023/959</w:t>
      </w:r>
      <w:r w:rsidRPr="007F45F5">
        <w:rPr>
          <w:noProof/>
        </w:rPr>
        <w:t xml:space="preserve"> </w:t>
      </w:r>
      <w:r w:rsidRPr="007F45F5">
        <w:t>of the European Parliament and of the Council</w:t>
      </w:r>
      <w:r>
        <w:rPr>
          <w:rStyle w:val="Appelnotedebasdep"/>
        </w:rPr>
        <w:footnoteReference w:id="5"/>
      </w:r>
      <w:r w:rsidRPr="007F45F5">
        <w:t xml:space="preserve"> </w:t>
      </w:r>
      <w:r w:rsidRPr="00321A5C">
        <w:rPr>
          <w:rFonts w:eastAsia="Times New Roman"/>
          <w:lang w:eastAsia="en-GB"/>
        </w:rPr>
        <w:t xml:space="preserve">to align </w:t>
      </w:r>
      <w:r w:rsidR="00016DAB">
        <w:rPr>
          <w:rFonts w:eastAsia="Times New Roman"/>
          <w:lang w:eastAsia="en-GB"/>
        </w:rPr>
        <w:t>the Union emissions trading system</w:t>
      </w:r>
      <w:r w:rsidRPr="00321A5C">
        <w:rPr>
          <w:rFonts w:eastAsia="Times New Roman"/>
          <w:lang w:eastAsia="en-GB"/>
        </w:rPr>
        <w:t xml:space="preserve"> </w:t>
      </w:r>
      <w:r w:rsidR="0010131E">
        <w:rPr>
          <w:rFonts w:eastAsia="Times New Roman"/>
          <w:lang w:eastAsia="en-GB"/>
        </w:rPr>
        <w:t>(</w:t>
      </w:r>
      <w:r w:rsidR="002D2506" w:rsidRPr="00485F1F">
        <w:t>‘</w:t>
      </w:r>
      <w:r w:rsidR="0010131E">
        <w:t xml:space="preserve">EU </w:t>
      </w:r>
      <w:r w:rsidR="0010131E" w:rsidRPr="00845B0C">
        <w:lastRenderedPageBreak/>
        <w:t>ETS</w:t>
      </w:r>
      <w:r w:rsidR="002D2506" w:rsidRPr="00485F1F">
        <w:t>’</w:t>
      </w:r>
      <w:r w:rsidR="0010131E">
        <w:t xml:space="preserve">) </w:t>
      </w:r>
      <w:r w:rsidRPr="00321A5C">
        <w:rPr>
          <w:rFonts w:eastAsia="Times New Roman"/>
          <w:lang w:eastAsia="en-GB"/>
        </w:rPr>
        <w:t>with Regulation (EU) 2021/1119 of the European Parliament and of the Council</w:t>
      </w:r>
      <w:r w:rsidRPr="5635454A">
        <w:rPr>
          <w:rStyle w:val="Appelnotedebasdep"/>
          <w:rFonts w:eastAsia="Times New Roman"/>
          <w:lang w:eastAsia="en-GB"/>
        </w:rPr>
        <w:footnoteReference w:id="6"/>
      </w:r>
      <w:r w:rsidR="008F5DBC">
        <w:rPr>
          <w:rFonts w:eastAsia="Times New Roman"/>
          <w:lang w:eastAsia="en-GB"/>
        </w:rPr>
        <w:t xml:space="preserve">, which </w:t>
      </w:r>
      <w:r w:rsidRPr="00321A5C">
        <w:rPr>
          <w:rFonts w:eastAsia="Times New Roman"/>
          <w:lang w:eastAsia="en-GB"/>
        </w:rPr>
        <w:t>set</w:t>
      </w:r>
      <w:r w:rsidR="008F5DBC">
        <w:rPr>
          <w:rFonts w:eastAsia="Times New Roman"/>
          <w:lang w:eastAsia="en-GB"/>
        </w:rPr>
        <w:t>s</w:t>
      </w:r>
      <w:r w:rsidRPr="00321A5C">
        <w:rPr>
          <w:rFonts w:eastAsia="Times New Roman"/>
          <w:lang w:eastAsia="en-GB"/>
        </w:rPr>
        <w:t xml:space="preserve"> a </w:t>
      </w:r>
      <w:r w:rsidRPr="007F45F5">
        <w:t>target of at least 55</w:t>
      </w:r>
      <w:r w:rsidR="009341CE">
        <w:t xml:space="preserve"> </w:t>
      </w:r>
      <w:r w:rsidRPr="007F45F5">
        <w:t>% net emission reductions by 2030 compared to 1990.</w:t>
      </w:r>
      <w:r>
        <w:t xml:space="preserve"> </w:t>
      </w:r>
      <w:r w:rsidR="00501111">
        <w:t>As a result,</w:t>
      </w:r>
      <w:r>
        <w:t xml:space="preserve"> Commission Implementing Regulation (EU) 2018/2066</w:t>
      </w:r>
      <w:r>
        <w:rPr>
          <w:rStyle w:val="Appelnotedebasdep"/>
        </w:rPr>
        <w:footnoteReference w:id="7"/>
      </w:r>
      <w:r>
        <w:t xml:space="preserve"> </w:t>
      </w:r>
      <w:r w:rsidRPr="00204913">
        <w:t>on the monitoring and reporting of greenhouse gas emissions</w:t>
      </w:r>
      <w:r>
        <w:t xml:space="preserve"> was amended by Commission Implementing Regulation (EU) 2023/2122</w:t>
      </w:r>
      <w:r>
        <w:rPr>
          <w:rStyle w:val="Appelnotedebasdep"/>
        </w:rPr>
        <w:footnoteReference w:id="8"/>
      </w:r>
      <w:r>
        <w:t xml:space="preserve"> and </w:t>
      </w:r>
      <w:r w:rsidRPr="006E4893">
        <w:t>Delegated Regulation (EU) 2019/331</w:t>
      </w:r>
      <w:r>
        <w:t xml:space="preserve"> determining transitional Union-wide rules for harmonised free allocation of emission allowances was </w:t>
      </w:r>
      <w:r w:rsidRPr="007F45F5">
        <w:t>amended by</w:t>
      </w:r>
      <w:r>
        <w:t xml:space="preserve"> Commission Delegated Regulation (EU) 2024/873</w:t>
      </w:r>
      <w:r>
        <w:rPr>
          <w:rStyle w:val="Appelnotedebasdep"/>
        </w:rPr>
        <w:footnoteReference w:id="9"/>
      </w:r>
      <w:r>
        <w:t>. Th</w:t>
      </w:r>
      <w:r w:rsidR="0058083B">
        <w:t>ose</w:t>
      </w:r>
      <w:r>
        <w:t xml:space="preserve"> amendments to Directive 2003/87/EC, Implementing Regulation (EU) 2018/2066 and Delegated Regulation (EU) 2019/331 are </w:t>
      </w:r>
      <w:r w:rsidR="00C11A3A">
        <w:t xml:space="preserve">therefore </w:t>
      </w:r>
      <w:r>
        <w:t>relevant to the determination of revised benchmark values f</w:t>
      </w:r>
      <w:r w:rsidRPr="00092034">
        <w:t>or the period from 202</w:t>
      </w:r>
      <w:r>
        <w:t>6</w:t>
      </w:r>
      <w:r w:rsidRPr="00092034">
        <w:t xml:space="preserve"> to 20</w:t>
      </w:r>
      <w:r>
        <w:t>30.</w:t>
      </w:r>
      <w:r w:rsidR="002D58DB">
        <w:t xml:space="preserve"> </w:t>
      </w:r>
    </w:p>
    <w:p w14:paraId="7FDDFAE2" w14:textId="781E9958" w:rsidR="002229D8" w:rsidRDefault="00A25B85" w:rsidP="112CE815">
      <w:pPr>
        <w:pStyle w:val="Considrant"/>
      </w:pPr>
      <w:r>
        <w:t xml:space="preserve">In accordance with Article 10a(2), third subparagraph, point </w:t>
      </w:r>
      <w:r w:rsidR="00223C6F">
        <w:t>(c)</w:t>
      </w:r>
      <w:r w:rsidR="00485F1F">
        <w:t>,</w:t>
      </w:r>
      <w:r w:rsidR="00223C6F">
        <w:t xml:space="preserve"> of Directive 2003/87/EC, </w:t>
      </w:r>
      <w:r w:rsidR="00223C6F" w:rsidRPr="00995A1A">
        <w:rPr>
          <w:highlight w:val="yellow"/>
        </w:rPr>
        <w:t>t</w:t>
      </w:r>
      <w:r w:rsidR="002229D8" w:rsidRPr="00995A1A">
        <w:rPr>
          <w:highlight w:val="yellow"/>
        </w:rPr>
        <w:t xml:space="preserve">he </w:t>
      </w:r>
      <w:r w:rsidR="00706F4C" w:rsidRPr="00995A1A">
        <w:rPr>
          <w:highlight w:val="yellow"/>
        </w:rPr>
        <w:t xml:space="preserve">revised </w:t>
      </w:r>
      <w:r w:rsidR="002229D8" w:rsidRPr="00995A1A">
        <w:rPr>
          <w:highlight w:val="yellow"/>
        </w:rPr>
        <w:t xml:space="preserve">benchmark values for </w:t>
      </w:r>
      <w:r w:rsidR="003B7AB1" w:rsidRPr="00995A1A">
        <w:rPr>
          <w:highlight w:val="yellow"/>
        </w:rPr>
        <w:t xml:space="preserve">the period from </w:t>
      </w:r>
      <w:r w:rsidR="002229D8" w:rsidRPr="00995A1A">
        <w:rPr>
          <w:highlight w:val="yellow"/>
        </w:rPr>
        <w:t xml:space="preserve">2026 to 2030 are to be determined on the basis of information on the greenhouse gas efficiency of installations </w:t>
      </w:r>
      <w:r w:rsidR="00382A9F" w:rsidRPr="00995A1A">
        <w:rPr>
          <w:highlight w:val="yellow"/>
        </w:rPr>
        <w:t xml:space="preserve">submitted </w:t>
      </w:r>
      <w:r w:rsidR="002229D8" w:rsidRPr="00995A1A">
        <w:rPr>
          <w:highlight w:val="yellow"/>
        </w:rPr>
        <w:t xml:space="preserve">pursuant to Article 11 of </w:t>
      </w:r>
      <w:r w:rsidR="00215EAB" w:rsidRPr="00995A1A">
        <w:rPr>
          <w:highlight w:val="yellow"/>
        </w:rPr>
        <w:t xml:space="preserve">that </w:t>
      </w:r>
      <w:r w:rsidR="002229D8" w:rsidRPr="00995A1A">
        <w:rPr>
          <w:highlight w:val="yellow"/>
        </w:rPr>
        <w:t xml:space="preserve">Directive for the years 2021 and 2022. For each benchmark, the average greenhouse gas efficiency in 2021 and 2022 of the installations producing under each benchmark </w:t>
      </w:r>
      <w:r w:rsidR="00F52192" w:rsidRPr="00995A1A">
        <w:rPr>
          <w:highlight w:val="yellow"/>
        </w:rPr>
        <w:t xml:space="preserve">is to be </w:t>
      </w:r>
      <w:r w:rsidR="002229D8" w:rsidRPr="00995A1A">
        <w:rPr>
          <w:highlight w:val="yellow"/>
        </w:rPr>
        <w:t>calculated. On the basis of a comparison of the average value of the 10</w:t>
      </w:r>
      <w:r w:rsidR="00E2649B" w:rsidRPr="00995A1A">
        <w:rPr>
          <w:highlight w:val="yellow"/>
        </w:rPr>
        <w:t> </w:t>
      </w:r>
      <w:r w:rsidR="002229D8" w:rsidRPr="00995A1A">
        <w:rPr>
          <w:highlight w:val="yellow"/>
        </w:rPr>
        <w:t>% most efficient installations under each benchmark</w:t>
      </w:r>
      <w:r w:rsidR="00FE2D16" w:rsidRPr="00995A1A">
        <w:rPr>
          <w:highlight w:val="yellow"/>
        </w:rPr>
        <w:t xml:space="preserve"> </w:t>
      </w:r>
      <w:r w:rsidR="002229D8" w:rsidRPr="00995A1A">
        <w:rPr>
          <w:highlight w:val="yellow"/>
        </w:rPr>
        <w:t xml:space="preserve">with the benchmark values set out in Annex I to Delegated Regulation (EU) 2019/331, annual reduction rates are </w:t>
      </w:r>
      <w:r w:rsidR="00390341" w:rsidRPr="00995A1A">
        <w:rPr>
          <w:highlight w:val="yellow"/>
        </w:rPr>
        <w:t xml:space="preserve">to be </w:t>
      </w:r>
      <w:r w:rsidR="002229D8" w:rsidRPr="00995A1A">
        <w:rPr>
          <w:highlight w:val="yellow"/>
        </w:rPr>
        <w:t>determined for each benchmark for the 14-year period from 2007/2008 to 2021/2022.</w:t>
      </w:r>
      <w:r w:rsidR="002229D8" w:rsidRPr="00A741D5">
        <w:t xml:space="preserve"> Those annual reduction rates are then </w:t>
      </w:r>
      <w:r w:rsidR="004803B5" w:rsidRPr="00A741D5">
        <w:t xml:space="preserve">to be </w:t>
      </w:r>
      <w:r w:rsidR="002229D8" w:rsidRPr="00A741D5">
        <w:t>used to calculate, by means of extrapolation, the corresponding reductions of the benchmark values for the 20-year period from 2007/2008 to 2027/2028. In accordance with Article 10a(2)</w:t>
      </w:r>
      <w:r w:rsidR="00E2649B" w:rsidRPr="00A741D5">
        <w:t>, third subparagraph,</w:t>
      </w:r>
      <w:r w:rsidR="002229D8" w:rsidRPr="00A741D5">
        <w:t xml:space="preserve"> </w:t>
      </w:r>
      <w:r w:rsidR="00E2649B" w:rsidRPr="00A741D5">
        <w:t xml:space="preserve">point (d), </w:t>
      </w:r>
      <w:r w:rsidR="002229D8" w:rsidRPr="00A741D5">
        <w:t xml:space="preserve">of Directive 2003/87/EC, </w:t>
      </w:r>
      <w:r w:rsidR="002229D8" w:rsidRPr="00995A1A">
        <w:rPr>
          <w:highlight w:val="yellow"/>
        </w:rPr>
        <w:t>the applied reduction over the 20-year period should not be lower than 6</w:t>
      </w:r>
      <w:r w:rsidR="00E2649B" w:rsidRPr="00995A1A">
        <w:rPr>
          <w:highlight w:val="yellow"/>
        </w:rPr>
        <w:t> </w:t>
      </w:r>
      <w:r w:rsidR="002229D8" w:rsidRPr="00995A1A">
        <w:rPr>
          <w:highlight w:val="yellow"/>
        </w:rPr>
        <w:t>% and not be higher than 50</w:t>
      </w:r>
      <w:r w:rsidR="00E2649B" w:rsidRPr="00995A1A">
        <w:rPr>
          <w:highlight w:val="yellow"/>
        </w:rPr>
        <w:t> </w:t>
      </w:r>
      <w:r w:rsidR="002229D8" w:rsidRPr="00995A1A">
        <w:rPr>
          <w:highlight w:val="yellow"/>
        </w:rPr>
        <w:t>%</w:t>
      </w:r>
      <w:r w:rsidR="002229D8" w:rsidRPr="00A741D5">
        <w:t>.</w:t>
      </w:r>
      <w:r w:rsidR="002229D8">
        <w:t xml:space="preserve"> </w:t>
      </w:r>
      <w:r w:rsidR="002229D8" w:rsidRPr="00995A1A">
        <w:rPr>
          <w:highlight w:val="yellow"/>
        </w:rPr>
        <w:t>Specific provisions apply for the update of the benchmark values for aromatics and</w:t>
      </w:r>
      <w:r w:rsidR="00D92B89" w:rsidRPr="00995A1A">
        <w:rPr>
          <w:highlight w:val="yellow"/>
        </w:rPr>
        <w:t xml:space="preserve"> </w:t>
      </w:r>
      <w:r w:rsidR="002229D8" w:rsidRPr="00995A1A">
        <w:rPr>
          <w:highlight w:val="yellow"/>
        </w:rPr>
        <w:t>syngas</w:t>
      </w:r>
      <w:r w:rsidR="006277B7">
        <w:t>,</w:t>
      </w:r>
      <w:r w:rsidR="00677075">
        <w:t xml:space="preserve"> </w:t>
      </w:r>
      <w:r w:rsidR="00F9626E">
        <w:t xml:space="preserve">in accordance with Article 10a(2), fourth subparagraph, that aligns the adjustment percentage with the one applying for the </w:t>
      </w:r>
      <w:r w:rsidR="00F9626E" w:rsidRPr="00E91DCC">
        <w:t>refineries benchmarks</w:t>
      </w:r>
      <w:r w:rsidR="00F9626E">
        <w:t xml:space="preserve">. Since Directive </w:t>
      </w:r>
      <w:r w:rsidR="00F9626E" w:rsidRPr="0094756A">
        <w:rPr>
          <w:lang w:val="en-IE"/>
        </w:rPr>
        <w:t>(EU) 2023/959</w:t>
      </w:r>
      <w:r w:rsidR="00F9626E">
        <w:rPr>
          <w:lang w:val="en-IE"/>
        </w:rPr>
        <w:t xml:space="preserve"> decoupled </w:t>
      </w:r>
      <w:r w:rsidR="00F9626E" w:rsidRPr="00D03570">
        <w:rPr>
          <w:lang w:val="en-IE"/>
        </w:rPr>
        <w:t>the update of the benchmark values for refineries and for hydrogen</w:t>
      </w:r>
      <w:r w:rsidR="00F9626E">
        <w:rPr>
          <w:lang w:val="en-IE"/>
        </w:rPr>
        <w:t xml:space="preserve">, </w:t>
      </w:r>
      <w:r w:rsidR="00F9626E" w:rsidRPr="00995A1A">
        <w:rPr>
          <w:highlight w:val="yellow"/>
          <w:lang w:val="en-IE"/>
        </w:rPr>
        <w:t>those specific provisions aligning the update of the benchmark values for aromatics and syngas with that of refineries do not apply to the update of the benchmark values for hydrogen</w:t>
      </w:r>
      <w:r w:rsidR="00F9626E">
        <w:rPr>
          <w:lang w:val="en-IE"/>
        </w:rPr>
        <w:t xml:space="preserve">. </w:t>
      </w:r>
    </w:p>
    <w:p w14:paraId="2FFA7132" w14:textId="081F4015" w:rsidR="00A17BE2" w:rsidRPr="00A17BE2" w:rsidRDefault="00A17BE2" w:rsidP="59218F0C">
      <w:pPr>
        <w:pStyle w:val="Considrant"/>
        <w:rPr>
          <w:lang w:val="en-IE"/>
        </w:rPr>
      </w:pPr>
      <w:r w:rsidRPr="00A17BE2">
        <w:lastRenderedPageBreak/>
        <w:t xml:space="preserve">Following the revised definition of ‘emissions’ introduced by Directive (EU) 2023/959, and pursuant to </w:t>
      </w:r>
      <w:r>
        <w:rPr>
          <w:lang w:val="en-IE"/>
        </w:rPr>
        <w:t xml:space="preserve">Commission </w:t>
      </w:r>
      <w:r w:rsidRPr="00B07E21">
        <w:rPr>
          <w:lang w:val="en-IE"/>
        </w:rPr>
        <w:t>Implementing Regulation (EU) 2026/389</w:t>
      </w:r>
      <w:r>
        <w:rPr>
          <w:rStyle w:val="Appelnotedebasdep"/>
        </w:rPr>
        <w:footnoteReference w:id="10"/>
      </w:r>
      <w:r w:rsidRPr="00A17BE2">
        <w:t xml:space="preserve">, the methodology for the update of the soda ash benchmark is to consider the corresponding intermediary emissions </w:t>
      </w:r>
      <w:r w:rsidR="00B05F4D">
        <w:t xml:space="preserve">monitored and reported </w:t>
      </w:r>
      <w:r w:rsidRPr="00A17BE2">
        <w:t>in accordance with Implementing Regulation (EU) 2018/2066</w:t>
      </w:r>
      <w:r w:rsidR="006022DE">
        <w:t>.</w:t>
      </w:r>
      <w:r w:rsidRPr="00A17BE2">
        <w:t xml:space="preserve"> </w:t>
      </w:r>
      <w:r w:rsidR="004B4602" w:rsidRPr="004B4602">
        <w:t>To that end</w:t>
      </w:r>
      <w:r w:rsidR="004B4602">
        <w:t xml:space="preserve">, </w:t>
      </w:r>
      <w:r w:rsidR="004B4602" w:rsidRPr="00A17BE2">
        <w:t>for the period from 2026 to 2030</w:t>
      </w:r>
      <w:r w:rsidR="004B4602">
        <w:t xml:space="preserve">, </w:t>
      </w:r>
      <w:r w:rsidRPr="00A17BE2">
        <w:t xml:space="preserve">those emissions </w:t>
      </w:r>
      <w:r w:rsidR="00AC10AF">
        <w:t xml:space="preserve">should be added </w:t>
      </w:r>
      <w:r w:rsidRPr="00A17BE2">
        <w:t xml:space="preserve">to the </w:t>
      </w:r>
      <w:r w:rsidR="0070681D" w:rsidRPr="00A17BE2">
        <w:t xml:space="preserve">soda ash benchmark </w:t>
      </w:r>
      <w:r w:rsidRPr="00A17BE2">
        <w:t>value</w:t>
      </w:r>
      <w:r w:rsidR="00661AE2">
        <w:t xml:space="preserve"> as final step in the calculation following the application of the annual reduction rate over the 20 years </w:t>
      </w:r>
      <w:r w:rsidR="006B1C43">
        <w:t>extrapolation period.</w:t>
      </w:r>
    </w:p>
    <w:p w14:paraId="3A478CE8" w14:textId="7956655F" w:rsidR="00D13939" w:rsidRPr="00657489" w:rsidRDefault="0048237F" w:rsidP="00992C12">
      <w:pPr>
        <w:pStyle w:val="Considrant"/>
        <w:numPr>
          <w:ilvl w:val="0"/>
          <w:numId w:val="9"/>
        </w:numPr>
      </w:pPr>
      <w:r>
        <w:t>In view of ensuring comparability with the previous benchmark update exercises, f</w:t>
      </w:r>
      <w:r w:rsidR="00B541BD" w:rsidRPr="00B541BD">
        <w:t>or the benchmarks listed under section 2 of Annex I to Delegated Regulation (EU) 2019/331, which were previously affected by the exchangeability of fuel and electricity rules, the</w:t>
      </w:r>
      <w:r w:rsidR="00B541BD">
        <w:t xml:space="preserve"> </w:t>
      </w:r>
      <w:r w:rsidR="00D13939" w:rsidRPr="00657489">
        <w:t xml:space="preserve">average greenhouse gas efficiency </w:t>
      </w:r>
      <w:r w:rsidR="00D13939" w:rsidRPr="0048237F">
        <w:t>of the 10% most efficient installations producing under each</w:t>
      </w:r>
      <w:r w:rsidRPr="0048237F">
        <w:t xml:space="preserve"> of those</w:t>
      </w:r>
      <w:r w:rsidR="00D13939" w:rsidRPr="0048237F">
        <w:t xml:space="preserve"> benchmark</w:t>
      </w:r>
      <w:r w:rsidRPr="0048237F">
        <w:t>s</w:t>
      </w:r>
      <w:r w:rsidR="00D13939" w:rsidRPr="0048237F">
        <w:t xml:space="preserve"> should </w:t>
      </w:r>
      <w:r w:rsidR="009D28A0" w:rsidRPr="0048237F">
        <w:t>take into account</w:t>
      </w:r>
      <w:r w:rsidR="00D13939" w:rsidRPr="0048237F">
        <w:t xml:space="preserve"> their indirect emissions from electricity consumption</w:t>
      </w:r>
      <w:r w:rsidR="00C0396B" w:rsidRPr="0048237F">
        <w:t xml:space="preserve"> when used for dete</w:t>
      </w:r>
      <w:r w:rsidR="00C0396B" w:rsidRPr="00657489">
        <w:t>rmining the revised benchmark values for free allocation of emission allowances for the period from 2026 to 2030</w:t>
      </w:r>
      <w:r w:rsidR="00D13939" w:rsidRPr="00657489">
        <w:t>.</w:t>
      </w:r>
    </w:p>
    <w:p w14:paraId="6B7EC46A" w14:textId="24F788A5" w:rsidR="007C39A8" w:rsidRDefault="007C39A8" w:rsidP="00992C12">
      <w:pPr>
        <w:pStyle w:val="Considrant"/>
        <w:numPr>
          <w:ilvl w:val="0"/>
          <w:numId w:val="9"/>
        </w:numPr>
      </w:pPr>
      <w:r>
        <w:t xml:space="preserve">Delegated Regulation (EU) 2024/873 </w:t>
      </w:r>
      <w:r w:rsidR="00C86308">
        <w:t xml:space="preserve">also </w:t>
      </w:r>
      <w:r>
        <w:t xml:space="preserve">provided for </w:t>
      </w:r>
      <w:r w:rsidR="008D6156">
        <w:t xml:space="preserve">the inclusion of </w:t>
      </w:r>
      <w:r w:rsidRPr="007C39A8">
        <w:t>measurable and non-measurable heat produced from electricity under the heat and fuel benchmarks</w:t>
      </w:r>
      <w:r w:rsidR="0060799A">
        <w:t>,</w:t>
      </w:r>
      <w:r w:rsidR="00314E88">
        <w:t xml:space="preserve"> and </w:t>
      </w:r>
      <w:r w:rsidR="0060799A">
        <w:t>th</w:t>
      </w:r>
      <w:r w:rsidR="00725825">
        <w:t xml:space="preserve">is </w:t>
      </w:r>
      <w:r w:rsidR="0060799A">
        <w:t>sh</w:t>
      </w:r>
      <w:r w:rsidR="00725825">
        <w:t>o</w:t>
      </w:r>
      <w:r w:rsidR="0060799A">
        <w:t>uld</w:t>
      </w:r>
      <w:r w:rsidR="00725825">
        <w:t xml:space="preserve"> </w:t>
      </w:r>
      <w:r w:rsidR="00314E88">
        <w:t xml:space="preserve">be considered </w:t>
      </w:r>
      <w:r w:rsidR="00D25019">
        <w:t xml:space="preserve">when determining the revised benchmark values applicable for </w:t>
      </w:r>
      <w:r w:rsidR="0061542A">
        <w:t xml:space="preserve">the period from </w:t>
      </w:r>
      <w:r w:rsidR="00D25019">
        <w:t>2026</w:t>
      </w:r>
      <w:r w:rsidR="0061542A">
        <w:t xml:space="preserve"> to </w:t>
      </w:r>
      <w:r w:rsidR="00D25019">
        <w:t>2030</w:t>
      </w:r>
      <w:r w:rsidR="008D6156">
        <w:t>.</w:t>
      </w:r>
    </w:p>
    <w:p w14:paraId="708556DE" w14:textId="4B6580C2" w:rsidR="00693A3D" w:rsidRDefault="00E263B6">
      <w:pPr>
        <w:pStyle w:val="Considrant"/>
      </w:pPr>
      <w:r>
        <w:t xml:space="preserve">Furthermore, </w:t>
      </w:r>
      <w:r w:rsidR="00FC0FC5">
        <w:t xml:space="preserve">Delegated Regulation </w:t>
      </w:r>
      <w:r w:rsidR="00D845F9">
        <w:t xml:space="preserve">(EU) </w:t>
      </w:r>
      <w:r w:rsidR="00FC0FC5">
        <w:t xml:space="preserve">2024/873 introduced modifications to </w:t>
      </w:r>
      <w:r w:rsidR="00D020FB">
        <w:t xml:space="preserve">a number of benchmarks regarding definitions and system boundaries. </w:t>
      </w:r>
      <w:r w:rsidR="00302624">
        <w:t>T</w:t>
      </w:r>
      <w:r w:rsidR="00D25019">
        <w:t xml:space="preserve">hat Regulation </w:t>
      </w:r>
      <w:r w:rsidR="00302624">
        <w:t xml:space="preserve">thus </w:t>
      </w:r>
      <w:r w:rsidR="00D25019">
        <w:t>opened the sintered ore</w:t>
      </w:r>
      <w:r w:rsidR="00DB1F60">
        <w:t xml:space="preserve"> benchmark as well as white and</w:t>
      </w:r>
      <w:r w:rsidR="00D25019">
        <w:t xml:space="preserve"> </w:t>
      </w:r>
      <w:r w:rsidR="00DB1F60" w:rsidRPr="00D25019">
        <w:t>grey cement clinker benchmarks</w:t>
      </w:r>
      <w:r w:rsidR="00DB1F60">
        <w:t xml:space="preserve"> </w:t>
      </w:r>
      <w:r w:rsidR="00D25019">
        <w:t xml:space="preserve">to alternative products </w:t>
      </w:r>
      <w:r w:rsidR="00DB1F60">
        <w:t xml:space="preserve">of agglomerated iron ore and </w:t>
      </w:r>
      <w:r w:rsidR="00D25019" w:rsidRPr="00D25019">
        <w:t xml:space="preserve">alternative </w:t>
      </w:r>
      <w:r w:rsidR="00D25019">
        <w:t>hydraulic binders</w:t>
      </w:r>
      <w:r w:rsidR="00C14561">
        <w:t>,</w:t>
      </w:r>
      <w:r w:rsidR="0069568D">
        <w:t xml:space="preserve"> </w:t>
      </w:r>
      <w:r w:rsidR="00DB1F60">
        <w:t xml:space="preserve">respectively. </w:t>
      </w:r>
      <w:r w:rsidR="00FD02F7">
        <w:t>Furthermore, it</w:t>
      </w:r>
      <w:r w:rsidR="0069568D">
        <w:t xml:space="preserve"> </w:t>
      </w:r>
      <w:r w:rsidR="004859AB">
        <w:t xml:space="preserve">included </w:t>
      </w:r>
      <w:r w:rsidR="0069568D">
        <w:t xml:space="preserve">hydrogen produced </w:t>
      </w:r>
      <w:r w:rsidR="00693A3D">
        <w:t>from</w:t>
      </w:r>
      <w:r w:rsidR="00693A3D" w:rsidRPr="00693A3D">
        <w:t xml:space="preserve"> water electrolysis</w:t>
      </w:r>
      <w:r w:rsidR="001B21B5">
        <w:t xml:space="preserve"> </w:t>
      </w:r>
      <w:r w:rsidR="00DF09AA">
        <w:t xml:space="preserve">in the hydrogen benchmark </w:t>
      </w:r>
      <w:r w:rsidR="00FF6D4A">
        <w:t>or ammonia benchmark</w:t>
      </w:r>
      <w:r w:rsidR="00207DDD">
        <w:t>.</w:t>
      </w:r>
      <w:r w:rsidR="00013477">
        <w:t xml:space="preserve"> </w:t>
      </w:r>
      <w:r w:rsidR="001B21B5">
        <w:t xml:space="preserve">Those </w:t>
      </w:r>
      <w:r w:rsidR="00FC61F3">
        <w:t xml:space="preserve">modifications </w:t>
      </w:r>
      <w:r w:rsidR="00A7775A">
        <w:t xml:space="preserve">should </w:t>
      </w:r>
      <w:r w:rsidR="00FC61F3">
        <w:t xml:space="preserve">be considered </w:t>
      </w:r>
      <w:r w:rsidR="00FC61F3" w:rsidRPr="00FC61F3">
        <w:t xml:space="preserve">when determining the </w:t>
      </w:r>
      <w:r w:rsidR="0081471D">
        <w:t>revised</w:t>
      </w:r>
      <w:r w:rsidR="00207DDD">
        <w:t xml:space="preserve"> </w:t>
      </w:r>
      <w:r w:rsidR="00FC61F3" w:rsidRPr="00FC61F3">
        <w:t>benchmark values for</w:t>
      </w:r>
      <w:r w:rsidR="0061542A">
        <w:t xml:space="preserve"> the period from</w:t>
      </w:r>
      <w:r w:rsidR="00FC61F3" w:rsidRPr="00FC61F3">
        <w:t xml:space="preserve"> 2026</w:t>
      </w:r>
      <w:r w:rsidR="0061542A">
        <w:t xml:space="preserve"> to </w:t>
      </w:r>
      <w:r w:rsidR="00FC61F3" w:rsidRPr="00FC61F3">
        <w:t>2030</w:t>
      </w:r>
      <w:r w:rsidR="0069568D">
        <w:t>.</w:t>
      </w:r>
    </w:p>
    <w:p w14:paraId="2DD49BBE" w14:textId="7A8492F9" w:rsidR="00FC0FC5" w:rsidRDefault="00693A3D" w:rsidP="76A618CD">
      <w:pPr>
        <w:pStyle w:val="Considrant"/>
      </w:pPr>
      <w:r>
        <w:t xml:space="preserve">Delegated Regulation </w:t>
      </w:r>
      <w:r w:rsidR="00D845F9">
        <w:t xml:space="preserve">(EU) </w:t>
      </w:r>
      <w:r>
        <w:t xml:space="preserve">2024/873 </w:t>
      </w:r>
      <w:r w:rsidR="00AE2046">
        <w:t xml:space="preserve">also </w:t>
      </w:r>
      <w:r>
        <w:t xml:space="preserve">modified the hot metal benchmark </w:t>
      </w:r>
      <w:r w:rsidR="0011544B">
        <w:t xml:space="preserve">by </w:t>
      </w:r>
      <w:r w:rsidR="00356A45">
        <w:t xml:space="preserve">adding </w:t>
      </w:r>
      <w:r>
        <w:t>to the definitions of products covered and the system boundaries</w:t>
      </w:r>
      <w:r w:rsidR="00356A45">
        <w:t xml:space="preserve"> under that benchmark the production of steel using direct reduction technology.</w:t>
      </w:r>
      <w:r>
        <w:t xml:space="preserve"> </w:t>
      </w:r>
      <w:r w:rsidR="00016620">
        <w:t>In accordance with</w:t>
      </w:r>
      <w:r w:rsidR="0076015A">
        <w:t xml:space="preserve"> Article 10a(2)</w:t>
      </w:r>
      <w:r w:rsidR="00016620">
        <w:t>,</w:t>
      </w:r>
      <w:r w:rsidR="0076015A">
        <w:t xml:space="preserve"> </w:t>
      </w:r>
      <w:r w:rsidR="00FF60DB">
        <w:t xml:space="preserve">third subparagraph, </w:t>
      </w:r>
      <w:r w:rsidR="00016620">
        <w:t xml:space="preserve">point (e), </w:t>
      </w:r>
      <w:r w:rsidR="0076015A">
        <w:t xml:space="preserve">of Directive 2003/87/EC, production of steel under the hot metal benchmark using direct reduction technology </w:t>
      </w:r>
      <w:r w:rsidR="005B27CE">
        <w:t>i</w:t>
      </w:r>
      <w:r w:rsidR="00EF2685">
        <w:t>s</w:t>
      </w:r>
      <w:r w:rsidR="0076015A">
        <w:t xml:space="preserve"> not </w:t>
      </w:r>
      <w:r w:rsidR="009D06C4">
        <w:t xml:space="preserve">to be </w:t>
      </w:r>
      <w:r w:rsidR="0076015A">
        <w:t xml:space="preserve">considered when </w:t>
      </w:r>
      <w:r w:rsidR="00D92B89">
        <w:t>calculating the average greenhouse gas efficiency of the installations</w:t>
      </w:r>
      <w:r w:rsidR="005B27CE">
        <w:t xml:space="preserve"> for the revised benchmark values for the period from 2026 to 2030</w:t>
      </w:r>
      <w:r w:rsidR="0076015A">
        <w:t>.</w:t>
      </w:r>
    </w:p>
    <w:p w14:paraId="45D99EBE" w14:textId="01CB8372" w:rsidR="009024FE" w:rsidRDefault="009024FE" w:rsidP="00992C12">
      <w:pPr>
        <w:pStyle w:val="Considrant"/>
        <w:numPr>
          <w:ilvl w:val="0"/>
          <w:numId w:val="9"/>
        </w:numPr>
      </w:pPr>
      <w:r w:rsidRPr="00FB4A9A">
        <w:t>The list of installations</w:t>
      </w:r>
      <w:r>
        <w:t xml:space="preserve"> </w:t>
      </w:r>
      <w:r w:rsidRPr="00FB4A9A">
        <w:t>containing information relevant for free allocation of emission allowances</w:t>
      </w:r>
      <w:r>
        <w:t xml:space="preserve"> </w:t>
      </w:r>
      <w:r w:rsidRPr="00FB4A9A">
        <w:t xml:space="preserve">was submitted to the Commission by </w:t>
      </w:r>
      <w:r>
        <w:t xml:space="preserve">the Member States by </w:t>
      </w:r>
      <w:r w:rsidRPr="00FB4A9A">
        <w:t>30</w:t>
      </w:r>
      <w:r>
        <w:t> </w:t>
      </w:r>
      <w:r w:rsidRPr="00FB4A9A">
        <w:t xml:space="preserve">September </w:t>
      </w:r>
      <w:r w:rsidR="00B64986" w:rsidRPr="00FB4A9A">
        <w:t>20</w:t>
      </w:r>
      <w:r w:rsidR="00B64986">
        <w:t>24</w:t>
      </w:r>
      <w:r w:rsidR="00B64986" w:rsidRPr="00FB4A9A">
        <w:t xml:space="preserve"> </w:t>
      </w:r>
      <w:r>
        <w:t xml:space="preserve">in accordance with </w:t>
      </w:r>
      <w:r w:rsidRPr="00FB4A9A">
        <w:t>Article 11(1) of Directive 2003/87/EC. To ensure that the benchmark values are based on correct data, the Commission</w:t>
      </w:r>
      <w:r>
        <w:t xml:space="preserve"> </w:t>
      </w:r>
      <w:r w:rsidRPr="00FB4A9A">
        <w:t xml:space="preserve">carried out in-depth completeness and consistency checks of the data </w:t>
      </w:r>
      <w:r>
        <w:t>relevant for the free allocation of emission allowances</w:t>
      </w:r>
      <w:r w:rsidRPr="00FB4A9A">
        <w:t xml:space="preserve">. Where appropriate, the Commission asked the concerned </w:t>
      </w:r>
      <w:r w:rsidR="0029787C">
        <w:t>c</w:t>
      </w:r>
      <w:r w:rsidR="00C15A80" w:rsidRPr="00FB4A9A">
        <w:t xml:space="preserve">ompetent </w:t>
      </w:r>
      <w:r w:rsidR="0029787C">
        <w:t>a</w:t>
      </w:r>
      <w:r w:rsidR="00C15A80" w:rsidRPr="00FB4A9A">
        <w:t xml:space="preserve">uthorities </w:t>
      </w:r>
      <w:r w:rsidRPr="00FB4A9A">
        <w:t xml:space="preserve">for clarifications </w:t>
      </w:r>
      <w:r w:rsidRPr="00FA6BFA">
        <w:t>and</w:t>
      </w:r>
      <w:r w:rsidRPr="00FB4A9A">
        <w:t xml:space="preserve"> corrections. </w:t>
      </w:r>
      <w:r w:rsidR="003D14E9" w:rsidRPr="00F21C0D">
        <w:t xml:space="preserve">The Commission also held technical exchanges with stakeholders </w:t>
      </w:r>
      <w:r w:rsidR="003D14E9" w:rsidRPr="003D14E9">
        <w:t>in order to ensure in-depth consultation of their specific views</w:t>
      </w:r>
      <w:r w:rsidR="003D14E9" w:rsidRPr="00F21C0D">
        <w:t>.</w:t>
      </w:r>
      <w:r w:rsidR="003D14E9" w:rsidRPr="003D14E9">
        <w:t xml:space="preserve"> </w:t>
      </w:r>
      <w:r w:rsidRPr="00FB4A9A">
        <w:t xml:space="preserve">As </w:t>
      </w:r>
      <w:r>
        <w:t xml:space="preserve">a </w:t>
      </w:r>
      <w:r w:rsidRPr="00FB4A9A">
        <w:t xml:space="preserve">result of this procedure, an accurate, consistent and comparable </w:t>
      </w:r>
      <w:r w:rsidRPr="00FB4A9A">
        <w:lastRenderedPageBreak/>
        <w:t xml:space="preserve">set of data </w:t>
      </w:r>
      <w:r w:rsidR="003A6BD6">
        <w:t xml:space="preserve">was generated </w:t>
      </w:r>
      <w:r w:rsidRPr="00FB4A9A">
        <w:t xml:space="preserve">on </w:t>
      </w:r>
      <w:r>
        <w:t xml:space="preserve">the </w:t>
      </w:r>
      <w:r w:rsidRPr="00FB4A9A">
        <w:t>greenhouse gas efficienc</w:t>
      </w:r>
      <w:r>
        <w:t>ies</w:t>
      </w:r>
      <w:r w:rsidRPr="00FB4A9A">
        <w:t xml:space="preserve"> of all stationary installations covered by Directive 2003/87/EC</w:t>
      </w:r>
      <w:r w:rsidR="009B628B">
        <w:t xml:space="preserve"> that</w:t>
      </w:r>
      <w:r w:rsidR="009B628B" w:rsidRPr="009B628B">
        <w:t xml:space="preserve"> submitt</w:t>
      </w:r>
      <w:r w:rsidR="009B628B">
        <w:t>ed</w:t>
      </w:r>
      <w:r w:rsidR="009B628B" w:rsidRPr="009B628B">
        <w:t xml:space="preserve"> an application for free allocation in accordance with Article 4 of Delegated Regulation (EU) 2019/331</w:t>
      </w:r>
      <w:r w:rsidRPr="00FB4A9A">
        <w:t>.</w:t>
      </w:r>
      <w:r>
        <w:t xml:space="preserve"> </w:t>
      </w:r>
      <w:r w:rsidRPr="00FB4A9A">
        <w:t>Th</w:t>
      </w:r>
      <w:r>
        <w:t>at</w:t>
      </w:r>
      <w:r w:rsidRPr="00FB4A9A">
        <w:t xml:space="preserve"> high-quality dataset was used to </w:t>
      </w:r>
      <w:r>
        <w:t xml:space="preserve">determine </w:t>
      </w:r>
      <w:r w:rsidRPr="00FB4A9A">
        <w:t xml:space="preserve">the revised benchmark values for the period from </w:t>
      </w:r>
      <w:r w:rsidR="00B64986" w:rsidRPr="00FB4A9A">
        <w:t>20</w:t>
      </w:r>
      <w:r w:rsidR="00B64986">
        <w:t>26</w:t>
      </w:r>
      <w:r w:rsidR="00B64986" w:rsidRPr="00FB4A9A">
        <w:t xml:space="preserve"> </w:t>
      </w:r>
      <w:r w:rsidRPr="00FB4A9A">
        <w:t xml:space="preserve">to </w:t>
      </w:r>
      <w:r w:rsidR="00B64986" w:rsidRPr="00FB4A9A">
        <w:t>20</w:t>
      </w:r>
      <w:r w:rsidR="00B64986">
        <w:t>30</w:t>
      </w:r>
      <w:r w:rsidR="00B64986" w:rsidRPr="00FB4A9A">
        <w:t xml:space="preserve"> </w:t>
      </w:r>
      <w:r w:rsidRPr="00FB4A9A">
        <w:t xml:space="preserve">for each of the 54 benchmarks. </w:t>
      </w:r>
    </w:p>
    <w:p w14:paraId="48ABC5E6" w14:textId="1A3010A5" w:rsidR="009024FE" w:rsidRDefault="00C34648" w:rsidP="00992C12">
      <w:pPr>
        <w:pStyle w:val="Considrant"/>
        <w:numPr>
          <w:ilvl w:val="0"/>
          <w:numId w:val="9"/>
        </w:numPr>
      </w:pPr>
      <w:r>
        <w:t xml:space="preserve">In accordance with Articles 27 and 27a of Directive 2003/87/EC, </w:t>
      </w:r>
      <w:r w:rsidR="003900FD">
        <w:t>s</w:t>
      </w:r>
      <w:r w:rsidR="009024FE">
        <w:t xml:space="preserve">everal Member States have decided to exclude installations from the EU ETS for the period from </w:t>
      </w:r>
      <w:r w:rsidR="00030891">
        <w:t xml:space="preserve">2026 </w:t>
      </w:r>
      <w:r w:rsidR="009024FE">
        <w:t xml:space="preserve">to </w:t>
      </w:r>
      <w:r w:rsidR="00030891">
        <w:t xml:space="preserve">2030 </w:t>
      </w:r>
      <w:r w:rsidR="009024FE">
        <w:t xml:space="preserve">based on those provisions. Those installations should </w:t>
      </w:r>
      <w:r>
        <w:t xml:space="preserve">therefore </w:t>
      </w:r>
      <w:r w:rsidR="009024FE">
        <w:t>not be considered when determining the revised benchmark values.</w:t>
      </w:r>
    </w:p>
    <w:p w14:paraId="19E1E102" w14:textId="05CD7A85" w:rsidR="00E122FB" w:rsidRPr="00F21C0D" w:rsidRDefault="003916A4" w:rsidP="009779EE">
      <w:pPr>
        <w:pStyle w:val="Considrant"/>
      </w:pPr>
      <w:r>
        <w:t xml:space="preserve">Directive </w:t>
      </w:r>
      <w:r w:rsidRPr="007A2699">
        <w:rPr>
          <w:lang w:val="en-IE"/>
        </w:rPr>
        <w:t>(EU) 2023/959</w:t>
      </w:r>
      <w:r w:rsidR="00FB7126" w:rsidRPr="007A2699">
        <w:rPr>
          <w:lang w:val="en-IE"/>
        </w:rPr>
        <w:t xml:space="preserve"> amended the </w:t>
      </w:r>
      <w:r w:rsidR="00DD1437" w:rsidRPr="007A2699">
        <w:rPr>
          <w:lang w:val="en-IE"/>
        </w:rPr>
        <w:t>descriptions</w:t>
      </w:r>
      <w:r w:rsidR="00FB7126" w:rsidRPr="007A2699">
        <w:rPr>
          <w:lang w:val="en-IE"/>
        </w:rPr>
        <w:t xml:space="preserve"> of </w:t>
      </w:r>
      <w:r w:rsidR="008C5D01" w:rsidRPr="007A2699">
        <w:rPr>
          <w:lang w:val="en-IE"/>
        </w:rPr>
        <w:t>certain</w:t>
      </w:r>
      <w:r w:rsidR="00FB7126" w:rsidRPr="007A2699">
        <w:rPr>
          <w:lang w:val="en-IE"/>
        </w:rPr>
        <w:t xml:space="preserve"> categories of activities </w:t>
      </w:r>
      <w:r w:rsidR="00C57A90">
        <w:rPr>
          <w:lang w:val="en-IE"/>
        </w:rPr>
        <w:t xml:space="preserve">listed </w:t>
      </w:r>
      <w:r w:rsidR="00FB7126" w:rsidRPr="007A2699">
        <w:rPr>
          <w:lang w:val="en-IE"/>
        </w:rPr>
        <w:t>in Annex I to Directive 2003/87/EC</w:t>
      </w:r>
      <w:r w:rsidR="003A6BD6">
        <w:rPr>
          <w:lang w:val="en-IE"/>
        </w:rPr>
        <w:t>,</w:t>
      </w:r>
      <w:r w:rsidR="00472EF1">
        <w:rPr>
          <w:lang w:val="en-IE"/>
        </w:rPr>
        <w:t xml:space="preserve"> </w:t>
      </w:r>
      <w:r w:rsidR="00FB7126" w:rsidRPr="007A2699">
        <w:rPr>
          <w:lang w:val="en-IE"/>
        </w:rPr>
        <w:t xml:space="preserve">and thereby included additional installations </w:t>
      </w:r>
      <w:r w:rsidR="002A076D" w:rsidRPr="007A2699">
        <w:rPr>
          <w:lang w:val="en-IE"/>
        </w:rPr>
        <w:t>in the scope of</w:t>
      </w:r>
      <w:r w:rsidR="00FB7126" w:rsidRPr="007A2699">
        <w:rPr>
          <w:lang w:val="en-IE"/>
        </w:rPr>
        <w:t xml:space="preserve"> the EU ETS </w:t>
      </w:r>
      <w:r w:rsidR="006B2B56" w:rsidRPr="007A2699">
        <w:rPr>
          <w:lang w:val="en-IE"/>
        </w:rPr>
        <w:t xml:space="preserve">and </w:t>
      </w:r>
      <w:r w:rsidR="00FB7126" w:rsidRPr="007A2699">
        <w:rPr>
          <w:lang w:val="en-IE"/>
        </w:rPr>
        <w:t xml:space="preserve">its monitoring and reporting obligations </w:t>
      </w:r>
      <w:r w:rsidR="00240B8C" w:rsidRPr="007A2699">
        <w:rPr>
          <w:lang w:val="en-IE"/>
        </w:rPr>
        <w:t xml:space="preserve">as </w:t>
      </w:r>
      <w:r w:rsidR="00FB7126" w:rsidRPr="007A2699">
        <w:rPr>
          <w:lang w:val="en-IE"/>
        </w:rPr>
        <w:t>from 1 January 2024.</w:t>
      </w:r>
      <w:r w:rsidR="00845B0C" w:rsidRPr="007A2699">
        <w:rPr>
          <w:lang w:val="en-IE"/>
        </w:rPr>
        <w:t xml:space="preserve"> </w:t>
      </w:r>
      <w:r w:rsidR="003E6EAA">
        <w:rPr>
          <w:lang w:val="en-IE"/>
        </w:rPr>
        <w:t>Hence</w:t>
      </w:r>
      <w:r w:rsidR="00845B0C" w:rsidRPr="007A2699">
        <w:rPr>
          <w:lang w:val="en-IE"/>
        </w:rPr>
        <w:t xml:space="preserve">, </w:t>
      </w:r>
      <w:r w:rsidR="00845B0C">
        <w:t xml:space="preserve">there </w:t>
      </w:r>
      <w:r w:rsidR="007A2699">
        <w:t xml:space="preserve">is </w:t>
      </w:r>
      <w:r w:rsidR="007A2699" w:rsidRPr="00845B0C">
        <w:t>a</w:t>
      </w:r>
      <w:r w:rsidR="00845B0C" w:rsidRPr="00845B0C">
        <w:t xml:space="preserve"> number of </w:t>
      </w:r>
      <w:r w:rsidR="001F3857">
        <w:t xml:space="preserve">additional </w:t>
      </w:r>
      <w:r w:rsidR="00845B0C" w:rsidRPr="00845B0C">
        <w:t xml:space="preserve">installations </w:t>
      </w:r>
      <w:r w:rsidR="001F3857">
        <w:t xml:space="preserve">covered </w:t>
      </w:r>
      <w:r w:rsidR="00041D6D">
        <w:t>by</w:t>
      </w:r>
      <w:r w:rsidR="00845B0C" w:rsidRPr="00845B0C">
        <w:t xml:space="preserve"> the </w:t>
      </w:r>
      <w:r w:rsidR="00845B0C">
        <w:t xml:space="preserve">EU </w:t>
      </w:r>
      <w:r w:rsidR="00845B0C" w:rsidRPr="00845B0C">
        <w:t xml:space="preserve">ETS </w:t>
      </w:r>
      <w:r w:rsidR="00845B0C" w:rsidRPr="007A2699">
        <w:rPr>
          <w:lang w:val="en-IE"/>
        </w:rPr>
        <w:t>as from 1 January 2024</w:t>
      </w:r>
      <w:r w:rsidR="00845B0C" w:rsidRPr="00845B0C">
        <w:t xml:space="preserve">, </w:t>
      </w:r>
      <w:r w:rsidR="003A6BD6">
        <w:t>including installations whic</w:t>
      </w:r>
      <w:r w:rsidR="00547A34">
        <w:t xml:space="preserve">h </w:t>
      </w:r>
      <w:r w:rsidR="00845B0C" w:rsidRPr="00845B0C">
        <w:t xml:space="preserve">have been operating </w:t>
      </w:r>
      <w:r w:rsidR="00845B0C">
        <w:t>prior to that date</w:t>
      </w:r>
      <w:r w:rsidR="00845B0C" w:rsidRPr="00845B0C">
        <w:t>.</w:t>
      </w:r>
      <w:r w:rsidR="00FB7126" w:rsidRPr="007A2699">
        <w:rPr>
          <w:lang w:val="en-IE"/>
        </w:rPr>
        <w:t xml:space="preserve"> </w:t>
      </w:r>
      <w:r w:rsidR="005A4AA2">
        <w:rPr>
          <w:lang w:val="en-IE"/>
        </w:rPr>
        <w:t xml:space="preserve">As those </w:t>
      </w:r>
      <w:r w:rsidR="00D251CC">
        <w:rPr>
          <w:lang w:val="en-IE"/>
        </w:rPr>
        <w:t xml:space="preserve">installations </w:t>
      </w:r>
      <w:r w:rsidR="000A0FEE" w:rsidRPr="007A2699">
        <w:rPr>
          <w:szCs w:val="24"/>
        </w:rPr>
        <w:t xml:space="preserve">entered the EU ETS after </w:t>
      </w:r>
      <w:r w:rsidR="000A0FEE" w:rsidRPr="004C6CEC">
        <w:rPr>
          <w:szCs w:val="24"/>
          <w:lang w:val="en-IE"/>
        </w:rPr>
        <w:t>the years 2021 and 202</w:t>
      </w:r>
      <w:r w:rsidR="004F67EE">
        <w:rPr>
          <w:szCs w:val="24"/>
          <w:lang w:val="en-IE"/>
        </w:rPr>
        <w:t xml:space="preserve">2 that are relevant for the </w:t>
      </w:r>
      <w:r w:rsidR="00D8312B">
        <w:rPr>
          <w:szCs w:val="24"/>
          <w:lang w:val="en-IE"/>
        </w:rPr>
        <w:t>submission of data</w:t>
      </w:r>
      <w:r w:rsidR="008A06BB">
        <w:rPr>
          <w:szCs w:val="24"/>
          <w:lang w:val="en-IE"/>
        </w:rPr>
        <w:t xml:space="preserve"> </w:t>
      </w:r>
      <w:r w:rsidR="008A06BB" w:rsidRPr="008A06BB">
        <w:rPr>
          <w:szCs w:val="24"/>
        </w:rPr>
        <w:t>pursuant to Article 11</w:t>
      </w:r>
      <w:r w:rsidR="008A06BB">
        <w:rPr>
          <w:szCs w:val="24"/>
        </w:rPr>
        <w:t xml:space="preserve"> of </w:t>
      </w:r>
      <w:r w:rsidR="008A06BB" w:rsidRPr="007A2699">
        <w:rPr>
          <w:lang w:val="en-IE"/>
        </w:rPr>
        <w:t>Directive 2003/87/EC</w:t>
      </w:r>
      <w:r w:rsidR="00974A01">
        <w:rPr>
          <w:szCs w:val="24"/>
          <w:lang w:val="en-IE"/>
        </w:rPr>
        <w:t>,</w:t>
      </w:r>
      <w:r w:rsidR="004F67EE">
        <w:rPr>
          <w:szCs w:val="24"/>
          <w:lang w:val="en-IE"/>
        </w:rPr>
        <w:t xml:space="preserve"> </w:t>
      </w:r>
      <w:r w:rsidR="00BE0565">
        <w:rPr>
          <w:szCs w:val="24"/>
          <w:lang w:val="en-IE"/>
        </w:rPr>
        <w:t>the</w:t>
      </w:r>
      <w:r w:rsidR="00211966">
        <w:rPr>
          <w:szCs w:val="24"/>
          <w:lang w:val="en-IE"/>
        </w:rPr>
        <w:t xml:space="preserve"> </w:t>
      </w:r>
      <w:r w:rsidR="00BE0565">
        <w:rPr>
          <w:lang w:val="en-IE"/>
        </w:rPr>
        <w:t>data</w:t>
      </w:r>
      <w:r w:rsidR="00BE0565" w:rsidRPr="007A2699">
        <w:rPr>
          <w:lang w:val="en-IE"/>
        </w:rPr>
        <w:t xml:space="preserve"> reported by </w:t>
      </w:r>
      <w:r w:rsidR="00211966">
        <w:rPr>
          <w:szCs w:val="24"/>
          <w:lang w:val="en-IE"/>
        </w:rPr>
        <w:t>th</w:t>
      </w:r>
      <w:r w:rsidR="00BE0565">
        <w:rPr>
          <w:szCs w:val="24"/>
          <w:lang w:val="en-IE"/>
        </w:rPr>
        <w:t>em</w:t>
      </w:r>
      <w:r w:rsidR="00211966">
        <w:rPr>
          <w:szCs w:val="24"/>
          <w:lang w:val="en-IE"/>
        </w:rPr>
        <w:t xml:space="preserve"> </w:t>
      </w:r>
      <w:r w:rsidR="00E83FBB">
        <w:rPr>
          <w:szCs w:val="24"/>
        </w:rPr>
        <w:t>for</w:t>
      </w:r>
      <w:r w:rsidR="00E83FBB" w:rsidRPr="00C72D02">
        <w:rPr>
          <w:szCs w:val="24"/>
        </w:rPr>
        <w:t xml:space="preserve"> </w:t>
      </w:r>
      <w:r w:rsidR="00C72D02" w:rsidRPr="00C72D02">
        <w:rPr>
          <w:szCs w:val="24"/>
        </w:rPr>
        <w:t xml:space="preserve">the time </w:t>
      </w:r>
      <w:r w:rsidR="00E83FBB">
        <w:rPr>
          <w:szCs w:val="24"/>
        </w:rPr>
        <w:t xml:space="preserve">before </w:t>
      </w:r>
      <w:r w:rsidR="00C72D02" w:rsidRPr="00C72D02">
        <w:rPr>
          <w:szCs w:val="24"/>
        </w:rPr>
        <w:t xml:space="preserve">they became subject </w:t>
      </w:r>
      <w:r w:rsidR="0051607F" w:rsidRPr="0051607F">
        <w:rPr>
          <w:szCs w:val="24"/>
        </w:rPr>
        <w:t xml:space="preserve">to the </w:t>
      </w:r>
      <w:r w:rsidR="002D0362" w:rsidRPr="007A2699">
        <w:rPr>
          <w:lang w:val="en-IE"/>
        </w:rPr>
        <w:t xml:space="preserve">monitoring and </w:t>
      </w:r>
      <w:r w:rsidR="002D0362">
        <w:rPr>
          <w:lang w:val="en-IE"/>
        </w:rPr>
        <w:t xml:space="preserve">reporting </w:t>
      </w:r>
      <w:r w:rsidR="0051607F" w:rsidRPr="0051607F">
        <w:rPr>
          <w:szCs w:val="24"/>
        </w:rPr>
        <w:t>obligation</w:t>
      </w:r>
      <w:r w:rsidR="002D0362">
        <w:rPr>
          <w:szCs w:val="24"/>
        </w:rPr>
        <w:t>s</w:t>
      </w:r>
      <w:r w:rsidR="0051607F" w:rsidRPr="0051607F">
        <w:rPr>
          <w:szCs w:val="24"/>
          <w:lang w:val="en-IE"/>
        </w:rPr>
        <w:t xml:space="preserve"> </w:t>
      </w:r>
      <w:r w:rsidR="00BE0565">
        <w:rPr>
          <w:lang w:val="en-IE"/>
        </w:rPr>
        <w:t>should not be</w:t>
      </w:r>
      <w:r w:rsidR="00BE0565" w:rsidRPr="00AA7779">
        <w:rPr>
          <w:lang w:val="en-IE"/>
        </w:rPr>
        <w:t xml:space="preserve"> </w:t>
      </w:r>
      <w:r w:rsidR="00BE0565">
        <w:rPr>
          <w:lang w:val="en-IE"/>
        </w:rPr>
        <w:t>considered</w:t>
      </w:r>
      <w:r w:rsidR="00BE0565" w:rsidRPr="007A2699">
        <w:rPr>
          <w:lang w:val="en-IE"/>
        </w:rPr>
        <w:t xml:space="preserve"> when determining the revised benchmark values</w:t>
      </w:r>
      <w:r w:rsidR="00BE0565" w:rsidRPr="007A2699">
        <w:t xml:space="preserve"> for the period from 2026 to 2030</w:t>
      </w:r>
      <w:r w:rsidR="00BE0565">
        <w:t xml:space="preserve">. </w:t>
      </w:r>
      <w:bookmarkStart w:id="0" w:name="_Hlk220321777"/>
    </w:p>
    <w:p w14:paraId="00D3F175" w14:textId="183F85D1" w:rsidR="009024FE" w:rsidRPr="007E6F3A" w:rsidRDefault="009024FE" w:rsidP="009779EE">
      <w:pPr>
        <w:pStyle w:val="Considrant"/>
      </w:pPr>
      <w:r>
        <w:t xml:space="preserve">Delegated Regulation (EU) 2019/331 </w:t>
      </w:r>
      <w:r w:rsidRPr="008C2499">
        <w:t xml:space="preserve">includes rules for determining </w:t>
      </w:r>
      <w:bookmarkStart w:id="1" w:name="_Hlk220323120"/>
      <w:r w:rsidRPr="008C2499">
        <w:t>emissions at sub-installation level</w:t>
      </w:r>
      <w:bookmarkEnd w:id="1"/>
      <w:r w:rsidRPr="008C2499">
        <w:t xml:space="preserve"> to ensure the consistent treatment of emissions related to imports, exports and in-house production of measurable heat</w:t>
      </w:r>
      <w:r>
        <w:t>,</w:t>
      </w:r>
      <w:r w:rsidRPr="008C2499">
        <w:t xml:space="preserve"> of carbon-containing waste gases</w:t>
      </w:r>
      <w:r>
        <w:t xml:space="preserve"> and of transferred </w:t>
      </w:r>
      <w:r w:rsidRPr="008013E0">
        <w:t>CO</w:t>
      </w:r>
      <w:r w:rsidRPr="007A2699">
        <w:rPr>
          <w:vertAlign w:val="subscript"/>
        </w:rPr>
        <w:t>2</w:t>
      </w:r>
      <w:r w:rsidRPr="008C2499">
        <w:t>.</w:t>
      </w:r>
      <w:r>
        <w:t xml:space="preserve"> For that purpose, the relevant emission factors were determined by using the heat and fuel benchmark values which in turn had been updated by </w:t>
      </w:r>
      <w:r w:rsidRPr="007E6F3A">
        <w:t xml:space="preserve">applying the determined annual reduction rates. For heat imports with unknown or not clearly defined emission factors and for heat exports, a value of </w:t>
      </w:r>
      <w:r w:rsidR="00030891" w:rsidRPr="007E6F3A">
        <w:t>40,5</w:t>
      </w:r>
      <w:r w:rsidRPr="007E6F3A">
        <w:t> t CO</w:t>
      </w:r>
      <w:r w:rsidRPr="007A2699">
        <w:rPr>
          <w:vertAlign w:val="subscript"/>
        </w:rPr>
        <w:t>2</w:t>
      </w:r>
      <w:r w:rsidRPr="007E6F3A">
        <w:t xml:space="preserve"> equivalents/TJ was used. That value was obtained by applying an annual reduction rate of </w:t>
      </w:r>
      <w:r w:rsidR="00030891" w:rsidRPr="007E6F3A">
        <w:t>2,5</w:t>
      </w:r>
      <w:r w:rsidRPr="007E6F3A">
        <w:t xml:space="preserve">% to the heat benchmark value for the </w:t>
      </w:r>
      <w:r w:rsidR="00030891" w:rsidRPr="007E6F3A">
        <w:t>14</w:t>
      </w:r>
      <w:r w:rsidRPr="007E6F3A">
        <w:t xml:space="preserve">-year period from 2007/2008 to </w:t>
      </w:r>
      <w:r w:rsidR="00030891" w:rsidRPr="007E6F3A">
        <w:t>2021</w:t>
      </w:r>
      <w:r w:rsidRPr="007E6F3A">
        <w:t>/</w:t>
      </w:r>
      <w:r w:rsidR="00030891" w:rsidRPr="007E6F3A">
        <w:t>2022</w:t>
      </w:r>
      <w:r w:rsidRPr="007E6F3A">
        <w:t>. For waste gas exports, a value of 37,4 t CO</w:t>
      </w:r>
      <w:r w:rsidRPr="007A2699">
        <w:rPr>
          <w:vertAlign w:val="subscript"/>
        </w:rPr>
        <w:t>2</w:t>
      </w:r>
      <w:r w:rsidRPr="007E6F3A">
        <w:t xml:space="preserve"> equivalents/TJ was subtracted from the actual emission factor of the waste gas. That value corresponds to the emission factor of natural gas (56,1 t CO</w:t>
      </w:r>
      <w:r w:rsidRPr="007A2699">
        <w:rPr>
          <w:vertAlign w:val="subscript"/>
        </w:rPr>
        <w:t>2</w:t>
      </w:r>
      <w:r w:rsidRPr="007E6F3A">
        <w:t xml:space="preserve"> equivalents/TJ) multiplied by a factor of 0,667 that accounts for the difference in efficiencies between the use of the waste gas and the use of the reference fuel natural gas. For waste gas imports, a value of </w:t>
      </w:r>
      <w:r w:rsidR="00030891" w:rsidRPr="007E6F3A">
        <w:t>36,5</w:t>
      </w:r>
      <w:r w:rsidRPr="007E6F3A">
        <w:t xml:space="preserve"> t CO</w:t>
      </w:r>
      <w:r w:rsidRPr="007A2699">
        <w:rPr>
          <w:vertAlign w:val="subscript"/>
        </w:rPr>
        <w:t>2</w:t>
      </w:r>
      <w:r w:rsidRPr="007E6F3A">
        <w:t xml:space="preserve"> equivalents/TJ was used. That value was obtained by applying an annual reduction rate of </w:t>
      </w:r>
      <w:r w:rsidR="00030891" w:rsidRPr="007E6F3A">
        <w:t>2,5</w:t>
      </w:r>
      <w:r w:rsidR="00DD3DFF">
        <w:t xml:space="preserve"> </w:t>
      </w:r>
      <w:r w:rsidRPr="007E6F3A">
        <w:t xml:space="preserve">% to the fuel benchmark value for the </w:t>
      </w:r>
      <w:r w:rsidR="00030891" w:rsidRPr="007E6F3A">
        <w:t>14</w:t>
      </w:r>
      <w:r w:rsidRPr="007E6F3A">
        <w:t xml:space="preserve">-year period from 2007/2008 to </w:t>
      </w:r>
      <w:r w:rsidR="00030891" w:rsidRPr="007E6F3A">
        <w:t>2021</w:t>
      </w:r>
      <w:r w:rsidRPr="007E6F3A">
        <w:t>/</w:t>
      </w:r>
      <w:r w:rsidR="00030891" w:rsidRPr="007E6F3A">
        <w:t>2022</w:t>
      </w:r>
      <w:r w:rsidRPr="007E6F3A">
        <w:t>.</w:t>
      </w:r>
      <w:r w:rsidR="00B8213C" w:rsidRPr="007E6F3A">
        <w:t xml:space="preserve"> In addition, where electricity is produced in a sub-installation, other than via the intermediate production of measurable heat, a value of 0,300 t CO</w:t>
      </w:r>
      <w:r w:rsidR="00B8213C" w:rsidRPr="007A2699">
        <w:rPr>
          <w:vertAlign w:val="subscript"/>
        </w:rPr>
        <w:t>2</w:t>
      </w:r>
      <w:r w:rsidR="00B8213C" w:rsidRPr="007E6F3A">
        <w:t xml:space="preserve"> equivalents/MWh </w:t>
      </w:r>
      <w:r w:rsidR="00CC4ABB" w:rsidRPr="007E6F3A">
        <w:t>was used. That value corresponds to the EU-wide average emission factor for electricity production.</w:t>
      </w:r>
      <w:r w:rsidR="00B8213C" w:rsidRPr="007E6F3A">
        <w:t xml:space="preserve"> </w:t>
      </w:r>
    </w:p>
    <w:p w14:paraId="5DE2D45E" w14:textId="6372388A" w:rsidR="009024FE" w:rsidRPr="00B54BE8" w:rsidRDefault="00136600" w:rsidP="00992C12">
      <w:pPr>
        <w:pStyle w:val="Considrant"/>
        <w:numPr>
          <w:ilvl w:val="0"/>
          <w:numId w:val="9"/>
        </w:numPr>
        <w:rPr>
          <w:highlight w:val="yellow"/>
        </w:rPr>
      </w:pPr>
      <w:bookmarkStart w:id="2" w:name="_Hlk220322807"/>
      <w:r w:rsidRPr="00B54BE8">
        <w:rPr>
          <w:highlight w:val="yellow"/>
        </w:rPr>
        <w:t>Where</w:t>
      </w:r>
      <w:r w:rsidR="0058276B" w:rsidRPr="00B54BE8">
        <w:rPr>
          <w:highlight w:val="yellow"/>
        </w:rPr>
        <w:t>, on the basis of</w:t>
      </w:r>
      <w:r w:rsidRPr="00B54BE8">
        <w:rPr>
          <w:highlight w:val="yellow"/>
        </w:rPr>
        <w:t xml:space="preserve"> the data reported by installations</w:t>
      </w:r>
      <w:r w:rsidR="00A53811" w:rsidRPr="00B54BE8">
        <w:rPr>
          <w:highlight w:val="yellow"/>
        </w:rPr>
        <w:t>, it was not possible to determine, in</w:t>
      </w:r>
      <w:r w:rsidRPr="00B54BE8">
        <w:rPr>
          <w:highlight w:val="yellow"/>
        </w:rPr>
        <w:t xml:space="preserve"> a precise and consistent </w:t>
      </w:r>
      <w:r w:rsidR="00A53811" w:rsidRPr="00B54BE8">
        <w:rPr>
          <w:highlight w:val="yellow"/>
        </w:rPr>
        <w:t>way,</w:t>
      </w:r>
      <w:r w:rsidRPr="00B54BE8">
        <w:rPr>
          <w:highlight w:val="yellow"/>
        </w:rPr>
        <w:t xml:space="preserve"> emissions in product benchmark sub-installations</w:t>
      </w:r>
      <w:r w:rsidR="002747E1" w:rsidRPr="00B54BE8">
        <w:rPr>
          <w:highlight w:val="yellow"/>
        </w:rPr>
        <w:t>, in particular i</w:t>
      </w:r>
      <w:r w:rsidR="009024FE" w:rsidRPr="00B54BE8">
        <w:rPr>
          <w:highlight w:val="yellow"/>
        </w:rPr>
        <w:t xml:space="preserve">n the case of sub-installations importing </w:t>
      </w:r>
      <w:r w:rsidR="00690CAA" w:rsidRPr="00B54BE8">
        <w:rPr>
          <w:highlight w:val="yellow"/>
        </w:rPr>
        <w:t xml:space="preserve">or exporting </w:t>
      </w:r>
      <w:r w:rsidR="009024FE" w:rsidRPr="00B54BE8">
        <w:rPr>
          <w:highlight w:val="yellow"/>
        </w:rPr>
        <w:t xml:space="preserve">intermediate products whose production is covered by the system boundaries of </w:t>
      </w:r>
      <w:r w:rsidR="00690CAA" w:rsidRPr="00B54BE8">
        <w:rPr>
          <w:highlight w:val="yellow"/>
        </w:rPr>
        <w:t>another</w:t>
      </w:r>
      <w:r w:rsidR="009024FE" w:rsidRPr="00B54BE8">
        <w:rPr>
          <w:highlight w:val="yellow"/>
        </w:rPr>
        <w:t xml:space="preserve"> product benchmark, the greenhouse gas efficiencies of the concerned sub-installations should not be considered when determining the revised benchmark values. This concerns the benchmark value updates for</w:t>
      </w:r>
      <w:r w:rsidR="007D54A8" w:rsidRPr="00B54BE8">
        <w:rPr>
          <w:highlight w:val="yellow"/>
        </w:rPr>
        <w:t xml:space="preserve"> </w:t>
      </w:r>
      <w:r w:rsidR="009024FE" w:rsidRPr="00B54BE8">
        <w:rPr>
          <w:highlight w:val="yellow"/>
        </w:rPr>
        <w:t>refinery products, hot metal,</w:t>
      </w:r>
      <w:r w:rsidR="005C7C8A" w:rsidRPr="00B54BE8">
        <w:rPr>
          <w:highlight w:val="yellow"/>
        </w:rPr>
        <w:t xml:space="preserve"> sintered dolime,</w:t>
      </w:r>
      <w:r w:rsidR="009024FE" w:rsidRPr="00B54BE8">
        <w:rPr>
          <w:highlight w:val="yellow"/>
        </w:rPr>
        <w:t xml:space="preserve"> ammonia,</w:t>
      </w:r>
      <w:r w:rsidR="00DD5A59" w:rsidRPr="00B54BE8">
        <w:rPr>
          <w:highlight w:val="yellow"/>
        </w:rPr>
        <w:t xml:space="preserve"> steam cracking,</w:t>
      </w:r>
      <w:r w:rsidR="009C46FB" w:rsidRPr="00B54BE8">
        <w:rPr>
          <w:highlight w:val="yellow"/>
        </w:rPr>
        <w:t xml:space="preserve"> </w:t>
      </w:r>
      <w:r w:rsidR="00A741D5" w:rsidRPr="00B54BE8">
        <w:rPr>
          <w:highlight w:val="yellow"/>
        </w:rPr>
        <w:t>phenol/acetone</w:t>
      </w:r>
      <w:r w:rsidR="000927BE" w:rsidRPr="00B54BE8">
        <w:rPr>
          <w:highlight w:val="yellow"/>
        </w:rPr>
        <w:t xml:space="preserve"> and</w:t>
      </w:r>
      <w:r w:rsidR="00C4757E" w:rsidRPr="00B54BE8">
        <w:rPr>
          <w:highlight w:val="yellow"/>
        </w:rPr>
        <w:t xml:space="preserve"> </w:t>
      </w:r>
      <w:r w:rsidR="009024FE" w:rsidRPr="00B54BE8">
        <w:rPr>
          <w:highlight w:val="yellow"/>
        </w:rPr>
        <w:t>hydrogen.</w:t>
      </w:r>
    </w:p>
    <w:bookmarkEnd w:id="2"/>
    <w:p w14:paraId="6C2E4352" w14:textId="180FEAD7" w:rsidR="009024FE" w:rsidRDefault="009024FE" w:rsidP="00992C12">
      <w:pPr>
        <w:pStyle w:val="Considrant"/>
        <w:numPr>
          <w:ilvl w:val="0"/>
          <w:numId w:val="9"/>
        </w:numPr>
      </w:pPr>
      <w:r>
        <w:lastRenderedPageBreak/>
        <w:t xml:space="preserve">The methodology for attributing emissions to different sub-installations that is established in Delegated Regulation (EU) 2019/331 can lead to negative greenhouse gas efficiencies in cases in which heat produced using a fuel with a low emission factor is exported to other sub-installations or installations. In such cases, </w:t>
      </w:r>
      <w:r w:rsidR="005711A4">
        <w:t xml:space="preserve">it is appropriate for </w:t>
      </w:r>
      <w:r>
        <w:t xml:space="preserve">the greenhouse gas efficiency of the concerned sub-installation </w:t>
      </w:r>
      <w:r w:rsidR="005711A4">
        <w:t xml:space="preserve">to </w:t>
      </w:r>
      <w:r>
        <w:t>be set to zero for the purpose of determining the revised benchmark values.</w:t>
      </w:r>
    </w:p>
    <w:p w14:paraId="76483D4C" w14:textId="0F3E3E14" w:rsidR="00524919" w:rsidRDefault="00AA3F69" w:rsidP="00AA3F69">
      <w:pPr>
        <w:pStyle w:val="Considrant"/>
      </w:pPr>
      <w:r w:rsidRPr="00EE0611">
        <w:t xml:space="preserve">To address concerns expressed by some industrial </w:t>
      </w:r>
      <w:r w:rsidRPr="008D4516">
        <w:t xml:space="preserve">sectors, </w:t>
      </w:r>
      <w:r w:rsidRPr="00B54BE8">
        <w:rPr>
          <w:highlight w:val="yellow"/>
        </w:rPr>
        <w:t>the Commission will propose at the same time as the upcoming ETS revision a separate proposal aimed at increasing the free allocation determined on the basis of the fall-back benchmarks to better take into account the emission reduction potential, while at the same time avoiding the application of the cross-sectoral correction factor.</w:t>
      </w:r>
      <w:r w:rsidRPr="008D4516">
        <w:t xml:space="preserve"> </w:t>
      </w:r>
      <w:r w:rsidRPr="008D4516">
        <w:rPr>
          <w:rFonts w:ascii="TimesNewRomanPSMT" w:eastAsia="Times New Roman" w:hAnsi="TimesNewRomanPSMT"/>
          <w:color w:val="000000"/>
          <w:lang w:val="en-US" w:eastAsia="de-DE"/>
        </w:rPr>
        <w:t xml:space="preserve">The revised benchmark values should </w:t>
      </w:r>
      <w:r>
        <w:rPr>
          <w:rFonts w:ascii="TimesNewRomanPSMT" w:eastAsia="Times New Roman" w:hAnsi="TimesNewRomanPSMT"/>
          <w:color w:val="000000"/>
          <w:lang w:val="en-US" w:eastAsia="de-DE"/>
        </w:rPr>
        <w:t>cover</w:t>
      </w:r>
      <w:r w:rsidRPr="008D4516">
        <w:rPr>
          <w:rFonts w:ascii="TimesNewRomanPSMT" w:eastAsia="Times New Roman" w:hAnsi="TimesNewRomanPSMT"/>
          <w:color w:val="000000"/>
          <w:lang w:val="en-US" w:eastAsia="de-DE"/>
        </w:rPr>
        <w:t xml:space="preserve"> allocations relating to the period from 1 January </w:t>
      </w:r>
      <w:r w:rsidRPr="00D37128">
        <w:rPr>
          <w:rFonts w:ascii="TimesNewRomanPSMT" w:eastAsia="Times New Roman" w:hAnsi="TimesNewRomanPSMT"/>
          <w:color w:val="000000"/>
          <w:lang w:val="en-US" w:eastAsia="de-DE"/>
        </w:rPr>
        <w:t>2026</w:t>
      </w:r>
      <w:r w:rsidRPr="008D4516">
        <w:rPr>
          <w:rFonts w:ascii="TimesNewRomanPSMT" w:eastAsia="Times New Roman" w:hAnsi="TimesNewRomanPSMT"/>
          <w:color w:val="000000"/>
          <w:lang w:val="en-US" w:eastAsia="de-DE"/>
        </w:rPr>
        <w:t xml:space="preserve"> to 31 December 2030. </w:t>
      </w:r>
      <w:r w:rsidRPr="008D4516">
        <w:t xml:space="preserve">In order to ensure timely and effective support to the sectors concerned, </w:t>
      </w:r>
      <w:r w:rsidRPr="00B54BE8">
        <w:rPr>
          <w:highlight w:val="yellow"/>
        </w:rPr>
        <w:t>the revised fallback benchmarks should become applicable as early as possible.</w:t>
      </w:r>
      <w:r w:rsidRPr="008D4516">
        <w:t xml:space="preserve"> To this end, the Commission will work to</w:t>
      </w:r>
      <w:r>
        <w:t xml:space="preserve"> facilitate an early agreement between co-legislator on this proposal</w:t>
      </w:r>
      <w:r w:rsidR="00B822F0">
        <w:t>.</w:t>
      </w:r>
    </w:p>
    <w:p w14:paraId="5C8FEF83" w14:textId="7B6D097B" w:rsidR="00CC679C" w:rsidRPr="0042022F" w:rsidRDefault="0042022F" w:rsidP="00992C12">
      <w:pPr>
        <w:pStyle w:val="Considrant"/>
        <w:numPr>
          <w:ilvl w:val="0"/>
          <w:numId w:val="9"/>
        </w:numPr>
      </w:pPr>
      <w:r w:rsidRPr="00467813">
        <w:t xml:space="preserve">In view of the need to ensure legal certainty for harmonised free allocation of emission allowances </w:t>
      </w:r>
      <w:r w:rsidR="0084569F">
        <w:t xml:space="preserve">for </w:t>
      </w:r>
      <w:r w:rsidR="0019653C">
        <w:t>the period 2026-2030</w:t>
      </w:r>
      <w:r w:rsidR="00EE6537">
        <w:t xml:space="preserve">, </w:t>
      </w:r>
      <w:r w:rsidR="001821FB">
        <w:t xml:space="preserve">in particular </w:t>
      </w:r>
      <w:r w:rsidR="00EE6537">
        <w:t>concerning free allocation for the year 2026</w:t>
      </w:r>
      <w:r w:rsidRPr="00467813">
        <w:t xml:space="preserve">, this Regulation should enter into force on the day following that of its publication in </w:t>
      </w:r>
      <w:r w:rsidRPr="00121EA2">
        <w:t>the Official Journal of the European Union</w:t>
      </w:r>
      <w:bookmarkEnd w:id="0"/>
      <w:r w:rsidRPr="00467813">
        <w:t>.</w:t>
      </w:r>
    </w:p>
    <w:p w14:paraId="55445853" w14:textId="77777777" w:rsidR="00270701" w:rsidRPr="00922C91" w:rsidRDefault="00270701">
      <w:pPr>
        <w:pStyle w:val="Considrant"/>
      </w:pPr>
      <w:r w:rsidRPr="00922C91">
        <w:t xml:space="preserve">The measures provided for in this Regulation are in accordance with the opinion of the </w:t>
      </w:r>
      <w:r w:rsidR="005A121B">
        <w:t xml:space="preserve">Climate Change </w:t>
      </w:r>
      <w:r w:rsidRPr="00922C91">
        <w:t>Committee,</w:t>
      </w:r>
    </w:p>
    <w:p w14:paraId="25F7525D" w14:textId="77777777" w:rsidR="0035709F" w:rsidRDefault="00270701" w:rsidP="000F3A18">
      <w:pPr>
        <w:pStyle w:val="Formuledadoption"/>
      </w:pPr>
      <w:r w:rsidRPr="00922C91">
        <w:t>HAS ADOPTED THIS REGULATION:</w:t>
      </w:r>
      <w:r w:rsidR="0035709F" w:rsidRPr="00922C91">
        <w:t xml:space="preserve"> </w:t>
      </w:r>
    </w:p>
    <w:p w14:paraId="01809D89" w14:textId="77777777" w:rsidR="0035709F" w:rsidRDefault="0035709F" w:rsidP="0035709F"/>
    <w:p w14:paraId="43D69F13" w14:textId="0B5A6406" w:rsidR="00270701" w:rsidRPr="00922C91" w:rsidRDefault="00270701" w:rsidP="0035709F">
      <w:pPr>
        <w:pStyle w:val="Titrearticle"/>
      </w:pPr>
      <w:r w:rsidRPr="00922C91">
        <w:t>Article 1</w:t>
      </w:r>
    </w:p>
    <w:p w14:paraId="1BA1796A" w14:textId="6A5BF471" w:rsidR="00351477" w:rsidRDefault="009024FE" w:rsidP="005A121B">
      <w:bookmarkStart w:id="3" w:name="_Hlk213925670"/>
      <w:r w:rsidRPr="00FB4A9A">
        <w:t xml:space="preserve">The </w:t>
      </w:r>
      <w:r w:rsidR="00122ACD">
        <w:t xml:space="preserve">revised </w:t>
      </w:r>
      <w:r w:rsidRPr="00FB4A9A">
        <w:t xml:space="preserve">benchmark values listed in </w:t>
      </w:r>
      <w:r>
        <w:t xml:space="preserve">the </w:t>
      </w:r>
      <w:r w:rsidRPr="00FB4A9A">
        <w:t>Annex shall apply for the harmonised free allocation of emission allowances for the period from 202</w:t>
      </w:r>
      <w:r>
        <w:t>6</w:t>
      </w:r>
      <w:r w:rsidRPr="00FB4A9A">
        <w:t xml:space="preserve"> to 20</w:t>
      </w:r>
      <w:bookmarkEnd w:id="3"/>
      <w:r>
        <w:t>30</w:t>
      </w:r>
      <w:r>
        <w:rPr>
          <w:lang w:val="en-IE"/>
        </w:rPr>
        <w:t>.</w:t>
      </w:r>
      <w:r w:rsidR="00351477" w:rsidRPr="00351477">
        <w:t xml:space="preserve"> </w:t>
      </w:r>
    </w:p>
    <w:p w14:paraId="65C389B2" w14:textId="77777777" w:rsidR="00270701" w:rsidRDefault="00270701">
      <w:pPr>
        <w:pStyle w:val="Titrearticle"/>
      </w:pPr>
      <w:r w:rsidRPr="00922C91">
        <w:t>Article</w:t>
      </w:r>
      <w:r w:rsidR="005A121B">
        <w:t xml:space="preserve"> 2</w:t>
      </w:r>
    </w:p>
    <w:p w14:paraId="19865240" w14:textId="48DDB3C0" w:rsidR="00270701" w:rsidRPr="00922C91" w:rsidRDefault="00270701">
      <w:r w:rsidRPr="00922C91">
        <w:t xml:space="preserve">This Regulation shall enter into force </w:t>
      </w:r>
      <w:r w:rsidR="00467813" w:rsidRPr="00467813">
        <w:t>on the day following that of its publication</w:t>
      </w:r>
      <w:r w:rsidRPr="00922C91">
        <w:t xml:space="preserve"> in the </w:t>
      </w:r>
      <w:r w:rsidRPr="00922C91">
        <w:rPr>
          <w:i/>
        </w:rPr>
        <w:t>Official Journal of the European Union</w:t>
      </w:r>
      <w:r w:rsidRPr="00922C91">
        <w:t>.</w:t>
      </w:r>
    </w:p>
    <w:p w14:paraId="510E19E5" w14:textId="77777777" w:rsidR="00270701" w:rsidRPr="00922C91" w:rsidRDefault="00270701">
      <w:pPr>
        <w:pStyle w:val="Applicationdirecte"/>
      </w:pPr>
      <w:r w:rsidRPr="00922C91">
        <w:t xml:space="preserve">This Regulation shall </w:t>
      </w:r>
      <w:r w:rsidRPr="00B54BE8">
        <w:rPr>
          <w:highlight w:val="yellow"/>
        </w:rPr>
        <w:t>be binding in its entirety and directly applicable in all Member States</w:t>
      </w:r>
      <w:r w:rsidRPr="00922C91">
        <w:t>.</w:t>
      </w:r>
    </w:p>
    <w:p w14:paraId="25044C52" w14:textId="5925998A" w:rsidR="00270701" w:rsidRDefault="000E526B" w:rsidP="000E526B">
      <w:pPr>
        <w:pStyle w:val="Fait"/>
      </w:pPr>
      <w:r w:rsidRPr="000E526B">
        <w:t>Done at Brussels,</w:t>
      </w:r>
    </w:p>
    <w:p w14:paraId="30F0AF5F" w14:textId="77777777" w:rsidR="00270701" w:rsidRDefault="00270701" w:rsidP="00270701">
      <w:pPr>
        <w:pStyle w:val="Institutionquisigne"/>
      </w:pPr>
      <w:r w:rsidRPr="00270701">
        <w:tab/>
        <w:t>For the Commission</w:t>
      </w:r>
    </w:p>
    <w:p w14:paraId="1C84913A" w14:textId="77777777" w:rsidR="00270701" w:rsidRPr="005534C2" w:rsidRDefault="00270701" w:rsidP="00682F04">
      <w:pPr>
        <w:pStyle w:val="Personnequisigne"/>
        <w:rPr>
          <w:lang w:val="de-DE"/>
        </w:rPr>
      </w:pPr>
      <w:r w:rsidRPr="00270701">
        <w:tab/>
      </w:r>
      <w:r w:rsidRPr="005534C2">
        <w:rPr>
          <w:lang w:val="de-DE"/>
        </w:rPr>
        <w:t>The President</w:t>
      </w:r>
      <w:r w:rsidRPr="005534C2">
        <w:rPr>
          <w:lang w:val="de-DE"/>
        </w:rPr>
        <w:br/>
      </w:r>
      <w:r w:rsidRPr="005534C2">
        <w:rPr>
          <w:lang w:val="de-DE"/>
        </w:rPr>
        <w:tab/>
      </w:r>
      <w:r w:rsidR="005A121B" w:rsidRPr="005534C2">
        <w:rPr>
          <w:lang w:val="de-DE"/>
        </w:rPr>
        <w:t xml:space="preserve">Ursula </w:t>
      </w:r>
      <w:r w:rsidR="00682F04">
        <w:rPr>
          <w:lang w:val="de-DE"/>
        </w:rPr>
        <w:t>VON DER LEYEN</w:t>
      </w:r>
    </w:p>
    <w:sectPr w:rsidR="00270701" w:rsidRPr="005534C2" w:rsidSect="0052014D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0E62" w14:textId="77777777" w:rsidR="004E45F3" w:rsidRDefault="004E45F3" w:rsidP="00270701">
      <w:pPr>
        <w:spacing w:before="0" w:after="0"/>
      </w:pPr>
      <w:r>
        <w:separator/>
      </w:r>
    </w:p>
  </w:endnote>
  <w:endnote w:type="continuationSeparator" w:id="0">
    <w:p w14:paraId="223AD295" w14:textId="77777777" w:rsidR="004E45F3" w:rsidRDefault="004E45F3" w:rsidP="002707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B3D9" w14:textId="216E2140" w:rsidR="009F61D2" w:rsidRPr="0052014D" w:rsidRDefault="0052014D" w:rsidP="0052014D">
    <w:pPr>
      <w:pStyle w:val="Pieddepage"/>
      <w:rPr>
        <w:rFonts w:ascii="Arial" w:hAnsi="Arial" w:cs="Arial"/>
        <w:b/>
        <w:sz w:val="48"/>
      </w:rPr>
    </w:pPr>
    <w:r w:rsidRPr="0052014D">
      <w:rPr>
        <w:rFonts w:ascii="Arial" w:hAnsi="Arial" w:cs="Arial"/>
        <w:b/>
        <w:sz w:val="48"/>
      </w:rPr>
      <w:t>EN</w:t>
    </w:r>
    <w:r w:rsidRPr="0052014D">
      <w:rPr>
        <w:rFonts w:ascii="Arial" w:hAnsi="Arial" w:cs="Arial"/>
        <w:b/>
        <w:sz w:val="48"/>
      </w:rPr>
      <w:tab/>
    </w:r>
    <w:r w:rsidRPr="0052014D">
      <w:rPr>
        <w:rFonts w:ascii="Arial" w:hAnsi="Arial" w:cs="Arial"/>
        <w:b/>
        <w:sz w:val="48"/>
      </w:rPr>
      <w:tab/>
    </w:r>
    <w:r w:rsidRPr="0052014D">
      <w:tab/>
    </w:r>
    <w:r w:rsidRPr="0052014D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A98C" w14:textId="736FF400" w:rsidR="009F61D2" w:rsidRPr="0052014D" w:rsidRDefault="0052014D" w:rsidP="0052014D">
    <w:pPr>
      <w:pStyle w:val="Pieddepage"/>
      <w:rPr>
        <w:rFonts w:ascii="Arial" w:hAnsi="Arial" w:cs="Arial"/>
        <w:b/>
        <w:sz w:val="48"/>
      </w:rPr>
    </w:pPr>
    <w:r w:rsidRPr="0052014D">
      <w:rPr>
        <w:rFonts w:ascii="Arial" w:hAnsi="Arial" w:cs="Arial"/>
        <w:b/>
        <w:sz w:val="48"/>
      </w:rPr>
      <w:t>EN</w:t>
    </w:r>
    <w:r w:rsidRPr="0052014D">
      <w:rPr>
        <w:rFonts w:ascii="Arial" w:hAnsi="Arial" w:cs="Arial"/>
        <w:b/>
        <w:sz w:val="48"/>
      </w:rPr>
      <w:tab/>
    </w:r>
    <w:r w:rsidRPr="0052014D">
      <w:rPr>
        <w:rFonts w:ascii="Arial" w:hAnsi="Arial" w:cs="Arial"/>
        <w:b/>
        <w:sz w:val="48"/>
      </w:rPr>
      <w:tab/>
    </w:r>
    <w:r w:rsidRPr="0052014D">
      <w:tab/>
    </w:r>
    <w:r w:rsidRPr="0052014D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9CEA" w14:textId="77777777" w:rsidR="003208AB" w:rsidRPr="0052014D" w:rsidRDefault="003208AB" w:rsidP="0052014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8A4D" w14:textId="77777777" w:rsidR="0025562C" w:rsidRDefault="0025562C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792F" w14:textId="4DE95294" w:rsidR="0052014D" w:rsidRPr="0052014D" w:rsidRDefault="0052014D" w:rsidP="0052014D">
    <w:pPr>
      <w:pStyle w:val="Pieddepage"/>
      <w:rPr>
        <w:rFonts w:ascii="Arial" w:hAnsi="Arial" w:cs="Arial"/>
        <w:b/>
        <w:sz w:val="48"/>
      </w:rPr>
    </w:pPr>
    <w:r w:rsidRPr="0052014D">
      <w:rPr>
        <w:rFonts w:ascii="Arial" w:hAnsi="Arial" w:cs="Arial"/>
        <w:b/>
        <w:sz w:val="48"/>
      </w:rPr>
      <w:t>EN</w:t>
    </w:r>
    <w:r w:rsidRPr="0052014D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52014D">
      <w:tab/>
    </w:r>
    <w:r w:rsidRPr="0052014D">
      <w:rPr>
        <w:rFonts w:ascii="Arial" w:hAnsi="Arial" w:cs="Arial"/>
        <w:b/>
        <w:sz w:val="48"/>
      </w:rPr>
      <w:t>EN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D5CE2" w14:textId="77777777" w:rsidR="0007547B" w:rsidRPr="0007547B" w:rsidRDefault="0007547B" w:rsidP="005201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9BA2" w14:textId="77777777" w:rsidR="004E45F3" w:rsidRDefault="004E45F3" w:rsidP="00270701">
      <w:pPr>
        <w:spacing w:before="0" w:after="0"/>
      </w:pPr>
      <w:r>
        <w:separator/>
      </w:r>
    </w:p>
  </w:footnote>
  <w:footnote w:type="continuationSeparator" w:id="0">
    <w:p w14:paraId="1585B08B" w14:textId="77777777" w:rsidR="004E45F3" w:rsidRDefault="004E45F3" w:rsidP="00270701">
      <w:pPr>
        <w:spacing w:before="0" w:after="0"/>
      </w:pPr>
      <w:r>
        <w:continuationSeparator/>
      </w:r>
    </w:p>
  </w:footnote>
  <w:footnote w:id="1">
    <w:p w14:paraId="59EBC3A8" w14:textId="7B56C8E2" w:rsidR="00270701" w:rsidRPr="00B44CCD" w:rsidRDefault="00270701">
      <w:pPr>
        <w:pStyle w:val="Notedebasdepage"/>
        <w:rPr>
          <w:lang w:val="sv-SE"/>
        </w:rPr>
      </w:pPr>
      <w:r>
        <w:rPr>
          <w:rStyle w:val="Appelnotedebasdep"/>
        </w:rPr>
        <w:footnoteRef/>
      </w:r>
      <w:r w:rsidRPr="00F21C0D">
        <w:rPr>
          <w:lang w:val="sv-SE"/>
        </w:rPr>
        <w:tab/>
      </w:r>
      <w:r w:rsidR="005A121B" w:rsidRPr="00F21C0D">
        <w:rPr>
          <w:lang w:val="sv-SE"/>
        </w:rPr>
        <w:t xml:space="preserve">OJ L 275, </w:t>
      </w:r>
      <w:r w:rsidR="005A121B" w:rsidRPr="00B44CCD">
        <w:rPr>
          <w:lang w:val="sv-SE"/>
        </w:rPr>
        <w:t>25.10.2003, p. 32</w:t>
      </w:r>
      <w:r w:rsidR="0075397E">
        <w:rPr>
          <w:lang w:val="sv-SE"/>
        </w:rPr>
        <w:t xml:space="preserve">, </w:t>
      </w:r>
      <w:r w:rsidR="0075397E" w:rsidRPr="009F236E">
        <w:rPr>
          <w:lang w:val="it-IT"/>
        </w:rPr>
        <w:t xml:space="preserve">ELI: </w:t>
      </w:r>
      <w:hyperlink r:id="rId1" w:tooltip="Gives access to this document through its ELI URI." w:history="1">
        <w:r w:rsidR="00A741D5" w:rsidRPr="009F236E">
          <w:rPr>
            <w:rStyle w:val="Lienhypertexte"/>
            <w:lang w:val="it-IT"/>
          </w:rPr>
          <w:t>http://data.europa.eu/eli/dir/2003/87/oj</w:t>
        </w:r>
      </w:hyperlink>
      <w:r w:rsidR="00A741D5">
        <w:rPr>
          <w:lang w:val="sv-SE"/>
        </w:rPr>
        <w:t>.</w:t>
      </w:r>
    </w:p>
  </w:footnote>
  <w:footnote w:id="2">
    <w:p w14:paraId="13AE9C1C" w14:textId="21B7D8C7" w:rsidR="002A77EA" w:rsidRPr="008B1791" w:rsidRDefault="002A77EA" w:rsidP="002A77EA">
      <w:pPr>
        <w:pStyle w:val="Notedebasdepage"/>
        <w:rPr>
          <w:lang w:val="en-IE"/>
        </w:rPr>
      </w:pPr>
      <w:r>
        <w:rPr>
          <w:rStyle w:val="Appelnotedebasdep"/>
        </w:rPr>
        <w:footnoteRef/>
      </w:r>
      <w:r>
        <w:rPr>
          <w:lang w:val="en-IE"/>
        </w:rPr>
        <w:tab/>
      </w:r>
      <w:r w:rsidRPr="008B1791">
        <w:rPr>
          <w:lang w:val="en-IE"/>
        </w:rPr>
        <w:t xml:space="preserve">Commission Decision 2011/278/EU of 27 April 2011 determining transitional Union-wide rules for harmonised free allocation of emission allowances pursuant to Article 10a of Directive 2003/87/EC of the European Parliament and of the Council (OJ L 130, 17.5.2011, p. </w:t>
      </w:r>
      <w:r w:rsidR="74CDC809" w:rsidRPr="008B1791">
        <w:rPr>
          <w:lang w:val="en-IE"/>
        </w:rPr>
        <w:t>1</w:t>
      </w:r>
      <w:r w:rsidR="74CDC809">
        <w:rPr>
          <w:lang w:val="en-IE"/>
        </w:rPr>
        <w:t xml:space="preserve">, </w:t>
      </w:r>
      <w:r w:rsidR="74CDC809" w:rsidRPr="004D6466">
        <w:t>ELI: </w:t>
      </w:r>
      <w:hyperlink r:id="rId2">
        <w:r w:rsidR="74CDC809" w:rsidRPr="74CDC809">
          <w:rPr>
            <w:rStyle w:val="Lienhypertexte"/>
          </w:rPr>
          <w:t>http://data.europa.eu/eli/dec/2011/278/oj</w:t>
        </w:r>
      </w:hyperlink>
      <w:r w:rsidR="74CDC809" w:rsidRPr="008B1791">
        <w:rPr>
          <w:lang w:val="en-IE"/>
        </w:rPr>
        <w:t>).</w:t>
      </w:r>
    </w:p>
  </w:footnote>
  <w:footnote w:id="3">
    <w:p w14:paraId="2CA79C97" w14:textId="5B72AA3C" w:rsidR="002A77EA" w:rsidRPr="00365672" w:rsidRDefault="002A77EA" w:rsidP="002A77EA">
      <w:pPr>
        <w:pStyle w:val="Notedebasdepage"/>
        <w:rPr>
          <w:lang w:val="en-IE"/>
        </w:rPr>
      </w:pPr>
      <w:r>
        <w:rPr>
          <w:rStyle w:val="Appelnotedebasdep"/>
        </w:rPr>
        <w:footnoteRef/>
      </w:r>
      <w:r w:rsidRPr="00365672">
        <w:rPr>
          <w:lang w:val="en-IE"/>
        </w:rPr>
        <w:tab/>
      </w:r>
      <w:r w:rsidRPr="00E05BB3">
        <w:rPr>
          <w:lang w:val="en-IE"/>
        </w:rPr>
        <w:t xml:space="preserve">Commission Delegated Regulation (EU) 2019/331 of 19 December 2018 determining transitional Union-wide rules for harmonised free allocation of emission allowances pursuant to Article 10a of Directive 2003/87/EC of the European Parliament and of the Council (OJ L 59, 27.2.2019, p. </w:t>
      </w:r>
      <w:r w:rsidR="74CDC809" w:rsidRPr="00E05BB3">
        <w:rPr>
          <w:lang w:val="en-IE"/>
        </w:rPr>
        <w:t>8</w:t>
      </w:r>
      <w:r w:rsidR="74CDC809">
        <w:rPr>
          <w:lang w:val="en-IE"/>
        </w:rPr>
        <w:t xml:space="preserve">, </w:t>
      </w:r>
      <w:r w:rsidR="74CDC809" w:rsidRPr="004D6466">
        <w:t>ELI: </w:t>
      </w:r>
      <w:hyperlink r:id="rId3">
        <w:r w:rsidR="74CDC809" w:rsidRPr="74CDC809">
          <w:rPr>
            <w:rStyle w:val="Lienhypertexte"/>
          </w:rPr>
          <w:t>http://data.europa.eu/eli/reg_del/2019/331/oj</w:t>
        </w:r>
      </w:hyperlink>
      <w:r w:rsidR="74CDC809" w:rsidRPr="00E05BB3">
        <w:rPr>
          <w:lang w:val="en-IE"/>
        </w:rPr>
        <w:t>).</w:t>
      </w:r>
    </w:p>
  </w:footnote>
  <w:footnote w:id="4">
    <w:p w14:paraId="52A0B5A0" w14:textId="05F142C8" w:rsidR="00524946" w:rsidRPr="00F21C0D" w:rsidRDefault="00524946" w:rsidP="00524946">
      <w:pPr>
        <w:pStyle w:val="Notedebasdepage"/>
        <w:rPr>
          <w:lang w:val="en-IE"/>
        </w:rPr>
      </w:pPr>
      <w:r>
        <w:rPr>
          <w:rStyle w:val="Appelnotedebasdep"/>
        </w:rPr>
        <w:footnoteRef/>
      </w:r>
      <w:r w:rsidR="0075397E">
        <w:tab/>
      </w:r>
      <w:r w:rsidRPr="00524946">
        <w:rPr>
          <w:lang w:val="en-IE"/>
        </w:rPr>
        <w:t xml:space="preserve">Commission Implementing Regulation (EU) 2021/447 of 12 March 2021 determining revised benchmark values for free allocation of emission allowances for the period from 2021 to 2025 pursuant to Article 10a(2) of Directive 2003/87/EC of the European Parliament and of the Council (OJ L 87, 15.3.2021, p. </w:t>
      </w:r>
      <w:r w:rsidR="6DBE9E4C" w:rsidRPr="00524946">
        <w:rPr>
          <w:lang w:val="en-IE"/>
        </w:rPr>
        <w:t xml:space="preserve">29, ELI: </w:t>
      </w:r>
      <w:hyperlink r:id="rId4">
        <w:r w:rsidR="6DBE9E4C" w:rsidRPr="6DBE9E4C">
          <w:rPr>
            <w:rStyle w:val="Lienhypertexte"/>
            <w:lang w:val="en-IE"/>
          </w:rPr>
          <w:t>http://data.europa.eu/eli/reg_impl/2021/447/oj</w:t>
        </w:r>
      </w:hyperlink>
      <w:r w:rsidR="6DBE9E4C" w:rsidRPr="00524946">
        <w:rPr>
          <w:lang w:val="en-IE"/>
        </w:rPr>
        <w:t>).</w:t>
      </w:r>
    </w:p>
  </w:footnote>
  <w:footnote w:id="5">
    <w:p w14:paraId="7BCE4AF6" w14:textId="77777777" w:rsidR="008701DD" w:rsidRDefault="008701DD" w:rsidP="008701DD">
      <w:pPr>
        <w:pStyle w:val="Notedebasdepage"/>
      </w:pPr>
      <w:r w:rsidRPr="0057765C">
        <w:rPr>
          <w:rStyle w:val="Appelnotedebasdep"/>
        </w:rPr>
        <w:footnoteRef/>
      </w:r>
      <w:r w:rsidRPr="0057765C">
        <w:rPr>
          <w:bCs/>
          <w:color w:val="000000"/>
          <w:lang w:eastAsia="en-GB"/>
        </w:rPr>
        <w:tab/>
      </w:r>
      <w:r w:rsidRPr="00A9044C">
        <w:rPr>
          <w:color w:val="000000"/>
          <w:lang w:eastAsia="en-GB"/>
        </w:rPr>
        <w:t>Directive (EU) 2023/959 of the European Parliament and of the Council of 10 May 2023 amending Directive 2003/87/EC establishing a system for greenhouse gas emission allowance trading within the Union and Decision (EU) 2015/1814 concerning the establishment and operation of a market stability reserve for the Union greenhouse gas emission trading system (OJ L 130, 16.5.2023, p. 134</w:t>
      </w:r>
      <w:r>
        <w:rPr>
          <w:color w:val="000000"/>
          <w:lang w:eastAsia="en-GB"/>
        </w:rPr>
        <w:t>, ELI</w:t>
      </w:r>
      <w:r w:rsidRPr="008107EF">
        <w:rPr>
          <w:color w:val="000000"/>
          <w:lang w:val="en-IE" w:eastAsia="en-GB"/>
        </w:rPr>
        <w:t xml:space="preserve">: </w:t>
      </w:r>
      <w:r w:rsidRPr="00C95190">
        <w:t> </w:t>
      </w:r>
      <w:hyperlink r:id="rId5" w:tooltip="Gives access to this document through its ELI URI." w:history="1">
        <w:r w:rsidRPr="00C95190">
          <w:rPr>
            <w:rStyle w:val="Lienhypertexte"/>
          </w:rPr>
          <w:t>http://data.europa.eu/eli/dir/2023/959/oj</w:t>
        </w:r>
      </w:hyperlink>
      <w:r>
        <w:rPr>
          <w:color w:val="000000"/>
          <w:lang w:val="en-IE" w:eastAsia="en-GB"/>
        </w:rPr>
        <w:t>)</w:t>
      </w:r>
      <w:r w:rsidRPr="00A9044C">
        <w:rPr>
          <w:color w:val="000000"/>
          <w:lang w:eastAsia="en-GB"/>
        </w:rPr>
        <w:t>.</w:t>
      </w:r>
    </w:p>
  </w:footnote>
  <w:footnote w:id="6">
    <w:p w14:paraId="341EC8B6" w14:textId="43090D45" w:rsidR="008701DD" w:rsidRPr="0062613B" w:rsidRDefault="008701DD" w:rsidP="008701DD">
      <w:pPr>
        <w:pStyle w:val="Notedebasdepage"/>
      </w:pPr>
      <w:r w:rsidRPr="001C181D">
        <w:rPr>
          <w:rStyle w:val="Appelnotedebasdep"/>
        </w:rPr>
        <w:footnoteRef/>
      </w:r>
      <w:r>
        <w:tab/>
      </w:r>
      <w:r w:rsidRPr="00A9044C">
        <w:rPr>
          <w:color w:val="000000"/>
          <w:lang w:eastAsia="en-GB"/>
        </w:rPr>
        <w:t>Regulation (EU) 2021/1119 of the European Parliament and of the Council of 30 June 2021 establishing the framework for achieving climate neutrality and amending Regulations (EC) No 401/2009 and (EU</w:t>
      </w:r>
      <w:r w:rsidRPr="00A9044C">
        <w:rPr>
          <w:color w:val="000000"/>
          <w:lang w:val="en-IE" w:eastAsia="en-GB"/>
        </w:rPr>
        <w:t>)</w:t>
      </w:r>
      <w:r w:rsidRPr="00A9044C">
        <w:rPr>
          <w:color w:val="000000"/>
          <w:lang w:eastAsia="en-GB"/>
        </w:rPr>
        <w:t xml:space="preserve"> 2018/1999 </w:t>
      </w:r>
      <w:r w:rsidRPr="00491C50">
        <w:rPr>
          <w:color w:val="000000"/>
          <w:lang w:eastAsia="en-GB"/>
        </w:rPr>
        <w:t>(OJ L 243, 9.7.2021, p.</w:t>
      </w:r>
      <w:r>
        <w:rPr>
          <w:color w:val="000000"/>
          <w:lang w:eastAsia="en-GB"/>
        </w:rPr>
        <w:t xml:space="preserve"> </w:t>
      </w:r>
      <w:r w:rsidRPr="00491C50">
        <w:rPr>
          <w:color w:val="000000"/>
          <w:lang w:eastAsia="en-GB"/>
        </w:rPr>
        <w:t>1,</w:t>
      </w:r>
      <w:r w:rsidRPr="00491C50">
        <w:t xml:space="preserve"> </w:t>
      </w:r>
      <w:r w:rsidRPr="00491C50">
        <w:rPr>
          <w:color w:val="000000"/>
          <w:lang w:eastAsia="en-GB"/>
        </w:rPr>
        <w:t xml:space="preserve">ELI: </w:t>
      </w:r>
      <w:hyperlink r:id="rId6" w:history="1">
        <w:r w:rsidRPr="00491C50">
          <w:rPr>
            <w:rStyle w:val="Lienhypertexte"/>
            <w:lang w:eastAsia="en-GB"/>
          </w:rPr>
          <w:t>http://data.europa.eu/eli/reg/2021/1119/oj</w:t>
        </w:r>
      </w:hyperlink>
      <w:r w:rsidRPr="00491C50">
        <w:rPr>
          <w:color w:val="000000"/>
          <w:lang w:eastAsia="en-GB"/>
        </w:rPr>
        <w:t>).</w:t>
      </w:r>
    </w:p>
  </w:footnote>
  <w:footnote w:id="7">
    <w:p w14:paraId="1C06C603" w14:textId="77777777" w:rsidR="008701DD" w:rsidRPr="00562662" w:rsidRDefault="008701DD" w:rsidP="008701DD">
      <w:pPr>
        <w:pStyle w:val="Notedebasdepage"/>
        <w:rPr>
          <w:lang w:val="en-IE"/>
        </w:rPr>
      </w:pPr>
      <w:r>
        <w:rPr>
          <w:rStyle w:val="Appelnotedebasdep"/>
        </w:rPr>
        <w:footnoteRef/>
      </w:r>
      <w:r>
        <w:rPr>
          <w:lang w:val="en-IE"/>
        </w:rPr>
        <w:tab/>
      </w:r>
      <w:r w:rsidRPr="00204913">
        <w:rPr>
          <w:lang w:val="en-IE"/>
        </w:rPr>
        <w:t>Commission Implementing Regulation (EU) 2018/2066 of 19 December 2018 on the monitoring and reporting of greenhouse gas emissions pursuant to Directive 2003/87/EC of the European Parliament and of the Council and amending Commission Regulation (EU) No 601/2012</w:t>
      </w:r>
      <w:r>
        <w:rPr>
          <w:lang w:val="en-IE"/>
        </w:rPr>
        <w:t xml:space="preserve"> (OJ L 334, 31.12.2018, p 1, ELI: </w:t>
      </w:r>
      <w:hyperlink r:id="rId7" w:history="1">
        <w:r w:rsidRPr="00E122FB">
          <w:rPr>
            <w:rStyle w:val="Lienhypertexte"/>
            <w:lang w:val="en-IE"/>
          </w:rPr>
          <w:t>http://data.europa.eu/eli/reg_impl/2018/2066/oj</w:t>
        </w:r>
      </w:hyperlink>
      <w:r>
        <w:rPr>
          <w:lang w:val="en-IE"/>
        </w:rPr>
        <w:t>).</w:t>
      </w:r>
    </w:p>
  </w:footnote>
  <w:footnote w:id="8">
    <w:p w14:paraId="4AE7170A" w14:textId="77777777" w:rsidR="008701DD" w:rsidRPr="00562662" w:rsidRDefault="008701DD" w:rsidP="008701DD">
      <w:pPr>
        <w:pStyle w:val="Notedebasdepage"/>
        <w:rPr>
          <w:lang w:val="en-IE"/>
        </w:rPr>
      </w:pPr>
      <w:r>
        <w:rPr>
          <w:rStyle w:val="Appelnotedebasdep"/>
        </w:rPr>
        <w:footnoteRef/>
      </w:r>
      <w:r>
        <w:rPr>
          <w:lang w:val="en-IE"/>
        </w:rPr>
        <w:tab/>
      </w:r>
      <w:r w:rsidRPr="00204913">
        <w:rPr>
          <w:lang w:val="en-IE"/>
        </w:rPr>
        <w:t>Commission Implementing Regulation (EU) 2023/2122 of 17 October 2023 amending Implementing Regulation (EU) 2018/2066 as regards updating the monitoring and reporting of greenhouse gas emissions pursuant to Directive 2003/87/EC of the European Parliament and of the Council</w:t>
      </w:r>
      <w:r>
        <w:rPr>
          <w:lang w:val="en-IE"/>
        </w:rPr>
        <w:t xml:space="preserve"> (OJ L, 2023/2122, 18.10.2023, ELI: </w:t>
      </w:r>
      <w:hyperlink r:id="rId8" w:history="1">
        <w:r w:rsidRPr="00E122FB">
          <w:rPr>
            <w:rStyle w:val="Lienhypertexte"/>
            <w:lang w:val="en-IE"/>
          </w:rPr>
          <w:t>http://data.europa.eu/eli/reg_impl/2023/2122/oj</w:t>
        </w:r>
      </w:hyperlink>
      <w:r>
        <w:rPr>
          <w:lang w:val="en-IE"/>
        </w:rPr>
        <w:t>).</w:t>
      </w:r>
    </w:p>
  </w:footnote>
  <w:footnote w:id="9">
    <w:p w14:paraId="1E6BAC15" w14:textId="77777777" w:rsidR="008701DD" w:rsidRPr="00B07E21" w:rsidRDefault="008701DD" w:rsidP="008701DD">
      <w:pPr>
        <w:pStyle w:val="Notedebasdepage"/>
        <w:rPr>
          <w:lang w:val="en-IE"/>
        </w:rPr>
      </w:pPr>
      <w:r>
        <w:rPr>
          <w:rStyle w:val="Appelnotedebasdep"/>
        </w:rPr>
        <w:footnoteRef/>
      </w:r>
      <w:r>
        <w:tab/>
      </w:r>
      <w:r w:rsidRPr="001E3E7F">
        <w:t xml:space="preserve">Commission Delegated Regulation (EU) 2024/873 of 30 January 2024 amending Delegated Regulation (EU) 2019/331 as regards transitional Union-wide rules for harmonised free allocation of emission </w:t>
      </w:r>
      <w:r w:rsidRPr="00B07E21">
        <w:t xml:space="preserve">allowances (OJ L, 2024/873, 4.4.2024, </w:t>
      </w:r>
      <w:r w:rsidRPr="00B07E21">
        <w:rPr>
          <w:rStyle w:val="normaltextrun"/>
          <w:color w:val="000000"/>
          <w:shd w:val="clear" w:color="auto" w:fill="FFFFFF"/>
        </w:rPr>
        <w:t>ELI:</w:t>
      </w:r>
      <w:r w:rsidRPr="00B07E21">
        <w:t xml:space="preserve"> </w:t>
      </w:r>
      <w:hyperlink r:id="rId9" w:history="1">
        <w:r w:rsidRPr="00B07E21">
          <w:rPr>
            <w:rStyle w:val="Lienhypertexte"/>
            <w:shd w:val="clear" w:color="auto" w:fill="FFFFFF"/>
          </w:rPr>
          <w:t>http://data.europa.eu/eli/reg_del/2024/873/oj</w:t>
        </w:r>
      </w:hyperlink>
      <w:r w:rsidRPr="00B07E21">
        <w:t>).</w:t>
      </w:r>
    </w:p>
  </w:footnote>
  <w:footnote w:id="10">
    <w:p w14:paraId="195D0DE6" w14:textId="77777777" w:rsidR="00A17BE2" w:rsidRPr="00F21C0D" w:rsidRDefault="00A17BE2" w:rsidP="00A17BE2">
      <w:pPr>
        <w:pStyle w:val="Notedebasdepage"/>
        <w:rPr>
          <w:lang w:val="en-IE"/>
        </w:rPr>
      </w:pPr>
      <w:r w:rsidRPr="00B07E21">
        <w:rPr>
          <w:rStyle w:val="Appelnotedebasdep"/>
        </w:rPr>
        <w:footnoteRef/>
      </w:r>
      <w:r w:rsidRPr="00B07E21">
        <w:tab/>
      </w:r>
      <w:r w:rsidRPr="00DB19BC">
        <w:rPr>
          <w:lang w:val="en-IE"/>
        </w:rPr>
        <w:t xml:space="preserve">Commission Implementing Regulation (EU) 2026/389 of 23 February amending Implementing Regulation (EU) 2021/447 as regards the determination of a revised soda ash benchmark value for the year 2025 (OJ L, </w:t>
      </w:r>
      <w:r w:rsidRPr="00B07E21">
        <w:rPr>
          <w:lang w:val="en-IE"/>
        </w:rPr>
        <w:t>2026/389, 26.2.2026, ELI:</w:t>
      </w:r>
      <w:r w:rsidRPr="008E1082">
        <w:rPr>
          <w:lang w:val="en-IE"/>
        </w:rPr>
        <w:t xml:space="preserve"> http://data.europa.eu/eli/reg_impl/2026/389/oj</w:t>
      </w:r>
      <w:r>
        <w:rPr>
          <w:lang w:val="en-IE"/>
        </w:rPr>
        <w:t>).</w:t>
      </w:r>
    </w:p>
    <w:p w14:paraId="21EAE95A" w14:textId="77777777" w:rsidR="00A17BE2" w:rsidRPr="0009606E" w:rsidRDefault="00A17BE2" w:rsidP="00A17BE2">
      <w:pPr>
        <w:pStyle w:val="Notedebasdepag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9021" w14:textId="049BACCD" w:rsidR="009F61D2" w:rsidRPr="0052014D" w:rsidRDefault="009F61D2" w:rsidP="005201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F5E6" w14:textId="16F09318" w:rsidR="009F61D2" w:rsidRPr="0052014D" w:rsidRDefault="009F61D2" w:rsidP="0052014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4F33" w14:textId="77777777" w:rsidR="003208AB" w:rsidRPr="0052014D" w:rsidRDefault="003208AB" w:rsidP="0052014D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9791" w14:textId="0B2BA82B" w:rsidR="0025562C" w:rsidRDefault="004E45F3">
    <w:pPr>
      <w:pStyle w:val="En-tte"/>
    </w:pPr>
    <w:r>
      <w:rPr>
        <w:noProof/>
      </w:rPr>
      <w:pict w14:anchorId="690F66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3244629" o:spid="_x0000_s1026" type="#_x0000_t136" alt="" style="position:absolute;left:0;text-align:left;margin-left:0;margin-top:0;width:456.85pt;height:182.75pt;rotation:315;z-index:-251647999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7EB0" w14:textId="2D4A6C79" w:rsidR="0025562C" w:rsidRDefault="004E45F3">
    <w:pPr>
      <w:pStyle w:val="En-tte"/>
    </w:pPr>
    <w:r>
      <w:rPr>
        <w:noProof/>
      </w:rPr>
      <w:pict w14:anchorId="71581F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3244628" o:spid="_x0000_s1025" type="#_x0000_t136" alt="" style="position:absolute;left:0;text-align:left;margin-left:0;margin-top:0;width:456.85pt;height:182.75pt;rotation:315;z-index:-251650047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94C122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37A840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EEFA8ED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67C66C5E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03D8DED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BD3896B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91ED43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41EB56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Titr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757361513">
    <w:abstractNumId w:val="7"/>
  </w:num>
  <w:num w:numId="2" w16cid:durableId="2021539291">
    <w:abstractNumId w:val="5"/>
  </w:num>
  <w:num w:numId="3" w16cid:durableId="1871795943">
    <w:abstractNumId w:val="4"/>
  </w:num>
  <w:num w:numId="4" w16cid:durableId="1613709474">
    <w:abstractNumId w:val="3"/>
  </w:num>
  <w:num w:numId="5" w16cid:durableId="42144707">
    <w:abstractNumId w:val="6"/>
  </w:num>
  <w:num w:numId="6" w16cid:durableId="1063018800">
    <w:abstractNumId w:val="2"/>
  </w:num>
  <w:num w:numId="7" w16cid:durableId="926962040">
    <w:abstractNumId w:val="1"/>
  </w:num>
  <w:num w:numId="8" w16cid:durableId="765731750">
    <w:abstractNumId w:val="0"/>
  </w:num>
  <w:num w:numId="9" w16cid:durableId="485436588">
    <w:abstractNumId w:val="22"/>
  </w:num>
  <w:num w:numId="10" w16cid:durableId="1088576116">
    <w:abstractNumId w:val="22"/>
    <w:lvlOverride w:ilvl="0">
      <w:startOverride w:val="1"/>
    </w:lvlOverride>
  </w:num>
  <w:num w:numId="11" w16cid:durableId="2089693441">
    <w:abstractNumId w:val="19"/>
  </w:num>
  <w:num w:numId="12" w16cid:durableId="1693998065">
    <w:abstractNumId w:val="12"/>
  </w:num>
  <w:num w:numId="13" w16cid:durableId="788817884">
    <w:abstractNumId w:val="21"/>
  </w:num>
  <w:num w:numId="14" w16cid:durableId="1535464848">
    <w:abstractNumId w:val="11"/>
  </w:num>
  <w:num w:numId="15" w16cid:durableId="639657071">
    <w:abstractNumId w:val="13"/>
  </w:num>
  <w:num w:numId="16" w16cid:durableId="361050661">
    <w:abstractNumId w:val="14"/>
  </w:num>
  <w:num w:numId="17" w16cid:durableId="472790552">
    <w:abstractNumId w:val="9"/>
  </w:num>
  <w:num w:numId="18" w16cid:durableId="384646725">
    <w:abstractNumId w:val="20"/>
  </w:num>
  <w:num w:numId="19" w16cid:durableId="2031682509">
    <w:abstractNumId w:val="8"/>
  </w:num>
  <w:num w:numId="20" w16cid:durableId="150604668">
    <w:abstractNumId w:val="15"/>
  </w:num>
  <w:num w:numId="21" w16cid:durableId="472332852">
    <w:abstractNumId w:val="17"/>
  </w:num>
  <w:num w:numId="22" w16cid:durableId="1298296966">
    <w:abstractNumId w:val="18"/>
  </w:num>
  <w:num w:numId="23" w16cid:durableId="1306230484">
    <w:abstractNumId w:val="10"/>
  </w:num>
  <w:num w:numId="24" w16cid:durableId="24066917">
    <w:abstractNumId w:val="16"/>
  </w:num>
  <w:num w:numId="25" w16cid:durableId="485436588">
    <w:abstractNumId w:val="22"/>
  </w:num>
  <w:num w:numId="26" w16cid:durableId="2089693441">
    <w:abstractNumId w:val="19"/>
  </w:num>
  <w:num w:numId="27" w16cid:durableId="1693998065">
    <w:abstractNumId w:val="12"/>
  </w:num>
  <w:num w:numId="28" w16cid:durableId="788817884">
    <w:abstractNumId w:val="21"/>
  </w:num>
  <w:num w:numId="29" w16cid:durableId="1535464848">
    <w:abstractNumId w:val="11"/>
  </w:num>
  <w:num w:numId="30" w16cid:durableId="639657071">
    <w:abstractNumId w:val="13"/>
  </w:num>
  <w:num w:numId="31" w16cid:durableId="361050661">
    <w:abstractNumId w:val="14"/>
  </w:num>
  <w:num w:numId="32" w16cid:durableId="472790552">
    <w:abstractNumId w:val="9"/>
  </w:num>
  <w:num w:numId="33" w16cid:durableId="384646725">
    <w:abstractNumId w:val="20"/>
  </w:num>
  <w:num w:numId="34" w16cid:durableId="2031682509">
    <w:abstractNumId w:val="8"/>
  </w:num>
  <w:num w:numId="35" w16cid:durableId="150604668">
    <w:abstractNumId w:val="15"/>
  </w:num>
  <w:num w:numId="36" w16cid:durableId="472332852">
    <w:abstractNumId w:val="17"/>
  </w:num>
  <w:num w:numId="37" w16cid:durableId="1298296966">
    <w:abstractNumId w:val="18"/>
  </w:num>
  <w:num w:numId="38" w16cid:durableId="1306230484">
    <w:abstractNumId w:val="10"/>
  </w:num>
  <w:num w:numId="39" w16cid:durableId="24066917">
    <w:abstractNumId w:val="16"/>
  </w:num>
  <w:num w:numId="40" w16cid:durableId="485436588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R_RefLast" w:val="0"/>
    <w:docVar w:name="DQCDateTime" w:val="2026-06-15 16:52:09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014841A5-9CC8-42FA-8E1C-A5F300F46AF8"/>
    <w:docVar w:name="LW_COVERPAGE_TYPE" w:val="1"/>
    <w:docVar w:name="LW_CROSSREFERENCE" w:val="&lt;UNUSED&gt;"/>
    <w:docVar w:name="LW_DATE.ADOPT.CP" w:val="of XXX"/>
    <w:docVar w:name="LW_DATE.ADOPT.CP_DATEFORMAT" w:val="of %DATE%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MODEL" w:val="SJ-004"/>
    <w:docVar w:name="LW_ID_DOCSIGNATURE" w:val="SJ-004"/>
    <w:docVar w:name="LW_ID_DOCSTRUCTURE" w:val="COM/AA"/>
    <w:docVar w:name="LW_ID_DOCTYPE" w:val="SJ-004"/>
    <w:docVar w:name="LW_INTERETEEE.CP" w:val="(Text with EEA relevance)"/>
    <w:docVar w:name="LW_LANGUE" w:val="EN"/>
    <w:docVar w:name="LW_LANGUESFAISANTFOI.CP" w:val="&lt;UNUSED&gt;"/>
    <w:docVar w:name="LW_LEVEL_OF_SENSITIVITY" w:val="Standard treatment"/>
    <w:docVar w:name="LW_NOM.INST" w:val="EUROPEAN COMMISSION"/>
    <w:docVar w:name="LW_NOM.INST_JOINTDOC" w:val="&lt;EMPTY&gt;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6) XXX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determining revised benchmark values for free allocation of emission allowances for the period from 2026 to 2030 pursuant to Article 10a(2) of Directive 2003/87/EC of the European Parliament and of the Council"/>
    <w:docVar w:name="LW_TYPE.DOC.CP" w:val="COMMISSION IMPLEMENTING REGULATION (EU) \u8230?/..."/>
  </w:docVars>
  <w:rsids>
    <w:rsidRoot w:val="00270701"/>
    <w:rsid w:val="0000420A"/>
    <w:rsid w:val="00004424"/>
    <w:rsid w:val="00004701"/>
    <w:rsid w:val="00013477"/>
    <w:rsid w:val="00016620"/>
    <w:rsid w:val="00016DAB"/>
    <w:rsid w:val="0001726B"/>
    <w:rsid w:val="00017787"/>
    <w:rsid w:val="000231DA"/>
    <w:rsid w:val="0002425D"/>
    <w:rsid w:val="00026E88"/>
    <w:rsid w:val="0003005F"/>
    <w:rsid w:val="00030629"/>
    <w:rsid w:val="00030891"/>
    <w:rsid w:val="00040B34"/>
    <w:rsid w:val="00041D6D"/>
    <w:rsid w:val="0004223D"/>
    <w:rsid w:val="00042A19"/>
    <w:rsid w:val="00046DB2"/>
    <w:rsid w:val="0005012B"/>
    <w:rsid w:val="000519E6"/>
    <w:rsid w:val="0005292E"/>
    <w:rsid w:val="00055893"/>
    <w:rsid w:val="00055A2C"/>
    <w:rsid w:val="0006089B"/>
    <w:rsid w:val="000628AB"/>
    <w:rsid w:val="00063045"/>
    <w:rsid w:val="00063FC7"/>
    <w:rsid w:val="00065864"/>
    <w:rsid w:val="0006750C"/>
    <w:rsid w:val="0007282A"/>
    <w:rsid w:val="0007547B"/>
    <w:rsid w:val="000844FF"/>
    <w:rsid w:val="00085404"/>
    <w:rsid w:val="00091D77"/>
    <w:rsid w:val="00092034"/>
    <w:rsid w:val="000927BE"/>
    <w:rsid w:val="000A07BF"/>
    <w:rsid w:val="000A0FEE"/>
    <w:rsid w:val="000A4F23"/>
    <w:rsid w:val="000A61D8"/>
    <w:rsid w:val="000A7517"/>
    <w:rsid w:val="000B22FA"/>
    <w:rsid w:val="000B2B0B"/>
    <w:rsid w:val="000B3D2E"/>
    <w:rsid w:val="000B4236"/>
    <w:rsid w:val="000B49E5"/>
    <w:rsid w:val="000B4F9C"/>
    <w:rsid w:val="000B6BBC"/>
    <w:rsid w:val="000C1B6F"/>
    <w:rsid w:val="000C2CD5"/>
    <w:rsid w:val="000C485E"/>
    <w:rsid w:val="000C597E"/>
    <w:rsid w:val="000D1A89"/>
    <w:rsid w:val="000D5972"/>
    <w:rsid w:val="000D5A86"/>
    <w:rsid w:val="000D75C2"/>
    <w:rsid w:val="000D7F6B"/>
    <w:rsid w:val="000E0C94"/>
    <w:rsid w:val="000E0E32"/>
    <w:rsid w:val="000E198E"/>
    <w:rsid w:val="000E50D7"/>
    <w:rsid w:val="000E526B"/>
    <w:rsid w:val="000E75F8"/>
    <w:rsid w:val="000F1A2B"/>
    <w:rsid w:val="000F2974"/>
    <w:rsid w:val="000F3A18"/>
    <w:rsid w:val="000F44BE"/>
    <w:rsid w:val="000F64E5"/>
    <w:rsid w:val="000F7E40"/>
    <w:rsid w:val="0010131E"/>
    <w:rsid w:val="00107847"/>
    <w:rsid w:val="00111442"/>
    <w:rsid w:val="00112DFC"/>
    <w:rsid w:val="0011544B"/>
    <w:rsid w:val="00115D68"/>
    <w:rsid w:val="00120D21"/>
    <w:rsid w:val="00121DC0"/>
    <w:rsid w:val="00121EA2"/>
    <w:rsid w:val="00121F4F"/>
    <w:rsid w:val="00122ACD"/>
    <w:rsid w:val="00123F5C"/>
    <w:rsid w:val="00124A45"/>
    <w:rsid w:val="00124B1B"/>
    <w:rsid w:val="001250C2"/>
    <w:rsid w:val="00126D3B"/>
    <w:rsid w:val="001277D4"/>
    <w:rsid w:val="0013136D"/>
    <w:rsid w:val="00131D60"/>
    <w:rsid w:val="00133568"/>
    <w:rsid w:val="0013540D"/>
    <w:rsid w:val="00136600"/>
    <w:rsid w:val="00140F93"/>
    <w:rsid w:val="001414F2"/>
    <w:rsid w:val="00142983"/>
    <w:rsid w:val="00144398"/>
    <w:rsid w:val="0014537B"/>
    <w:rsid w:val="001476D2"/>
    <w:rsid w:val="00147A9C"/>
    <w:rsid w:val="001555CA"/>
    <w:rsid w:val="00155E41"/>
    <w:rsid w:val="00155EB0"/>
    <w:rsid w:val="00160199"/>
    <w:rsid w:val="0016107F"/>
    <w:rsid w:val="00166857"/>
    <w:rsid w:val="001673B2"/>
    <w:rsid w:val="001741DB"/>
    <w:rsid w:val="001821FB"/>
    <w:rsid w:val="00182958"/>
    <w:rsid w:val="00186246"/>
    <w:rsid w:val="00193F6B"/>
    <w:rsid w:val="00194802"/>
    <w:rsid w:val="00194B9D"/>
    <w:rsid w:val="001954CB"/>
    <w:rsid w:val="0019653C"/>
    <w:rsid w:val="00197936"/>
    <w:rsid w:val="00197F49"/>
    <w:rsid w:val="001A0105"/>
    <w:rsid w:val="001A18B7"/>
    <w:rsid w:val="001A36A5"/>
    <w:rsid w:val="001A5432"/>
    <w:rsid w:val="001A5940"/>
    <w:rsid w:val="001A7B2F"/>
    <w:rsid w:val="001B21B5"/>
    <w:rsid w:val="001B2583"/>
    <w:rsid w:val="001B3526"/>
    <w:rsid w:val="001B687C"/>
    <w:rsid w:val="001B69FD"/>
    <w:rsid w:val="001C2816"/>
    <w:rsid w:val="001D0796"/>
    <w:rsid w:val="001D09A5"/>
    <w:rsid w:val="001D3FA4"/>
    <w:rsid w:val="001D436A"/>
    <w:rsid w:val="001D5605"/>
    <w:rsid w:val="001D6137"/>
    <w:rsid w:val="001D75E3"/>
    <w:rsid w:val="001E14F2"/>
    <w:rsid w:val="001E26A9"/>
    <w:rsid w:val="001E3253"/>
    <w:rsid w:val="001E35B2"/>
    <w:rsid w:val="001E38FE"/>
    <w:rsid w:val="001E5759"/>
    <w:rsid w:val="001F3857"/>
    <w:rsid w:val="001F7369"/>
    <w:rsid w:val="002033E7"/>
    <w:rsid w:val="00205C7D"/>
    <w:rsid w:val="00206089"/>
    <w:rsid w:val="00207DDD"/>
    <w:rsid w:val="00211958"/>
    <w:rsid w:val="00211966"/>
    <w:rsid w:val="00212185"/>
    <w:rsid w:val="00215398"/>
    <w:rsid w:val="00215CC7"/>
    <w:rsid w:val="00215D0F"/>
    <w:rsid w:val="00215EAB"/>
    <w:rsid w:val="00220E2B"/>
    <w:rsid w:val="00222597"/>
    <w:rsid w:val="002229D8"/>
    <w:rsid w:val="00223C6F"/>
    <w:rsid w:val="00225D6F"/>
    <w:rsid w:val="002309BA"/>
    <w:rsid w:val="00232E98"/>
    <w:rsid w:val="00235E57"/>
    <w:rsid w:val="002367F8"/>
    <w:rsid w:val="00237E78"/>
    <w:rsid w:val="0024065D"/>
    <w:rsid w:val="00240B8C"/>
    <w:rsid w:val="00242AA6"/>
    <w:rsid w:val="00243BD1"/>
    <w:rsid w:val="00245799"/>
    <w:rsid w:val="00245E9D"/>
    <w:rsid w:val="0025562C"/>
    <w:rsid w:val="002571CA"/>
    <w:rsid w:val="00265D5C"/>
    <w:rsid w:val="00270701"/>
    <w:rsid w:val="00270C3F"/>
    <w:rsid w:val="0027336E"/>
    <w:rsid w:val="002747E1"/>
    <w:rsid w:val="002753CE"/>
    <w:rsid w:val="002761CB"/>
    <w:rsid w:val="00277985"/>
    <w:rsid w:val="00281C4F"/>
    <w:rsid w:val="0028340B"/>
    <w:rsid w:val="00283E4B"/>
    <w:rsid w:val="0028612B"/>
    <w:rsid w:val="002864C2"/>
    <w:rsid w:val="0029787C"/>
    <w:rsid w:val="002A076D"/>
    <w:rsid w:val="002A28B9"/>
    <w:rsid w:val="002A67AA"/>
    <w:rsid w:val="002A694B"/>
    <w:rsid w:val="002A77EA"/>
    <w:rsid w:val="002B4307"/>
    <w:rsid w:val="002B6CDC"/>
    <w:rsid w:val="002B6DC3"/>
    <w:rsid w:val="002B6FD8"/>
    <w:rsid w:val="002C2BB9"/>
    <w:rsid w:val="002C4C21"/>
    <w:rsid w:val="002C50B8"/>
    <w:rsid w:val="002C6545"/>
    <w:rsid w:val="002D0362"/>
    <w:rsid w:val="002D2506"/>
    <w:rsid w:val="002D3E8C"/>
    <w:rsid w:val="002D434B"/>
    <w:rsid w:val="002D5149"/>
    <w:rsid w:val="002D58DB"/>
    <w:rsid w:val="002D64E0"/>
    <w:rsid w:val="002F247D"/>
    <w:rsid w:val="002F47CB"/>
    <w:rsid w:val="002F5816"/>
    <w:rsid w:val="002F6122"/>
    <w:rsid w:val="002F6B7E"/>
    <w:rsid w:val="002F6FDA"/>
    <w:rsid w:val="003006B2"/>
    <w:rsid w:val="00302624"/>
    <w:rsid w:val="00306689"/>
    <w:rsid w:val="00306BFB"/>
    <w:rsid w:val="0031182A"/>
    <w:rsid w:val="00314E88"/>
    <w:rsid w:val="003161CF"/>
    <w:rsid w:val="003165D2"/>
    <w:rsid w:val="003208AB"/>
    <w:rsid w:val="00325416"/>
    <w:rsid w:val="003270E8"/>
    <w:rsid w:val="003300DC"/>
    <w:rsid w:val="003302A8"/>
    <w:rsid w:val="00333B84"/>
    <w:rsid w:val="00334D10"/>
    <w:rsid w:val="003403A9"/>
    <w:rsid w:val="00340AF0"/>
    <w:rsid w:val="00343552"/>
    <w:rsid w:val="00343DB7"/>
    <w:rsid w:val="00343E66"/>
    <w:rsid w:val="00351477"/>
    <w:rsid w:val="0035180F"/>
    <w:rsid w:val="00353900"/>
    <w:rsid w:val="003569A7"/>
    <w:rsid w:val="00356A45"/>
    <w:rsid w:val="0035709F"/>
    <w:rsid w:val="003640FF"/>
    <w:rsid w:val="00365569"/>
    <w:rsid w:val="00365672"/>
    <w:rsid w:val="0037079A"/>
    <w:rsid w:val="0037111B"/>
    <w:rsid w:val="0037279F"/>
    <w:rsid w:val="0037305E"/>
    <w:rsid w:val="00373D36"/>
    <w:rsid w:val="00375CB2"/>
    <w:rsid w:val="0038148F"/>
    <w:rsid w:val="00382A9F"/>
    <w:rsid w:val="003841B6"/>
    <w:rsid w:val="00386636"/>
    <w:rsid w:val="0038667F"/>
    <w:rsid w:val="003877C5"/>
    <w:rsid w:val="003900FD"/>
    <w:rsid w:val="00390341"/>
    <w:rsid w:val="003916A4"/>
    <w:rsid w:val="003928E3"/>
    <w:rsid w:val="00393EEC"/>
    <w:rsid w:val="003957E6"/>
    <w:rsid w:val="003962C0"/>
    <w:rsid w:val="00396CBD"/>
    <w:rsid w:val="003979FC"/>
    <w:rsid w:val="00397B78"/>
    <w:rsid w:val="00397C3A"/>
    <w:rsid w:val="003A1823"/>
    <w:rsid w:val="003A2FEA"/>
    <w:rsid w:val="003A3712"/>
    <w:rsid w:val="003A5DA2"/>
    <w:rsid w:val="003A6BD6"/>
    <w:rsid w:val="003B178D"/>
    <w:rsid w:val="003B297F"/>
    <w:rsid w:val="003B51FE"/>
    <w:rsid w:val="003B69F3"/>
    <w:rsid w:val="003B7AB1"/>
    <w:rsid w:val="003C2155"/>
    <w:rsid w:val="003C537F"/>
    <w:rsid w:val="003C63C2"/>
    <w:rsid w:val="003C7181"/>
    <w:rsid w:val="003D14E9"/>
    <w:rsid w:val="003D1B79"/>
    <w:rsid w:val="003D52F8"/>
    <w:rsid w:val="003D6E4B"/>
    <w:rsid w:val="003E0BDE"/>
    <w:rsid w:val="003E6EAA"/>
    <w:rsid w:val="003F0E61"/>
    <w:rsid w:val="003F1199"/>
    <w:rsid w:val="003F15FE"/>
    <w:rsid w:val="003F666C"/>
    <w:rsid w:val="003F6E79"/>
    <w:rsid w:val="003F763B"/>
    <w:rsid w:val="00400118"/>
    <w:rsid w:val="0040072B"/>
    <w:rsid w:val="00402D31"/>
    <w:rsid w:val="004052BA"/>
    <w:rsid w:val="00405BEB"/>
    <w:rsid w:val="00416B1A"/>
    <w:rsid w:val="00417F8F"/>
    <w:rsid w:val="0042022F"/>
    <w:rsid w:val="00423845"/>
    <w:rsid w:val="0042692C"/>
    <w:rsid w:val="00430739"/>
    <w:rsid w:val="00430B83"/>
    <w:rsid w:val="00431E7A"/>
    <w:rsid w:val="004340F5"/>
    <w:rsid w:val="00437C2A"/>
    <w:rsid w:val="004404E1"/>
    <w:rsid w:val="00443201"/>
    <w:rsid w:val="004442FB"/>
    <w:rsid w:val="0044443E"/>
    <w:rsid w:val="0044667B"/>
    <w:rsid w:val="0044676A"/>
    <w:rsid w:val="0045159E"/>
    <w:rsid w:val="004517CC"/>
    <w:rsid w:val="00452114"/>
    <w:rsid w:val="00452A76"/>
    <w:rsid w:val="0045751A"/>
    <w:rsid w:val="004621C7"/>
    <w:rsid w:val="00464799"/>
    <w:rsid w:val="004667B3"/>
    <w:rsid w:val="00466ABA"/>
    <w:rsid w:val="00467813"/>
    <w:rsid w:val="004709B8"/>
    <w:rsid w:val="004725D6"/>
    <w:rsid w:val="00472EF1"/>
    <w:rsid w:val="00475BCE"/>
    <w:rsid w:val="004778F6"/>
    <w:rsid w:val="004800E1"/>
    <w:rsid w:val="004803B5"/>
    <w:rsid w:val="0048237F"/>
    <w:rsid w:val="00483159"/>
    <w:rsid w:val="00483619"/>
    <w:rsid w:val="00485581"/>
    <w:rsid w:val="004857F5"/>
    <w:rsid w:val="004859AB"/>
    <w:rsid w:val="00485F1F"/>
    <w:rsid w:val="004865B4"/>
    <w:rsid w:val="004923BA"/>
    <w:rsid w:val="00495DF8"/>
    <w:rsid w:val="00496D27"/>
    <w:rsid w:val="00497649"/>
    <w:rsid w:val="004A0CD3"/>
    <w:rsid w:val="004A557B"/>
    <w:rsid w:val="004A5888"/>
    <w:rsid w:val="004B11D2"/>
    <w:rsid w:val="004B2FAF"/>
    <w:rsid w:val="004B4602"/>
    <w:rsid w:val="004C0740"/>
    <w:rsid w:val="004C2801"/>
    <w:rsid w:val="004C41F1"/>
    <w:rsid w:val="004C4BA3"/>
    <w:rsid w:val="004C5000"/>
    <w:rsid w:val="004C58B3"/>
    <w:rsid w:val="004C6CEC"/>
    <w:rsid w:val="004C74BE"/>
    <w:rsid w:val="004D0B49"/>
    <w:rsid w:val="004D3E2A"/>
    <w:rsid w:val="004D6208"/>
    <w:rsid w:val="004D6466"/>
    <w:rsid w:val="004E32E2"/>
    <w:rsid w:val="004E3728"/>
    <w:rsid w:val="004E44EA"/>
    <w:rsid w:val="004E45F3"/>
    <w:rsid w:val="004E6FAC"/>
    <w:rsid w:val="004F3135"/>
    <w:rsid w:val="004F3D57"/>
    <w:rsid w:val="004F51E2"/>
    <w:rsid w:val="004F67EE"/>
    <w:rsid w:val="004F76A1"/>
    <w:rsid w:val="00500E81"/>
    <w:rsid w:val="00501111"/>
    <w:rsid w:val="005049C1"/>
    <w:rsid w:val="0051012D"/>
    <w:rsid w:val="00510CED"/>
    <w:rsid w:val="005113B7"/>
    <w:rsid w:val="00513F10"/>
    <w:rsid w:val="00514A3E"/>
    <w:rsid w:val="0051607F"/>
    <w:rsid w:val="005163CD"/>
    <w:rsid w:val="00516A95"/>
    <w:rsid w:val="0052014D"/>
    <w:rsid w:val="00521F36"/>
    <w:rsid w:val="005232D1"/>
    <w:rsid w:val="00524919"/>
    <w:rsid w:val="00524946"/>
    <w:rsid w:val="005254EE"/>
    <w:rsid w:val="005337C4"/>
    <w:rsid w:val="00534FD2"/>
    <w:rsid w:val="00536300"/>
    <w:rsid w:val="00536501"/>
    <w:rsid w:val="0053657F"/>
    <w:rsid w:val="005406D8"/>
    <w:rsid w:val="0054092B"/>
    <w:rsid w:val="0054366C"/>
    <w:rsid w:val="005439FC"/>
    <w:rsid w:val="00545264"/>
    <w:rsid w:val="00546324"/>
    <w:rsid w:val="00547A34"/>
    <w:rsid w:val="00550013"/>
    <w:rsid w:val="00550E29"/>
    <w:rsid w:val="00551701"/>
    <w:rsid w:val="00551A4A"/>
    <w:rsid w:val="00552162"/>
    <w:rsid w:val="005534C2"/>
    <w:rsid w:val="00555B4F"/>
    <w:rsid w:val="00556BD3"/>
    <w:rsid w:val="00561021"/>
    <w:rsid w:val="00562510"/>
    <w:rsid w:val="00563A8A"/>
    <w:rsid w:val="00564191"/>
    <w:rsid w:val="00564BD9"/>
    <w:rsid w:val="00566438"/>
    <w:rsid w:val="00567DA1"/>
    <w:rsid w:val="005711A4"/>
    <w:rsid w:val="005714FE"/>
    <w:rsid w:val="00571D0D"/>
    <w:rsid w:val="00572F5C"/>
    <w:rsid w:val="00575C08"/>
    <w:rsid w:val="00576D4C"/>
    <w:rsid w:val="0058083B"/>
    <w:rsid w:val="00581771"/>
    <w:rsid w:val="0058276B"/>
    <w:rsid w:val="00583094"/>
    <w:rsid w:val="005859B0"/>
    <w:rsid w:val="00594710"/>
    <w:rsid w:val="005971A1"/>
    <w:rsid w:val="005A121B"/>
    <w:rsid w:val="005A2218"/>
    <w:rsid w:val="005A4AA2"/>
    <w:rsid w:val="005A696B"/>
    <w:rsid w:val="005A77AE"/>
    <w:rsid w:val="005B15DB"/>
    <w:rsid w:val="005B27CE"/>
    <w:rsid w:val="005B28AD"/>
    <w:rsid w:val="005B30C4"/>
    <w:rsid w:val="005B4EA0"/>
    <w:rsid w:val="005B4F2A"/>
    <w:rsid w:val="005C6F1D"/>
    <w:rsid w:val="005C7C8A"/>
    <w:rsid w:val="005D079A"/>
    <w:rsid w:val="005D1369"/>
    <w:rsid w:val="005D2A52"/>
    <w:rsid w:val="005D365D"/>
    <w:rsid w:val="005D5235"/>
    <w:rsid w:val="005D6F03"/>
    <w:rsid w:val="005E4071"/>
    <w:rsid w:val="005E40BF"/>
    <w:rsid w:val="005E587F"/>
    <w:rsid w:val="005E58C9"/>
    <w:rsid w:val="005E69D2"/>
    <w:rsid w:val="005F0D14"/>
    <w:rsid w:val="005F31FF"/>
    <w:rsid w:val="005F3FC0"/>
    <w:rsid w:val="005F579B"/>
    <w:rsid w:val="006022DE"/>
    <w:rsid w:val="00602BBF"/>
    <w:rsid w:val="0060799A"/>
    <w:rsid w:val="00611F16"/>
    <w:rsid w:val="0061542A"/>
    <w:rsid w:val="00622F07"/>
    <w:rsid w:val="00625029"/>
    <w:rsid w:val="0062574B"/>
    <w:rsid w:val="00625C2F"/>
    <w:rsid w:val="0062721A"/>
    <w:rsid w:val="006277B7"/>
    <w:rsid w:val="006314F7"/>
    <w:rsid w:val="0063159A"/>
    <w:rsid w:val="0063412E"/>
    <w:rsid w:val="0063711E"/>
    <w:rsid w:val="00637BF2"/>
    <w:rsid w:val="006461FB"/>
    <w:rsid w:val="0065041C"/>
    <w:rsid w:val="00653C63"/>
    <w:rsid w:val="006540F7"/>
    <w:rsid w:val="00654DD8"/>
    <w:rsid w:val="00654EB3"/>
    <w:rsid w:val="0065707A"/>
    <w:rsid w:val="00657489"/>
    <w:rsid w:val="00661AE2"/>
    <w:rsid w:val="0066243C"/>
    <w:rsid w:val="006704B5"/>
    <w:rsid w:val="00677075"/>
    <w:rsid w:val="006775FD"/>
    <w:rsid w:val="006810BE"/>
    <w:rsid w:val="00681602"/>
    <w:rsid w:val="00681A80"/>
    <w:rsid w:val="00681DCA"/>
    <w:rsid w:val="006821B8"/>
    <w:rsid w:val="00682F04"/>
    <w:rsid w:val="00683F81"/>
    <w:rsid w:val="00686502"/>
    <w:rsid w:val="00686966"/>
    <w:rsid w:val="00690CAA"/>
    <w:rsid w:val="00692714"/>
    <w:rsid w:val="00692A94"/>
    <w:rsid w:val="00693A3D"/>
    <w:rsid w:val="00693D74"/>
    <w:rsid w:val="00694963"/>
    <w:rsid w:val="0069510C"/>
    <w:rsid w:val="006952E0"/>
    <w:rsid w:val="0069568D"/>
    <w:rsid w:val="00697F1C"/>
    <w:rsid w:val="006A2B54"/>
    <w:rsid w:val="006A2C85"/>
    <w:rsid w:val="006A37F7"/>
    <w:rsid w:val="006A3A3A"/>
    <w:rsid w:val="006A528B"/>
    <w:rsid w:val="006A65EE"/>
    <w:rsid w:val="006A73C3"/>
    <w:rsid w:val="006B1C43"/>
    <w:rsid w:val="006B277B"/>
    <w:rsid w:val="006B2B56"/>
    <w:rsid w:val="006B3BA7"/>
    <w:rsid w:val="006B4E09"/>
    <w:rsid w:val="006B7A4B"/>
    <w:rsid w:val="006B7C09"/>
    <w:rsid w:val="006C3A26"/>
    <w:rsid w:val="006C5501"/>
    <w:rsid w:val="006C7A55"/>
    <w:rsid w:val="006D0F2F"/>
    <w:rsid w:val="006D4ADF"/>
    <w:rsid w:val="006D66A8"/>
    <w:rsid w:val="006E04C9"/>
    <w:rsid w:val="006E1E36"/>
    <w:rsid w:val="006E2B8A"/>
    <w:rsid w:val="006E7E7B"/>
    <w:rsid w:val="006F0DC5"/>
    <w:rsid w:val="006F4ECF"/>
    <w:rsid w:val="006F536A"/>
    <w:rsid w:val="006F630E"/>
    <w:rsid w:val="00700F20"/>
    <w:rsid w:val="0070128F"/>
    <w:rsid w:val="0070249A"/>
    <w:rsid w:val="00702CC9"/>
    <w:rsid w:val="0070681D"/>
    <w:rsid w:val="00706F4C"/>
    <w:rsid w:val="00710583"/>
    <w:rsid w:val="00712E41"/>
    <w:rsid w:val="0071469A"/>
    <w:rsid w:val="00714804"/>
    <w:rsid w:val="00721BBB"/>
    <w:rsid w:val="00722C04"/>
    <w:rsid w:val="007240F8"/>
    <w:rsid w:val="00725825"/>
    <w:rsid w:val="00726915"/>
    <w:rsid w:val="007271EF"/>
    <w:rsid w:val="0073123D"/>
    <w:rsid w:val="00731262"/>
    <w:rsid w:val="00731BB9"/>
    <w:rsid w:val="007322BD"/>
    <w:rsid w:val="00733643"/>
    <w:rsid w:val="0073516E"/>
    <w:rsid w:val="00735BD5"/>
    <w:rsid w:val="00736B94"/>
    <w:rsid w:val="007413A0"/>
    <w:rsid w:val="00742C5B"/>
    <w:rsid w:val="00743C9C"/>
    <w:rsid w:val="0075216D"/>
    <w:rsid w:val="00752780"/>
    <w:rsid w:val="0075397E"/>
    <w:rsid w:val="007566B2"/>
    <w:rsid w:val="00756942"/>
    <w:rsid w:val="0076015A"/>
    <w:rsid w:val="0076097E"/>
    <w:rsid w:val="00763C68"/>
    <w:rsid w:val="00770C43"/>
    <w:rsid w:val="0077128C"/>
    <w:rsid w:val="00773783"/>
    <w:rsid w:val="00775286"/>
    <w:rsid w:val="007758C2"/>
    <w:rsid w:val="00776842"/>
    <w:rsid w:val="00783F4C"/>
    <w:rsid w:val="007843D9"/>
    <w:rsid w:val="00785B82"/>
    <w:rsid w:val="00785CE0"/>
    <w:rsid w:val="007921AA"/>
    <w:rsid w:val="00792C59"/>
    <w:rsid w:val="00796403"/>
    <w:rsid w:val="00796FAC"/>
    <w:rsid w:val="007A0897"/>
    <w:rsid w:val="007A0CA8"/>
    <w:rsid w:val="007A1549"/>
    <w:rsid w:val="007A1830"/>
    <w:rsid w:val="007A2699"/>
    <w:rsid w:val="007A3786"/>
    <w:rsid w:val="007A3C95"/>
    <w:rsid w:val="007A4227"/>
    <w:rsid w:val="007A66CE"/>
    <w:rsid w:val="007C06F6"/>
    <w:rsid w:val="007C393A"/>
    <w:rsid w:val="007C39A8"/>
    <w:rsid w:val="007D3733"/>
    <w:rsid w:val="007D54A8"/>
    <w:rsid w:val="007D688F"/>
    <w:rsid w:val="007D6B4F"/>
    <w:rsid w:val="007D7ABA"/>
    <w:rsid w:val="007D7FCB"/>
    <w:rsid w:val="007E00E9"/>
    <w:rsid w:val="007E26C5"/>
    <w:rsid w:val="007E51B5"/>
    <w:rsid w:val="007E6449"/>
    <w:rsid w:val="007E6F3A"/>
    <w:rsid w:val="007F2437"/>
    <w:rsid w:val="007F4FD4"/>
    <w:rsid w:val="007F6C7D"/>
    <w:rsid w:val="007F79BB"/>
    <w:rsid w:val="007F7D00"/>
    <w:rsid w:val="008013E0"/>
    <w:rsid w:val="0080530A"/>
    <w:rsid w:val="00806E4E"/>
    <w:rsid w:val="00812D17"/>
    <w:rsid w:val="008132E6"/>
    <w:rsid w:val="008137B7"/>
    <w:rsid w:val="0081471D"/>
    <w:rsid w:val="00815A49"/>
    <w:rsid w:val="00815A6D"/>
    <w:rsid w:val="0081759E"/>
    <w:rsid w:val="00821E53"/>
    <w:rsid w:val="00822107"/>
    <w:rsid w:val="008236A7"/>
    <w:rsid w:val="00823983"/>
    <w:rsid w:val="008244E9"/>
    <w:rsid w:val="008246F0"/>
    <w:rsid w:val="00825A7E"/>
    <w:rsid w:val="008364D7"/>
    <w:rsid w:val="00836954"/>
    <w:rsid w:val="008378B3"/>
    <w:rsid w:val="008419EB"/>
    <w:rsid w:val="0084231A"/>
    <w:rsid w:val="00844748"/>
    <w:rsid w:val="008450CB"/>
    <w:rsid w:val="0084569F"/>
    <w:rsid w:val="00845B0C"/>
    <w:rsid w:val="00847548"/>
    <w:rsid w:val="00847F34"/>
    <w:rsid w:val="008568AF"/>
    <w:rsid w:val="008701DD"/>
    <w:rsid w:val="0087059B"/>
    <w:rsid w:val="00875938"/>
    <w:rsid w:val="00876AA4"/>
    <w:rsid w:val="0088191F"/>
    <w:rsid w:val="00881A20"/>
    <w:rsid w:val="00884AA9"/>
    <w:rsid w:val="0088594D"/>
    <w:rsid w:val="00887600"/>
    <w:rsid w:val="00890549"/>
    <w:rsid w:val="00893586"/>
    <w:rsid w:val="008964A6"/>
    <w:rsid w:val="00896EF5"/>
    <w:rsid w:val="008979C4"/>
    <w:rsid w:val="00897F62"/>
    <w:rsid w:val="008A068C"/>
    <w:rsid w:val="008A06BB"/>
    <w:rsid w:val="008A5D4A"/>
    <w:rsid w:val="008A6412"/>
    <w:rsid w:val="008B09CC"/>
    <w:rsid w:val="008B269B"/>
    <w:rsid w:val="008B5B54"/>
    <w:rsid w:val="008B6795"/>
    <w:rsid w:val="008C2499"/>
    <w:rsid w:val="008C5D01"/>
    <w:rsid w:val="008D013E"/>
    <w:rsid w:val="008D4A52"/>
    <w:rsid w:val="008D591C"/>
    <w:rsid w:val="008D6156"/>
    <w:rsid w:val="008E1082"/>
    <w:rsid w:val="008E1824"/>
    <w:rsid w:val="008E273E"/>
    <w:rsid w:val="008E3072"/>
    <w:rsid w:val="008E5F0F"/>
    <w:rsid w:val="008E6338"/>
    <w:rsid w:val="008F030E"/>
    <w:rsid w:val="008F12D5"/>
    <w:rsid w:val="008F1791"/>
    <w:rsid w:val="008F1DEE"/>
    <w:rsid w:val="008F2638"/>
    <w:rsid w:val="008F272B"/>
    <w:rsid w:val="008F4D73"/>
    <w:rsid w:val="008F5DBC"/>
    <w:rsid w:val="008F65E8"/>
    <w:rsid w:val="008F7345"/>
    <w:rsid w:val="0090035E"/>
    <w:rsid w:val="00901270"/>
    <w:rsid w:val="009024FE"/>
    <w:rsid w:val="009063FE"/>
    <w:rsid w:val="00906C30"/>
    <w:rsid w:val="009119B1"/>
    <w:rsid w:val="00911E1E"/>
    <w:rsid w:val="00915243"/>
    <w:rsid w:val="00916C4A"/>
    <w:rsid w:val="009205A3"/>
    <w:rsid w:val="0092079F"/>
    <w:rsid w:val="0092155D"/>
    <w:rsid w:val="009241BC"/>
    <w:rsid w:val="00924849"/>
    <w:rsid w:val="00925AC9"/>
    <w:rsid w:val="009264C1"/>
    <w:rsid w:val="00927DF9"/>
    <w:rsid w:val="0093212C"/>
    <w:rsid w:val="009341CE"/>
    <w:rsid w:val="00937BCB"/>
    <w:rsid w:val="00944901"/>
    <w:rsid w:val="00944F01"/>
    <w:rsid w:val="00952EE1"/>
    <w:rsid w:val="00953FD5"/>
    <w:rsid w:val="009556C0"/>
    <w:rsid w:val="009561A7"/>
    <w:rsid w:val="00956768"/>
    <w:rsid w:val="00960167"/>
    <w:rsid w:val="0096065D"/>
    <w:rsid w:val="00961D19"/>
    <w:rsid w:val="0096226B"/>
    <w:rsid w:val="0096344E"/>
    <w:rsid w:val="009640DE"/>
    <w:rsid w:val="00966209"/>
    <w:rsid w:val="00966E8D"/>
    <w:rsid w:val="0096737F"/>
    <w:rsid w:val="009706D6"/>
    <w:rsid w:val="00973172"/>
    <w:rsid w:val="00973E5A"/>
    <w:rsid w:val="00974A01"/>
    <w:rsid w:val="00974EF6"/>
    <w:rsid w:val="00975DF5"/>
    <w:rsid w:val="009779EE"/>
    <w:rsid w:val="0098172F"/>
    <w:rsid w:val="00984316"/>
    <w:rsid w:val="009863D7"/>
    <w:rsid w:val="00986B33"/>
    <w:rsid w:val="00987AD5"/>
    <w:rsid w:val="009910C6"/>
    <w:rsid w:val="009910EA"/>
    <w:rsid w:val="00992C12"/>
    <w:rsid w:val="00993B8E"/>
    <w:rsid w:val="00995A1A"/>
    <w:rsid w:val="00995F7D"/>
    <w:rsid w:val="00997899"/>
    <w:rsid w:val="009A2C6F"/>
    <w:rsid w:val="009A3DFF"/>
    <w:rsid w:val="009A6CD1"/>
    <w:rsid w:val="009B032A"/>
    <w:rsid w:val="009B0B3D"/>
    <w:rsid w:val="009B17B2"/>
    <w:rsid w:val="009B54F3"/>
    <w:rsid w:val="009B628B"/>
    <w:rsid w:val="009B6A4A"/>
    <w:rsid w:val="009B7138"/>
    <w:rsid w:val="009C1022"/>
    <w:rsid w:val="009C46FB"/>
    <w:rsid w:val="009C68B2"/>
    <w:rsid w:val="009C7297"/>
    <w:rsid w:val="009C76DF"/>
    <w:rsid w:val="009D06C4"/>
    <w:rsid w:val="009D17B4"/>
    <w:rsid w:val="009D28A0"/>
    <w:rsid w:val="009D6F98"/>
    <w:rsid w:val="009E06DC"/>
    <w:rsid w:val="009E1F7B"/>
    <w:rsid w:val="009E1F9D"/>
    <w:rsid w:val="009E6099"/>
    <w:rsid w:val="009F1BA9"/>
    <w:rsid w:val="009F2325"/>
    <w:rsid w:val="009F52D3"/>
    <w:rsid w:val="009F61D2"/>
    <w:rsid w:val="00A0062C"/>
    <w:rsid w:val="00A01D61"/>
    <w:rsid w:val="00A0320D"/>
    <w:rsid w:val="00A06F20"/>
    <w:rsid w:val="00A11CEA"/>
    <w:rsid w:val="00A126C4"/>
    <w:rsid w:val="00A140AA"/>
    <w:rsid w:val="00A1530F"/>
    <w:rsid w:val="00A164DD"/>
    <w:rsid w:val="00A17BE2"/>
    <w:rsid w:val="00A20427"/>
    <w:rsid w:val="00A2052F"/>
    <w:rsid w:val="00A2054E"/>
    <w:rsid w:val="00A218DB"/>
    <w:rsid w:val="00A224C4"/>
    <w:rsid w:val="00A2449D"/>
    <w:rsid w:val="00A25B85"/>
    <w:rsid w:val="00A263C1"/>
    <w:rsid w:val="00A264A4"/>
    <w:rsid w:val="00A266D5"/>
    <w:rsid w:val="00A2730C"/>
    <w:rsid w:val="00A3434F"/>
    <w:rsid w:val="00A349D5"/>
    <w:rsid w:val="00A406F6"/>
    <w:rsid w:val="00A40938"/>
    <w:rsid w:val="00A40EBA"/>
    <w:rsid w:val="00A449C9"/>
    <w:rsid w:val="00A461DA"/>
    <w:rsid w:val="00A46228"/>
    <w:rsid w:val="00A51DE9"/>
    <w:rsid w:val="00A53811"/>
    <w:rsid w:val="00A5667B"/>
    <w:rsid w:val="00A5671A"/>
    <w:rsid w:val="00A6054B"/>
    <w:rsid w:val="00A60810"/>
    <w:rsid w:val="00A63A65"/>
    <w:rsid w:val="00A65C2B"/>
    <w:rsid w:val="00A70315"/>
    <w:rsid w:val="00A741D5"/>
    <w:rsid w:val="00A747FB"/>
    <w:rsid w:val="00A74C14"/>
    <w:rsid w:val="00A75507"/>
    <w:rsid w:val="00A7775A"/>
    <w:rsid w:val="00A80109"/>
    <w:rsid w:val="00A841E8"/>
    <w:rsid w:val="00A91EDE"/>
    <w:rsid w:val="00A97666"/>
    <w:rsid w:val="00AA3F69"/>
    <w:rsid w:val="00AA5994"/>
    <w:rsid w:val="00AA7779"/>
    <w:rsid w:val="00AA78BC"/>
    <w:rsid w:val="00AB2DAE"/>
    <w:rsid w:val="00AB65D1"/>
    <w:rsid w:val="00AB65FD"/>
    <w:rsid w:val="00AB6B99"/>
    <w:rsid w:val="00AB7220"/>
    <w:rsid w:val="00AB7475"/>
    <w:rsid w:val="00AC104D"/>
    <w:rsid w:val="00AC10AF"/>
    <w:rsid w:val="00AC16D3"/>
    <w:rsid w:val="00AC3E22"/>
    <w:rsid w:val="00AC3F26"/>
    <w:rsid w:val="00AC49FC"/>
    <w:rsid w:val="00AC5CF5"/>
    <w:rsid w:val="00AD6223"/>
    <w:rsid w:val="00AE02CB"/>
    <w:rsid w:val="00AE2046"/>
    <w:rsid w:val="00AE4243"/>
    <w:rsid w:val="00AF025E"/>
    <w:rsid w:val="00AF08D2"/>
    <w:rsid w:val="00AF22BA"/>
    <w:rsid w:val="00B047BD"/>
    <w:rsid w:val="00B05F4D"/>
    <w:rsid w:val="00B069A5"/>
    <w:rsid w:val="00B07E21"/>
    <w:rsid w:val="00B145BB"/>
    <w:rsid w:val="00B15AA2"/>
    <w:rsid w:val="00B209AD"/>
    <w:rsid w:val="00B21024"/>
    <w:rsid w:val="00B2584D"/>
    <w:rsid w:val="00B25EBB"/>
    <w:rsid w:val="00B26279"/>
    <w:rsid w:val="00B33321"/>
    <w:rsid w:val="00B33D99"/>
    <w:rsid w:val="00B35226"/>
    <w:rsid w:val="00B358C7"/>
    <w:rsid w:val="00B36481"/>
    <w:rsid w:val="00B36FA5"/>
    <w:rsid w:val="00B4165E"/>
    <w:rsid w:val="00B435D4"/>
    <w:rsid w:val="00B44CCD"/>
    <w:rsid w:val="00B45FFB"/>
    <w:rsid w:val="00B47406"/>
    <w:rsid w:val="00B51339"/>
    <w:rsid w:val="00B52176"/>
    <w:rsid w:val="00B541BD"/>
    <w:rsid w:val="00B54BE8"/>
    <w:rsid w:val="00B61596"/>
    <w:rsid w:val="00B62301"/>
    <w:rsid w:val="00B63B4B"/>
    <w:rsid w:val="00B64986"/>
    <w:rsid w:val="00B717C6"/>
    <w:rsid w:val="00B72F69"/>
    <w:rsid w:val="00B734BF"/>
    <w:rsid w:val="00B76D5A"/>
    <w:rsid w:val="00B80BAA"/>
    <w:rsid w:val="00B80C52"/>
    <w:rsid w:val="00B8213C"/>
    <w:rsid w:val="00B822F0"/>
    <w:rsid w:val="00B8274A"/>
    <w:rsid w:val="00B841C3"/>
    <w:rsid w:val="00B859D8"/>
    <w:rsid w:val="00B86F23"/>
    <w:rsid w:val="00B94CD0"/>
    <w:rsid w:val="00B95FDD"/>
    <w:rsid w:val="00B96E32"/>
    <w:rsid w:val="00BA21E5"/>
    <w:rsid w:val="00BA4907"/>
    <w:rsid w:val="00BA4D86"/>
    <w:rsid w:val="00BB4DA2"/>
    <w:rsid w:val="00BC1754"/>
    <w:rsid w:val="00BC19E4"/>
    <w:rsid w:val="00BD37B9"/>
    <w:rsid w:val="00BD5FBC"/>
    <w:rsid w:val="00BE0565"/>
    <w:rsid w:val="00BE246D"/>
    <w:rsid w:val="00BE269E"/>
    <w:rsid w:val="00BE27AE"/>
    <w:rsid w:val="00BF17AA"/>
    <w:rsid w:val="00BF4553"/>
    <w:rsid w:val="00BF74D5"/>
    <w:rsid w:val="00C01CB5"/>
    <w:rsid w:val="00C0396B"/>
    <w:rsid w:val="00C10105"/>
    <w:rsid w:val="00C106AE"/>
    <w:rsid w:val="00C10878"/>
    <w:rsid w:val="00C111B4"/>
    <w:rsid w:val="00C11A3A"/>
    <w:rsid w:val="00C1370F"/>
    <w:rsid w:val="00C14561"/>
    <w:rsid w:val="00C15A80"/>
    <w:rsid w:val="00C1616C"/>
    <w:rsid w:val="00C1669D"/>
    <w:rsid w:val="00C20B0E"/>
    <w:rsid w:val="00C20BF0"/>
    <w:rsid w:val="00C2101B"/>
    <w:rsid w:val="00C2133A"/>
    <w:rsid w:val="00C23884"/>
    <w:rsid w:val="00C24556"/>
    <w:rsid w:val="00C25F5B"/>
    <w:rsid w:val="00C279DD"/>
    <w:rsid w:val="00C30AC5"/>
    <w:rsid w:val="00C34648"/>
    <w:rsid w:val="00C34740"/>
    <w:rsid w:val="00C37C7E"/>
    <w:rsid w:val="00C42E2B"/>
    <w:rsid w:val="00C43401"/>
    <w:rsid w:val="00C458AE"/>
    <w:rsid w:val="00C474C9"/>
    <w:rsid w:val="00C4757E"/>
    <w:rsid w:val="00C47C7E"/>
    <w:rsid w:val="00C53190"/>
    <w:rsid w:val="00C55D33"/>
    <w:rsid w:val="00C57A90"/>
    <w:rsid w:val="00C57C2C"/>
    <w:rsid w:val="00C620E9"/>
    <w:rsid w:val="00C65093"/>
    <w:rsid w:val="00C65CFD"/>
    <w:rsid w:val="00C66A60"/>
    <w:rsid w:val="00C67B75"/>
    <w:rsid w:val="00C72D02"/>
    <w:rsid w:val="00C7521B"/>
    <w:rsid w:val="00C757D5"/>
    <w:rsid w:val="00C758C5"/>
    <w:rsid w:val="00C760C0"/>
    <w:rsid w:val="00C76A0C"/>
    <w:rsid w:val="00C8067E"/>
    <w:rsid w:val="00C80706"/>
    <w:rsid w:val="00C80A16"/>
    <w:rsid w:val="00C81FFA"/>
    <w:rsid w:val="00C859D0"/>
    <w:rsid w:val="00C86308"/>
    <w:rsid w:val="00C90D98"/>
    <w:rsid w:val="00C914D3"/>
    <w:rsid w:val="00C91FC3"/>
    <w:rsid w:val="00CA17AC"/>
    <w:rsid w:val="00CA28C2"/>
    <w:rsid w:val="00CA386F"/>
    <w:rsid w:val="00CA4106"/>
    <w:rsid w:val="00CA448D"/>
    <w:rsid w:val="00CA54DC"/>
    <w:rsid w:val="00CB170A"/>
    <w:rsid w:val="00CB4FEF"/>
    <w:rsid w:val="00CB553F"/>
    <w:rsid w:val="00CB766C"/>
    <w:rsid w:val="00CC0D60"/>
    <w:rsid w:val="00CC2410"/>
    <w:rsid w:val="00CC4ABB"/>
    <w:rsid w:val="00CC679C"/>
    <w:rsid w:val="00CC726C"/>
    <w:rsid w:val="00CC7874"/>
    <w:rsid w:val="00CC7E6B"/>
    <w:rsid w:val="00CD10DD"/>
    <w:rsid w:val="00CD2C38"/>
    <w:rsid w:val="00CD2FBE"/>
    <w:rsid w:val="00CD383C"/>
    <w:rsid w:val="00CE18A4"/>
    <w:rsid w:val="00CE304A"/>
    <w:rsid w:val="00CE507A"/>
    <w:rsid w:val="00CE682C"/>
    <w:rsid w:val="00CF3545"/>
    <w:rsid w:val="00CF6806"/>
    <w:rsid w:val="00CF7BB2"/>
    <w:rsid w:val="00D020FB"/>
    <w:rsid w:val="00D03570"/>
    <w:rsid w:val="00D03955"/>
    <w:rsid w:val="00D043E9"/>
    <w:rsid w:val="00D06679"/>
    <w:rsid w:val="00D0692F"/>
    <w:rsid w:val="00D071B5"/>
    <w:rsid w:val="00D07D46"/>
    <w:rsid w:val="00D07F9C"/>
    <w:rsid w:val="00D10F95"/>
    <w:rsid w:val="00D11B1D"/>
    <w:rsid w:val="00D12442"/>
    <w:rsid w:val="00D13939"/>
    <w:rsid w:val="00D17C6C"/>
    <w:rsid w:val="00D217B5"/>
    <w:rsid w:val="00D231F6"/>
    <w:rsid w:val="00D235AB"/>
    <w:rsid w:val="00D23937"/>
    <w:rsid w:val="00D24C20"/>
    <w:rsid w:val="00D24FF2"/>
    <w:rsid w:val="00D25019"/>
    <w:rsid w:val="00D251CC"/>
    <w:rsid w:val="00D27B24"/>
    <w:rsid w:val="00D31CB9"/>
    <w:rsid w:val="00D36099"/>
    <w:rsid w:val="00D41A9C"/>
    <w:rsid w:val="00D46829"/>
    <w:rsid w:val="00D51A11"/>
    <w:rsid w:val="00D532A8"/>
    <w:rsid w:val="00D53BAD"/>
    <w:rsid w:val="00D56AA6"/>
    <w:rsid w:val="00D604C9"/>
    <w:rsid w:val="00D620D4"/>
    <w:rsid w:val="00D63CF7"/>
    <w:rsid w:val="00D72993"/>
    <w:rsid w:val="00D8312B"/>
    <w:rsid w:val="00D84579"/>
    <w:rsid w:val="00D845F9"/>
    <w:rsid w:val="00D8647F"/>
    <w:rsid w:val="00D86C4D"/>
    <w:rsid w:val="00D874E4"/>
    <w:rsid w:val="00D87725"/>
    <w:rsid w:val="00D91745"/>
    <w:rsid w:val="00D92B89"/>
    <w:rsid w:val="00D930F9"/>
    <w:rsid w:val="00D94F60"/>
    <w:rsid w:val="00D95DF1"/>
    <w:rsid w:val="00D97027"/>
    <w:rsid w:val="00DA07D9"/>
    <w:rsid w:val="00DA16D4"/>
    <w:rsid w:val="00DA1C82"/>
    <w:rsid w:val="00DA1D20"/>
    <w:rsid w:val="00DB19BC"/>
    <w:rsid w:val="00DB1F60"/>
    <w:rsid w:val="00DB2248"/>
    <w:rsid w:val="00DB3448"/>
    <w:rsid w:val="00DB3A00"/>
    <w:rsid w:val="00DB7A88"/>
    <w:rsid w:val="00DC030F"/>
    <w:rsid w:val="00DD1437"/>
    <w:rsid w:val="00DD28AA"/>
    <w:rsid w:val="00DD3DFF"/>
    <w:rsid w:val="00DD4378"/>
    <w:rsid w:val="00DD55CB"/>
    <w:rsid w:val="00DD5A59"/>
    <w:rsid w:val="00DD6E77"/>
    <w:rsid w:val="00DD7AB7"/>
    <w:rsid w:val="00DE0460"/>
    <w:rsid w:val="00DE242A"/>
    <w:rsid w:val="00DE414C"/>
    <w:rsid w:val="00DE4757"/>
    <w:rsid w:val="00DE4F8C"/>
    <w:rsid w:val="00DE7194"/>
    <w:rsid w:val="00DF0428"/>
    <w:rsid w:val="00DF09AA"/>
    <w:rsid w:val="00DF2375"/>
    <w:rsid w:val="00DF2E05"/>
    <w:rsid w:val="00DF4499"/>
    <w:rsid w:val="00E05BB3"/>
    <w:rsid w:val="00E069F2"/>
    <w:rsid w:val="00E06ECD"/>
    <w:rsid w:val="00E07EFC"/>
    <w:rsid w:val="00E1208C"/>
    <w:rsid w:val="00E122FB"/>
    <w:rsid w:val="00E15FA5"/>
    <w:rsid w:val="00E16BB9"/>
    <w:rsid w:val="00E2015A"/>
    <w:rsid w:val="00E246E8"/>
    <w:rsid w:val="00E263B6"/>
    <w:rsid w:val="00E263DF"/>
    <w:rsid w:val="00E2649B"/>
    <w:rsid w:val="00E26BCF"/>
    <w:rsid w:val="00E27572"/>
    <w:rsid w:val="00E338E7"/>
    <w:rsid w:val="00E3561C"/>
    <w:rsid w:val="00E35C59"/>
    <w:rsid w:val="00E4035D"/>
    <w:rsid w:val="00E441DA"/>
    <w:rsid w:val="00E45180"/>
    <w:rsid w:val="00E465D0"/>
    <w:rsid w:val="00E46E17"/>
    <w:rsid w:val="00E472CF"/>
    <w:rsid w:val="00E5216D"/>
    <w:rsid w:val="00E538BA"/>
    <w:rsid w:val="00E538FC"/>
    <w:rsid w:val="00E57F4B"/>
    <w:rsid w:val="00E61443"/>
    <w:rsid w:val="00E65A9B"/>
    <w:rsid w:val="00E65B00"/>
    <w:rsid w:val="00E700E2"/>
    <w:rsid w:val="00E71BEB"/>
    <w:rsid w:val="00E732D4"/>
    <w:rsid w:val="00E74A11"/>
    <w:rsid w:val="00E80204"/>
    <w:rsid w:val="00E8120C"/>
    <w:rsid w:val="00E8201D"/>
    <w:rsid w:val="00E83FBB"/>
    <w:rsid w:val="00E91DCC"/>
    <w:rsid w:val="00E91ED2"/>
    <w:rsid w:val="00E92376"/>
    <w:rsid w:val="00E9277A"/>
    <w:rsid w:val="00E9370B"/>
    <w:rsid w:val="00E9503A"/>
    <w:rsid w:val="00E97E48"/>
    <w:rsid w:val="00EA63FD"/>
    <w:rsid w:val="00EA6C87"/>
    <w:rsid w:val="00EA78E8"/>
    <w:rsid w:val="00EB0164"/>
    <w:rsid w:val="00EB2C70"/>
    <w:rsid w:val="00EB3155"/>
    <w:rsid w:val="00EB427D"/>
    <w:rsid w:val="00EB5674"/>
    <w:rsid w:val="00EB7B69"/>
    <w:rsid w:val="00EC1B8C"/>
    <w:rsid w:val="00EC643E"/>
    <w:rsid w:val="00EC76A2"/>
    <w:rsid w:val="00ED379D"/>
    <w:rsid w:val="00ED75E0"/>
    <w:rsid w:val="00EE0EC9"/>
    <w:rsid w:val="00EE439F"/>
    <w:rsid w:val="00EE5192"/>
    <w:rsid w:val="00EE6537"/>
    <w:rsid w:val="00EE69AC"/>
    <w:rsid w:val="00EF12CC"/>
    <w:rsid w:val="00EF1AA0"/>
    <w:rsid w:val="00EF2685"/>
    <w:rsid w:val="00EF4511"/>
    <w:rsid w:val="00EF4E47"/>
    <w:rsid w:val="00EF64C1"/>
    <w:rsid w:val="00F02AC7"/>
    <w:rsid w:val="00F02F39"/>
    <w:rsid w:val="00F047C0"/>
    <w:rsid w:val="00F0517C"/>
    <w:rsid w:val="00F06E13"/>
    <w:rsid w:val="00F13771"/>
    <w:rsid w:val="00F170D5"/>
    <w:rsid w:val="00F17509"/>
    <w:rsid w:val="00F177A0"/>
    <w:rsid w:val="00F20062"/>
    <w:rsid w:val="00F21BFC"/>
    <w:rsid w:val="00F21C0D"/>
    <w:rsid w:val="00F21C58"/>
    <w:rsid w:val="00F22495"/>
    <w:rsid w:val="00F32F63"/>
    <w:rsid w:val="00F35147"/>
    <w:rsid w:val="00F4461C"/>
    <w:rsid w:val="00F507BA"/>
    <w:rsid w:val="00F52192"/>
    <w:rsid w:val="00F55C48"/>
    <w:rsid w:val="00F575C9"/>
    <w:rsid w:val="00F60B79"/>
    <w:rsid w:val="00F678F7"/>
    <w:rsid w:val="00F7108C"/>
    <w:rsid w:val="00F71880"/>
    <w:rsid w:val="00F7590D"/>
    <w:rsid w:val="00F77628"/>
    <w:rsid w:val="00F83D92"/>
    <w:rsid w:val="00F848DA"/>
    <w:rsid w:val="00F85EDA"/>
    <w:rsid w:val="00F864D0"/>
    <w:rsid w:val="00F95004"/>
    <w:rsid w:val="00F95665"/>
    <w:rsid w:val="00F9626E"/>
    <w:rsid w:val="00F965ED"/>
    <w:rsid w:val="00F96A01"/>
    <w:rsid w:val="00F96BBE"/>
    <w:rsid w:val="00FA099E"/>
    <w:rsid w:val="00FA1C30"/>
    <w:rsid w:val="00FA40CF"/>
    <w:rsid w:val="00FA46B6"/>
    <w:rsid w:val="00FA5972"/>
    <w:rsid w:val="00FA6BFA"/>
    <w:rsid w:val="00FB23AF"/>
    <w:rsid w:val="00FB4A9A"/>
    <w:rsid w:val="00FB7126"/>
    <w:rsid w:val="00FB77C8"/>
    <w:rsid w:val="00FC0013"/>
    <w:rsid w:val="00FC0FC5"/>
    <w:rsid w:val="00FC1D31"/>
    <w:rsid w:val="00FC24AE"/>
    <w:rsid w:val="00FC38A2"/>
    <w:rsid w:val="00FC49CD"/>
    <w:rsid w:val="00FC4BC2"/>
    <w:rsid w:val="00FC61F3"/>
    <w:rsid w:val="00FC6B3A"/>
    <w:rsid w:val="00FD02F7"/>
    <w:rsid w:val="00FD422A"/>
    <w:rsid w:val="00FD4880"/>
    <w:rsid w:val="00FD49D2"/>
    <w:rsid w:val="00FD5EED"/>
    <w:rsid w:val="00FE0499"/>
    <w:rsid w:val="00FE06E9"/>
    <w:rsid w:val="00FE19D7"/>
    <w:rsid w:val="00FE2D16"/>
    <w:rsid w:val="00FE32BA"/>
    <w:rsid w:val="00FE4AFB"/>
    <w:rsid w:val="00FE55EB"/>
    <w:rsid w:val="00FE56EA"/>
    <w:rsid w:val="00FF0878"/>
    <w:rsid w:val="00FF2FB5"/>
    <w:rsid w:val="00FF60DB"/>
    <w:rsid w:val="00FF6C30"/>
    <w:rsid w:val="00FF6D4A"/>
    <w:rsid w:val="112CE815"/>
    <w:rsid w:val="2510A387"/>
    <w:rsid w:val="2AE673E4"/>
    <w:rsid w:val="3FC3D50B"/>
    <w:rsid w:val="47590158"/>
    <w:rsid w:val="52DBB9BB"/>
    <w:rsid w:val="59218F0C"/>
    <w:rsid w:val="6DBE9E4C"/>
    <w:rsid w:val="74CDC809"/>
    <w:rsid w:val="76A618CD"/>
    <w:rsid w:val="7730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24660"/>
  <w15:docId w15:val="{9087D1E9-E1EA-45D2-8E28-EC4DE44C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Titre1">
    <w:name w:val="heading 1"/>
    <w:basedOn w:val="Normal"/>
    <w:next w:val="Text1"/>
    <w:link w:val="Titre1Car"/>
    <w:uiPriority w:val="9"/>
    <w:qFormat/>
    <w:pPr>
      <w:keepNext/>
      <w:numPr>
        <w:numId w:val="3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Titre2">
    <w:name w:val="heading 2"/>
    <w:basedOn w:val="Normal"/>
    <w:next w:val="Text1"/>
    <w:link w:val="Titre2Car"/>
    <w:uiPriority w:val="9"/>
    <w:semiHidden/>
    <w:unhideWhenUsed/>
    <w:qFormat/>
    <w:pPr>
      <w:keepNext/>
      <w:numPr>
        <w:ilvl w:val="1"/>
        <w:numId w:val="33"/>
      </w:numPr>
      <w:outlineLvl w:val="1"/>
    </w:pPr>
    <w:rPr>
      <w:rFonts w:eastAsiaTheme="majorEastAsia"/>
      <w:b/>
      <w:bCs/>
      <w:szCs w:val="26"/>
    </w:rPr>
  </w:style>
  <w:style w:type="paragraph" w:styleId="Titre3">
    <w:name w:val="heading 3"/>
    <w:basedOn w:val="Normal"/>
    <w:next w:val="Text1"/>
    <w:link w:val="Titre3Car"/>
    <w:uiPriority w:val="9"/>
    <w:semiHidden/>
    <w:unhideWhenUsed/>
    <w:qFormat/>
    <w:pPr>
      <w:keepNext/>
      <w:numPr>
        <w:ilvl w:val="2"/>
        <w:numId w:val="33"/>
      </w:numPr>
      <w:outlineLvl w:val="2"/>
    </w:pPr>
    <w:rPr>
      <w:rFonts w:eastAsiaTheme="majorEastAsia"/>
      <w:bCs/>
      <w:i/>
    </w:rPr>
  </w:style>
  <w:style w:type="paragraph" w:styleId="Titre4">
    <w:name w:val="heading 4"/>
    <w:basedOn w:val="Normal"/>
    <w:next w:val="Text1"/>
    <w:link w:val="Titre4Car"/>
    <w:uiPriority w:val="9"/>
    <w:semiHidden/>
    <w:unhideWhenUsed/>
    <w:qFormat/>
    <w:pPr>
      <w:keepNext/>
      <w:numPr>
        <w:ilvl w:val="3"/>
        <w:numId w:val="33"/>
      </w:numPr>
      <w:outlineLvl w:val="3"/>
    </w:pPr>
    <w:rPr>
      <w:rFonts w:eastAsiaTheme="majorEastAsia"/>
      <w:bCs/>
      <w:iCs/>
    </w:rPr>
  </w:style>
  <w:style w:type="paragraph" w:styleId="Titre5">
    <w:name w:val="heading 5"/>
    <w:basedOn w:val="Normal"/>
    <w:next w:val="Text2"/>
    <w:link w:val="Titre5Car"/>
    <w:uiPriority w:val="9"/>
    <w:semiHidden/>
    <w:unhideWhenUsed/>
    <w:qFormat/>
    <w:pPr>
      <w:keepNext/>
      <w:numPr>
        <w:ilvl w:val="4"/>
        <w:numId w:val="33"/>
      </w:numPr>
      <w:outlineLvl w:val="4"/>
    </w:pPr>
    <w:rPr>
      <w:rFonts w:eastAsiaTheme="majorEastAsia"/>
    </w:rPr>
  </w:style>
  <w:style w:type="paragraph" w:styleId="Titre6">
    <w:name w:val="heading 6"/>
    <w:basedOn w:val="Normal"/>
    <w:next w:val="Text2"/>
    <w:link w:val="Titre6Car"/>
    <w:uiPriority w:val="9"/>
    <w:semiHidden/>
    <w:unhideWhenUsed/>
    <w:qFormat/>
    <w:pPr>
      <w:keepNext/>
      <w:numPr>
        <w:ilvl w:val="5"/>
        <w:numId w:val="33"/>
      </w:numPr>
      <w:outlineLvl w:val="5"/>
    </w:pPr>
    <w:rPr>
      <w:rFonts w:eastAsiaTheme="majorEastAsia"/>
      <w:iCs/>
    </w:rPr>
  </w:style>
  <w:style w:type="paragraph" w:styleId="Titre7">
    <w:name w:val="heading 7"/>
    <w:basedOn w:val="Normal"/>
    <w:next w:val="Text2"/>
    <w:link w:val="Titre7Car"/>
    <w:uiPriority w:val="9"/>
    <w:semiHidden/>
    <w:unhideWhenUsed/>
    <w:qFormat/>
    <w:pPr>
      <w:keepNext/>
      <w:numPr>
        <w:ilvl w:val="6"/>
        <w:numId w:val="33"/>
      </w:numPr>
      <w:outlineLvl w:val="6"/>
    </w:pPr>
    <w:rPr>
      <w:rFonts w:eastAsiaTheme="majorEastAsia"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semiHidden/>
    <w:unhideWhenUsed/>
    <w:rsid w:val="005A121B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5A121B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5A121B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5A121B"/>
    <w:pPr>
      <w:numPr>
        <w:numId w:val="4"/>
      </w:num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A12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A121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A121B"/>
    <w:rPr>
      <w:rFonts w:ascii="Times New Roman" w:hAnsi="Times New Roman" w:cs="Times New Roman"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121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21B"/>
    <w:rPr>
      <w:rFonts w:ascii="Segoe UI" w:hAnsi="Segoe UI" w:cs="Segoe UI"/>
      <w:sz w:val="18"/>
      <w:szCs w:val="18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65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65D1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vision">
    <w:name w:val="Revision"/>
    <w:hidden/>
    <w:uiPriority w:val="99"/>
    <w:semiHidden/>
    <w:rsid w:val="0062574B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667B3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4667B3"/>
    <w:pPr>
      <w:spacing w:after="0"/>
    </w:pPr>
  </w:style>
  <w:style w:type="paragraph" w:styleId="Listenumros">
    <w:name w:val="List Number"/>
    <w:basedOn w:val="Normal"/>
    <w:uiPriority w:val="99"/>
    <w:semiHidden/>
    <w:unhideWhenUsed/>
    <w:rsid w:val="004667B3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4667B3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4667B3"/>
    <w:pPr>
      <w:numPr>
        <w:numId w:val="7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4667B3"/>
    <w:pPr>
      <w:numPr>
        <w:numId w:val="8"/>
      </w:numPr>
      <w:contextualSpacing/>
    </w:pPr>
  </w:style>
  <w:style w:type="character" w:styleId="Lienhypertexte">
    <w:name w:val="Hyperlink"/>
    <w:basedOn w:val="Policepardfaut"/>
    <w:uiPriority w:val="99"/>
    <w:unhideWhenUsed/>
    <w:rsid w:val="00FB4A9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C68B2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1555CA"/>
    <w:rPr>
      <w:color w:val="808080"/>
    </w:rPr>
  </w:style>
  <w:style w:type="character" w:customStyle="1" w:styleId="normaltextrun">
    <w:name w:val="normaltextrun"/>
    <w:basedOn w:val="Policepardfaut"/>
    <w:rsid w:val="008F7345"/>
  </w:style>
  <w:style w:type="character" w:styleId="Mentionnonrsolue">
    <w:name w:val="Unresolved Mention"/>
    <w:basedOn w:val="Policepardfaut"/>
    <w:uiPriority w:val="99"/>
    <w:semiHidden/>
    <w:unhideWhenUsed/>
    <w:rsid w:val="008F734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514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2699"/>
    <w:rPr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pPr>
      <w:tabs>
        <w:tab w:val="center" w:pos="4535"/>
        <w:tab w:val="right" w:pos="9071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semiHidden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ieddepage">
    <w:name w:val="footer"/>
    <w:basedOn w:val="Normal"/>
    <w:link w:val="PieddepageCar"/>
    <w:uiPriority w:val="99"/>
    <w:semiHidden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Titre1Car">
    <w:name w:val="Titre 1 Car"/>
    <w:basedOn w:val="Policepardfaut"/>
    <w:link w:val="Titre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En-ttedetabledesmatires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M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M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M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M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M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M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M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M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M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Appelnotedebasdep">
    <w:name w:val="footnote reference"/>
    <w:basedOn w:val="Policepardfau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6"/>
      </w:numPr>
    </w:pPr>
  </w:style>
  <w:style w:type="paragraph" w:customStyle="1" w:styleId="Tiret1">
    <w:name w:val="Tiret 1"/>
    <w:basedOn w:val="Point1"/>
    <w:pPr>
      <w:numPr>
        <w:numId w:val="27"/>
      </w:numPr>
    </w:pPr>
  </w:style>
  <w:style w:type="paragraph" w:customStyle="1" w:styleId="Tiret2">
    <w:name w:val="Tiret 2"/>
    <w:basedOn w:val="Point2"/>
    <w:pPr>
      <w:numPr>
        <w:numId w:val="28"/>
      </w:numPr>
    </w:pPr>
  </w:style>
  <w:style w:type="paragraph" w:customStyle="1" w:styleId="Tiret3">
    <w:name w:val="Tiret 3"/>
    <w:basedOn w:val="Point3"/>
    <w:pPr>
      <w:numPr>
        <w:numId w:val="29"/>
      </w:numPr>
    </w:pPr>
  </w:style>
  <w:style w:type="paragraph" w:customStyle="1" w:styleId="Tiret4">
    <w:name w:val="Tiret 4"/>
    <w:basedOn w:val="Point4"/>
    <w:pPr>
      <w:numPr>
        <w:numId w:val="30"/>
      </w:numPr>
    </w:pPr>
  </w:style>
  <w:style w:type="paragraph" w:customStyle="1" w:styleId="Tiret5">
    <w:name w:val="Tiret 5"/>
    <w:basedOn w:val="Point5"/>
    <w:pPr>
      <w:numPr>
        <w:numId w:val="3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2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32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32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3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Titre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Policepardfaut"/>
    <w:rPr>
      <w:color w:val="0000FF"/>
      <w:shd w:val="clear" w:color="auto" w:fill="auto"/>
    </w:rPr>
  </w:style>
  <w:style w:type="character" w:customStyle="1" w:styleId="Marker1">
    <w:name w:val="Marker1"/>
    <w:basedOn w:val="Policepardfaut"/>
    <w:rPr>
      <w:color w:val="008000"/>
      <w:shd w:val="clear" w:color="auto" w:fill="auto"/>
    </w:rPr>
  </w:style>
  <w:style w:type="character" w:customStyle="1" w:styleId="Marker2">
    <w:name w:val="Marker2"/>
    <w:basedOn w:val="Policepardfau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4"/>
      </w:numPr>
    </w:pPr>
  </w:style>
  <w:style w:type="paragraph" w:customStyle="1" w:styleId="Point1number">
    <w:name w:val="Point 1 (number)"/>
    <w:basedOn w:val="Normal"/>
    <w:pPr>
      <w:numPr>
        <w:ilvl w:val="2"/>
        <w:numId w:val="34"/>
      </w:numPr>
    </w:pPr>
  </w:style>
  <w:style w:type="paragraph" w:customStyle="1" w:styleId="Point2number">
    <w:name w:val="Point 2 (number)"/>
    <w:basedOn w:val="Normal"/>
    <w:pPr>
      <w:numPr>
        <w:ilvl w:val="4"/>
        <w:numId w:val="34"/>
      </w:numPr>
    </w:pPr>
  </w:style>
  <w:style w:type="paragraph" w:customStyle="1" w:styleId="Point3number">
    <w:name w:val="Point 3 (number)"/>
    <w:basedOn w:val="Normal"/>
    <w:pPr>
      <w:numPr>
        <w:ilvl w:val="6"/>
        <w:numId w:val="34"/>
      </w:numPr>
    </w:pPr>
  </w:style>
  <w:style w:type="paragraph" w:customStyle="1" w:styleId="Point0letter">
    <w:name w:val="Point 0 (letter)"/>
    <w:basedOn w:val="Normal"/>
    <w:pPr>
      <w:numPr>
        <w:ilvl w:val="1"/>
        <w:numId w:val="34"/>
      </w:numPr>
    </w:pPr>
  </w:style>
  <w:style w:type="paragraph" w:customStyle="1" w:styleId="Point1letter">
    <w:name w:val="Point 1 (letter)"/>
    <w:basedOn w:val="Normal"/>
    <w:pPr>
      <w:numPr>
        <w:ilvl w:val="3"/>
        <w:numId w:val="34"/>
      </w:numPr>
    </w:pPr>
  </w:style>
  <w:style w:type="paragraph" w:customStyle="1" w:styleId="Point2letter">
    <w:name w:val="Point 2 (letter)"/>
    <w:basedOn w:val="Normal"/>
    <w:pPr>
      <w:numPr>
        <w:ilvl w:val="5"/>
        <w:numId w:val="34"/>
      </w:numPr>
    </w:pPr>
  </w:style>
  <w:style w:type="paragraph" w:customStyle="1" w:styleId="Point3letter">
    <w:name w:val="Point 3 (letter)"/>
    <w:basedOn w:val="Normal"/>
    <w:pPr>
      <w:numPr>
        <w:ilvl w:val="7"/>
        <w:numId w:val="34"/>
      </w:numPr>
    </w:pPr>
  </w:style>
  <w:style w:type="paragraph" w:customStyle="1" w:styleId="Point4letter">
    <w:name w:val="Point 4 (letter)"/>
    <w:basedOn w:val="Normal"/>
    <w:pPr>
      <w:numPr>
        <w:ilvl w:val="8"/>
        <w:numId w:val="34"/>
      </w:numPr>
    </w:pPr>
  </w:style>
  <w:style w:type="paragraph" w:customStyle="1" w:styleId="Bullet0">
    <w:name w:val="Bullet 0"/>
    <w:basedOn w:val="Normal"/>
    <w:pPr>
      <w:numPr>
        <w:numId w:val="35"/>
      </w:numPr>
    </w:pPr>
  </w:style>
  <w:style w:type="paragraph" w:customStyle="1" w:styleId="Bullet1">
    <w:name w:val="Bullet 1"/>
    <w:basedOn w:val="Normal"/>
    <w:pPr>
      <w:numPr>
        <w:numId w:val="36"/>
      </w:numPr>
    </w:pPr>
  </w:style>
  <w:style w:type="paragraph" w:customStyle="1" w:styleId="Bullet2">
    <w:name w:val="Bullet 2"/>
    <w:basedOn w:val="Normal"/>
    <w:pPr>
      <w:numPr>
        <w:numId w:val="37"/>
      </w:numPr>
    </w:pPr>
  </w:style>
  <w:style w:type="paragraph" w:customStyle="1" w:styleId="Bullet3">
    <w:name w:val="Bullet 3"/>
    <w:basedOn w:val="Normal"/>
    <w:pPr>
      <w:numPr>
        <w:numId w:val="38"/>
      </w:numPr>
    </w:pPr>
  </w:style>
  <w:style w:type="paragraph" w:customStyle="1" w:styleId="Bullet4">
    <w:name w:val="Bullet 4"/>
    <w:basedOn w:val="Normal"/>
    <w:pPr>
      <w:numPr>
        <w:numId w:val="39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Policepardfaut"/>
    <w:rPr>
      <w:b/>
      <w:u w:val="single"/>
      <w:shd w:val="clear" w:color="auto" w:fill="auto"/>
    </w:rPr>
  </w:style>
  <w:style w:type="character" w:customStyle="1" w:styleId="Deleted">
    <w:name w:val="Deleted"/>
    <w:basedOn w:val="Policepardfau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E664ED"/>
    <w:pPr>
      <w:spacing w:before="360" w:after="24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E664ED"/>
    <w:pPr>
      <w:spacing w:after="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"/>
    <w:rsid w:val="00E664ED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Rfrencecroise"/>
    <w:rsid w:val="00E664ED"/>
    <w:pPr>
      <w:spacing w:before="360" w:after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europa.eu/eli/reg_impl/2023/2122/oj" TargetMode="External"/><Relationship Id="rId3" Type="http://schemas.openxmlformats.org/officeDocument/2006/relationships/hyperlink" Target="http://data.europa.eu/eli/reg_del/2019/331/oj" TargetMode="External"/><Relationship Id="rId7" Type="http://schemas.openxmlformats.org/officeDocument/2006/relationships/hyperlink" Target="http://data.europa.eu/eli/reg_impl/2018/2066/oj" TargetMode="External"/><Relationship Id="rId2" Type="http://schemas.openxmlformats.org/officeDocument/2006/relationships/hyperlink" Target="http://data.europa.eu/eli/dec/2011/278/oj" TargetMode="External"/><Relationship Id="rId1" Type="http://schemas.openxmlformats.org/officeDocument/2006/relationships/hyperlink" Target="http://data.europa.eu/eli/dir/2003/87/oj" TargetMode="External"/><Relationship Id="rId6" Type="http://schemas.openxmlformats.org/officeDocument/2006/relationships/hyperlink" Target="http://data.europa.eu/eli/reg/2021/1119/oj" TargetMode="External"/><Relationship Id="rId5" Type="http://schemas.openxmlformats.org/officeDocument/2006/relationships/hyperlink" Target="http://data.europa.eu/eli/dir/2023/959/oj" TargetMode="External"/><Relationship Id="rId4" Type="http://schemas.openxmlformats.org/officeDocument/2006/relationships/hyperlink" Target="http://data.europa.eu/eli/reg_impl/2021/447/oj" TargetMode="External"/><Relationship Id="rId9" Type="http://schemas.openxmlformats.org/officeDocument/2006/relationships/hyperlink" Target="http://data.europa.eu/eli/reg_del/2024/873/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E63BADB3C764DA8880D9072211B7A" ma:contentTypeVersion="6" ma:contentTypeDescription="Create a new document." ma:contentTypeScope="" ma:versionID="ea6ca0912a2376ed197bf939e1384c94">
  <xsd:schema xmlns:xsd="http://www.w3.org/2001/XMLSchema" xmlns:xs="http://www.w3.org/2001/XMLSchema" xmlns:p="http://schemas.microsoft.com/office/2006/metadata/properties" xmlns:ns2="9889abf9-c70e-4365-a883-6dd4eec2db6a" xmlns:ns3="7058b7d0-6f54-43d0-ac9b-f95b90dfb0dc" targetNamespace="http://schemas.microsoft.com/office/2006/metadata/properties" ma:root="true" ma:fieldsID="6a8b2e0b19b50d8948fce4c32bbda812" ns2:_="" ns3:_="">
    <xsd:import namespace="9889abf9-c70e-4365-a883-6dd4eec2db6a"/>
    <xsd:import namespace="7058b7d0-6f54-43d0-ac9b-f95b90dfb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9abf9-c70e-4365-a883-6dd4eec2d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8b7d0-6f54-43d0-ac9b-f95b90dfb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D85DFFE-1944-4981-B3F4-28C7111F53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A006FE-83D3-4668-B8EF-D77286CC1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D0C46-DF88-4027-97DD-AFCDE020D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9abf9-c70e-4365-a883-6dd4eec2db6a"/>
    <ds:schemaRef ds:uri="7058b7d0-6f54-43d0-ac9b-f95b90dfb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1E677A-EEDB-4EFF-8D20-BFD6C984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C:\Users\Public\Documents\Templates\COM.dotm</Template>
  <TotalTime>14</TotalTime>
  <Pages>6</Pages>
  <Words>2077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BRINKMANN Thomas (CLIMA)</dc:creator>
  <cp:keywords/>
  <dc:description/>
  <cp:lastModifiedBy>Nadège DELEPINE</cp:lastModifiedBy>
  <cp:revision>9</cp:revision>
  <dcterms:created xsi:type="dcterms:W3CDTF">2026-06-15T14:50:00Z</dcterms:created>
  <dcterms:modified xsi:type="dcterms:W3CDTF">2026-06-16T10:23:00Z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7.0.9.0</vt:lpwstr>
  </property>
  <property fmtid="{D5CDD505-2E9C-101B-9397-08002B2CF9AE}" pid="4" name="Last edited using">
    <vt:lpwstr>LW 9.2, Build 20250828</vt:lpwstr>
  </property>
  <property fmtid="{D5CDD505-2E9C-101B-9397-08002B2CF9AE}" pid="5" name="Created using">
    <vt:lpwstr>LW 7.0.1, Build 20190916</vt:lpwstr>
  </property>
  <property fmtid="{D5CDD505-2E9C-101B-9397-08002B2CF9AE}" pid="6" name="TitusGUID">
    <vt:lpwstr>81c34b23-4c28-4f72-b446-bba08df2ef93</vt:lpwstr>
  </property>
  <property fmtid="{D5CDD505-2E9C-101B-9397-08002B2CF9AE}" pid="7" name="Part">
    <vt:lpwstr>1</vt:lpwstr>
  </property>
  <property fmtid="{D5CDD505-2E9C-101B-9397-08002B2CF9AE}" pid="8" name="Total parts">
    <vt:lpwstr>1</vt:lpwstr>
  </property>
  <property fmtid="{D5CDD505-2E9C-101B-9397-08002B2CF9AE}" pid="9" name="Level of sensitivity">
    <vt:lpwstr>Standard treatment</vt:lpwstr>
  </property>
  <property fmtid="{D5CDD505-2E9C-101B-9397-08002B2CF9AE}" pid="10" name="LWTemplateID">
    <vt:lpwstr>SJ-004</vt:lpwstr>
  </property>
  <property fmtid="{D5CDD505-2E9C-101B-9397-08002B2CF9AE}" pid="11" name="MSIP_Label_6bd9ddd1-4d20-43f6-abfa-fc3c07406f94_Enabled">
    <vt:lpwstr>true</vt:lpwstr>
  </property>
  <property fmtid="{D5CDD505-2E9C-101B-9397-08002B2CF9AE}" pid="12" name="MSIP_Label_6bd9ddd1-4d20-43f6-abfa-fc3c07406f94_SetDate">
    <vt:lpwstr>2025-10-09T13:52:42Z</vt:lpwstr>
  </property>
  <property fmtid="{D5CDD505-2E9C-101B-9397-08002B2CF9AE}" pid="13" name="MSIP_Label_6bd9ddd1-4d20-43f6-abfa-fc3c07406f94_Method">
    <vt:lpwstr>Standard</vt:lpwstr>
  </property>
  <property fmtid="{D5CDD505-2E9C-101B-9397-08002B2CF9AE}" pid="14" name="MSIP_Label_6bd9ddd1-4d20-43f6-abfa-fc3c07406f94_Name">
    <vt:lpwstr>Commission Use</vt:lpwstr>
  </property>
  <property fmtid="{D5CDD505-2E9C-101B-9397-08002B2CF9AE}" pid="15" name="MSIP_Label_6bd9ddd1-4d20-43f6-abfa-fc3c07406f94_SiteId">
    <vt:lpwstr>b24c8b06-522c-46fe-9080-70926f8dddb1</vt:lpwstr>
  </property>
  <property fmtid="{D5CDD505-2E9C-101B-9397-08002B2CF9AE}" pid="16" name="MSIP_Label_6bd9ddd1-4d20-43f6-abfa-fc3c07406f94_ActionId">
    <vt:lpwstr>9de2097c-ad0b-4755-836a-66884720cf97</vt:lpwstr>
  </property>
  <property fmtid="{D5CDD505-2E9C-101B-9397-08002B2CF9AE}" pid="17" name="MSIP_Label_6bd9ddd1-4d20-43f6-abfa-fc3c07406f94_ContentBits">
    <vt:lpwstr>0</vt:lpwstr>
  </property>
  <property fmtid="{D5CDD505-2E9C-101B-9397-08002B2CF9AE}" pid="18" name="MSIP_Label_6bd9ddd1-4d20-43f6-abfa-fc3c07406f94_Tag">
    <vt:lpwstr>10, 3, 0, 1</vt:lpwstr>
  </property>
  <property fmtid="{D5CDD505-2E9C-101B-9397-08002B2CF9AE}" pid="19" name="ContentTypeId">
    <vt:lpwstr>0x01010001EE63BADB3C764DA8880D9072211B7A</vt:lpwstr>
  </property>
  <property fmtid="{D5CDD505-2E9C-101B-9397-08002B2CF9AE}" pid="20" name="MediaServiceImageTags">
    <vt:lpwstr/>
  </property>
  <property fmtid="{D5CDD505-2E9C-101B-9397-08002B2CF9AE}" pid="21" name="DQCStatus">
    <vt:lpwstr>Green (DQC version 03)</vt:lpwstr>
  </property>
</Properties>
</file>