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B13D6F" w:rsidRPr="007047B5" w14:paraId="3B16F73A" w14:textId="77777777" w:rsidTr="00343761">
        <w:trPr>
          <w:trHeight w:hRule="exact" w:val="1418"/>
        </w:trPr>
        <w:tc>
          <w:tcPr>
            <w:tcW w:w="6804" w:type="dxa"/>
            <w:shd w:val="clear" w:color="auto" w:fill="auto"/>
            <w:vAlign w:val="center"/>
          </w:tcPr>
          <w:p w14:paraId="10B7C6A3" w14:textId="77777777" w:rsidR="00B13D6F" w:rsidRPr="007047B5" w:rsidRDefault="00E27EA8" w:rsidP="00343761">
            <w:pPr>
              <w:pStyle w:val="EPName"/>
              <w:rPr>
                <w:lang w:val="en-IE"/>
              </w:rPr>
            </w:pPr>
            <w:bookmarkStart w:id="0" w:name="_GoBack"/>
            <w:bookmarkEnd w:id="0"/>
            <w:r w:rsidRPr="007047B5">
              <w:rPr>
                <w:lang w:val="en-IE"/>
              </w:rPr>
              <w:t>European Parliament</w:t>
            </w:r>
          </w:p>
          <w:p w14:paraId="754C204C" w14:textId="77777777" w:rsidR="00B13D6F" w:rsidRPr="007047B5" w:rsidRDefault="00F24BAE" w:rsidP="00F24BAE">
            <w:pPr>
              <w:pStyle w:val="EPTerm"/>
              <w:rPr>
                <w:lang w:val="en-IE"/>
              </w:rPr>
            </w:pPr>
            <w:r w:rsidRPr="007047B5">
              <w:rPr>
                <w:lang w:val="en-IE"/>
              </w:rPr>
              <w:t>2019-2024</w:t>
            </w:r>
          </w:p>
        </w:tc>
        <w:tc>
          <w:tcPr>
            <w:tcW w:w="2268" w:type="dxa"/>
            <w:shd w:val="clear" w:color="auto" w:fill="auto"/>
          </w:tcPr>
          <w:p w14:paraId="047FEF96" w14:textId="77777777" w:rsidR="00B13D6F" w:rsidRPr="007047B5" w:rsidRDefault="00B13D6F" w:rsidP="00343761">
            <w:pPr>
              <w:pStyle w:val="EPLogo"/>
              <w:rPr>
                <w:lang w:val="en-IE"/>
              </w:rPr>
            </w:pPr>
            <w:r w:rsidRPr="007047B5">
              <w:rPr>
                <w:noProof/>
              </w:rPr>
              <w:drawing>
                <wp:inline distT="0" distB="0" distL="0" distR="0" wp14:anchorId="1F0D1B18" wp14:editId="54D51DF7">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7B174C93" w14:textId="77777777" w:rsidR="00461601" w:rsidRPr="007047B5" w:rsidRDefault="00461601" w:rsidP="00461601">
      <w:pPr>
        <w:pStyle w:val="LineTop"/>
        <w:rPr>
          <w:lang w:val="en-IE"/>
        </w:rPr>
      </w:pPr>
    </w:p>
    <w:p w14:paraId="47E1A1CE" w14:textId="77777777" w:rsidR="005B5F8D" w:rsidRPr="007047B5" w:rsidRDefault="00461601" w:rsidP="00461601">
      <w:pPr>
        <w:pStyle w:val="EPBody"/>
        <w:rPr>
          <w:lang w:val="en-IE"/>
        </w:rPr>
      </w:pPr>
      <w:r w:rsidRPr="007047B5">
        <w:rPr>
          <w:rStyle w:val="HideTWBExt"/>
          <w:noProof w:val="0"/>
          <w:lang w:val="en-IE"/>
        </w:rPr>
        <w:t>&lt;</w:t>
      </w:r>
      <w:r w:rsidRPr="007047B5">
        <w:rPr>
          <w:rStyle w:val="HideTWBExt"/>
          <w:i w:val="0"/>
          <w:noProof w:val="0"/>
          <w:lang w:val="en-IE"/>
        </w:rPr>
        <w:t>Commission</w:t>
      </w:r>
      <w:r w:rsidRPr="007047B5">
        <w:rPr>
          <w:rStyle w:val="HideTWBExt"/>
          <w:noProof w:val="0"/>
          <w:lang w:val="en-IE"/>
        </w:rPr>
        <w:t>&gt;</w:t>
      </w:r>
      <w:r w:rsidR="00F24BAE" w:rsidRPr="007047B5">
        <w:rPr>
          <w:rStyle w:val="HideTWBInt"/>
          <w:lang w:val="en-IE"/>
        </w:rPr>
        <w:t>{CJ12}</w:t>
      </w:r>
      <w:r w:rsidR="00F24BAE" w:rsidRPr="007047B5">
        <w:rPr>
          <w:lang w:val="en-IE"/>
        </w:rPr>
        <w:t>Committee on Economic and Monetary Affairs</w:t>
      </w:r>
    </w:p>
    <w:p w14:paraId="36094629" w14:textId="77777777" w:rsidR="00461601" w:rsidRPr="007047B5" w:rsidRDefault="00F24BAE" w:rsidP="00461601">
      <w:pPr>
        <w:pStyle w:val="EPBody"/>
        <w:rPr>
          <w:lang w:val="en-IE"/>
        </w:rPr>
      </w:pPr>
      <w:r w:rsidRPr="007047B5">
        <w:rPr>
          <w:lang w:val="en-IE"/>
        </w:rPr>
        <w:br/>
        <w:t>Committee on Civil Liberties, Justice and Home Affairs</w:t>
      </w:r>
      <w:r w:rsidR="00461601" w:rsidRPr="007047B5">
        <w:rPr>
          <w:rStyle w:val="HideTWBExt"/>
          <w:noProof w:val="0"/>
          <w:lang w:val="en-IE"/>
        </w:rPr>
        <w:t>&lt;/</w:t>
      </w:r>
      <w:r w:rsidR="00461601" w:rsidRPr="007047B5">
        <w:rPr>
          <w:rStyle w:val="HideTWBExt"/>
          <w:i w:val="0"/>
          <w:noProof w:val="0"/>
          <w:lang w:val="en-IE"/>
        </w:rPr>
        <w:t>Commission</w:t>
      </w:r>
      <w:r w:rsidR="00461601" w:rsidRPr="007047B5">
        <w:rPr>
          <w:rStyle w:val="HideTWBExt"/>
          <w:noProof w:val="0"/>
          <w:lang w:val="en-IE"/>
        </w:rPr>
        <w:t>&gt;</w:t>
      </w:r>
    </w:p>
    <w:p w14:paraId="1CD56312" w14:textId="77777777" w:rsidR="00461601" w:rsidRPr="007047B5" w:rsidRDefault="00461601" w:rsidP="00461601">
      <w:pPr>
        <w:pStyle w:val="LineBottom"/>
        <w:rPr>
          <w:lang w:val="en-IE"/>
        </w:rPr>
      </w:pPr>
    </w:p>
    <w:p w14:paraId="41466AA7" w14:textId="77777777" w:rsidR="00793EA9" w:rsidRPr="007047B5" w:rsidRDefault="00793EA9">
      <w:pPr>
        <w:pStyle w:val="CoverReference"/>
        <w:rPr>
          <w:lang w:val="en-IE"/>
        </w:rPr>
      </w:pPr>
      <w:r w:rsidRPr="007047B5">
        <w:rPr>
          <w:rStyle w:val="HideTWBExt"/>
          <w:b w:val="0"/>
          <w:noProof w:val="0"/>
          <w:lang w:val="en-IE"/>
        </w:rPr>
        <w:t>&lt;RefProc&gt;</w:t>
      </w:r>
      <w:r w:rsidR="00F24BAE" w:rsidRPr="007047B5">
        <w:rPr>
          <w:lang w:val="en-IE"/>
        </w:rPr>
        <w:t>2021/0239</w:t>
      </w:r>
      <w:r w:rsidRPr="007047B5">
        <w:rPr>
          <w:rStyle w:val="HideTWBExt"/>
          <w:b w:val="0"/>
          <w:noProof w:val="0"/>
          <w:lang w:val="en-IE"/>
        </w:rPr>
        <w:t>&lt;/RefProc&gt;&lt;RefTypeProc&gt;</w:t>
      </w:r>
      <w:r w:rsidRPr="007047B5">
        <w:rPr>
          <w:lang w:val="en-IE"/>
        </w:rPr>
        <w:t>(COD)</w:t>
      </w:r>
      <w:r w:rsidRPr="007047B5">
        <w:rPr>
          <w:rStyle w:val="HideTWBExt"/>
          <w:b w:val="0"/>
          <w:noProof w:val="0"/>
          <w:lang w:val="en-IE"/>
        </w:rPr>
        <w:t>&lt;/RefTypeProc&gt;</w:t>
      </w:r>
    </w:p>
    <w:p w14:paraId="45765C96" w14:textId="77777777" w:rsidR="00793EA9" w:rsidRPr="004D0132" w:rsidRDefault="00793EA9">
      <w:pPr>
        <w:pStyle w:val="CoverDate"/>
        <w:rPr>
          <w:lang w:val="fr-BE"/>
        </w:rPr>
      </w:pPr>
      <w:r w:rsidRPr="004D0132">
        <w:rPr>
          <w:rStyle w:val="HideTWBExt"/>
          <w:noProof w:val="0"/>
          <w:lang w:val="fr-BE"/>
        </w:rPr>
        <w:t>&lt;Date&gt;</w:t>
      </w:r>
      <w:r w:rsidR="00F24BAE" w:rsidRPr="004D0132">
        <w:rPr>
          <w:rStyle w:val="HideTWBInt"/>
          <w:lang w:val="fr-BE"/>
        </w:rPr>
        <w:t>{15/03/2022}</w:t>
      </w:r>
      <w:r w:rsidR="00F24BAE" w:rsidRPr="004D0132">
        <w:rPr>
          <w:lang w:val="fr-BE"/>
        </w:rPr>
        <w:t>15.3.2022</w:t>
      </w:r>
      <w:r w:rsidRPr="004D0132">
        <w:rPr>
          <w:rStyle w:val="HideTWBExt"/>
          <w:noProof w:val="0"/>
          <w:lang w:val="fr-BE"/>
        </w:rPr>
        <w:t>&lt;/Date&gt;</w:t>
      </w:r>
    </w:p>
    <w:p w14:paraId="68CAD11D" w14:textId="77777777" w:rsidR="00793EA9" w:rsidRPr="007047B5" w:rsidRDefault="00793EA9">
      <w:pPr>
        <w:pStyle w:val="CoverDocType"/>
        <w:rPr>
          <w:lang w:val="fr-BE"/>
        </w:rPr>
      </w:pPr>
      <w:r w:rsidRPr="007047B5">
        <w:rPr>
          <w:rStyle w:val="HideTWBExt"/>
          <w:b w:val="0"/>
          <w:noProof w:val="0"/>
          <w:lang w:val="fr-BE"/>
        </w:rPr>
        <w:t>&lt;RefProcLect&gt;</w:t>
      </w:r>
      <w:r w:rsidRPr="007047B5">
        <w:rPr>
          <w:lang w:val="fr-BE"/>
        </w:rPr>
        <w:t>***I</w:t>
      </w:r>
      <w:r w:rsidRPr="007047B5">
        <w:rPr>
          <w:rStyle w:val="HideTWBExt"/>
          <w:b w:val="0"/>
          <w:noProof w:val="0"/>
          <w:lang w:val="fr-BE"/>
        </w:rPr>
        <w:t>&lt;/RefProcLect&gt;</w:t>
      </w:r>
    </w:p>
    <w:p w14:paraId="47C53195" w14:textId="77777777" w:rsidR="00793EA9" w:rsidRPr="007047B5" w:rsidRDefault="00793EA9">
      <w:pPr>
        <w:pStyle w:val="CoverDocType24a"/>
        <w:rPr>
          <w:lang w:val="fr-BE"/>
        </w:rPr>
      </w:pPr>
      <w:r w:rsidRPr="007047B5">
        <w:rPr>
          <w:rStyle w:val="HideTWBExt"/>
          <w:b w:val="0"/>
          <w:noProof w:val="0"/>
          <w:lang w:val="fr-BE"/>
        </w:rPr>
        <w:t>&lt;TitreType&gt;</w:t>
      </w:r>
      <w:r w:rsidR="00E27EA8" w:rsidRPr="007047B5">
        <w:rPr>
          <w:lang w:val="fr-BE"/>
        </w:rPr>
        <w:t>DRAFT REPORT</w:t>
      </w:r>
      <w:r w:rsidRPr="007047B5">
        <w:rPr>
          <w:rStyle w:val="HideTWBExt"/>
          <w:b w:val="0"/>
          <w:noProof w:val="0"/>
          <w:lang w:val="fr-BE"/>
        </w:rPr>
        <w:t>&lt;/TitreType&gt;</w:t>
      </w:r>
    </w:p>
    <w:p w14:paraId="730BF81E" w14:textId="77777777" w:rsidR="00793EA9" w:rsidRPr="007047B5" w:rsidRDefault="00793EA9">
      <w:pPr>
        <w:pStyle w:val="CoverNormal"/>
        <w:rPr>
          <w:lang w:val="en-IE"/>
        </w:rPr>
      </w:pPr>
      <w:r w:rsidRPr="007047B5">
        <w:rPr>
          <w:rStyle w:val="HideTWBExt"/>
          <w:noProof w:val="0"/>
          <w:lang w:val="en-IE"/>
        </w:rPr>
        <w:t>&lt;Titre&gt;</w:t>
      </w:r>
      <w:r w:rsidR="00E27EA8" w:rsidRPr="007047B5">
        <w:rPr>
          <w:lang w:val="en-IE"/>
        </w:rPr>
        <w:t xml:space="preserve">on the proposal for a </w:t>
      </w:r>
      <w:r w:rsidR="00F24BAE" w:rsidRPr="007047B5">
        <w:rPr>
          <w:lang w:val="en-IE"/>
        </w:rPr>
        <w:t>regulation</w:t>
      </w:r>
      <w:r w:rsidR="00E27EA8" w:rsidRPr="007047B5">
        <w:rPr>
          <w:lang w:val="en-IE"/>
        </w:rPr>
        <w:t xml:space="preserve"> of the European Parliament and of the Council </w:t>
      </w:r>
      <w:r w:rsidR="00F24BAE" w:rsidRPr="007047B5">
        <w:rPr>
          <w:lang w:val="en-IE"/>
        </w:rPr>
        <w:t>on the prevention of the use of the financial system for the purposes of money laundering or terrorist financing</w:t>
      </w:r>
      <w:r w:rsidRPr="007047B5">
        <w:rPr>
          <w:rStyle w:val="HideTWBExt"/>
          <w:noProof w:val="0"/>
          <w:lang w:val="en-IE"/>
        </w:rPr>
        <w:t>&lt;/Titre&gt;</w:t>
      </w:r>
    </w:p>
    <w:p w14:paraId="3B19F9BF" w14:textId="16B3164F" w:rsidR="00793EA9" w:rsidRPr="007047B5" w:rsidRDefault="00793EA9" w:rsidP="005A0D9F">
      <w:pPr>
        <w:pStyle w:val="CoverNormal24a"/>
        <w:ind w:left="697" w:firstLine="720"/>
        <w:rPr>
          <w:lang w:val="pt-PT"/>
        </w:rPr>
      </w:pPr>
      <w:r w:rsidRPr="007047B5">
        <w:rPr>
          <w:rStyle w:val="HideTWBExt"/>
          <w:noProof w:val="0"/>
          <w:lang w:val="pt-PT"/>
        </w:rPr>
        <w:t>&lt;DocRef&gt;</w:t>
      </w:r>
      <w:r w:rsidR="00E27EA8" w:rsidRPr="007047B5">
        <w:rPr>
          <w:lang w:val="pt-PT"/>
        </w:rPr>
        <w:t>(COM</w:t>
      </w:r>
      <w:r w:rsidR="00F24BAE" w:rsidRPr="007047B5">
        <w:rPr>
          <w:lang w:val="pt-PT"/>
        </w:rPr>
        <w:t>(2021)</w:t>
      </w:r>
      <w:r w:rsidR="00FB08C9" w:rsidRPr="007047B5">
        <w:rPr>
          <w:lang w:val="pt-PT"/>
        </w:rPr>
        <w:t>0</w:t>
      </w:r>
      <w:r w:rsidR="00F24BAE" w:rsidRPr="007047B5">
        <w:rPr>
          <w:lang w:val="pt-PT"/>
        </w:rPr>
        <w:t>420</w:t>
      </w:r>
      <w:r w:rsidR="00E27EA8" w:rsidRPr="007047B5">
        <w:rPr>
          <w:lang w:val="pt-PT"/>
        </w:rPr>
        <w:t xml:space="preserve"> </w:t>
      </w:r>
      <w:r w:rsidR="00F24BAE" w:rsidRPr="007047B5">
        <w:rPr>
          <w:lang w:val="pt-PT"/>
        </w:rPr>
        <w:t>–</w:t>
      </w:r>
      <w:r w:rsidR="00E27EA8" w:rsidRPr="007047B5">
        <w:rPr>
          <w:lang w:val="pt-PT"/>
        </w:rPr>
        <w:t xml:space="preserve"> </w:t>
      </w:r>
      <w:r w:rsidR="00F24BAE" w:rsidRPr="007047B5">
        <w:rPr>
          <w:lang w:val="pt-PT"/>
        </w:rPr>
        <w:t>C9</w:t>
      </w:r>
      <w:r w:rsidR="00F24BAE" w:rsidRPr="007047B5">
        <w:rPr>
          <w:lang w:val="pt-PT"/>
        </w:rPr>
        <w:noBreakHyphen/>
        <w:t>0339/2021</w:t>
      </w:r>
      <w:r w:rsidR="00E27EA8" w:rsidRPr="007047B5">
        <w:rPr>
          <w:lang w:val="pt-PT"/>
        </w:rPr>
        <w:t xml:space="preserve"> </w:t>
      </w:r>
      <w:r w:rsidR="00F24BAE" w:rsidRPr="007047B5">
        <w:rPr>
          <w:lang w:val="pt-PT"/>
        </w:rPr>
        <w:t>–</w:t>
      </w:r>
      <w:r w:rsidR="00E27EA8" w:rsidRPr="007047B5">
        <w:rPr>
          <w:lang w:val="pt-PT"/>
        </w:rPr>
        <w:t xml:space="preserve"> </w:t>
      </w:r>
      <w:r w:rsidR="00F24BAE" w:rsidRPr="007047B5">
        <w:rPr>
          <w:lang w:val="pt-PT"/>
        </w:rPr>
        <w:t>2021/0239</w:t>
      </w:r>
      <w:r w:rsidR="00E27EA8" w:rsidRPr="007047B5">
        <w:rPr>
          <w:lang w:val="pt-PT"/>
        </w:rPr>
        <w:t>(COD))</w:t>
      </w:r>
      <w:r w:rsidRPr="007047B5">
        <w:rPr>
          <w:rStyle w:val="HideTWBExt"/>
          <w:noProof w:val="0"/>
          <w:lang w:val="pt-PT"/>
        </w:rPr>
        <w:t>&lt;/DocRef&gt;</w:t>
      </w:r>
    </w:p>
    <w:p w14:paraId="6E8EFABC" w14:textId="77777777" w:rsidR="00793EA9" w:rsidRPr="007047B5" w:rsidRDefault="00793EA9" w:rsidP="009F7444">
      <w:pPr>
        <w:pStyle w:val="CoverNormal24a"/>
        <w:rPr>
          <w:lang w:val="en-IE"/>
        </w:rPr>
      </w:pPr>
      <w:r w:rsidRPr="007047B5">
        <w:rPr>
          <w:rStyle w:val="HideTWBExt"/>
          <w:noProof w:val="0"/>
          <w:lang w:val="en-IE"/>
        </w:rPr>
        <w:t>&lt;Commission&gt;</w:t>
      </w:r>
      <w:r w:rsidR="00F24BAE" w:rsidRPr="007047B5">
        <w:rPr>
          <w:rStyle w:val="HideTWBInt"/>
          <w:lang w:val="en-IE"/>
        </w:rPr>
        <w:t>{CJ12}</w:t>
      </w:r>
      <w:r w:rsidR="00F24BAE" w:rsidRPr="007047B5">
        <w:rPr>
          <w:lang w:val="en-IE"/>
        </w:rPr>
        <w:t>Committee on Economic and Monetary Affairs</w:t>
      </w:r>
      <w:r w:rsidR="00F24BAE" w:rsidRPr="007047B5">
        <w:rPr>
          <w:lang w:val="en-IE"/>
        </w:rPr>
        <w:br/>
        <w:t>Committee on Civil Liberties, Justice and Home Affairs</w:t>
      </w:r>
      <w:r w:rsidRPr="007047B5">
        <w:rPr>
          <w:rStyle w:val="HideTWBExt"/>
          <w:noProof w:val="0"/>
          <w:lang w:val="en-IE"/>
        </w:rPr>
        <w:t>&lt;/Commission&gt;</w:t>
      </w:r>
    </w:p>
    <w:p w14:paraId="7E360324" w14:textId="32143469" w:rsidR="005B5F8D" w:rsidRPr="007047B5" w:rsidRDefault="00E27EA8">
      <w:pPr>
        <w:pStyle w:val="CoverNormal24a"/>
        <w:rPr>
          <w:lang w:val="fr-BE"/>
        </w:rPr>
      </w:pPr>
      <w:r w:rsidRPr="007047B5">
        <w:rPr>
          <w:lang w:val="fr-BE"/>
        </w:rPr>
        <w:t>Rapporteur:</w:t>
      </w:r>
      <w:r w:rsidR="00793EA9" w:rsidRPr="007047B5">
        <w:rPr>
          <w:lang w:val="fr-BE"/>
        </w:rPr>
        <w:t xml:space="preserve"> </w:t>
      </w:r>
      <w:r w:rsidR="00793EA9" w:rsidRPr="007047B5">
        <w:rPr>
          <w:rStyle w:val="HideTWBExt"/>
          <w:noProof w:val="0"/>
          <w:lang w:val="fr-BE"/>
        </w:rPr>
        <w:t>&lt;Depute&gt;</w:t>
      </w:r>
      <w:r w:rsidR="00F24BAE" w:rsidRPr="007047B5">
        <w:rPr>
          <w:lang w:val="fr-BE"/>
        </w:rPr>
        <w:t>Eero Heinäluoma, Damien Carême</w:t>
      </w:r>
      <w:r w:rsidR="003A09AD" w:rsidRPr="007047B5">
        <w:rPr>
          <w:rStyle w:val="HideTWBExt"/>
          <w:noProof w:val="0"/>
          <w:lang w:val="fr-BE"/>
        </w:rPr>
        <w:t>&lt;/Depute&gt;</w:t>
      </w:r>
    </w:p>
    <w:p w14:paraId="79237E3A" w14:textId="77777777" w:rsidR="005B5F8D" w:rsidRPr="007047B5" w:rsidRDefault="005B5F8D">
      <w:pPr>
        <w:pStyle w:val="CoverNormal24a"/>
        <w:rPr>
          <w:lang w:val="fr-BE"/>
        </w:rPr>
      </w:pPr>
    </w:p>
    <w:p w14:paraId="61AE648A" w14:textId="6F6BA41F" w:rsidR="00793EA9" w:rsidRPr="007047B5" w:rsidRDefault="005B5F8D">
      <w:pPr>
        <w:pStyle w:val="CoverNormal24a"/>
        <w:rPr>
          <w:lang w:val="en-IE"/>
        </w:rPr>
      </w:pPr>
      <w:r w:rsidRPr="007047B5">
        <w:rPr>
          <w:szCs w:val="24"/>
          <w:lang w:val="en-IE"/>
        </w:rPr>
        <w:t>(Joint committee procedure – Rule 58 of the Rules of Procedure)</w:t>
      </w:r>
    </w:p>
    <w:p w14:paraId="7A53EA81" w14:textId="77777777" w:rsidR="001C5B44" w:rsidRPr="007047B5" w:rsidRDefault="001C5B44" w:rsidP="001C5B44">
      <w:pPr>
        <w:pStyle w:val="CoverNormal"/>
        <w:rPr>
          <w:lang w:val="en-IE"/>
        </w:rPr>
      </w:pPr>
    </w:p>
    <w:p w14:paraId="0058580B" w14:textId="64C52FB3" w:rsidR="00F24BAE" w:rsidRPr="007047B5" w:rsidRDefault="00793EA9" w:rsidP="00343761">
      <w:pPr>
        <w:rPr>
          <w:lang w:val="en-IE"/>
        </w:rPr>
      </w:pPr>
      <w:r w:rsidRPr="007047B5">
        <w:rPr>
          <w:lang w:val="en-IE"/>
        </w:rPr>
        <w:br w:type="page"/>
      </w:r>
      <w:r w:rsidR="00640582" w:rsidRPr="007047B5">
        <w:rPr>
          <w:lang w:val="en-IE"/>
        </w:rPr>
        <w:lastRenderedPageBreak/>
        <w:fldChar w:fldCharType="begin"/>
      </w:r>
      <w:r w:rsidR="00640582" w:rsidRPr="007047B5">
        <w:rPr>
          <w:lang w:val="en-IE"/>
        </w:rPr>
        <w:instrText xml:space="preserve"> TITLE  \* MERGEFORMAT </w:instrText>
      </w:r>
      <w:r w:rsidR="00640582" w:rsidRPr="007047B5">
        <w:rPr>
          <w:lang w:val="en-IE"/>
        </w:rPr>
        <w:fldChar w:fldCharType="separate"/>
      </w:r>
      <w:r w:rsidR="005A0D9F">
        <w:rPr>
          <w:lang w:val="en-IE"/>
        </w:rPr>
        <w:t>PR_COD_1amCom</w:t>
      </w:r>
      <w:r w:rsidR="00640582" w:rsidRPr="007047B5">
        <w:rPr>
          <w:lang w:val="en-IE"/>
        </w:rPr>
        <w:fldChar w:fldCharType="end"/>
      </w:r>
    </w:p>
    <w:p w14:paraId="5836572A" w14:textId="77777777" w:rsidR="00F24BAE" w:rsidRPr="007047B5" w:rsidRDefault="00F24BAE" w:rsidP="00343761">
      <w:pPr>
        <w:rPr>
          <w:lang w:val="en-IE"/>
        </w:rPr>
      </w:pPr>
    </w:p>
    <w:p w14:paraId="37BAD6CD" w14:textId="77777777" w:rsidR="00F24BAE" w:rsidRPr="007047B5" w:rsidRDefault="00F24BAE" w:rsidP="00343761">
      <w:pPr>
        <w:rPr>
          <w:lang w:val="en-IE"/>
        </w:rPr>
      </w:pPr>
    </w:p>
    <w:tbl>
      <w:tblPr>
        <w:tblW w:w="0" w:type="auto"/>
        <w:tblInd w:w="16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811"/>
      </w:tblGrid>
      <w:tr w:rsidR="00F24BAE" w:rsidRPr="007047B5" w14:paraId="4E6E118B" w14:textId="77777777">
        <w:tc>
          <w:tcPr>
            <w:tcW w:w="5811" w:type="dxa"/>
          </w:tcPr>
          <w:p w14:paraId="15CF57F5" w14:textId="77777777" w:rsidR="00F24BAE" w:rsidRPr="007047B5" w:rsidRDefault="00F24BAE" w:rsidP="00343761">
            <w:pPr>
              <w:pStyle w:val="Lgendetitre"/>
              <w:rPr>
                <w:lang w:val="en-IE"/>
              </w:rPr>
            </w:pPr>
            <w:r w:rsidRPr="007047B5">
              <w:rPr>
                <w:lang w:val="en-IE"/>
              </w:rPr>
              <w:t>Symbols for procedures</w:t>
            </w:r>
          </w:p>
        </w:tc>
      </w:tr>
      <w:tr w:rsidR="00F24BAE" w:rsidRPr="007047B5" w14:paraId="546C6591" w14:textId="77777777" w:rsidTr="00343761">
        <w:trPr>
          <w:cantSplit/>
          <w:trHeight w:val="1807"/>
        </w:trPr>
        <w:tc>
          <w:tcPr>
            <w:tcW w:w="5811" w:type="dxa"/>
            <w:tcBorders>
              <w:bottom w:val="single" w:sz="4" w:space="0" w:color="auto"/>
            </w:tcBorders>
          </w:tcPr>
          <w:p w14:paraId="6FA3DC88" w14:textId="77777777" w:rsidR="00F24BAE" w:rsidRPr="007047B5" w:rsidRDefault="00F24BAE" w:rsidP="00343761">
            <w:pPr>
              <w:pStyle w:val="Lgendesigne"/>
              <w:rPr>
                <w:lang w:val="en-IE"/>
              </w:rPr>
            </w:pPr>
            <w:r w:rsidRPr="007047B5">
              <w:rPr>
                <w:lang w:val="en-IE"/>
              </w:rPr>
              <w:tab/>
              <w:t>*</w:t>
            </w:r>
            <w:r w:rsidRPr="007047B5">
              <w:rPr>
                <w:lang w:val="en-IE"/>
              </w:rPr>
              <w:tab/>
              <w:t>Consultation procedure</w:t>
            </w:r>
          </w:p>
          <w:p w14:paraId="7C5041D7" w14:textId="77777777" w:rsidR="00F24BAE" w:rsidRPr="007047B5" w:rsidRDefault="00F24BAE" w:rsidP="00343761">
            <w:pPr>
              <w:pStyle w:val="Lgendesigne"/>
              <w:rPr>
                <w:lang w:val="en-IE"/>
              </w:rPr>
            </w:pPr>
            <w:r w:rsidRPr="007047B5">
              <w:rPr>
                <w:lang w:val="en-IE"/>
              </w:rPr>
              <w:tab/>
              <w:t>***</w:t>
            </w:r>
            <w:r w:rsidRPr="007047B5">
              <w:rPr>
                <w:lang w:val="en-IE"/>
              </w:rPr>
              <w:tab/>
              <w:t>Consent procedure</w:t>
            </w:r>
          </w:p>
          <w:p w14:paraId="2DFADFCD" w14:textId="77777777" w:rsidR="00F24BAE" w:rsidRPr="007047B5" w:rsidRDefault="00F24BAE" w:rsidP="00343761">
            <w:pPr>
              <w:pStyle w:val="Lgendesigne"/>
              <w:rPr>
                <w:lang w:val="en-IE"/>
              </w:rPr>
            </w:pPr>
            <w:r w:rsidRPr="007047B5">
              <w:rPr>
                <w:lang w:val="en-IE"/>
              </w:rPr>
              <w:tab/>
              <w:t>***I</w:t>
            </w:r>
            <w:r w:rsidRPr="007047B5">
              <w:rPr>
                <w:lang w:val="en-IE"/>
              </w:rPr>
              <w:tab/>
              <w:t>Ordinary legislative procedure (first reading)</w:t>
            </w:r>
          </w:p>
          <w:p w14:paraId="0C687758" w14:textId="77777777" w:rsidR="00F24BAE" w:rsidRPr="007047B5" w:rsidRDefault="00F24BAE" w:rsidP="00343761">
            <w:pPr>
              <w:pStyle w:val="Lgendesigne"/>
              <w:rPr>
                <w:lang w:val="en-IE"/>
              </w:rPr>
            </w:pPr>
            <w:r w:rsidRPr="007047B5">
              <w:rPr>
                <w:lang w:val="en-IE"/>
              </w:rPr>
              <w:tab/>
              <w:t>***II</w:t>
            </w:r>
            <w:r w:rsidRPr="007047B5">
              <w:rPr>
                <w:lang w:val="en-IE"/>
              </w:rPr>
              <w:tab/>
              <w:t>Ordinary legislative procedure (second reading)</w:t>
            </w:r>
          </w:p>
          <w:p w14:paraId="1EB72378" w14:textId="77777777" w:rsidR="00F24BAE" w:rsidRPr="007047B5" w:rsidRDefault="00F24BAE" w:rsidP="00343761">
            <w:pPr>
              <w:pStyle w:val="Lgendesigne"/>
              <w:rPr>
                <w:lang w:val="en-IE"/>
              </w:rPr>
            </w:pPr>
            <w:r w:rsidRPr="007047B5">
              <w:rPr>
                <w:lang w:val="en-IE"/>
              </w:rPr>
              <w:tab/>
              <w:t>***III</w:t>
            </w:r>
            <w:r w:rsidRPr="007047B5">
              <w:rPr>
                <w:lang w:val="en-IE"/>
              </w:rPr>
              <w:tab/>
              <w:t>Ordinary legislative procedure (third reading)</w:t>
            </w:r>
          </w:p>
          <w:p w14:paraId="72D8646B" w14:textId="77777777" w:rsidR="00F24BAE" w:rsidRPr="007047B5" w:rsidRDefault="00F24BAE" w:rsidP="00343761">
            <w:pPr>
              <w:pStyle w:val="Lgendestandard"/>
              <w:rPr>
                <w:lang w:val="en-IE"/>
              </w:rPr>
            </w:pPr>
          </w:p>
          <w:p w14:paraId="7291550E" w14:textId="77777777" w:rsidR="00F24BAE" w:rsidRPr="007047B5" w:rsidRDefault="00F24BAE" w:rsidP="00343761">
            <w:pPr>
              <w:pStyle w:val="Lgendestandard"/>
              <w:rPr>
                <w:lang w:val="en-IE"/>
              </w:rPr>
            </w:pPr>
            <w:r w:rsidRPr="007047B5">
              <w:rPr>
                <w:lang w:val="en-IE"/>
              </w:rPr>
              <w:t>(The type of procedure depends on the legal basis proposed by the draft act.)</w:t>
            </w:r>
          </w:p>
          <w:p w14:paraId="4C78E169" w14:textId="77777777" w:rsidR="00F24BAE" w:rsidRPr="007047B5" w:rsidRDefault="00F24BAE" w:rsidP="00343761">
            <w:pPr>
              <w:pStyle w:val="Lgendestandard"/>
              <w:rPr>
                <w:lang w:val="en-IE"/>
              </w:rPr>
            </w:pPr>
          </w:p>
        </w:tc>
      </w:tr>
    </w:tbl>
    <w:p w14:paraId="5D813F25" w14:textId="77777777" w:rsidR="00F24BAE" w:rsidRPr="007047B5" w:rsidRDefault="00F24BAE" w:rsidP="00343761">
      <w:pPr>
        <w:rPr>
          <w:lang w:val="en-IE"/>
        </w:rPr>
      </w:pPr>
    </w:p>
    <w:p w14:paraId="4260559E" w14:textId="77777777" w:rsidR="00F24BAE" w:rsidRPr="007047B5" w:rsidRDefault="00F24BAE" w:rsidP="00343761">
      <w:pPr>
        <w:rPr>
          <w:lang w:val="en-IE"/>
        </w:rPr>
      </w:pPr>
    </w:p>
    <w:p w14:paraId="04C16CD0" w14:textId="77777777" w:rsidR="00F24BAE" w:rsidRPr="007047B5" w:rsidRDefault="00F24BAE" w:rsidP="00343761">
      <w:pPr>
        <w:rPr>
          <w:lang w:val="en-IE"/>
        </w:rPr>
      </w:pPr>
    </w:p>
    <w:p w14:paraId="0B7815F2" w14:textId="77777777" w:rsidR="00F24BAE" w:rsidRPr="007047B5" w:rsidRDefault="00F24BAE" w:rsidP="00343761">
      <w:pPr>
        <w:rPr>
          <w:lang w:val="en-IE"/>
        </w:rPr>
      </w:pPr>
    </w:p>
    <w:tbl>
      <w:tblPr>
        <w:tblW w:w="0" w:type="auto"/>
        <w:tblInd w:w="1668" w:type="dxa"/>
        <w:tblBorders>
          <w:top w:val="single" w:sz="4" w:space="0" w:color="auto"/>
          <w:left w:val="single" w:sz="4" w:space="0" w:color="auto"/>
          <w:bottom w:val="single" w:sz="4" w:space="0" w:color="auto"/>
          <w:right w:val="single" w:sz="4" w:space="0" w:color="auto"/>
          <w:insideV w:val="single" w:sz="6" w:space="0" w:color="auto"/>
        </w:tblBorders>
        <w:tblLayout w:type="fixed"/>
        <w:tblLook w:val="0000" w:firstRow="0" w:lastRow="0" w:firstColumn="0" w:lastColumn="0" w:noHBand="0" w:noVBand="0"/>
      </w:tblPr>
      <w:tblGrid>
        <w:gridCol w:w="5811"/>
      </w:tblGrid>
      <w:tr w:rsidR="00F24BAE" w:rsidRPr="007047B5" w14:paraId="16DA092A" w14:textId="77777777">
        <w:tc>
          <w:tcPr>
            <w:tcW w:w="5811" w:type="dxa"/>
          </w:tcPr>
          <w:p w14:paraId="18EEA91A" w14:textId="77777777" w:rsidR="00F24BAE" w:rsidRPr="007047B5" w:rsidRDefault="00F24BAE" w:rsidP="00343761">
            <w:pPr>
              <w:pStyle w:val="Lgendetitre"/>
              <w:rPr>
                <w:lang w:val="en-IE"/>
              </w:rPr>
            </w:pPr>
            <w:r w:rsidRPr="007047B5">
              <w:rPr>
                <w:lang w:val="en-IE"/>
              </w:rPr>
              <w:t>Amendments to a draft act</w:t>
            </w:r>
          </w:p>
        </w:tc>
      </w:tr>
      <w:tr w:rsidR="00F24BAE" w:rsidRPr="007047B5" w14:paraId="159477EB" w14:textId="77777777" w:rsidTr="00343761">
        <w:trPr>
          <w:trHeight w:val="4496"/>
        </w:trPr>
        <w:tc>
          <w:tcPr>
            <w:tcW w:w="5811" w:type="dxa"/>
          </w:tcPr>
          <w:p w14:paraId="459E4502" w14:textId="77777777" w:rsidR="00F24BAE" w:rsidRPr="007047B5" w:rsidRDefault="00F24BAE" w:rsidP="00343761">
            <w:pPr>
              <w:pStyle w:val="Lgendestandard"/>
              <w:rPr>
                <w:szCs w:val="24"/>
                <w:lang w:val="en-IE"/>
              </w:rPr>
            </w:pPr>
            <w:r w:rsidRPr="007047B5">
              <w:rPr>
                <w:b/>
                <w:szCs w:val="24"/>
                <w:lang w:val="en-IE"/>
              </w:rPr>
              <w:t>Amendments by Parliament set out in two columns</w:t>
            </w:r>
          </w:p>
          <w:p w14:paraId="63CA32C5" w14:textId="77777777" w:rsidR="00F24BAE" w:rsidRPr="007047B5" w:rsidRDefault="00F24BAE" w:rsidP="00343761">
            <w:pPr>
              <w:pStyle w:val="Lgendestandard"/>
              <w:rPr>
                <w:szCs w:val="24"/>
                <w:lang w:val="en-IE"/>
              </w:rPr>
            </w:pPr>
          </w:p>
          <w:p w14:paraId="5F0A8F9F" w14:textId="77777777" w:rsidR="00F24BAE" w:rsidRPr="007047B5" w:rsidRDefault="00F24BAE" w:rsidP="00343761">
            <w:pPr>
              <w:pStyle w:val="Lgendestandard"/>
              <w:rPr>
                <w:szCs w:val="24"/>
                <w:lang w:val="en-IE"/>
              </w:rPr>
            </w:pPr>
            <w:r w:rsidRPr="007047B5">
              <w:rPr>
                <w:szCs w:val="24"/>
                <w:lang w:val="en-IE"/>
              </w:rPr>
              <w:t xml:space="preserve">Deletions are indicated in </w:t>
            </w:r>
            <w:r w:rsidRPr="007047B5">
              <w:rPr>
                <w:b/>
                <w:i/>
                <w:szCs w:val="24"/>
                <w:lang w:val="en-IE"/>
              </w:rPr>
              <w:t>bold italics</w:t>
            </w:r>
            <w:r w:rsidRPr="007047B5">
              <w:rPr>
                <w:szCs w:val="24"/>
                <w:lang w:val="en-IE"/>
              </w:rPr>
              <w:t xml:space="preserve"> in the left-hand column. Replacements are indicated in </w:t>
            </w:r>
            <w:r w:rsidRPr="007047B5">
              <w:rPr>
                <w:b/>
                <w:i/>
                <w:szCs w:val="24"/>
                <w:lang w:val="en-IE"/>
              </w:rPr>
              <w:t>bold italics</w:t>
            </w:r>
            <w:r w:rsidRPr="007047B5">
              <w:rPr>
                <w:szCs w:val="24"/>
                <w:lang w:val="en-IE"/>
              </w:rPr>
              <w:t xml:space="preserve"> in both columns. New text is indicated in </w:t>
            </w:r>
            <w:r w:rsidRPr="007047B5">
              <w:rPr>
                <w:b/>
                <w:i/>
                <w:szCs w:val="24"/>
                <w:lang w:val="en-IE"/>
              </w:rPr>
              <w:t>bold italics</w:t>
            </w:r>
            <w:r w:rsidRPr="007047B5">
              <w:rPr>
                <w:szCs w:val="24"/>
                <w:lang w:val="en-IE"/>
              </w:rPr>
              <w:t xml:space="preserve"> in the right-hand column.</w:t>
            </w:r>
          </w:p>
          <w:p w14:paraId="3334C1B8" w14:textId="77777777" w:rsidR="00F24BAE" w:rsidRPr="007047B5" w:rsidRDefault="00F24BAE" w:rsidP="00343761">
            <w:pPr>
              <w:pStyle w:val="Lgendestandard"/>
              <w:rPr>
                <w:szCs w:val="24"/>
                <w:lang w:val="en-IE"/>
              </w:rPr>
            </w:pPr>
          </w:p>
          <w:p w14:paraId="09F88C75" w14:textId="77777777" w:rsidR="00F24BAE" w:rsidRPr="007047B5" w:rsidRDefault="00F24BAE" w:rsidP="00343761">
            <w:pPr>
              <w:pStyle w:val="Lgendestandard"/>
              <w:rPr>
                <w:szCs w:val="24"/>
                <w:lang w:val="en-IE"/>
              </w:rPr>
            </w:pPr>
            <w:r w:rsidRPr="007047B5">
              <w:rPr>
                <w:szCs w:val="24"/>
                <w:lang w:val="en-IE"/>
              </w:rPr>
              <w:t>The first and second lines of the header of each amendment identify the relevant part of the draft act under consideration. If an amendment pertains to an existing act that the draft act is seeking to amend, the amendment heading includes a third line identifying the existing act and a fourth line identifying the provision in that act that Parliament wishes to amend.</w:t>
            </w:r>
          </w:p>
          <w:p w14:paraId="1F312B77" w14:textId="77777777" w:rsidR="00F24BAE" w:rsidRPr="007047B5" w:rsidRDefault="00F24BAE" w:rsidP="00343761">
            <w:pPr>
              <w:pStyle w:val="Lgendestandard"/>
              <w:rPr>
                <w:szCs w:val="24"/>
                <w:lang w:val="en-IE"/>
              </w:rPr>
            </w:pPr>
          </w:p>
          <w:p w14:paraId="3C5D283B" w14:textId="77777777" w:rsidR="00F24BAE" w:rsidRPr="007047B5" w:rsidRDefault="00F24BAE" w:rsidP="00343761">
            <w:pPr>
              <w:pStyle w:val="Lgendestandard"/>
              <w:rPr>
                <w:b/>
                <w:szCs w:val="24"/>
                <w:lang w:val="en-IE"/>
              </w:rPr>
            </w:pPr>
            <w:r w:rsidRPr="007047B5">
              <w:rPr>
                <w:b/>
                <w:szCs w:val="24"/>
                <w:lang w:val="en-IE"/>
              </w:rPr>
              <w:t>Amendments by Parliament in the form of a consolidated text</w:t>
            </w:r>
          </w:p>
          <w:p w14:paraId="5CDD3B85" w14:textId="77777777" w:rsidR="00F24BAE" w:rsidRPr="007047B5" w:rsidRDefault="00F24BAE" w:rsidP="00343761">
            <w:pPr>
              <w:pStyle w:val="Lgendestandard"/>
              <w:rPr>
                <w:szCs w:val="24"/>
                <w:lang w:val="en-IE"/>
              </w:rPr>
            </w:pPr>
          </w:p>
          <w:p w14:paraId="2E414039" w14:textId="77777777" w:rsidR="00F24BAE" w:rsidRPr="007047B5" w:rsidRDefault="00F24BAE" w:rsidP="00343761">
            <w:pPr>
              <w:pStyle w:val="Lgendestandard"/>
              <w:rPr>
                <w:szCs w:val="24"/>
                <w:lang w:val="en-IE"/>
              </w:rPr>
            </w:pPr>
            <w:r w:rsidRPr="007047B5">
              <w:rPr>
                <w:szCs w:val="24"/>
                <w:lang w:val="en-IE"/>
              </w:rPr>
              <w:t xml:space="preserve">New text is highlighted in </w:t>
            </w:r>
            <w:r w:rsidRPr="007047B5">
              <w:rPr>
                <w:b/>
                <w:i/>
                <w:szCs w:val="24"/>
                <w:lang w:val="en-IE"/>
              </w:rPr>
              <w:t>bold italics</w:t>
            </w:r>
            <w:r w:rsidRPr="007047B5">
              <w:rPr>
                <w:szCs w:val="24"/>
                <w:lang w:val="en-IE"/>
              </w:rPr>
              <w:t xml:space="preserve">. Deletions are indicated using either the ▌symbol or strikeout. Replacements are indicated by highlighting the new text in </w:t>
            </w:r>
            <w:r w:rsidRPr="007047B5">
              <w:rPr>
                <w:b/>
                <w:i/>
                <w:szCs w:val="24"/>
                <w:lang w:val="en-IE"/>
              </w:rPr>
              <w:t>bold italics</w:t>
            </w:r>
            <w:r w:rsidRPr="007047B5">
              <w:rPr>
                <w:szCs w:val="24"/>
                <w:lang w:val="en-IE"/>
              </w:rPr>
              <w:t xml:space="preserve"> and by deleting or striking out the text that has been replaced. </w:t>
            </w:r>
          </w:p>
          <w:p w14:paraId="18499B8F" w14:textId="77777777" w:rsidR="00F24BAE" w:rsidRPr="007047B5" w:rsidRDefault="00F24BAE" w:rsidP="00343761">
            <w:pPr>
              <w:pStyle w:val="Lgendestandard"/>
              <w:rPr>
                <w:lang w:val="en-IE"/>
              </w:rPr>
            </w:pPr>
            <w:r w:rsidRPr="007047B5">
              <w:rPr>
                <w:szCs w:val="24"/>
                <w:lang w:val="en-IE"/>
              </w:rPr>
              <w:t>By way of exception, purely technical changes made by the drafting departments in preparing the final text are not highlighted.</w:t>
            </w:r>
          </w:p>
          <w:p w14:paraId="5AE1700D" w14:textId="77777777" w:rsidR="00F24BAE" w:rsidRPr="007047B5" w:rsidRDefault="00F24BAE" w:rsidP="00343761">
            <w:pPr>
              <w:pStyle w:val="Lgendestandard"/>
              <w:rPr>
                <w:lang w:val="en-IE"/>
              </w:rPr>
            </w:pPr>
          </w:p>
        </w:tc>
      </w:tr>
    </w:tbl>
    <w:p w14:paraId="7BC93A00" w14:textId="77777777" w:rsidR="00F24BAE" w:rsidRPr="007047B5" w:rsidRDefault="00F24BAE" w:rsidP="00343761">
      <w:pPr>
        <w:rPr>
          <w:lang w:val="en-IE"/>
        </w:rPr>
      </w:pPr>
    </w:p>
    <w:p w14:paraId="71C304B6" w14:textId="77777777" w:rsidR="00793EA9" w:rsidRPr="007047B5" w:rsidRDefault="00793EA9" w:rsidP="00012351">
      <w:pPr>
        <w:widowControl/>
        <w:tabs>
          <w:tab w:val="center" w:pos="4677"/>
        </w:tabs>
        <w:rPr>
          <w:lang w:val="en-IE"/>
        </w:rPr>
      </w:pPr>
    </w:p>
    <w:p w14:paraId="6198BDEA" w14:textId="77777777" w:rsidR="00793EA9" w:rsidRPr="007047B5" w:rsidRDefault="00793EA9">
      <w:pPr>
        <w:pStyle w:val="TOCHeading"/>
        <w:rPr>
          <w:lang w:val="fr-FR"/>
        </w:rPr>
      </w:pPr>
      <w:r w:rsidRPr="004D0132">
        <w:br w:type="page"/>
      </w:r>
      <w:r w:rsidR="00E27EA8" w:rsidRPr="007047B5">
        <w:rPr>
          <w:lang w:val="fr-FR"/>
        </w:rPr>
        <w:lastRenderedPageBreak/>
        <w:t>CONTENTS</w:t>
      </w:r>
    </w:p>
    <w:p w14:paraId="3BBAA754" w14:textId="77777777" w:rsidR="00793EA9" w:rsidRPr="007047B5" w:rsidRDefault="00E27EA8">
      <w:pPr>
        <w:pStyle w:val="TOCPage"/>
        <w:rPr>
          <w:lang w:val="fr-FR"/>
        </w:rPr>
      </w:pPr>
      <w:r w:rsidRPr="007047B5">
        <w:rPr>
          <w:lang w:val="fr-FR"/>
        </w:rPr>
        <w:t>Page</w:t>
      </w:r>
    </w:p>
    <w:p w14:paraId="381CABC9" w14:textId="79207D29" w:rsidR="005A0D9F" w:rsidRDefault="00C23324">
      <w:pPr>
        <w:pStyle w:val="TOC1"/>
        <w:tabs>
          <w:tab w:val="right" w:leader="dot" w:pos="9060"/>
        </w:tabs>
        <w:rPr>
          <w:rFonts w:asciiTheme="minorHAnsi" w:eastAsiaTheme="minorEastAsia" w:hAnsiTheme="minorHAnsi" w:cstheme="minorBidi"/>
          <w:noProof/>
          <w:sz w:val="22"/>
          <w:szCs w:val="22"/>
        </w:rPr>
      </w:pPr>
      <w:r w:rsidRPr="007047B5">
        <w:rPr>
          <w:b/>
          <w:lang w:val="en-IE"/>
        </w:rPr>
        <w:fldChar w:fldCharType="begin"/>
      </w:r>
      <w:r w:rsidRPr="007047B5">
        <w:rPr>
          <w:b/>
          <w:lang w:val="fr-FR"/>
        </w:rPr>
        <w:instrText xml:space="preserve"> TOC \t "PageHeading</w:instrText>
      </w:r>
      <w:r w:rsidR="00CC124A" w:rsidRPr="007047B5">
        <w:rPr>
          <w:b/>
          <w:lang w:val="fr-FR"/>
        </w:rPr>
        <w:instrText>;</w:instrText>
      </w:r>
      <w:r w:rsidRPr="007047B5">
        <w:rPr>
          <w:b/>
          <w:lang w:val="fr-FR"/>
        </w:rPr>
        <w:instrText xml:space="preserve">1" </w:instrText>
      </w:r>
      <w:r w:rsidRPr="007047B5">
        <w:rPr>
          <w:b/>
          <w:lang w:val="en-IE"/>
        </w:rPr>
        <w:fldChar w:fldCharType="separate"/>
      </w:r>
      <w:r w:rsidR="005A0D9F" w:rsidRPr="00B86278">
        <w:rPr>
          <w:noProof/>
          <w:lang w:val="en-IE"/>
        </w:rPr>
        <w:t>DRAFT EUROPEAN PARLIAMENT LEGISLATIVE RESOLUTION</w:t>
      </w:r>
      <w:r w:rsidR="005A0D9F">
        <w:rPr>
          <w:noProof/>
        </w:rPr>
        <w:tab/>
      </w:r>
      <w:r w:rsidR="005A0D9F">
        <w:rPr>
          <w:noProof/>
        </w:rPr>
        <w:fldChar w:fldCharType="begin"/>
      </w:r>
      <w:r w:rsidR="005A0D9F">
        <w:rPr>
          <w:noProof/>
        </w:rPr>
        <w:instrText xml:space="preserve"> PAGEREF _Toc98500889 \h </w:instrText>
      </w:r>
      <w:r w:rsidR="005A0D9F">
        <w:rPr>
          <w:noProof/>
        </w:rPr>
      </w:r>
      <w:r w:rsidR="005A0D9F">
        <w:rPr>
          <w:noProof/>
        </w:rPr>
        <w:fldChar w:fldCharType="separate"/>
      </w:r>
      <w:r w:rsidR="005A0D9F">
        <w:rPr>
          <w:noProof/>
        </w:rPr>
        <w:t>5</w:t>
      </w:r>
      <w:r w:rsidR="005A0D9F">
        <w:rPr>
          <w:noProof/>
        </w:rPr>
        <w:fldChar w:fldCharType="end"/>
      </w:r>
    </w:p>
    <w:p w14:paraId="3EF70EDE" w14:textId="2336FC48" w:rsidR="005A0D9F" w:rsidRDefault="005A0D9F">
      <w:pPr>
        <w:pStyle w:val="TOC1"/>
        <w:tabs>
          <w:tab w:val="right" w:leader="dot" w:pos="9060"/>
        </w:tabs>
        <w:rPr>
          <w:rFonts w:asciiTheme="minorHAnsi" w:eastAsiaTheme="minorEastAsia" w:hAnsiTheme="minorHAnsi" w:cstheme="minorBidi"/>
          <w:noProof/>
          <w:sz w:val="22"/>
          <w:szCs w:val="22"/>
        </w:rPr>
      </w:pPr>
      <w:r w:rsidRPr="00B86278">
        <w:rPr>
          <w:noProof/>
          <w:lang w:val="en-IE"/>
        </w:rPr>
        <w:t>EXPLANATORY STATEMENT</w:t>
      </w:r>
      <w:r>
        <w:rPr>
          <w:noProof/>
        </w:rPr>
        <w:tab/>
      </w:r>
      <w:r>
        <w:rPr>
          <w:noProof/>
        </w:rPr>
        <w:fldChar w:fldCharType="begin"/>
      </w:r>
      <w:r>
        <w:rPr>
          <w:noProof/>
        </w:rPr>
        <w:instrText xml:space="preserve"> PAGEREF _Toc98500890 \h </w:instrText>
      </w:r>
      <w:r>
        <w:rPr>
          <w:noProof/>
        </w:rPr>
      </w:r>
      <w:r>
        <w:rPr>
          <w:noProof/>
        </w:rPr>
        <w:fldChar w:fldCharType="separate"/>
      </w:r>
      <w:r>
        <w:rPr>
          <w:noProof/>
        </w:rPr>
        <w:t>69</w:t>
      </w:r>
      <w:r>
        <w:rPr>
          <w:noProof/>
        </w:rPr>
        <w:fldChar w:fldCharType="end"/>
      </w:r>
    </w:p>
    <w:p w14:paraId="25B01B90" w14:textId="71467C55" w:rsidR="002346B0" w:rsidRPr="007047B5" w:rsidRDefault="00C23324" w:rsidP="00C23324">
      <w:pPr>
        <w:rPr>
          <w:lang w:val="en-IE"/>
        </w:rPr>
      </w:pPr>
      <w:r w:rsidRPr="007047B5">
        <w:rPr>
          <w:b/>
          <w:lang w:val="en-IE"/>
        </w:rPr>
        <w:fldChar w:fldCharType="end"/>
      </w:r>
    </w:p>
    <w:p w14:paraId="701E24CA" w14:textId="77777777" w:rsidR="00793EA9" w:rsidRPr="007047B5" w:rsidRDefault="00793EA9">
      <w:pPr>
        <w:pStyle w:val="PageHeading"/>
        <w:rPr>
          <w:lang w:val="en-IE"/>
        </w:rPr>
      </w:pPr>
      <w:r w:rsidRPr="007047B5">
        <w:rPr>
          <w:lang w:val="en-IE"/>
        </w:rPr>
        <w:br w:type="page"/>
      </w:r>
      <w:r w:rsidRPr="007047B5">
        <w:rPr>
          <w:lang w:val="en-IE"/>
        </w:rPr>
        <w:lastRenderedPageBreak/>
        <w:br w:type="page"/>
      </w:r>
      <w:bookmarkStart w:id="1" w:name="_Toc98500889"/>
      <w:r w:rsidR="00E27EA8" w:rsidRPr="007047B5">
        <w:rPr>
          <w:lang w:val="en-IE"/>
        </w:rPr>
        <w:lastRenderedPageBreak/>
        <w:t>DRAFT EUROPEAN PARLIAMENT LEGISLATIVE RESOLUTION</w:t>
      </w:r>
      <w:bookmarkEnd w:id="1"/>
    </w:p>
    <w:p w14:paraId="4F7640E5" w14:textId="77777777" w:rsidR="00793EA9" w:rsidRPr="007047B5" w:rsidRDefault="00E27EA8">
      <w:pPr>
        <w:pStyle w:val="NormalBold"/>
        <w:rPr>
          <w:lang w:val="en-IE"/>
        </w:rPr>
      </w:pPr>
      <w:r w:rsidRPr="007047B5">
        <w:rPr>
          <w:lang w:val="en-IE"/>
        </w:rPr>
        <w:t xml:space="preserve">on the proposal for a </w:t>
      </w:r>
      <w:r w:rsidR="00F24BAE" w:rsidRPr="007047B5">
        <w:rPr>
          <w:lang w:val="en-IE"/>
        </w:rPr>
        <w:t>regulation</w:t>
      </w:r>
      <w:r w:rsidRPr="007047B5">
        <w:rPr>
          <w:lang w:val="en-IE"/>
        </w:rPr>
        <w:t xml:space="preserve"> of the European Parliament and of the Council </w:t>
      </w:r>
      <w:r w:rsidR="00F24BAE" w:rsidRPr="007047B5">
        <w:rPr>
          <w:lang w:val="en-IE"/>
        </w:rPr>
        <w:t>on the prevention of the use of the financial system for the purposes of money laundering or terrorist financing</w:t>
      </w:r>
    </w:p>
    <w:p w14:paraId="06A47BD1" w14:textId="77777777" w:rsidR="00793EA9" w:rsidRPr="007047B5" w:rsidRDefault="00E27EA8">
      <w:pPr>
        <w:pStyle w:val="NormalBold12a"/>
        <w:rPr>
          <w:lang w:val="en-IE"/>
        </w:rPr>
      </w:pPr>
      <w:r w:rsidRPr="007047B5">
        <w:rPr>
          <w:lang w:val="en-IE"/>
        </w:rPr>
        <w:t>(COM</w:t>
      </w:r>
      <w:r w:rsidR="00F24BAE" w:rsidRPr="007047B5">
        <w:rPr>
          <w:lang w:val="en-IE"/>
        </w:rPr>
        <w:t>(2021)</w:t>
      </w:r>
      <w:r w:rsidR="00FB08C9" w:rsidRPr="007047B5">
        <w:rPr>
          <w:lang w:val="en-IE"/>
        </w:rPr>
        <w:t>0</w:t>
      </w:r>
      <w:r w:rsidR="00F24BAE" w:rsidRPr="007047B5">
        <w:rPr>
          <w:lang w:val="en-IE"/>
        </w:rPr>
        <w:t>420</w:t>
      </w:r>
      <w:r w:rsidRPr="007047B5">
        <w:rPr>
          <w:lang w:val="en-IE"/>
        </w:rPr>
        <w:t xml:space="preserve"> </w:t>
      </w:r>
      <w:r w:rsidR="00F24BAE" w:rsidRPr="007047B5">
        <w:rPr>
          <w:lang w:val="en-IE"/>
        </w:rPr>
        <w:t>–</w:t>
      </w:r>
      <w:r w:rsidRPr="007047B5">
        <w:rPr>
          <w:lang w:val="en-IE"/>
        </w:rPr>
        <w:t xml:space="preserve"> </w:t>
      </w:r>
      <w:r w:rsidR="00F24BAE" w:rsidRPr="007047B5">
        <w:rPr>
          <w:lang w:val="en-IE"/>
        </w:rPr>
        <w:t>C9</w:t>
      </w:r>
      <w:r w:rsidR="00F24BAE" w:rsidRPr="007047B5">
        <w:rPr>
          <w:lang w:val="en-IE"/>
        </w:rPr>
        <w:noBreakHyphen/>
        <w:t>0339/2021</w:t>
      </w:r>
      <w:r w:rsidRPr="007047B5">
        <w:rPr>
          <w:lang w:val="en-IE"/>
        </w:rPr>
        <w:t xml:space="preserve"> </w:t>
      </w:r>
      <w:r w:rsidR="00F24BAE" w:rsidRPr="007047B5">
        <w:rPr>
          <w:lang w:val="en-IE"/>
        </w:rPr>
        <w:t>–</w:t>
      </w:r>
      <w:r w:rsidRPr="007047B5">
        <w:rPr>
          <w:lang w:val="en-IE"/>
        </w:rPr>
        <w:t xml:space="preserve"> </w:t>
      </w:r>
      <w:r w:rsidR="00F24BAE" w:rsidRPr="007047B5">
        <w:rPr>
          <w:lang w:val="en-IE"/>
        </w:rPr>
        <w:t>2021/0239</w:t>
      </w:r>
      <w:r w:rsidRPr="007047B5">
        <w:rPr>
          <w:lang w:val="en-IE"/>
        </w:rPr>
        <w:t>(COD))</w:t>
      </w:r>
    </w:p>
    <w:p w14:paraId="6F2EC69B" w14:textId="77777777" w:rsidR="00793EA9" w:rsidRPr="007047B5" w:rsidRDefault="00E27EA8" w:rsidP="00A910C9">
      <w:pPr>
        <w:pStyle w:val="NormalBold"/>
        <w:rPr>
          <w:lang w:val="en-IE"/>
        </w:rPr>
      </w:pPr>
      <w:r w:rsidRPr="007047B5">
        <w:rPr>
          <w:lang w:val="en-IE"/>
        </w:rPr>
        <w:t>(Ordinary legislative procedure: first reading)</w:t>
      </w:r>
    </w:p>
    <w:p w14:paraId="708625A9" w14:textId="77777777" w:rsidR="00793EA9" w:rsidRPr="007047B5" w:rsidRDefault="00E27EA8" w:rsidP="00A910C9">
      <w:pPr>
        <w:pStyle w:val="EPComma"/>
        <w:rPr>
          <w:lang w:val="en-IE"/>
        </w:rPr>
      </w:pPr>
      <w:r w:rsidRPr="007047B5">
        <w:rPr>
          <w:i/>
          <w:lang w:val="en-IE"/>
        </w:rPr>
        <w:t>The European Parliament</w:t>
      </w:r>
      <w:r w:rsidRPr="007047B5">
        <w:rPr>
          <w:lang w:val="en-IE"/>
        </w:rPr>
        <w:t>,</w:t>
      </w:r>
    </w:p>
    <w:p w14:paraId="655FC040" w14:textId="77777777" w:rsidR="00793EA9" w:rsidRPr="007047B5" w:rsidRDefault="00793EA9">
      <w:pPr>
        <w:pStyle w:val="NormalHanging12a"/>
        <w:rPr>
          <w:lang w:val="en-IE"/>
        </w:rPr>
      </w:pPr>
      <w:r w:rsidRPr="007047B5">
        <w:rPr>
          <w:lang w:val="en-IE"/>
        </w:rPr>
        <w:t>–</w:t>
      </w:r>
      <w:r w:rsidRPr="007047B5">
        <w:rPr>
          <w:lang w:val="en-IE"/>
        </w:rPr>
        <w:tab/>
      </w:r>
      <w:r w:rsidR="00E27EA8" w:rsidRPr="007047B5">
        <w:rPr>
          <w:lang w:val="en-IE"/>
        </w:rPr>
        <w:t>having regard to the Commission proposal to Parliament and the Council (COM</w:t>
      </w:r>
      <w:r w:rsidR="00F24BAE" w:rsidRPr="007047B5">
        <w:rPr>
          <w:lang w:val="en-IE"/>
        </w:rPr>
        <w:t>(2021)</w:t>
      </w:r>
      <w:r w:rsidR="00D0620A" w:rsidRPr="007047B5">
        <w:rPr>
          <w:lang w:val="en-IE"/>
        </w:rPr>
        <w:t>0</w:t>
      </w:r>
      <w:r w:rsidR="00F24BAE" w:rsidRPr="007047B5">
        <w:rPr>
          <w:lang w:val="en-IE"/>
        </w:rPr>
        <w:t>420</w:t>
      </w:r>
      <w:r w:rsidR="00E27EA8" w:rsidRPr="007047B5">
        <w:rPr>
          <w:lang w:val="en-IE"/>
        </w:rPr>
        <w:t>),</w:t>
      </w:r>
    </w:p>
    <w:p w14:paraId="255F3AD5" w14:textId="77777777" w:rsidR="00A26F46" w:rsidRPr="007047B5" w:rsidRDefault="00793EA9" w:rsidP="00BF4160">
      <w:pPr>
        <w:pStyle w:val="NormalHanging12a"/>
        <w:rPr>
          <w:lang w:val="en-IE"/>
        </w:rPr>
      </w:pPr>
      <w:r w:rsidRPr="007047B5">
        <w:rPr>
          <w:lang w:val="en-IE"/>
        </w:rPr>
        <w:t>–</w:t>
      </w:r>
      <w:r w:rsidRPr="007047B5">
        <w:rPr>
          <w:lang w:val="en-IE"/>
        </w:rPr>
        <w:tab/>
      </w:r>
      <w:r w:rsidR="00E27EA8" w:rsidRPr="007047B5">
        <w:rPr>
          <w:lang w:val="en-IE"/>
        </w:rPr>
        <w:t>having regard to Article</w:t>
      </w:r>
      <w:r w:rsidR="00F24BAE" w:rsidRPr="007047B5">
        <w:rPr>
          <w:lang w:val="en-IE"/>
        </w:rPr>
        <w:t> </w:t>
      </w:r>
      <w:r w:rsidR="00E27EA8" w:rsidRPr="007047B5">
        <w:rPr>
          <w:lang w:val="en-IE"/>
        </w:rPr>
        <w:t xml:space="preserve">294(2) and </w:t>
      </w:r>
      <w:r w:rsidR="00BF4160" w:rsidRPr="007047B5">
        <w:rPr>
          <w:lang w:val="en-IE"/>
        </w:rPr>
        <w:t>Article 114</w:t>
      </w:r>
      <w:r w:rsidR="00E27EA8" w:rsidRPr="007047B5">
        <w:rPr>
          <w:lang w:val="en-IE"/>
        </w:rPr>
        <w:t xml:space="preserve"> of the Treaty on the Functioning of the European Union, pursuant to which the Commission submitted the proposal to Parliament (</w:t>
      </w:r>
      <w:r w:rsidR="00BF4160" w:rsidRPr="007047B5">
        <w:rPr>
          <w:lang w:val="en-IE"/>
        </w:rPr>
        <w:t>C9</w:t>
      </w:r>
      <w:r w:rsidR="00BF4160" w:rsidRPr="007047B5">
        <w:rPr>
          <w:lang w:val="en-IE"/>
        </w:rPr>
        <w:noBreakHyphen/>
      </w:r>
      <w:bookmarkStart w:id="2" w:name="DocEPLastVariable"/>
      <w:bookmarkEnd w:id="2"/>
      <w:r w:rsidR="00BF4160" w:rsidRPr="007047B5">
        <w:rPr>
          <w:lang w:val="en-IE"/>
        </w:rPr>
        <w:t>0339/2021</w:t>
      </w:r>
      <w:r w:rsidR="00E27EA8" w:rsidRPr="007047B5">
        <w:rPr>
          <w:lang w:val="en-IE"/>
        </w:rPr>
        <w:t>),</w:t>
      </w:r>
    </w:p>
    <w:p w14:paraId="5160C037" w14:textId="77777777" w:rsidR="00A26F46" w:rsidRPr="007047B5" w:rsidRDefault="00A26F46" w:rsidP="00A26F46">
      <w:pPr>
        <w:pStyle w:val="NormalHanging12a"/>
        <w:rPr>
          <w:lang w:val="en-IE"/>
        </w:rPr>
      </w:pPr>
      <w:r w:rsidRPr="007047B5">
        <w:rPr>
          <w:lang w:val="en-IE"/>
        </w:rPr>
        <w:t>–</w:t>
      </w:r>
      <w:r w:rsidRPr="007047B5">
        <w:rPr>
          <w:lang w:val="en-IE"/>
        </w:rPr>
        <w:tab/>
      </w:r>
      <w:r w:rsidR="00E27EA8" w:rsidRPr="007047B5">
        <w:rPr>
          <w:lang w:val="en-IE"/>
        </w:rPr>
        <w:t>having regard to Article 294(3) of the Treaty on the Functioning of the European Union,</w:t>
      </w:r>
    </w:p>
    <w:p w14:paraId="07BAD8B9" w14:textId="77777777" w:rsidR="00BF4160" w:rsidRPr="007047B5" w:rsidRDefault="00BF4160" w:rsidP="00AD7FA6">
      <w:pPr>
        <w:pStyle w:val="NormalHanging12a"/>
        <w:rPr>
          <w:lang w:val="en-IE"/>
        </w:rPr>
      </w:pPr>
      <w:r w:rsidRPr="007047B5">
        <w:rPr>
          <w:lang w:val="en-IE"/>
        </w:rPr>
        <w:tab/>
        <w:t>having regard to the opinion of the European Central Bank of 17 February 2022</w:t>
      </w:r>
      <w:r w:rsidRPr="007047B5">
        <w:rPr>
          <w:rStyle w:val="FootnoteReference"/>
          <w:lang w:val="en-IE"/>
        </w:rPr>
        <w:footnoteReference w:id="1"/>
      </w:r>
      <w:r w:rsidRPr="007047B5">
        <w:rPr>
          <w:lang w:val="en-IE"/>
        </w:rPr>
        <w:t>,</w:t>
      </w:r>
    </w:p>
    <w:p w14:paraId="2618E369" w14:textId="77777777" w:rsidR="00BF4160" w:rsidRPr="007047B5" w:rsidRDefault="00BF4160" w:rsidP="00BF4160">
      <w:pPr>
        <w:pStyle w:val="NormalHanging12a"/>
        <w:rPr>
          <w:lang w:val="en-IE"/>
        </w:rPr>
      </w:pPr>
      <w:r w:rsidRPr="007047B5">
        <w:rPr>
          <w:lang w:val="en-IE"/>
        </w:rPr>
        <w:t>–</w:t>
      </w:r>
      <w:r w:rsidRPr="007047B5">
        <w:rPr>
          <w:lang w:val="en-IE"/>
        </w:rPr>
        <w:tab/>
        <w:t xml:space="preserve">having regard to the opinion of the European Economic and Social Committee of </w:t>
      </w:r>
      <w:r w:rsidR="00B31717" w:rsidRPr="007047B5">
        <w:rPr>
          <w:lang w:val="en-IE"/>
        </w:rPr>
        <w:t>8 December 202</w:t>
      </w:r>
      <w:r w:rsidR="00CC124A" w:rsidRPr="007047B5">
        <w:rPr>
          <w:lang w:val="en-IE"/>
        </w:rPr>
        <w:t>1</w:t>
      </w:r>
      <w:r w:rsidR="00CC124A" w:rsidRPr="007047B5">
        <w:rPr>
          <w:rStyle w:val="FootnoteReference"/>
          <w:lang w:val="en-IE"/>
        </w:rPr>
        <w:footnoteReference w:id="2"/>
      </w:r>
      <w:r w:rsidRPr="007047B5">
        <w:rPr>
          <w:lang w:val="en-IE"/>
        </w:rPr>
        <w:t>,</w:t>
      </w:r>
    </w:p>
    <w:p w14:paraId="23D90172" w14:textId="77777777" w:rsidR="00793EA9" w:rsidRPr="007047B5" w:rsidRDefault="00793EA9">
      <w:pPr>
        <w:pStyle w:val="NormalHanging12a"/>
        <w:rPr>
          <w:lang w:val="en-IE"/>
        </w:rPr>
      </w:pPr>
      <w:r w:rsidRPr="007047B5">
        <w:rPr>
          <w:lang w:val="en-IE"/>
        </w:rPr>
        <w:t>–</w:t>
      </w:r>
      <w:r w:rsidRPr="007047B5">
        <w:rPr>
          <w:lang w:val="en-IE"/>
        </w:rPr>
        <w:tab/>
      </w:r>
      <w:r w:rsidR="00BF4160" w:rsidRPr="007047B5">
        <w:rPr>
          <w:lang w:val="en-IE"/>
        </w:rPr>
        <w:t>having regard to Rule 59 and 40 of its Rules of Procedure,</w:t>
      </w:r>
    </w:p>
    <w:p w14:paraId="57194522" w14:textId="77777777" w:rsidR="006A2F5D" w:rsidRPr="007047B5" w:rsidRDefault="006A2F5D" w:rsidP="006A2F5D">
      <w:pPr>
        <w:pStyle w:val="NormalHanging12a"/>
        <w:rPr>
          <w:lang w:val="en-IE"/>
        </w:rPr>
      </w:pPr>
      <w:r w:rsidRPr="007047B5">
        <w:rPr>
          <w:lang w:val="en-IE"/>
        </w:rPr>
        <w:t>–</w:t>
      </w:r>
      <w:r w:rsidRPr="007047B5">
        <w:rPr>
          <w:lang w:val="en-IE"/>
        </w:rPr>
        <w:tab/>
      </w:r>
      <w:r w:rsidR="00E27EA8" w:rsidRPr="007047B5">
        <w:rPr>
          <w:lang w:val="en-IE"/>
        </w:rPr>
        <w:t xml:space="preserve">having regard to the report of the </w:t>
      </w:r>
      <w:r w:rsidR="00BF4160" w:rsidRPr="007047B5">
        <w:rPr>
          <w:lang w:val="en-IE"/>
        </w:rPr>
        <w:t>Committee on Economic and Monetary Affairs and the Committee on Civil Liberties, Justice and Home Affairs</w:t>
      </w:r>
      <w:r w:rsidR="00E27EA8" w:rsidRPr="007047B5">
        <w:rPr>
          <w:lang w:val="en-IE"/>
        </w:rPr>
        <w:t xml:space="preserve"> (</w:t>
      </w:r>
      <w:r w:rsidR="00BF4160" w:rsidRPr="007047B5">
        <w:rPr>
          <w:lang w:val="en-IE"/>
        </w:rPr>
        <w:t>A9</w:t>
      </w:r>
      <w:r w:rsidR="00BF4160" w:rsidRPr="007047B5">
        <w:rPr>
          <w:lang w:val="en-IE"/>
        </w:rPr>
        <w:noBreakHyphen/>
      </w:r>
      <w:r w:rsidR="00E27EA8" w:rsidRPr="007047B5">
        <w:rPr>
          <w:lang w:val="en-IE"/>
        </w:rPr>
        <w:t>0000/</w:t>
      </w:r>
      <w:r w:rsidR="00BF4160" w:rsidRPr="007047B5">
        <w:rPr>
          <w:lang w:val="en-IE"/>
        </w:rPr>
        <w:t>2022</w:t>
      </w:r>
      <w:r w:rsidR="00E27EA8" w:rsidRPr="007047B5">
        <w:rPr>
          <w:lang w:val="en-IE"/>
        </w:rPr>
        <w:t>),</w:t>
      </w:r>
    </w:p>
    <w:p w14:paraId="7F7E1791" w14:textId="77777777" w:rsidR="009F6C2F" w:rsidRPr="007047B5" w:rsidRDefault="009F6C2F" w:rsidP="009F6C2F">
      <w:pPr>
        <w:pStyle w:val="NormalHanging12a"/>
        <w:rPr>
          <w:lang w:val="en-IE"/>
        </w:rPr>
      </w:pPr>
      <w:r w:rsidRPr="007047B5">
        <w:rPr>
          <w:lang w:val="en-IE"/>
        </w:rPr>
        <w:t>1.</w:t>
      </w:r>
      <w:r w:rsidRPr="007047B5">
        <w:rPr>
          <w:lang w:val="en-IE"/>
        </w:rPr>
        <w:tab/>
      </w:r>
      <w:r w:rsidR="00E27EA8" w:rsidRPr="007047B5">
        <w:rPr>
          <w:lang w:val="en-IE"/>
        </w:rPr>
        <w:t>Adopts its position at first reading hereinafter set out;</w:t>
      </w:r>
    </w:p>
    <w:p w14:paraId="235B1D4C" w14:textId="77777777" w:rsidR="009F6C2F" w:rsidRPr="007047B5" w:rsidRDefault="005B367A" w:rsidP="009F6C2F">
      <w:pPr>
        <w:pStyle w:val="NormalHanging12a"/>
        <w:rPr>
          <w:lang w:val="en-IE"/>
        </w:rPr>
      </w:pPr>
      <w:r w:rsidRPr="007047B5">
        <w:rPr>
          <w:lang w:val="en-IE"/>
        </w:rPr>
        <w:t>2.</w:t>
      </w:r>
      <w:r w:rsidRPr="007047B5">
        <w:rPr>
          <w:lang w:val="en-IE"/>
        </w:rPr>
        <w:tab/>
        <w:t>Calls on the Commission to refer the matter to Parliament again if it replaces, substantially amends or intends to substantially amend its proposal;</w:t>
      </w:r>
    </w:p>
    <w:p w14:paraId="797FBDC1" w14:textId="77777777" w:rsidR="009F6C2F" w:rsidRPr="007047B5" w:rsidRDefault="005B367A" w:rsidP="009F6C2F">
      <w:pPr>
        <w:pStyle w:val="NormalHanging12a"/>
        <w:rPr>
          <w:lang w:val="en-IE"/>
        </w:rPr>
      </w:pPr>
      <w:r w:rsidRPr="007047B5">
        <w:rPr>
          <w:lang w:val="en-IE"/>
        </w:rPr>
        <w:t>3</w:t>
      </w:r>
      <w:bookmarkStart w:id="3" w:name="DocEPLastPosition"/>
      <w:bookmarkEnd w:id="3"/>
      <w:r w:rsidRPr="007047B5">
        <w:rPr>
          <w:lang w:val="en-IE"/>
        </w:rPr>
        <w:t>.</w:t>
      </w:r>
      <w:r w:rsidRPr="007047B5">
        <w:rPr>
          <w:lang w:val="en-IE"/>
        </w:rPr>
        <w:tab/>
        <w:t>Instructs its President to forward its position to the Council, the Commission and the national parliaments.</w:t>
      </w:r>
    </w:p>
    <w:p w14:paraId="349F8A74" w14:textId="77777777" w:rsidR="00D30DE2" w:rsidRPr="007047B5" w:rsidRDefault="00D30DE2" w:rsidP="00D30DE2">
      <w:pPr>
        <w:rPr>
          <w:lang w:val="en-IE"/>
        </w:rPr>
      </w:pPr>
    </w:p>
    <w:p w14:paraId="678F48FF" w14:textId="77777777" w:rsidR="00CB2077" w:rsidRPr="007047B5" w:rsidRDefault="00CB2077" w:rsidP="00CB2077">
      <w:pPr>
        <w:pStyle w:val="AMNumberTabs0"/>
        <w:keepNext/>
        <w:rPr>
          <w:lang w:val="en-IE"/>
        </w:rPr>
      </w:pPr>
      <w:r w:rsidRPr="007047B5">
        <w:rPr>
          <w:rStyle w:val="HideTWBExt"/>
          <w:b w:val="0"/>
          <w:noProof w:val="0"/>
          <w:lang w:val="en-IE"/>
        </w:rPr>
        <w:t>&lt;RepeatBlock-Amend&gt;&lt;Amend&gt;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w:t>
      </w:r>
      <w:r w:rsidRPr="007047B5">
        <w:rPr>
          <w:rStyle w:val="HideTWBExt"/>
          <w:b w:val="0"/>
          <w:noProof w:val="0"/>
          <w:lang w:val="en-IE"/>
        </w:rPr>
        <w:t>&lt;/NumAm&gt;</w:t>
      </w:r>
    </w:p>
    <w:p w14:paraId="7EF05C10"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608D48F"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1</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6027562B" w14:textId="77777777" w:rsidTr="00CB2077">
        <w:trPr>
          <w:jc w:val="center"/>
        </w:trPr>
        <w:tc>
          <w:tcPr>
            <w:tcW w:w="9752" w:type="dxa"/>
            <w:gridSpan w:val="2"/>
          </w:tcPr>
          <w:p w14:paraId="7BCF70CD" w14:textId="77777777" w:rsidR="00CB2077" w:rsidRPr="007047B5" w:rsidRDefault="00CB2077">
            <w:pPr>
              <w:keepNext/>
              <w:rPr>
                <w:lang w:val="en-IE"/>
              </w:rPr>
            </w:pPr>
          </w:p>
        </w:tc>
      </w:tr>
      <w:tr w:rsidR="00CB2077" w:rsidRPr="007047B5" w14:paraId="34AF0CE6" w14:textId="77777777" w:rsidTr="00CB2077">
        <w:trPr>
          <w:jc w:val="center"/>
        </w:trPr>
        <w:tc>
          <w:tcPr>
            <w:tcW w:w="4876" w:type="dxa"/>
            <w:hideMark/>
          </w:tcPr>
          <w:p w14:paraId="60218676"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1304AB7" w14:textId="77777777" w:rsidR="00CB2077" w:rsidRPr="007047B5" w:rsidRDefault="00CB2077">
            <w:pPr>
              <w:pStyle w:val="ColumnHeading"/>
              <w:keepNext/>
              <w:rPr>
                <w:lang w:val="en-IE"/>
              </w:rPr>
            </w:pPr>
            <w:r w:rsidRPr="007047B5">
              <w:rPr>
                <w:lang w:val="en-IE"/>
              </w:rPr>
              <w:t>Amendment</w:t>
            </w:r>
          </w:p>
        </w:tc>
      </w:tr>
      <w:tr w:rsidR="00CB2077" w:rsidRPr="007047B5" w14:paraId="134DA72E" w14:textId="77777777" w:rsidTr="00CB2077">
        <w:trPr>
          <w:jc w:val="center"/>
        </w:trPr>
        <w:tc>
          <w:tcPr>
            <w:tcW w:w="4876" w:type="dxa"/>
            <w:hideMark/>
          </w:tcPr>
          <w:p w14:paraId="3A8E92CC" w14:textId="77777777" w:rsidR="00CB2077" w:rsidRPr="007047B5" w:rsidRDefault="00CB2077">
            <w:pPr>
              <w:pStyle w:val="Normal6"/>
              <w:rPr>
                <w:lang w:val="en-IE"/>
              </w:rPr>
            </w:pPr>
            <w:r w:rsidRPr="007047B5">
              <w:rPr>
                <w:lang w:val="en-IE"/>
              </w:rPr>
              <w:t>(1)</w:t>
            </w:r>
            <w:r w:rsidRPr="007047B5">
              <w:rPr>
                <w:lang w:val="en-IE"/>
              </w:rPr>
              <w:tab/>
              <w:t>Directive (EU) 2015/849 of the European Parliament and of the Council</w:t>
            </w:r>
            <w:r w:rsidRPr="007047B5">
              <w:rPr>
                <w:vertAlign w:val="superscript"/>
                <w:lang w:val="en-IE"/>
              </w:rPr>
              <w:t>23</w:t>
            </w:r>
            <w:r w:rsidRPr="007047B5">
              <w:rPr>
                <w:lang w:val="en-IE"/>
              </w:rPr>
              <w:t xml:space="preserve"> constitutes the main legal instrument for the prevention of the use of the Union financial system for the purposes of money laundering and terrorist financing. That Directive sets out a comprehensive legal framework, which Directive (EU) 2018/843 of the European Parliament and the Council</w:t>
            </w:r>
            <w:r w:rsidRPr="007047B5">
              <w:rPr>
                <w:vertAlign w:val="superscript"/>
                <w:lang w:val="en-IE"/>
              </w:rPr>
              <w:t>24</w:t>
            </w:r>
            <w:r w:rsidRPr="007047B5">
              <w:rPr>
                <w:lang w:val="en-IE"/>
              </w:rPr>
              <w:t xml:space="preserve"> further strengthened by addressing emerging risks and increasing transparency of beneficial ownership. Notwithstanding </w:t>
            </w:r>
            <w:r w:rsidRPr="007047B5">
              <w:rPr>
                <w:b/>
                <w:i/>
                <w:lang w:val="en-IE"/>
              </w:rPr>
              <w:t>its</w:t>
            </w:r>
            <w:r w:rsidRPr="007047B5">
              <w:rPr>
                <w:lang w:val="en-IE"/>
              </w:rPr>
              <w:t xml:space="preserve"> achievements, experience has shown that further improvements should be introduced to adequately mitigate risks and to effectively detect criminal attempts to misuse the Union financial system for criminal purposes</w:t>
            </w:r>
            <w:r w:rsidRPr="007047B5">
              <w:rPr>
                <w:b/>
                <w:i/>
                <w:lang w:val="en-IE"/>
              </w:rPr>
              <w:t>.</w:t>
            </w:r>
          </w:p>
        </w:tc>
        <w:tc>
          <w:tcPr>
            <w:tcW w:w="4876" w:type="dxa"/>
            <w:hideMark/>
          </w:tcPr>
          <w:p w14:paraId="0AA266C7" w14:textId="6132C196" w:rsidR="00CB2077" w:rsidRPr="007047B5" w:rsidRDefault="00CB2077" w:rsidP="00640582">
            <w:pPr>
              <w:pStyle w:val="Normal6"/>
              <w:rPr>
                <w:szCs w:val="24"/>
                <w:lang w:val="en-IE"/>
              </w:rPr>
            </w:pPr>
            <w:r w:rsidRPr="007047B5">
              <w:rPr>
                <w:lang w:val="en-IE"/>
              </w:rPr>
              <w:t>(1)</w:t>
            </w:r>
            <w:r w:rsidRPr="007047B5">
              <w:rPr>
                <w:lang w:val="en-IE"/>
              </w:rPr>
              <w:tab/>
              <w:t>Directive (EU) 2015/849 of the European Parliament and of the Council</w:t>
            </w:r>
            <w:r w:rsidR="00640582" w:rsidRPr="007047B5">
              <w:rPr>
                <w:vertAlign w:val="superscript"/>
                <w:lang w:val="en-IE"/>
              </w:rPr>
              <w:t>23</w:t>
            </w:r>
            <w:r w:rsidRPr="007047B5">
              <w:rPr>
                <w:lang w:val="en-IE"/>
              </w:rPr>
              <w:t xml:space="preserve"> constitutes the main legal instrument for the prevention of the use of the Union financial system for the purposes of money laundering and terrorist financing. That Directive sets out a comprehensive legal framework, which Directive (EU) 2018/843 of the European Parliament and the Council</w:t>
            </w:r>
            <w:r w:rsidR="00640582" w:rsidRPr="007047B5">
              <w:rPr>
                <w:vertAlign w:val="superscript"/>
                <w:lang w:val="en-IE"/>
              </w:rPr>
              <w:t>24</w:t>
            </w:r>
            <w:r w:rsidRPr="007047B5">
              <w:rPr>
                <w:lang w:val="en-IE"/>
              </w:rPr>
              <w:t xml:space="preserve"> further strengthened by addressing emerging risks and increasing transparency of beneficial ownership. Notwithstanding </w:t>
            </w:r>
            <w:r w:rsidR="00640582" w:rsidRPr="007047B5">
              <w:rPr>
                <w:b/>
                <w:i/>
                <w:lang w:val="en-IE"/>
              </w:rPr>
              <w:t>the</w:t>
            </w:r>
            <w:r w:rsidR="00640582" w:rsidRPr="007047B5">
              <w:rPr>
                <w:lang w:val="en-IE"/>
              </w:rPr>
              <w:t xml:space="preserve"> </w:t>
            </w:r>
            <w:r w:rsidRPr="007047B5">
              <w:rPr>
                <w:lang w:val="en-IE"/>
              </w:rPr>
              <w:t>achievements</w:t>
            </w:r>
            <w:r w:rsidR="00640582" w:rsidRPr="007047B5">
              <w:rPr>
                <w:lang w:val="en-IE"/>
              </w:rPr>
              <w:t xml:space="preserve"> </w:t>
            </w:r>
            <w:r w:rsidR="00640582" w:rsidRPr="007047B5">
              <w:rPr>
                <w:b/>
                <w:i/>
                <w:lang w:val="en-IE"/>
              </w:rPr>
              <w:t>of Directive (EU) 2015/849</w:t>
            </w:r>
            <w:r w:rsidRPr="007047B5">
              <w:rPr>
                <w:lang w:val="en-IE"/>
              </w:rPr>
              <w:t xml:space="preserve">, </w:t>
            </w:r>
            <w:r w:rsidRPr="007047B5">
              <w:rPr>
                <w:b/>
                <w:i/>
                <w:lang w:val="en-IE"/>
              </w:rPr>
              <w:t xml:space="preserve">divergent practices </w:t>
            </w:r>
            <w:r w:rsidR="00640582" w:rsidRPr="007047B5">
              <w:rPr>
                <w:b/>
                <w:i/>
                <w:lang w:val="en-IE"/>
              </w:rPr>
              <w:t>regarding</w:t>
            </w:r>
            <w:r w:rsidR="00E44E8A" w:rsidRPr="007047B5">
              <w:rPr>
                <w:b/>
                <w:i/>
                <w:lang w:val="en-IE"/>
              </w:rPr>
              <w:t xml:space="preserve"> its enforcement</w:t>
            </w:r>
            <w:r w:rsidR="00640582" w:rsidRPr="007047B5">
              <w:rPr>
                <w:b/>
                <w:i/>
                <w:lang w:val="en-IE"/>
              </w:rPr>
              <w:t xml:space="preserve"> </w:t>
            </w:r>
            <w:r w:rsidRPr="007047B5">
              <w:rPr>
                <w:b/>
                <w:i/>
                <w:lang w:val="en-IE"/>
              </w:rPr>
              <w:t>and the lack of correct implementation of minimum standards have led to a fragmented</w:t>
            </w:r>
            <w:r w:rsidR="00640582" w:rsidRPr="007047B5">
              <w:rPr>
                <w:b/>
                <w:i/>
                <w:lang w:val="en-IE"/>
              </w:rPr>
              <w:t>, ineffective and inefficient</w:t>
            </w:r>
            <w:r w:rsidRPr="007047B5">
              <w:rPr>
                <w:b/>
                <w:i/>
                <w:lang w:val="en-IE"/>
              </w:rPr>
              <w:t xml:space="preserve"> regulatory landscape in the U</w:t>
            </w:r>
            <w:r w:rsidR="00640582" w:rsidRPr="007047B5">
              <w:rPr>
                <w:b/>
                <w:i/>
                <w:lang w:val="en-IE"/>
              </w:rPr>
              <w:t>nion</w:t>
            </w:r>
            <w:r w:rsidRPr="007047B5">
              <w:rPr>
                <w:b/>
                <w:i/>
                <w:lang w:val="en-IE"/>
              </w:rPr>
              <w:t>. Therefore</w:t>
            </w:r>
            <w:r w:rsidR="00640582" w:rsidRPr="007047B5">
              <w:rPr>
                <w:b/>
                <w:i/>
                <w:lang w:val="en-IE"/>
              </w:rPr>
              <w:t>,</w:t>
            </w:r>
            <w:r w:rsidRPr="007047B5">
              <w:rPr>
                <w:lang w:val="en-IE"/>
              </w:rPr>
              <w:t xml:space="preserve"> experience has shown that further improvements should be introduced to adequately mitigate risks and to effectively detect criminal attempts to misuse the Union financial system for criminal purposes</w:t>
            </w:r>
          </w:p>
        </w:tc>
      </w:tr>
      <w:tr w:rsidR="00CB2077" w:rsidRPr="007047B5" w14:paraId="2FB72AF7" w14:textId="77777777" w:rsidTr="00CB2077">
        <w:trPr>
          <w:jc w:val="center"/>
        </w:trPr>
        <w:tc>
          <w:tcPr>
            <w:tcW w:w="4876" w:type="dxa"/>
            <w:hideMark/>
          </w:tcPr>
          <w:p w14:paraId="25133CBF" w14:textId="77777777" w:rsidR="00CB2077" w:rsidRPr="007047B5" w:rsidRDefault="00CB2077">
            <w:pPr>
              <w:pStyle w:val="Normal6"/>
              <w:rPr>
                <w:lang w:val="en-IE"/>
              </w:rPr>
            </w:pPr>
            <w:r w:rsidRPr="007047B5">
              <w:rPr>
                <w:lang w:val="en-IE"/>
              </w:rPr>
              <w:t>__________________</w:t>
            </w:r>
          </w:p>
        </w:tc>
        <w:tc>
          <w:tcPr>
            <w:tcW w:w="4876" w:type="dxa"/>
            <w:hideMark/>
          </w:tcPr>
          <w:p w14:paraId="6E0E253B" w14:textId="77777777" w:rsidR="00CB2077" w:rsidRPr="007047B5" w:rsidRDefault="00CB2077">
            <w:pPr>
              <w:pStyle w:val="Normal6"/>
              <w:rPr>
                <w:szCs w:val="24"/>
                <w:lang w:val="en-IE"/>
              </w:rPr>
            </w:pPr>
            <w:r w:rsidRPr="007047B5">
              <w:rPr>
                <w:lang w:val="en-IE"/>
              </w:rPr>
              <w:t>__________________</w:t>
            </w:r>
          </w:p>
        </w:tc>
      </w:tr>
      <w:tr w:rsidR="00CB2077" w:rsidRPr="007047B5" w14:paraId="4C145861" w14:textId="77777777" w:rsidTr="00CB2077">
        <w:trPr>
          <w:jc w:val="center"/>
        </w:trPr>
        <w:tc>
          <w:tcPr>
            <w:tcW w:w="4876" w:type="dxa"/>
            <w:hideMark/>
          </w:tcPr>
          <w:p w14:paraId="20F81A2D" w14:textId="77777777" w:rsidR="00CB2077" w:rsidRPr="007047B5" w:rsidRDefault="00CB2077">
            <w:pPr>
              <w:pStyle w:val="Normal6"/>
              <w:rPr>
                <w:lang w:val="en-IE"/>
              </w:rPr>
            </w:pPr>
            <w:r w:rsidRPr="007047B5">
              <w:rPr>
                <w:vertAlign w:val="superscript"/>
                <w:lang w:val="en-IE"/>
              </w:rPr>
              <w:t>23</w:t>
            </w:r>
            <w:r w:rsidRPr="007047B5">
              <w:rPr>
                <w:lang w:val="en-IE"/>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tc>
        <w:tc>
          <w:tcPr>
            <w:tcW w:w="4876" w:type="dxa"/>
            <w:hideMark/>
          </w:tcPr>
          <w:p w14:paraId="6910FF05" w14:textId="77777777" w:rsidR="00CB2077" w:rsidRPr="007047B5" w:rsidRDefault="00CB2077">
            <w:pPr>
              <w:pStyle w:val="Normal6"/>
              <w:rPr>
                <w:szCs w:val="24"/>
                <w:lang w:val="en-IE"/>
              </w:rPr>
            </w:pPr>
            <w:r w:rsidRPr="007047B5">
              <w:rPr>
                <w:vertAlign w:val="superscript"/>
                <w:lang w:val="en-IE"/>
              </w:rPr>
              <w:t>23</w:t>
            </w:r>
            <w:r w:rsidRPr="007047B5">
              <w:rPr>
                <w:lang w:val="en-IE"/>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tc>
      </w:tr>
      <w:tr w:rsidR="00CB2077" w:rsidRPr="007047B5" w14:paraId="44B995E8" w14:textId="77777777" w:rsidTr="00CB2077">
        <w:trPr>
          <w:jc w:val="center"/>
        </w:trPr>
        <w:tc>
          <w:tcPr>
            <w:tcW w:w="4876" w:type="dxa"/>
            <w:hideMark/>
          </w:tcPr>
          <w:p w14:paraId="438F5ADA" w14:textId="77777777" w:rsidR="00CB2077" w:rsidRPr="007047B5" w:rsidRDefault="00CB2077">
            <w:pPr>
              <w:pStyle w:val="Normal6"/>
              <w:rPr>
                <w:lang w:val="en-IE"/>
              </w:rPr>
            </w:pPr>
            <w:r w:rsidRPr="007047B5">
              <w:rPr>
                <w:vertAlign w:val="superscript"/>
                <w:lang w:val="en-IE"/>
              </w:rPr>
              <w:t>24</w:t>
            </w:r>
            <w:r w:rsidRPr="007047B5">
              <w:rPr>
                <w:lang w:val="en-IE"/>
              </w:rPr>
              <w:t xml:space="preserve"> Directive (EU) 2018/843 of the European Parliament and of the Council of 30 May 2018 amending Directive (EU) 2015/849 on the prevention of the use of the financial system for the purposes of money laundering or terrorist financing, </w:t>
            </w:r>
            <w:r w:rsidRPr="007047B5">
              <w:rPr>
                <w:lang w:val="en-IE"/>
              </w:rPr>
              <w:lastRenderedPageBreak/>
              <w:t>and amending Directives 2009/138/EC and 2013/36/EU (OJ L 156, 19.6.2018, p. 43).</w:t>
            </w:r>
          </w:p>
        </w:tc>
        <w:tc>
          <w:tcPr>
            <w:tcW w:w="4876" w:type="dxa"/>
            <w:hideMark/>
          </w:tcPr>
          <w:p w14:paraId="6D9D4053" w14:textId="77777777" w:rsidR="00CB2077" w:rsidRPr="007047B5" w:rsidRDefault="00CB2077">
            <w:pPr>
              <w:pStyle w:val="Normal6"/>
              <w:rPr>
                <w:szCs w:val="24"/>
                <w:lang w:val="en-IE"/>
              </w:rPr>
            </w:pPr>
            <w:r w:rsidRPr="007047B5">
              <w:rPr>
                <w:vertAlign w:val="superscript"/>
                <w:lang w:val="en-IE"/>
              </w:rPr>
              <w:lastRenderedPageBreak/>
              <w:t>24</w:t>
            </w:r>
            <w:r w:rsidRPr="007047B5">
              <w:rPr>
                <w:lang w:val="en-IE"/>
              </w:rPr>
              <w:t xml:space="preserve"> Directive (EU) 2018/843 of the European Parliament and of the Council of 30 May 2018 amending Directive (EU) 2015/849 on the prevention of the use of the financial system for the purposes of money laundering or terrorist financing, </w:t>
            </w:r>
            <w:r w:rsidRPr="007047B5">
              <w:rPr>
                <w:lang w:val="en-IE"/>
              </w:rPr>
              <w:lastRenderedPageBreak/>
              <w:t>and amending Directives 2009/138/EC and 2013/36/EU (OJ L 156, 19.6.2018, p. 43).</w:t>
            </w:r>
          </w:p>
        </w:tc>
      </w:tr>
    </w:tbl>
    <w:p w14:paraId="1EB8B289"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EA5EFA9" w14:textId="77777777" w:rsidR="00CB2077" w:rsidRPr="007047B5" w:rsidRDefault="00CB2077" w:rsidP="00CB2077">
      <w:pPr>
        <w:rPr>
          <w:lang w:val="en-IE"/>
        </w:rPr>
      </w:pPr>
      <w:r w:rsidRPr="007047B5">
        <w:rPr>
          <w:rStyle w:val="HideTWBExt"/>
          <w:noProof w:val="0"/>
          <w:lang w:val="en-IE"/>
        </w:rPr>
        <w:t>&lt;/Amend&gt;</w:t>
      </w:r>
    </w:p>
    <w:p w14:paraId="2EE80195"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w:t>
      </w:r>
      <w:r w:rsidRPr="007047B5">
        <w:rPr>
          <w:rStyle w:val="HideTWBExt"/>
          <w:b w:val="0"/>
          <w:noProof w:val="0"/>
          <w:lang w:val="en-IE"/>
        </w:rPr>
        <w:t>&lt;/NumAm&gt;</w:t>
      </w:r>
    </w:p>
    <w:p w14:paraId="15918D2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BE07A05"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9</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0A3C854" w14:textId="77777777" w:rsidTr="00CB2077">
        <w:trPr>
          <w:jc w:val="center"/>
        </w:trPr>
        <w:tc>
          <w:tcPr>
            <w:tcW w:w="9752" w:type="dxa"/>
            <w:gridSpan w:val="2"/>
          </w:tcPr>
          <w:p w14:paraId="3DB5C06C" w14:textId="77777777" w:rsidR="00CB2077" w:rsidRPr="007047B5" w:rsidRDefault="00CB2077">
            <w:pPr>
              <w:keepNext/>
              <w:rPr>
                <w:lang w:val="en-IE"/>
              </w:rPr>
            </w:pPr>
          </w:p>
        </w:tc>
      </w:tr>
      <w:tr w:rsidR="00CB2077" w:rsidRPr="007047B5" w14:paraId="4C24EA72" w14:textId="77777777" w:rsidTr="00CB2077">
        <w:trPr>
          <w:jc w:val="center"/>
        </w:trPr>
        <w:tc>
          <w:tcPr>
            <w:tcW w:w="4876" w:type="dxa"/>
            <w:hideMark/>
          </w:tcPr>
          <w:p w14:paraId="2648F0DF"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74D50E3" w14:textId="77777777" w:rsidR="00CB2077" w:rsidRPr="007047B5" w:rsidRDefault="00CB2077">
            <w:pPr>
              <w:pStyle w:val="ColumnHeading"/>
              <w:keepNext/>
              <w:rPr>
                <w:lang w:val="en-IE"/>
              </w:rPr>
            </w:pPr>
            <w:r w:rsidRPr="007047B5">
              <w:rPr>
                <w:lang w:val="en-IE"/>
              </w:rPr>
              <w:t>Amendment</w:t>
            </w:r>
          </w:p>
        </w:tc>
      </w:tr>
      <w:tr w:rsidR="00CB2077" w:rsidRPr="007047B5" w14:paraId="1E5F7BBD" w14:textId="77777777" w:rsidTr="00CB2077">
        <w:trPr>
          <w:jc w:val="center"/>
        </w:trPr>
        <w:tc>
          <w:tcPr>
            <w:tcW w:w="4876" w:type="dxa"/>
            <w:hideMark/>
          </w:tcPr>
          <w:p w14:paraId="3F42EEA2" w14:textId="77777777" w:rsidR="00CB2077" w:rsidRPr="007047B5" w:rsidRDefault="00CB2077">
            <w:pPr>
              <w:pStyle w:val="Normal6"/>
              <w:rPr>
                <w:lang w:val="en-IE"/>
              </w:rPr>
            </w:pPr>
            <w:r w:rsidRPr="007047B5">
              <w:rPr>
                <w:lang w:val="en-IE"/>
              </w:rPr>
              <w:t>(9)</w:t>
            </w:r>
            <w:r w:rsidRPr="007047B5">
              <w:rPr>
                <w:lang w:val="en-IE"/>
              </w:rPr>
              <w:tab/>
              <w:t xml:space="preserve">Independent legal professionals should be subject to this Regulation when participating in financial or corporate transactions, including when providing tax advice, where there is the risk of the services provided by those legal professionals being misused for the purpose of laundering the proceeds of criminal activity or for the purpose of terrorist financing. There should, however, be exemptions from any obligation to report information obtained before, during or after judicial proceedings, or in the course of ascertaining the legal position of a client, which should be covered by the legal privilege. Therefore, legal advice should remain subject to the obligation of professional secrecy, except </w:t>
            </w:r>
            <w:r w:rsidRPr="007047B5">
              <w:rPr>
                <w:b/>
                <w:i/>
                <w:lang w:val="en-IE"/>
              </w:rPr>
              <w:t>where the legal</w:t>
            </w:r>
            <w:r w:rsidRPr="007047B5">
              <w:rPr>
                <w:lang w:val="en-IE"/>
              </w:rPr>
              <w:t xml:space="preserve"> professional </w:t>
            </w:r>
            <w:r w:rsidRPr="007047B5">
              <w:rPr>
                <w:b/>
                <w:i/>
                <w:lang w:val="en-IE"/>
              </w:rPr>
              <w:t>is taking part in money laundering or terrorist financing, the</w:t>
            </w:r>
            <w:r w:rsidRPr="007047B5">
              <w:rPr>
                <w:lang w:val="en-IE"/>
              </w:rPr>
              <w:t xml:space="preserve"> legal </w:t>
            </w:r>
            <w:r w:rsidRPr="007047B5">
              <w:rPr>
                <w:b/>
                <w:i/>
                <w:lang w:val="en-IE"/>
              </w:rPr>
              <w:t>advice</w:t>
            </w:r>
            <w:r w:rsidRPr="007047B5">
              <w:rPr>
                <w:lang w:val="en-IE"/>
              </w:rPr>
              <w:t xml:space="preserve"> is provided for the </w:t>
            </w:r>
            <w:r w:rsidRPr="007047B5">
              <w:rPr>
                <w:b/>
                <w:i/>
                <w:lang w:val="en-IE"/>
              </w:rPr>
              <w:t>purposes</w:t>
            </w:r>
            <w:r w:rsidRPr="007047B5">
              <w:rPr>
                <w:lang w:val="en-IE"/>
              </w:rPr>
              <w:t xml:space="preserve"> of money laundering </w:t>
            </w:r>
            <w:r w:rsidRPr="007047B5">
              <w:rPr>
                <w:b/>
                <w:i/>
                <w:lang w:val="en-IE"/>
              </w:rPr>
              <w:t>or terrorist financing, or where the legal professional knows that the client is seeking legal advice for the purposes of money laundering</w:t>
            </w:r>
            <w:r w:rsidRPr="007047B5">
              <w:rPr>
                <w:lang w:val="en-IE"/>
              </w:rPr>
              <w:t xml:space="preserve"> or terrorist financing.</w:t>
            </w:r>
          </w:p>
        </w:tc>
        <w:tc>
          <w:tcPr>
            <w:tcW w:w="4876" w:type="dxa"/>
            <w:hideMark/>
          </w:tcPr>
          <w:p w14:paraId="05C980D1" w14:textId="41DA1F3E" w:rsidR="00CB2077" w:rsidRPr="007047B5" w:rsidRDefault="00CB2077" w:rsidP="00EA5AD7">
            <w:pPr>
              <w:pStyle w:val="Normal6"/>
              <w:rPr>
                <w:szCs w:val="24"/>
                <w:lang w:val="en-IE"/>
              </w:rPr>
            </w:pPr>
            <w:r w:rsidRPr="007047B5">
              <w:rPr>
                <w:lang w:val="en-IE"/>
              </w:rPr>
              <w:t>(9)</w:t>
            </w:r>
            <w:r w:rsidRPr="007047B5">
              <w:rPr>
                <w:lang w:val="en-IE"/>
              </w:rPr>
              <w:tab/>
              <w:t xml:space="preserve">Independent legal professionals should be subject to this Regulation when participating in financial or corporate transactions, including when providing tax advice, where there is the risk of the services provided by those legal professionals being misused for the purpose of laundering the proceeds of criminal activity or for the purpose of terrorist financing. There should, however, be exemptions from any obligation to report information obtained before, during or after judicial proceedings, or in the course of ascertaining the legal position of a client, which should be covered by the legal privilege. Therefore, legal advice should remain subject to the obligation of professional secrecy, except </w:t>
            </w:r>
            <w:r w:rsidRPr="007047B5">
              <w:rPr>
                <w:b/>
                <w:i/>
                <w:lang w:val="en-IE"/>
              </w:rPr>
              <w:t>in the circumstances laid down in this Regulation.</w:t>
            </w:r>
            <w:r w:rsidRPr="007047B5">
              <w:rPr>
                <w:lang w:val="en-IE"/>
              </w:rPr>
              <w:t xml:space="preserve"> </w:t>
            </w:r>
            <w:r w:rsidR="0051058E" w:rsidRPr="007047B5">
              <w:rPr>
                <w:b/>
                <w:i/>
                <w:lang w:val="en-IE"/>
              </w:rPr>
              <w:t>T</w:t>
            </w:r>
            <w:r w:rsidRPr="007047B5">
              <w:rPr>
                <w:b/>
                <w:i/>
                <w:lang w:val="en-IE"/>
              </w:rPr>
              <w:t>he ascertainment</w:t>
            </w:r>
            <w:r w:rsidR="0051058E" w:rsidRPr="007047B5">
              <w:rPr>
                <w:b/>
                <w:i/>
                <w:lang w:val="en-IE"/>
              </w:rPr>
              <w:t xml:space="preserve"> of </w:t>
            </w:r>
            <w:r w:rsidR="00DD0FCA" w:rsidRPr="007047B5">
              <w:rPr>
                <w:b/>
                <w:i/>
                <w:lang w:val="en-IE"/>
              </w:rPr>
              <w:t xml:space="preserve">client’s </w:t>
            </w:r>
            <w:r w:rsidR="004A0648" w:rsidRPr="007047B5">
              <w:rPr>
                <w:b/>
                <w:i/>
                <w:lang w:val="en-IE"/>
              </w:rPr>
              <w:t xml:space="preserve">legal position </w:t>
            </w:r>
            <w:r w:rsidR="00DD0FCA" w:rsidRPr="007047B5">
              <w:rPr>
                <w:b/>
                <w:i/>
                <w:lang w:val="en-IE"/>
              </w:rPr>
              <w:t xml:space="preserve">by an independent legal professional </w:t>
            </w:r>
            <w:r w:rsidR="0051058E" w:rsidRPr="007047B5">
              <w:rPr>
                <w:b/>
                <w:i/>
                <w:lang w:val="en-IE"/>
              </w:rPr>
              <w:t xml:space="preserve">should not be covered by the obligation of professional secrecy, in particular where the main purpose of the ascertainment </w:t>
            </w:r>
            <w:r w:rsidRPr="007047B5">
              <w:rPr>
                <w:b/>
                <w:i/>
                <w:lang w:val="en-IE"/>
              </w:rPr>
              <w:t xml:space="preserve">is either to prepare or execute a commercial or financial transaction or activity, subject to the client’s instructions or on behalf of the client, with a view to identifying, in particular, the most favourable scenario economically for the client, and without any link with ongoing or </w:t>
            </w:r>
            <w:r w:rsidR="004A0648" w:rsidRPr="007047B5">
              <w:rPr>
                <w:b/>
                <w:i/>
                <w:lang w:val="en-IE"/>
              </w:rPr>
              <w:t xml:space="preserve">planned </w:t>
            </w:r>
            <w:r w:rsidRPr="007047B5">
              <w:rPr>
                <w:b/>
                <w:i/>
                <w:lang w:val="en-IE"/>
              </w:rPr>
              <w:t xml:space="preserve">judicial proceedings. </w:t>
            </w:r>
            <w:r w:rsidR="00DD0FCA" w:rsidRPr="007047B5">
              <w:rPr>
                <w:b/>
                <w:i/>
                <w:lang w:val="en-IE"/>
              </w:rPr>
              <w:t>Such</w:t>
            </w:r>
            <w:r w:rsidR="0051058E" w:rsidRPr="007047B5">
              <w:rPr>
                <w:b/>
                <w:i/>
                <w:lang w:val="en-IE"/>
              </w:rPr>
              <w:t xml:space="preserve"> ascertainment should also not be covered by the obligation of </w:t>
            </w:r>
            <w:r w:rsidR="0051058E" w:rsidRPr="007047B5">
              <w:rPr>
                <w:b/>
                <w:i/>
                <w:lang w:val="en-IE"/>
              </w:rPr>
              <w:lastRenderedPageBreak/>
              <w:t>p</w:t>
            </w:r>
            <w:r w:rsidRPr="007047B5">
              <w:rPr>
                <w:b/>
                <w:i/>
                <w:lang w:val="en-IE"/>
              </w:rPr>
              <w:t>rofessional secrecy whe</w:t>
            </w:r>
            <w:r w:rsidR="004A0648" w:rsidRPr="007047B5">
              <w:rPr>
                <w:b/>
                <w:i/>
                <w:lang w:val="en-IE"/>
              </w:rPr>
              <w:t>re</w:t>
            </w:r>
            <w:r w:rsidRPr="007047B5">
              <w:rPr>
                <w:b/>
                <w:i/>
                <w:lang w:val="en-IE"/>
              </w:rPr>
              <w:t xml:space="preserve"> the ascertainment is inconsistent with applicable law and </w:t>
            </w:r>
            <w:r w:rsidR="0051058E" w:rsidRPr="007047B5">
              <w:rPr>
                <w:b/>
                <w:i/>
                <w:lang w:val="en-IE"/>
              </w:rPr>
              <w:t xml:space="preserve">where the legal position is </w:t>
            </w:r>
            <w:r w:rsidRPr="007047B5">
              <w:rPr>
                <w:b/>
                <w:i/>
                <w:lang w:val="en-IE"/>
              </w:rPr>
              <w:t xml:space="preserve">sought in bad faith or </w:t>
            </w:r>
            <w:r w:rsidR="0051058E" w:rsidRPr="007047B5">
              <w:rPr>
                <w:b/>
                <w:i/>
                <w:lang w:val="en-IE"/>
              </w:rPr>
              <w:t xml:space="preserve">where the ascertainment </w:t>
            </w:r>
            <w:r w:rsidRPr="007047B5">
              <w:rPr>
                <w:b/>
                <w:i/>
                <w:lang w:val="en-IE"/>
              </w:rPr>
              <w:t>clearly exceeds</w:t>
            </w:r>
            <w:r w:rsidRPr="007047B5">
              <w:rPr>
                <w:lang w:val="en-IE"/>
              </w:rPr>
              <w:t xml:space="preserve"> legal </w:t>
            </w:r>
            <w:r w:rsidRPr="007047B5">
              <w:rPr>
                <w:b/>
                <w:i/>
                <w:lang w:val="en-IE"/>
              </w:rPr>
              <w:t xml:space="preserve">matters pertaining to the </w:t>
            </w:r>
            <w:r w:rsidR="00DD0FCA" w:rsidRPr="007047B5">
              <w:rPr>
                <w:b/>
                <w:i/>
                <w:lang w:val="en-IE"/>
              </w:rPr>
              <w:t xml:space="preserve">client’s legal </w:t>
            </w:r>
            <w:r w:rsidRPr="007047B5">
              <w:rPr>
                <w:b/>
                <w:i/>
                <w:lang w:val="en-IE"/>
              </w:rPr>
              <w:t xml:space="preserve">position. Finally, </w:t>
            </w:r>
            <w:r w:rsidR="00DD0FCA" w:rsidRPr="007047B5">
              <w:rPr>
                <w:b/>
                <w:i/>
                <w:lang w:val="en-IE"/>
              </w:rPr>
              <w:t xml:space="preserve">such </w:t>
            </w:r>
            <w:r w:rsidR="0051058E" w:rsidRPr="007047B5">
              <w:rPr>
                <w:b/>
                <w:i/>
                <w:lang w:val="en-IE"/>
              </w:rPr>
              <w:t xml:space="preserve">ascertainment should not be covered by the obligation of </w:t>
            </w:r>
            <w:r w:rsidRPr="007047B5">
              <w:rPr>
                <w:b/>
                <w:i/>
                <w:lang w:val="en-IE"/>
              </w:rPr>
              <w:t>professional secrecy whe</w:t>
            </w:r>
            <w:r w:rsidR="0051058E" w:rsidRPr="007047B5">
              <w:rPr>
                <w:b/>
                <w:i/>
                <w:lang w:val="en-IE"/>
              </w:rPr>
              <w:t>re</w:t>
            </w:r>
            <w:r w:rsidRPr="007047B5">
              <w:rPr>
                <w:b/>
                <w:i/>
                <w:lang w:val="en-IE"/>
              </w:rPr>
              <w:t xml:space="preserve"> the </w:t>
            </w:r>
            <w:r w:rsidR="00DD0FCA" w:rsidRPr="007047B5">
              <w:rPr>
                <w:b/>
                <w:i/>
                <w:lang w:val="en-IE"/>
              </w:rPr>
              <w:t xml:space="preserve">independent legal professional provides </w:t>
            </w:r>
            <w:r w:rsidRPr="007047B5">
              <w:rPr>
                <w:b/>
                <w:i/>
                <w:lang w:val="en-IE"/>
              </w:rPr>
              <w:t>information</w:t>
            </w:r>
            <w:r w:rsidRPr="007047B5">
              <w:rPr>
                <w:lang w:val="en-IE"/>
              </w:rPr>
              <w:t xml:space="preserve"> </w:t>
            </w:r>
            <w:r w:rsidR="00A058E3" w:rsidRPr="007047B5">
              <w:rPr>
                <w:b/>
                <w:i/>
                <w:lang w:val="en-IE"/>
              </w:rPr>
              <w:t>to a client</w:t>
            </w:r>
            <w:r w:rsidR="00A058E3" w:rsidRPr="007047B5">
              <w:rPr>
                <w:lang w:val="en-IE"/>
              </w:rPr>
              <w:t xml:space="preserve"> </w:t>
            </w:r>
            <w:r w:rsidRPr="007047B5">
              <w:rPr>
                <w:lang w:val="en-IE"/>
              </w:rPr>
              <w:t xml:space="preserve">for the </w:t>
            </w:r>
            <w:r w:rsidRPr="007047B5">
              <w:rPr>
                <w:b/>
                <w:i/>
                <w:lang w:val="en-IE"/>
              </w:rPr>
              <w:t>purpose</w:t>
            </w:r>
            <w:r w:rsidRPr="007047B5">
              <w:rPr>
                <w:lang w:val="en-IE"/>
              </w:rPr>
              <w:t xml:space="preserve"> of money laundering</w:t>
            </w:r>
            <w:r w:rsidRPr="007047B5">
              <w:rPr>
                <w:b/>
                <w:i/>
                <w:lang w:val="en-IE"/>
              </w:rPr>
              <w:t>, or its predicate offences</w:t>
            </w:r>
            <w:r w:rsidR="00DD0FCA" w:rsidRPr="007047B5">
              <w:rPr>
                <w:b/>
                <w:i/>
                <w:lang w:val="en-IE"/>
              </w:rPr>
              <w:t>,</w:t>
            </w:r>
            <w:r w:rsidRPr="007047B5">
              <w:rPr>
                <w:lang w:val="en-IE"/>
              </w:rPr>
              <w:t xml:space="preserve"> or terrorist financing </w:t>
            </w:r>
            <w:r w:rsidR="00DD0FCA" w:rsidRPr="007047B5">
              <w:rPr>
                <w:b/>
                <w:i/>
                <w:lang w:val="en-IE"/>
              </w:rPr>
              <w:t xml:space="preserve">and </w:t>
            </w:r>
            <w:r w:rsidRPr="007047B5">
              <w:rPr>
                <w:b/>
                <w:i/>
                <w:lang w:val="en-IE"/>
              </w:rPr>
              <w:t xml:space="preserve">has the knowledge </w:t>
            </w:r>
            <w:r w:rsidR="00E43941" w:rsidRPr="007047B5">
              <w:rPr>
                <w:b/>
                <w:i/>
                <w:lang w:val="en-IE"/>
              </w:rPr>
              <w:t xml:space="preserve">or </w:t>
            </w:r>
            <w:r w:rsidR="00BE0E57" w:rsidRPr="007047B5">
              <w:rPr>
                <w:b/>
                <w:i/>
                <w:lang w:val="en-IE"/>
              </w:rPr>
              <w:t>a well-</w:t>
            </w:r>
            <w:r w:rsidR="00E43941" w:rsidRPr="007047B5">
              <w:rPr>
                <w:b/>
                <w:i/>
                <w:lang w:val="en-IE"/>
              </w:rPr>
              <w:t xml:space="preserve">grounded suspicion </w:t>
            </w:r>
            <w:r w:rsidRPr="007047B5">
              <w:rPr>
                <w:b/>
                <w:i/>
                <w:lang w:val="en-IE"/>
              </w:rPr>
              <w:t>that the client requested it for th</w:t>
            </w:r>
            <w:r w:rsidR="00DD0FCA" w:rsidRPr="007047B5">
              <w:rPr>
                <w:b/>
                <w:i/>
                <w:lang w:val="en-IE"/>
              </w:rPr>
              <w:t>at</w:t>
            </w:r>
            <w:r w:rsidRPr="007047B5">
              <w:rPr>
                <w:b/>
                <w:i/>
                <w:lang w:val="en-IE"/>
              </w:rPr>
              <w:t xml:space="preserve"> purpose</w:t>
            </w:r>
            <w:r w:rsidRPr="007047B5">
              <w:rPr>
                <w:lang w:val="en-IE"/>
              </w:rPr>
              <w:t>.</w:t>
            </w:r>
          </w:p>
        </w:tc>
      </w:tr>
    </w:tbl>
    <w:p w14:paraId="501AC2C6"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DAEF9DA" w14:textId="77777777" w:rsidR="00CB2077" w:rsidRPr="007047B5" w:rsidRDefault="00CB2077" w:rsidP="00CB2077">
      <w:pPr>
        <w:rPr>
          <w:lang w:val="en-IE"/>
        </w:rPr>
      </w:pPr>
      <w:r w:rsidRPr="007047B5">
        <w:rPr>
          <w:rStyle w:val="HideTWBExt"/>
          <w:noProof w:val="0"/>
          <w:lang w:val="en-IE"/>
        </w:rPr>
        <w:t>&lt;/Amend&gt;</w:t>
      </w:r>
    </w:p>
    <w:p w14:paraId="2CB3E475"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w:t>
      </w:r>
      <w:r w:rsidRPr="007047B5">
        <w:rPr>
          <w:rStyle w:val="HideTWBExt"/>
          <w:b w:val="0"/>
          <w:noProof w:val="0"/>
          <w:lang w:val="en-IE"/>
        </w:rPr>
        <w:t>&lt;/NumAm&gt;</w:t>
      </w:r>
    </w:p>
    <w:p w14:paraId="0C50223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93C626D"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10</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18AC4C7" w14:textId="77777777" w:rsidTr="00CB2077">
        <w:trPr>
          <w:jc w:val="center"/>
        </w:trPr>
        <w:tc>
          <w:tcPr>
            <w:tcW w:w="9752" w:type="dxa"/>
            <w:gridSpan w:val="2"/>
          </w:tcPr>
          <w:p w14:paraId="1C98EB62" w14:textId="77777777" w:rsidR="00CB2077" w:rsidRPr="007047B5" w:rsidRDefault="00CB2077">
            <w:pPr>
              <w:keepNext/>
              <w:rPr>
                <w:lang w:val="en-IE"/>
              </w:rPr>
            </w:pPr>
          </w:p>
        </w:tc>
      </w:tr>
      <w:tr w:rsidR="00CB2077" w:rsidRPr="007047B5" w14:paraId="12B9ED4B" w14:textId="77777777" w:rsidTr="00CB2077">
        <w:trPr>
          <w:jc w:val="center"/>
        </w:trPr>
        <w:tc>
          <w:tcPr>
            <w:tcW w:w="4876" w:type="dxa"/>
            <w:hideMark/>
          </w:tcPr>
          <w:p w14:paraId="33ABC648"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FE296A4" w14:textId="77777777" w:rsidR="00CB2077" w:rsidRPr="007047B5" w:rsidRDefault="00CB2077">
            <w:pPr>
              <w:pStyle w:val="ColumnHeading"/>
              <w:keepNext/>
              <w:rPr>
                <w:lang w:val="en-IE"/>
              </w:rPr>
            </w:pPr>
            <w:r w:rsidRPr="007047B5">
              <w:rPr>
                <w:lang w:val="en-IE"/>
              </w:rPr>
              <w:t>Amendment</w:t>
            </w:r>
          </w:p>
        </w:tc>
      </w:tr>
      <w:tr w:rsidR="00CB2077" w:rsidRPr="007047B5" w14:paraId="535F41C3" w14:textId="77777777" w:rsidTr="00CB2077">
        <w:trPr>
          <w:jc w:val="center"/>
        </w:trPr>
        <w:tc>
          <w:tcPr>
            <w:tcW w:w="4876" w:type="dxa"/>
            <w:hideMark/>
          </w:tcPr>
          <w:p w14:paraId="01D11650" w14:textId="77777777" w:rsidR="00CB2077" w:rsidRPr="007047B5" w:rsidRDefault="00CB2077">
            <w:pPr>
              <w:pStyle w:val="Normal6"/>
              <w:rPr>
                <w:lang w:val="en-IE"/>
              </w:rPr>
            </w:pPr>
            <w:r w:rsidRPr="007047B5">
              <w:rPr>
                <w:lang w:val="en-IE"/>
              </w:rPr>
              <w:t>(10)</w:t>
            </w:r>
            <w:r w:rsidRPr="007047B5">
              <w:rPr>
                <w:lang w:val="en-IE"/>
              </w:rPr>
              <w:tab/>
              <w:t>In order to ensure respect for the rights guaranteed by the Charter of Fundamental Rights of the European Union (the ‘Charter’), in the case of auditors, external accountants and tax advisors, who, in some Member States, are entitled to defend or represent a client in the context of judicial proceedings or to ascertain a client's legal position, the information they obtain in the performance of those tasks should not be subject to reporting obligations.</w:t>
            </w:r>
          </w:p>
        </w:tc>
        <w:tc>
          <w:tcPr>
            <w:tcW w:w="4876" w:type="dxa"/>
            <w:hideMark/>
          </w:tcPr>
          <w:p w14:paraId="4D51BA27" w14:textId="7171D3D7" w:rsidR="00CB2077" w:rsidRPr="007047B5" w:rsidRDefault="00CB2077" w:rsidP="00BE0E57">
            <w:pPr>
              <w:pStyle w:val="Normal6"/>
              <w:rPr>
                <w:szCs w:val="24"/>
                <w:lang w:val="en-IE"/>
              </w:rPr>
            </w:pPr>
            <w:r w:rsidRPr="007047B5">
              <w:rPr>
                <w:lang w:val="en-IE"/>
              </w:rPr>
              <w:t>(10)</w:t>
            </w:r>
            <w:r w:rsidRPr="007047B5">
              <w:rPr>
                <w:lang w:val="en-IE"/>
              </w:rPr>
              <w:tab/>
              <w:t>In order to ensure respect for the rights guaranteed by the Charter of Fundamental Rights of the European Union (the ‘Charter’), in the case of auditors, external accountants and tax advisors, who, in some Member States, are entitled to defend or represent a client in the context of judicial proceedings or to ascertain a client's legal position, the information they obtain in the performance of those tasks should not be subject to reporting obligations</w:t>
            </w:r>
            <w:r w:rsidR="00DD0FCA" w:rsidRPr="007047B5">
              <w:rPr>
                <w:b/>
                <w:i/>
                <w:lang w:val="en-IE"/>
              </w:rPr>
              <w:t>,</w:t>
            </w:r>
            <w:r w:rsidRPr="007047B5">
              <w:rPr>
                <w:lang w:val="en-IE"/>
              </w:rPr>
              <w:t xml:space="preserve"> </w:t>
            </w:r>
            <w:r w:rsidRPr="007047B5">
              <w:rPr>
                <w:b/>
                <w:i/>
                <w:lang w:val="en-IE"/>
              </w:rPr>
              <w:t>except in the circumstances laid down in this Regulation</w:t>
            </w:r>
            <w:r w:rsidRPr="007047B5">
              <w:rPr>
                <w:lang w:val="en-IE"/>
              </w:rPr>
              <w:t xml:space="preserve">. </w:t>
            </w:r>
            <w:r w:rsidR="00DD0FCA" w:rsidRPr="007047B5">
              <w:rPr>
                <w:b/>
                <w:i/>
                <w:lang w:val="en-IE"/>
              </w:rPr>
              <w:t>The ascertainment of a client’s legal position by an auditor, external accountant or tax advisor</w:t>
            </w:r>
            <w:r w:rsidR="00DD0FCA" w:rsidRPr="007047B5">
              <w:rPr>
                <w:lang w:val="en-IE"/>
              </w:rPr>
              <w:t xml:space="preserve"> </w:t>
            </w:r>
            <w:r w:rsidR="00DD0FCA" w:rsidRPr="007047B5">
              <w:rPr>
                <w:b/>
                <w:i/>
                <w:lang w:val="en-IE"/>
              </w:rPr>
              <w:t>should not be covered by the obligation of p</w:t>
            </w:r>
            <w:r w:rsidRPr="007047B5">
              <w:rPr>
                <w:b/>
                <w:i/>
                <w:lang w:val="en-IE"/>
              </w:rPr>
              <w:t xml:space="preserve">rofessional secrecy, in particular where the main purpose of the ascertainment is either to prepare or execute a commercial or financial </w:t>
            </w:r>
            <w:r w:rsidRPr="007047B5">
              <w:rPr>
                <w:b/>
                <w:i/>
                <w:lang w:val="en-IE"/>
              </w:rPr>
              <w:lastRenderedPageBreak/>
              <w:t xml:space="preserve">transaction or activity, subject to the client’s instructions or on behalf of the client, with a view to identifying, in particular, the most favourable scenario economically for the client, and without any link with ongoing or </w:t>
            </w:r>
            <w:r w:rsidR="00DD0FCA" w:rsidRPr="007047B5">
              <w:rPr>
                <w:b/>
                <w:i/>
                <w:lang w:val="en-IE"/>
              </w:rPr>
              <w:t xml:space="preserve">planned </w:t>
            </w:r>
            <w:r w:rsidRPr="007047B5">
              <w:rPr>
                <w:b/>
                <w:i/>
                <w:lang w:val="en-IE"/>
              </w:rPr>
              <w:t xml:space="preserve">judicial proceedings. </w:t>
            </w:r>
            <w:r w:rsidR="00DD0FCA" w:rsidRPr="007047B5">
              <w:rPr>
                <w:b/>
                <w:i/>
                <w:lang w:val="en-IE"/>
              </w:rPr>
              <w:t>Such ascertainment should also not be covered by the obligation of p</w:t>
            </w:r>
            <w:r w:rsidRPr="007047B5">
              <w:rPr>
                <w:b/>
                <w:i/>
                <w:lang w:val="en-IE"/>
              </w:rPr>
              <w:t xml:space="preserve">rofessional secrecy </w:t>
            </w:r>
            <w:r w:rsidR="00DD0FCA" w:rsidRPr="007047B5">
              <w:rPr>
                <w:b/>
                <w:i/>
                <w:lang w:val="en-IE"/>
              </w:rPr>
              <w:t xml:space="preserve">where </w:t>
            </w:r>
            <w:r w:rsidRPr="007047B5">
              <w:rPr>
                <w:b/>
                <w:i/>
                <w:lang w:val="en-IE"/>
              </w:rPr>
              <w:t xml:space="preserve">the ascertainment is inconsistent with applicable law and </w:t>
            </w:r>
            <w:r w:rsidR="00DD0FCA" w:rsidRPr="007047B5">
              <w:rPr>
                <w:b/>
                <w:i/>
                <w:lang w:val="en-IE"/>
              </w:rPr>
              <w:t xml:space="preserve">the legal position is </w:t>
            </w:r>
            <w:r w:rsidRPr="007047B5">
              <w:rPr>
                <w:b/>
                <w:i/>
                <w:lang w:val="en-IE"/>
              </w:rPr>
              <w:t xml:space="preserve">sought in bad faith or </w:t>
            </w:r>
            <w:r w:rsidR="00DD0FCA" w:rsidRPr="007047B5">
              <w:rPr>
                <w:b/>
                <w:i/>
                <w:lang w:val="en-IE"/>
              </w:rPr>
              <w:t xml:space="preserve">where the ascertainment </w:t>
            </w:r>
            <w:r w:rsidRPr="007047B5">
              <w:rPr>
                <w:b/>
                <w:i/>
                <w:lang w:val="en-IE"/>
              </w:rPr>
              <w:t xml:space="preserve">clearly exceeds legal matters pertaining to the </w:t>
            </w:r>
            <w:r w:rsidR="00DD0FCA" w:rsidRPr="007047B5">
              <w:rPr>
                <w:b/>
                <w:i/>
                <w:lang w:val="en-IE"/>
              </w:rPr>
              <w:t xml:space="preserve">client’s legal </w:t>
            </w:r>
            <w:r w:rsidRPr="007047B5">
              <w:rPr>
                <w:b/>
                <w:i/>
                <w:lang w:val="en-IE"/>
              </w:rPr>
              <w:t>position. Finally,</w:t>
            </w:r>
            <w:r w:rsidR="00DD0FCA" w:rsidRPr="007047B5">
              <w:rPr>
                <w:b/>
                <w:i/>
                <w:lang w:val="en-IE"/>
              </w:rPr>
              <w:t xml:space="preserve"> such ascertainment should not be covered by the obligation of</w:t>
            </w:r>
            <w:r w:rsidRPr="007047B5">
              <w:rPr>
                <w:b/>
                <w:i/>
                <w:lang w:val="en-IE"/>
              </w:rPr>
              <w:t xml:space="preserve"> professional secrecy whe</w:t>
            </w:r>
            <w:r w:rsidR="00DD0FCA" w:rsidRPr="007047B5">
              <w:rPr>
                <w:b/>
                <w:i/>
                <w:lang w:val="en-IE"/>
              </w:rPr>
              <w:t xml:space="preserve">re the </w:t>
            </w:r>
            <w:r w:rsidR="00DD0FCA" w:rsidRPr="007047B5">
              <w:rPr>
                <w:lang w:val="en-IE"/>
              </w:rPr>
              <w:t>auditor, external accountant or tax advisor</w:t>
            </w:r>
            <w:r w:rsidRPr="007047B5">
              <w:rPr>
                <w:b/>
                <w:i/>
                <w:lang w:val="en-IE"/>
              </w:rPr>
              <w:t xml:space="preserve"> </w:t>
            </w:r>
            <w:r w:rsidR="00DD0FCA" w:rsidRPr="007047B5">
              <w:rPr>
                <w:b/>
                <w:i/>
                <w:lang w:val="en-IE"/>
              </w:rPr>
              <w:t xml:space="preserve">provides </w:t>
            </w:r>
            <w:r w:rsidRPr="007047B5">
              <w:rPr>
                <w:b/>
                <w:i/>
                <w:lang w:val="en-IE"/>
              </w:rPr>
              <w:t xml:space="preserve">information </w:t>
            </w:r>
            <w:r w:rsidR="00A058E3" w:rsidRPr="007047B5">
              <w:rPr>
                <w:b/>
                <w:i/>
                <w:lang w:val="en-IE"/>
              </w:rPr>
              <w:t xml:space="preserve">to a client </w:t>
            </w:r>
            <w:r w:rsidR="00183B83" w:rsidRPr="007047B5">
              <w:rPr>
                <w:b/>
                <w:i/>
                <w:lang w:val="en-IE"/>
              </w:rPr>
              <w:t xml:space="preserve">for </w:t>
            </w:r>
            <w:r w:rsidRPr="007047B5">
              <w:rPr>
                <w:b/>
                <w:i/>
                <w:lang w:val="en-IE"/>
              </w:rPr>
              <w:t>the purpose of money laundering, or its predicate offences</w:t>
            </w:r>
            <w:r w:rsidR="00DD0FCA" w:rsidRPr="007047B5">
              <w:rPr>
                <w:b/>
                <w:i/>
                <w:lang w:val="en-IE"/>
              </w:rPr>
              <w:t>,</w:t>
            </w:r>
            <w:r w:rsidRPr="007047B5">
              <w:rPr>
                <w:b/>
                <w:i/>
                <w:lang w:val="en-IE"/>
              </w:rPr>
              <w:t xml:space="preserve"> or terrorist financing </w:t>
            </w:r>
            <w:r w:rsidR="00DD0FCA" w:rsidRPr="007047B5">
              <w:rPr>
                <w:b/>
                <w:i/>
                <w:lang w:val="en-IE"/>
              </w:rPr>
              <w:t xml:space="preserve">and has </w:t>
            </w:r>
            <w:r w:rsidRPr="007047B5">
              <w:rPr>
                <w:b/>
                <w:i/>
                <w:lang w:val="en-IE"/>
              </w:rPr>
              <w:t xml:space="preserve">the knowledge </w:t>
            </w:r>
            <w:r w:rsidR="00E43941" w:rsidRPr="007047B5">
              <w:rPr>
                <w:b/>
                <w:i/>
                <w:lang w:val="en-IE"/>
              </w:rPr>
              <w:t xml:space="preserve">or </w:t>
            </w:r>
            <w:r w:rsidR="00BE0E57" w:rsidRPr="007047B5">
              <w:rPr>
                <w:b/>
                <w:i/>
                <w:lang w:val="en-IE"/>
              </w:rPr>
              <w:t>a well-</w:t>
            </w:r>
            <w:r w:rsidR="00E43941" w:rsidRPr="007047B5">
              <w:rPr>
                <w:b/>
                <w:i/>
                <w:lang w:val="en-IE"/>
              </w:rPr>
              <w:t xml:space="preserve">grounded suspicion </w:t>
            </w:r>
            <w:r w:rsidRPr="007047B5">
              <w:rPr>
                <w:b/>
                <w:i/>
                <w:lang w:val="en-IE"/>
              </w:rPr>
              <w:t xml:space="preserve">that the client requested it for </w:t>
            </w:r>
            <w:r w:rsidR="00DD0FCA" w:rsidRPr="007047B5">
              <w:rPr>
                <w:b/>
                <w:i/>
                <w:lang w:val="en-IE"/>
              </w:rPr>
              <w:t xml:space="preserve">that </w:t>
            </w:r>
            <w:r w:rsidRPr="007047B5">
              <w:rPr>
                <w:b/>
                <w:i/>
                <w:lang w:val="en-IE"/>
              </w:rPr>
              <w:t>purpose.</w:t>
            </w:r>
          </w:p>
        </w:tc>
      </w:tr>
    </w:tbl>
    <w:p w14:paraId="086AAD49"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F867C05" w14:textId="77777777" w:rsidR="00CB2077" w:rsidRPr="007047B5" w:rsidRDefault="00CB2077" w:rsidP="00CB2077">
      <w:pPr>
        <w:rPr>
          <w:lang w:val="en-IE"/>
        </w:rPr>
      </w:pPr>
      <w:r w:rsidRPr="007047B5">
        <w:rPr>
          <w:rStyle w:val="HideTWBExt"/>
          <w:noProof w:val="0"/>
          <w:lang w:val="en-IE"/>
        </w:rPr>
        <w:t>&lt;/Amend&gt;</w:t>
      </w:r>
    </w:p>
    <w:p w14:paraId="6550B5FD"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w:t>
      </w:r>
      <w:r w:rsidRPr="007047B5">
        <w:rPr>
          <w:rStyle w:val="HideTWBExt"/>
          <w:b w:val="0"/>
          <w:noProof w:val="0"/>
          <w:lang w:val="en-IE"/>
        </w:rPr>
        <w:t>&lt;/NumAm&gt;</w:t>
      </w:r>
    </w:p>
    <w:p w14:paraId="6462939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4C4B1D1"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14</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B15DB80" w14:textId="77777777" w:rsidTr="00CB2077">
        <w:trPr>
          <w:jc w:val="center"/>
        </w:trPr>
        <w:tc>
          <w:tcPr>
            <w:tcW w:w="9752" w:type="dxa"/>
            <w:gridSpan w:val="2"/>
          </w:tcPr>
          <w:p w14:paraId="78E66DF9" w14:textId="77777777" w:rsidR="00CB2077" w:rsidRPr="007047B5" w:rsidRDefault="00CB2077">
            <w:pPr>
              <w:keepNext/>
              <w:rPr>
                <w:lang w:val="en-IE"/>
              </w:rPr>
            </w:pPr>
          </w:p>
        </w:tc>
      </w:tr>
      <w:tr w:rsidR="00CB2077" w:rsidRPr="007047B5" w14:paraId="0BA7715D" w14:textId="77777777" w:rsidTr="00CB2077">
        <w:trPr>
          <w:jc w:val="center"/>
        </w:trPr>
        <w:tc>
          <w:tcPr>
            <w:tcW w:w="4876" w:type="dxa"/>
            <w:hideMark/>
          </w:tcPr>
          <w:p w14:paraId="509282A8"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FAB59F9" w14:textId="77777777" w:rsidR="00CB2077" w:rsidRPr="007047B5" w:rsidRDefault="00CB2077">
            <w:pPr>
              <w:pStyle w:val="ColumnHeading"/>
              <w:keepNext/>
              <w:rPr>
                <w:lang w:val="en-IE"/>
              </w:rPr>
            </w:pPr>
            <w:r w:rsidRPr="007047B5">
              <w:rPr>
                <w:lang w:val="en-IE"/>
              </w:rPr>
              <w:t>Amendment</w:t>
            </w:r>
          </w:p>
        </w:tc>
      </w:tr>
      <w:tr w:rsidR="00CB2077" w:rsidRPr="007047B5" w14:paraId="0217D260" w14:textId="77777777" w:rsidTr="00CB2077">
        <w:trPr>
          <w:jc w:val="center"/>
        </w:trPr>
        <w:tc>
          <w:tcPr>
            <w:tcW w:w="4876" w:type="dxa"/>
            <w:hideMark/>
          </w:tcPr>
          <w:p w14:paraId="31B4B056" w14:textId="77777777" w:rsidR="00CB2077" w:rsidRPr="007047B5" w:rsidRDefault="00CB2077">
            <w:pPr>
              <w:pStyle w:val="Normal6"/>
              <w:rPr>
                <w:lang w:val="en-IE"/>
              </w:rPr>
            </w:pPr>
            <w:r w:rsidRPr="007047B5">
              <w:rPr>
                <w:lang w:val="en-IE"/>
              </w:rPr>
              <w:t>(14)</w:t>
            </w:r>
            <w:r w:rsidRPr="007047B5">
              <w:rPr>
                <w:lang w:val="en-IE"/>
              </w:rPr>
              <w:tab/>
              <w:t xml:space="preserve">Directive (EU) 2015/849 set out to mitigate the money laundering and terrorist financing risks posed by large cash payments by including persons trading in goods among obliged entities when they make or receive payments in cash above EUR 10 000, whilst allowing Member States to introduce stricter measures. Such approach has shown to be ineffective in light of the poor understanding and application of AML/CFT requirements, lack of supervision and limited number of </w:t>
            </w:r>
            <w:r w:rsidRPr="007047B5">
              <w:rPr>
                <w:lang w:val="en-IE"/>
              </w:rPr>
              <w:lastRenderedPageBreak/>
              <w:t xml:space="preserve">suspicious transactions reported to the FIU. In order to adequately mitigate risks deriving from the misuse of large cash sums, a Union-wide limit to large cash transactions above EUR </w:t>
            </w:r>
            <w:r w:rsidRPr="007047B5">
              <w:rPr>
                <w:b/>
                <w:i/>
                <w:lang w:val="en-IE"/>
              </w:rPr>
              <w:t>10 000</w:t>
            </w:r>
            <w:r w:rsidRPr="007047B5">
              <w:rPr>
                <w:lang w:val="en-IE"/>
              </w:rPr>
              <w:t xml:space="preserve"> should be laid down. As a consequence, persons trading in goods should no longer be subject to AML/CFT obligations.</w:t>
            </w:r>
          </w:p>
        </w:tc>
        <w:tc>
          <w:tcPr>
            <w:tcW w:w="4876" w:type="dxa"/>
            <w:hideMark/>
          </w:tcPr>
          <w:p w14:paraId="7BDDABE1" w14:textId="77777777" w:rsidR="00CB2077" w:rsidRPr="007047B5" w:rsidRDefault="00CB2077">
            <w:pPr>
              <w:pStyle w:val="Normal6"/>
              <w:rPr>
                <w:szCs w:val="24"/>
                <w:lang w:val="en-IE"/>
              </w:rPr>
            </w:pPr>
            <w:r w:rsidRPr="007047B5">
              <w:rPr>
                <w:lang w:val="en-IE"/>
              </w:rPr>
              <w:lastRenderedPageBreak/>
              <w:t>(14)</w:t>
            </w:r>
            <w:r w:rsidRPr="007047B5">
              <w:rPr>
                <w:lang w:val="en-IE"/>
              </w:rPr>
              <w:tab/>
              <w:t xml:space="preserve">Directive (EU) 2015/849 set out to mitigate the money laundering and terrorist financing risks posed by large cash payments by including persons trading in goods among obliged entities when they make or receive payments in cash above EUR 10 000, whilst allowing Member States to introduce stricter measures. Such approach has shown to be ineffective in light of the poor understanding and application of AML/CFT requirements, lack of supervision and limited number of </w:t>
            </w:r>
            <w:r w:rsidRPr="007047B5">
              <w:rPr>
                <w:lang w:val="en-IE"/>
              </w:rPr>
              <w:lastRenderedPageBreak/>
              <w:t xml:space="preserve">suspicious transactions reported to the FIU. In order to adequately mitigate risks deriving from the misuse of large cash sums, a Union-wide limit to large cash transactions above EUR </w:t>
            </w:r>
            <w:r w:rsidRPr="007047B5">
              <w:rPr>
                <w:b/>
                <w:i/>
                <w:lang w:val="en-IE"/>
              </w:rPr>
              <w:t>5 000</w:t>
            </w:r>
            <w:r w:rsidRPr="007047B5">
              <w:rPr>
                <w:lang w:val="en-IE"/>
              </w:rPr>
              <w:t xml:space="preserve"> should be laid down. As a consequence, persons trading in goods should no longer be subject to AML/CFT obligations.</w:t>
            </w:r>
          </w:p>
        </w:tc>
      </w:tr>
    </w:tbl>
    <w:p w14:paraId="66EE5542"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049C182" w14:textId="77777777" w:rsidR="00CB2077" w:rsidRPr="007047B5" w:rsidRDefault="00CB2077" w:rsidP="00CB2077">
      <w:pPr>
        <w:rPr>
          <w:lang w:val="en-IE"/>
        </w:rPr>
      </w:pPr>
      <w:r w:rsidRPr="007047B5">
        <w:rPr>
          <w:rStyle w:val="HideTWBExt"/>
          <w:noProof w:val="0"/>
          <w:lang w:val="en-IE"/>
        </w:rPr>
        <w:t>&lt;/Amend&gt;</w:t>
      </w:r>
    </w:p>
    <w:p w14:paraId="089184BA"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w:t>
      </w:r>
      <w:r w:rsidRPr="007047B5">
        <w:rPr>
          <w:rStyle w:val="HideTWBExt"/>
          <w:b w:val="0"/>
          <w:noProof w:val="0"/>
          <w:lang w:val="en-IE"/>
        </w:rPr>
        <w:t>&lt;/NumAm&gt;</w:t>
      </w:r>
    </w:p>
    <w:p w14:paraId="519D87A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369A800"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16</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908C074" w14:textId="77777777" w:rsidTr="00CB2077">
        <w:trPr>
          <w:jc w:val="center"/>
        </w:trPr>
        <w:tc>
          <w:tcPr>
            <w:tcW w:w="9752" w:type="dxa"/>
            <w:gridSpan w:val="2"/>
          </w:tcPr>
          <w:p w14:paraId="275EC06C" w14:textId="77777777" w:rsidR="00CB2077" w:rsidRPr="007047B5" w:rsidRDefault="00CB2077">
            <w:pPr>
              <w:keepNext/>
              <w:rPr>
                <w:lang w:val="en-IE"/>
              </w:rPr>
            </w:pPr>
          </w:p>
        </w:tc>
      </w:tr>
      <w:tr w:rsidR="00CB2077" w:rsidRPr="007047B5" w14:paraId="33D3D986" w14:textId="77777777" w:rsidTr="00CB2077">
        <w:trPr>
          <w:jc w:val="center"/>
        </w:trPr>
        <w:tc>
          <w:tcPr>
            <w:tcW w:w="4876" w:type="dxa"/>
            <w:hideMark/>
          </w:tcPr>
          <w:p w14:paraId="5FCC1E7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4B8E271" w14:textId="77777777" w:rsidR="00CB2077" w:rsidRPr="007047B5" w:rsidRDefault="00CB2077">
            <w:pPr>
              <w:pStyle w:val="ColumnHeading"/>
              <w:keepNext/>
              <w:rPr>
                <w:lang w:val="en-IE"/>
              </w:rPr>
            </w:pPr>
            <w:r w:rsidRPr="007047B5">
              <w:rPr>
                <w:lang w:val="en-IE"/>
              </w:rPr>
              <w:t>Amendment</w:t>
            </w:r>
          </w:p>
        </w:tc>
      </w:tr>
      <w:tr w:rsidR="00CB2077" w:rsidRPr="007047B5" w14:paraId="783BA0B4" w14:textId="77777777" w:rsidTr="00CB2077">
        <w:trPr>
          <w:jc w:val="center"/>
        </w:trPr>
        <w:tc>
          <w:tcPr>
            <w:tcW w:w="4876" w:type="dxa"/>
            <w:hideMark/>
          </w:tcPr>
          <w:p w14:paraId="614CC6AA" w14:textId="77777777" w:rsidR="00CB2077" w:rsidRPr="007047B5" w:rsidRDefault="00CB2077">
            <w:pPr>
              <w:pStyle w:val="Normal6"/>
              <w:rPr>
                <w:lang w:val="en-IE"/>
              </w:rPr>
            </w:pPr>
            <w:r w:rsidRPr="007047B5">
              <w:rPr>
                <w:lang w:val="en-IE"/>
              </w:rPr>
              <w:t>(16)</w:t>
            </w:r>
            <w:r w:rsidRPr="007047B5">
              <w:rPr>
                <w:lang w:val="en-IE"/>
              </w:rPr>
              <w:tab/>
              <w:t xml:space="preserve">Investment migration operators are private companies, bodies or persons acting or interacting directly with the competent authorities of the Member States on behalf of third-country nationals or providing intermediary services to third-country nationals seeking to obtain residence rights in a Member State in exchange of any kind of investments, including capital transfers, purchase or renting of property, investment in government bonds, investment in corporate entities, donation or endowment of an activity contributing to the public good and contributions to the state budget. Investor residence schemes present risks and vulnerabilities in relation to money laundering, corruption and tax evasion. Such risks are exacerbated by the cross-border rights associated with residence in a Member State. Therefore, it is necessary that investment migration operators are subject to AML/CFT obligations. </w:t>
            </w:r>
            <w:r w:rsidRPr="007047B5">
              <w:rPr>
                <w:b/>
                <w:i/>
                <w:lang w:val="en-IE"/>
              </w:rPr>
              <w:t>This Regulation should not apply to</w:t>
            </w:r>
            <w:r w:rsidRPr="007047B5">
              <w:rPr>
                <w:lang w:val="en-IE"/>
              </w:rPr>
              <w:t xml:space="preserve"> investor citizenship schemes, which result in the acquisition of nationality in exchange for such investments,</w:t>
            </w:r>
            <w:r w:rsidRPr="007047B5">
              <w:rPr>
                <w:b/>
                <w:i/>
                <w:lang w:val="en-IE"/>
              </w:rPr>
              <w:t xml:space="preserve"> as such schemes must be considered as undermining the </w:t>
            </w:r>
            <w:r w:rsidRPr="007047B5">
              <w:rPr>
                <w:b/>
                <w:i/>
                <w:lang w:val="en-IE"/>
              </w:rPr>
              <w:lastRenderedPageBreak/>
              <w:t>fundamental status of Union citizenship and sincere cooperation among</w:t>
            </w:r>
            <w:r w:rsidRPr="007047B5">
              <w:rPr>
                <w:lang w:val="en-IE"/>
              </w:rPr>
              <w:t xml:space="preserve"> Member States.</w:t>
            </w:r>
          </w:p>
        </w:tc>
        <w:tc>
          <w:tcPr>
            <w:tcW w:w="4876" w:type="dxa"/>
            <w:hideMark/>
          </w:tcPr>
          <w:p w14:paraId="596E518E" w14:textId="0F7C35C5" w:rsidR="00CB2077" w:rsidRPr="007047B5" w:rsidRDefault="00CB2077" w:rsidP="00BE0E57">
            <w:pPr>
              <w:pStyle w:val="Normal6"/>
              <w:rPr>
                <w:szCs w:val="24"/>
                <w:lang w:val="en-IE"/>
              </w:rPr>
            </w:pPr>
            <w:r w:rsidRPr="007047B5">
              <w:rPr>
                <w:lang w:val="en-IE"/>
              </w:rPr>
              <w:lastRenderedPageBreak/>
              <w:t>(16)</w:t>
            </w:r>
            <w:r w:rsidRPr="007047B5">
              <w:rPr>
                <w:lang w:val="en-IE"/>
              </w:rPr>
              <w:tab/>
              <w:t xml:space="preserve">Investment migration operators are private companies, bodies or persons acting or interacting directly with the competent authorities of the Member States on behalf of third-country nationals or providing intermediary services to third-country nationals seeking to obtain residence rights in a Member State in exchange of any kind of investments, including capital transfers, purchase or renting of property, investment in government bonds, investment in corporate entities, donation or endowment of an activity contributing to the public good and contributions to the state budget. Investor residence schemes present risks and vulnerabilities in relation to money laundering, corruption and tax evasion. Such risks are exacerbated by the cross-border rights associated with residence in a Member State. Therefore, it is necessary that investment migration operators are subject to AML/CFT obligations. </w:t>
            </w:r>
            <w:r w:rsidR="00DD0FCA" w:rsidRPr="007047B5">
              <w:rPr>
                <w:b/>
                <w:i/>
                <w:lang w:val="en-IE"/>
              </w:rPr>
              <w:t>I</w:t>
            </w:r>
            <w:r w:rsidRPr="007047B5">
              <w:rPr>
                <w:b/>
                <w:i/>
                <w:lang w:val="en-IE"/>
              </w:rPr>
              <w:t>n view of the risks and vulnerabilities presented by</w:t>
            </w:r>
            <w:r w:rsidRPr="007047B5">
              <w:rPr>
                <w:lang w:val="en-IE"/>
              </w:rPr>
              <w:t xml:space="preserve"> investor</w:t>
            </w:r>
            <w:r w:rsidR="00365A5A" w:rsidRPr="007047B5">
              <w:rPr>
                <w:lang w:val="en-IE"/>
              </w:rPr>
              <w:t xml:space="preserve"> schemes</w:t>
            </w:r>
            <w:r w:rsidR="00BE0E57" w:rsidRPr="007047B5">
              <w:rPr>
                <w:lang w:val="en-IE"/>
              </w:rPr>
              <w:t>,</w:t>
            </w:r>
            <w:r w:rsidR="00365A5A" w:rsidRPr="007047B5">
              <w:rPr>
                <w:lang w:val="en-IE"/>
              </w:rPr>
              <w:t xml:space="preserve"> which result in </w:t>
            </w:r>
            <w:r w:rsidR="00BE0E57" w:rsidRPr="007047B5">
              <w:rPr>
                <w:lang w:val="en-IE"/>
              </w:rPr>
              <w:t xml:space="preserve">the </w:t>
            </w:r>
            <w:r w:rsidR="00365A5A" w:rsidRPr="007047B5">
              <w:rPr>
                <w:lang w:val="en-IE"/>
              </w:rPr>
              <w:t xml:space="preserve">acquisition of </w:t>
            </w:r>
            <w:r w:rsidR="00BE0E57" w:rsidRPr="007047B5">
              <w:rPr>
                <w:b/>
                <w:i/>
                <w:lang w:val="en-IE"/>
              </w:rPr>
              <w:t>either</w:t>
            </w:r>
            <w:r w:rsidR="00BE0E57" w:rsidRPr="007047B5">
              <w:rPr>
                <w:lang w:val="en-IE"/>
              </w:rPr>
              <w:t xml:space="preserve"> </w:t>
            </w:r>
            <w:r w:rsidR="00365A5A" w:rsidRPr="007047B5">
              <w:rPr>
                <w:b/>
                <w:i/>
                <w:lang w:val="en-IE"/>
              </w:rPr>
              <w:t>residence rights or</w:t>
            </w:r>
            <w:r w:rsidR="00365A5A" w:rsidRPr="007047B5">
              <w:rPr>
                <w:lang w:val="en-IE"/>
              </w:rPr>
              <w:t xml:space="preserve"> nationality in exchange for such investments,</w:t>
            </w:r>
            <w:r w:rsidRPr="007047B5">
              <w:rPr>
                <w:lang w:val="en-IE"/>
              </w:rPr>
              <w:t xml:space="preserve"> </w:t>
            </w:r>
            <w:r w:rsidRPr="007047B5">
              <w:rPr>
                <w:b/>
                <w:i/>
                <w:lang w:val="en-IE"/>
              </w:rPr>
              <w:t xml:space="preserve">it is necessary to provide for </w:t>
            </w:r>
            <w:r w:rsidRPr="007047B5">
              <w:rPr>
                <w:b/>
                <w:i/>
                <w:lang w:val="en-IE"/>
              </w:rPr>
              <w:lastRenderedPageBreak/>
              <w:t>minimum requirements</w:t>
            </w:r>
            <w:r w:rsidRPr="007047B5">
              <w:rPr>
                <w:lang w:val="en-IE"/>
              </w:rPr>
              <w:t xml:space="preserve"> in the </w:t>
            </w:r>
            <w:r w:rsidRPr="007047B5">
              <w:rPr>
                <w:b/>
                <w:i/>
                <w:lang w:val="en-IE"/>
              </w:rPr>
              <w:t>assessment of applicants by</w:t>
            </w:r>
            <w:r w:rsidRPr="007047B5">
              <w:rPr>
                <w:lang w:val="en-IE"/>
              </w:rPr>
              <w:t xml:space="preserve"> Member States</w:t>
            </w:r>
            <w:r w:rsidRPr="007047B5">
              <w:rPr>
                <w:b/>
                <w:i/>
                <w:lang w:val="en-IE"/>
              </w:rPr>
              <w:t xml:space="preserve">’ public authorities, </w:t>
            </w:r>
            <w:r w:rsidR="00DD0FCA" w:rsidRPr="007047B5">
              <w:rPr>
                <w:b/>
                <w:i/>
                <w:lang w:val="en-IE"/>
              </w:rPr>
              <w:t xml:space="preserve">to </w:t>
            </w:r>
            <w:r w:rsidRPr="007047B5">
              <w:rPr>
                <w:b/>
                <w:i/>
                <w:lang w:val="en-IE"/>
              </w:rPr>
              <w:t xml:space="preserve">ensure that enhanced due diligence measures are applied with regard to applicants and </w:t>
            </w:r>
            <w:r w:rsidR="00DD0FCA" w:rsidRPr="007047B5">
              <w:rPr>
                <w:b/>
                <w:i/>
                <w:lang w:val="en-IE"/>
              </w:rPr>
              <w:t xml:space="preserve">to ensure </w:t>
            </w:r>
            <w:r w:rsidRPr="007047B5">
              <w:rPr>
                <w:b/>
                <w:i/>
                <w:lang w:val="en-IE"/>
              </w:rPr>
              <w:t>that nationals from high</w:t>
            </w:r>
            <w:r w:rsidR="00DD0FCA" w:rsidRPr="007047B5">
              <w:rPr>
                <w:b/>
                <w:i/>
                <w:lang w:val="en-IE"/>
              </w:rPr>
              <w:t>-</w:t>
            </w:r>
            <w:r w:rsidRPr="007047B5">
              <w:rPr>
                <w:b/>
                <w:i/>
                <w:lang w:val="en-IE"/>
              </w:rPr>
              <w:t xml:space="preserve">risk third countries are not granted any status on the basis of </w:t>
            </w:r>
            <w:r w:rsidR="00DD0FCA" w:rsidRPr="007047B5">
              <w:rPr>
                <w:b/>
                <w:i/>
                <w:lang w:val="en-IE"/>
              </w:rPr>
              <w:t xml:space="preserve">such </w:t>
            </w:r>
            <w:r w:rsidRPr="007047B5">
              <w:rPr>
                <w:b/>
                <w:i/>
                <w:lang w:val="en-IE"/>
              </w:rPr>
              <w:t>schemes</w:t>
            </w:r>
            <w:r w:rsidRPr="007047B5">
              <w:rPr>
                <w:lang w:val="en-IE"/>
              </w:rPr>
              <w:t>.</w:t>
            </w:r>
          </w:p>
        </w:tc>
      </w:tr>
    </w:tbl>
    <w:p w14:paraId="22911DB7"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342DC6EE" w14:textId="77777777" w:rsidR="00CB2077" w:rsidRPr="007047B5" w:rsidRDefault="00CB2077" w:rsidP="00CB2077">
      <w:pPr>
        <w:rPr>
          <w:lang w:val="en-IE"/>
        </w:rPr>
      </w:pPr>
      <w:r w:rsidRPr="007047B5">
        <w:rPr>
          <w:rStyle w:val="HideTWBExt"/>
          <w:noProof w:val="0"/>
          <w:lang w:val="en-IE"/>
        </w:rPr>
        <w:t>&lt;/Amend&gt;</w:t>
      </w:r>
    </w:p>
    <w:p w14:paraId="5B355CF2"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w:t>
      </w:r>
      <w:r w:rsidRPr="007047B5">
        <w:rPr>
          <w:rStyle w:val="HideTWBExt"/>
          <w:b w:val="0"/>
          <w:noProof w:val="0"/>
          <w:lang w:val="en-IE"/>
        </w:rPr>
        <w:t>&lt;/NumAm&gt;</w:t>
      </w:r>
    </w:p>
    <w:p w14:paraId="293B8A8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C3D417D"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18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F03D678" w14:textId="77777777" w:rsidTr="00CB2077">
        <w:trPr>
          <w:jc w:val="center"/>
        </w:trPr>
        <w:tc>
          <w:tcPr>
            <w:tcW w:w="9752" w:type="dxa"/>
            <w:gridSpan w:val="2"/>
          </w:tcPr>
          <w:p w14:paraId="05065552" w14:textId="77777777" w:rsidR="00CB2077" w:rsidRPr="007047B5" w:rsidRDefault="00CB2077">
            <w:pPr>
              <w:keepNext/>
              <w:rPr>
                <w:lang w:val="en-IE"/>
              </w:rPr>
            </w:pPr>
          </w:p>
        </w:tc>
      </w:tr>
      <w:tr w:rsidR="00CB2077" w:rsidRPr="007047B5" w14:paraId="41F11DD7" w14:textId="77777777" w:rsidTr="00CB2077">
        <w:trPr>
          <w:jc w:val="center"/>
        </w:trPr>
        <w:tc>
          <w:tcPr>
            <w:tcW w:w="4876" w:type="dxa"/>
            <w:hideMark/>
          </w:tcPr>
          <w:p w14:paraId="3147B5D3"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7173FA3" w14:textId="77777777" w:rsidR="00CB2077" w:rsidRPr="007047B5" w:rsidRDefault="00CB2077">
            <w:pPr>
              <w:pStyle w:val="ColumnHeading"/>
              <w:keepNext/>
              <w:rPr>
                <w:lang w:val="en-IE"/>
              </w:rPr>
            </w:pPr>
            <w:r w:rsidRPr="007047B5">
              <w:rPr>
                <w:lang w:val="en-IE"/>
              </w:rPr>
              <w:t>Amendment</w:t>
            </w:r>
          </w:p>
        </w:tc>
      </w:tr>
      <w:tr w:rsidR="00CB2077" w:rsidRPr="007047B5" w14:paraId="40B0ECD3" w14:textId="77777777" w:rsidTr="00CB2077">
        <w:trPr>
          <w:jc w:val="center"/>
        </w:trPr>
        <w:tc>
          <w:tcPr>
            <w:tcW w:w="4876" w:type="dxa"/>
          </w:tcPr>
          <w:p w14:paraId="5A12A1D6" w14:textId="77777777" w:rsidR="00CB2077" w:rsidRPr="007047B5" w:rsidRDefault="00CB2077">
            <w:pPr>
              <w:pStyle w:val="Normal6"/>
              <w:rPr>
                <w:lang w:val="en-IE"/>
              </w:rPr>
            </w:pPr>
          </w:p>
        </w:tc>
        <w:tc>
          <w:tcPr>
            <w:tcW w:w="4876" w:type="dxa"/>
            <w:hideMark/>
          </w:tcPr>
          <w:p w14:paraId="17D77BB1" w14:textId="7EBA84B3" w:rsidR="00CB2077" w:rsidRPr="007047B5" w:rsidRDefault="00CB2077" w:rsidP="002E0E60">
            <w:pPr>
              <w:pStyle w:val="Normal6"/>
              <w:rPr>
                <w:szCs w:val="24"/>
                <w:lang w:val="en-IE"/>
              </w:rPr>
            </w:pPr>
            <w:r w:rsidRPr="007047B5">
              <w:rPr>
                <w:b/>
                <w:i/>
                <w:lang w:val="en-IE"/>
              </w:rPr>
              <w:t>(18a)</w:t>
            </w:r>
            <w:r w:rsidRPr="007047B5">
              <w:rPr>
                <w:b/>
                <w:i/>
                <w:lang w:val="en-IE"/>
              </w:rPr>
              <w:tab/>
            </w:r>
            <w:r w:rsidR="00460867" w:rsidRPr="007047B5">
              <w:rPr>
                <w:b/>
                <w:i/>
                <w:lang w:val="en-IE"/>
              </w:rPr>
              <w:t>According to a report from the FATF of July 2009 entitled ‘Money Laundering through the Football Sector’, “t</w:t>
            </w:r>
            <w:r w:rsidRPr="007047B5">
              <w:rPr>
                <w:b/>
                <w:i/>
                <w:lang w:val="en-IE"/>
              </w:rPr>
              <w:t>he professional football market has undergone an accentuated growth due to a process of commercialisation. Money invested in football surged mainly as a result from increases in television rights and corporate sponsorship. Simultaneously, the labour market for professional football players has experienced unprecedented globalisation – with more and more football players contracted by teams outside their country and transfer payments of astounding dimensions. The cross border money flows that are involved may largely fall outside the control of national and supranational football organisations, giving opportunities to move and launder money. At the same time money from private investors is pouring into football clubs to keep them operating and can give the investor long term returns in terms of media rights, ticket sales, proceeds of sales of players and merchandising.</w:t>
            </w:r>
            <w:r w:rsidR="00460867" w:rsidRPr="007047B5">
              <w:rPr>
                <w:b/>
                <w:i/>
                <w:lang w:val="en-IE"/>
              </w:rPr>
              <w:t>”</w:t>
            </w:r>
            <w:r w:rsidRPr="007047B5">
              <w:rPr>
                <w:b/>
                <w:i/>
                <w:lang w:val="en-IE"/>
              </w:rPr>
              <w:t xml:space="preserve"> </w:t>
            </w:r>
            <w:r w:rsidR="002E0E60" w:rsidRPr="007047B5">
              <w:rPr>
                <w:b/>
                <w:i/>
                <w:lang w:val="en-IE"/>
              </w:rPr>
              <w:t xml:space="preserve">In its report of 24 July 2019 to the European Parliament and the Council on the </w:t>
            </w:r>
            <w:r w:rsidR="002E0E60" w:rsidRPr="007047B5">
              <w:rPr>
                <w:b/>
                <w:i/>
                <w:lang w:val="en-IE"/>
              </w:rPr>
              <w:lastRenderedPageBreak/>
              <w:t>assessment of the risk of money laundering and terrorist financing affecting the internal market and relating to cross-border activities, t</w:t>
            </w:r>
            <w:r w:rsidRPr="007047B5">
              <w:rPr>
                <w:b/>
                <w:i/>
                <w:lang w:val="en-IE"/>
              </w:rPr>
              <w:t xml:space="preserve">he Commission assessed professional football </w:t>
            </w:r>
            <w:r w:rsidR="002E0E60" w:rsidRPr="007047B5">
              <w:rPr>
                <w:b/>
                <w:i/>
                <w:lang w:val="en-IE"/>
              </w:rPr>
              <w:t>and stated that</w:t>
            </w:r>
            <w:r w:rsidRPr="007047B5">
              <w:rPr>
                <w:b/>
                <w:i/>
                <w:lang w:val="en-IE"/>
              </w:rPr>
              <w:t xml:space="preserve"> </w:t>
            </w:r>
            <w:r w:rsidR="002E0E60" w:rsidRPr="007047B5">
              <w:rPr>
                <w:b/>
                <w:i/>
                <w:lang w:val="en-IE"/>
              </w:rPr>
              <w:t>“</w:t>
            </w:r>
            <w:r w:rsidRPr="007047B5">
              <w:rPr>
                <w:b/>
                <w:i/>
                <w:lang w:val="en-IE"/>
              </w:rPr>
              <w:t>whilst it remains a popular sport it is also a global industry with significant economic impact. Professional football’s complex organisation and lack of transparency have created fertile ground for the use of illegal resources. Questionable sums of money with no apparent or explicable financial return or gain are being invested in the sport.</w:t>
            </w:r>
            <w:r w:rsidR="002E0E60" w:rsidRPr="007047B5">
              <w:rPr>
                <w:b/>
                <w:i/>
                <w:lang w:val="en-IE"/>
              </w:rPr>
              <w:t>”</w:t>
            </w:r>
            <w:r w:rsidRPr="007047B5">
              <w:rPr>
                <w:b/>
                <w:i/>
                <w:lang w:val="en-IE"/>
              </w:rPr>
              <w:t xml:space="preserve"> Professional football is therefore a new sector posing high risks and high</w:t>
            </w:r>
            <w:r w:rsidR="002E0E60" w:rsidRPr="007047B5">
              <w:rPr>
                <w:b/>
                <w:i/>
                <w:lang w:val="en-IE"/>
              </w:rPr>
              <w:t>-</w:t>
            </w:r>
            <w:r w:rsidRPr="007047B5">
              <w:rPr>
                <w:b/>
                <w:i/>
                <w:lang w:val="en-IE"/>
              </w:rPr>
              <w:t>level professional football clubs, along with sports agents in the football sector and football associations in Member States which are members of the Union of European Football Associations</w:t>
            </w:r>
            <w:r w:rsidR="002E0E60" w:rsidRPr="007047B5">
              <w:rPr>
                <w:b/>
                <w:i/>
                <w:lang w:val="en-IE"/>
              </w:rPr>
              <w:t>,</w:t>
            </w:r>
            <w:r w:rsidRPr="007047B5">
              <w:rPr>
                <w:b/>
                <w:i/>
                <w:lang w:val="en-IE"/>
              </w:rPr>
              <w:t xml:space="preserve"> should be considered obliged entities</w:t>
            </w:r>
            <w:r w:rsidR="002E0E60" w:rsidRPr="007047B5">
              <w:rPr>
                <w:b/>
                <w:i/>
                <w:lang w:val="en-IE"/>
              </w:rPr>
              <w:t xml:space="preserve"> for the purposes of this Regulation</w:t>
            </w:r>
            <w:r w:rsidRPr="007047B5">
              <w:rPr>
                <w:b/>
                <w:i/>
                <w:lang w:val="en-IE"/>
              </w:rPr>
              <w:t>.</w:t>
            </w:r>
          </w:p>
        </w:tc>
      </w:tr>
    </w:tbl>
    <w:p w14:paraId="5E7A24FB"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EE99238" w14:textId="77777777" w:rsidR="00CB2077" w:rsidRPr="007047B5" w:rsidRDefault="00CB2077" w:rsidP="00CB2077">
      <w:pPr>
        <w:rPr>
          <w:lang w:val="en-IE"/>
        </w:rPr>
      </w:pPr>
      <w:r w:rsidRPr="007047B5">
        <w:rPr>
          <w:rStyle w:val="HideTWBExt"/>
          <w:noProof w:val="0"/>
          <w:lang w:val="en-IE"/>
        </w:rPr>
        <w:t>&lt;/Amend&gt;</w:t>
      </w:r>
    </w:p>
    <w:p w14:paraId="319B2A70"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w:t>
      </w:r>
      <w:r w:rsidRPr="007047B5">
        <w:rPr>
          <w:rStyle w:val="HideTWBExt"/>
          <w:b w:val="0"/>
          <w:noProof w:val="0"/>
          <w:lang w:val="en-IE"/>
        </w:rPr>
        <w:t>&lt;/NumAm&gt;</w:t>
      </w:r>
    </w:p>
    <w:p w14:paraId="28B7D817"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FE9B62F"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19</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8172894" w14:textId="77777777" w:rsidTr="00CB2077">
        <w:trPr>
          <w:jc w:val="center"/>
        </w:trPr>
        <w:tc>
          <w:tcPr>
            <w:tcW w:w="9752" w:type="dxa"/>
            <w:gridSpan w:val="2"/>
          </w:tcPr>
          <w:p w14:paraId="33FEFC05" w14:textId="77777777" w:rsidR="00CB2077" w:rsidRPr="007047B5" w:rsidRDefault="00CB2077">
            <w:pPr>
              <w:keepNext/>
              <w:rPr>
                <w:lang w:val="en-IE"/>
              </w:rPr>
            </w:pPr>
          </w:p>
        </w:tc>
      </w:tr>
      <w:tr w:rsidR="00CB2077" w:rsidRPr="007047B5" w14:paraId="0E246FCB" w14:textId="77777777" w:rsidTr="00CB2077">
        <w:trPr>
          <w:jc w:val="center"/>
        </w:trPr>
        <w:tc>
          <w:tcPr>
            <w:tcW w:w="4876" w:type="dxa"/>
            <w:hideMark/>
          </w:tcPr>
          <w:p w14:paraId="0B7C8AAA"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3E04784" w14:textId="77777777" w:rsidR="00CB2077" w:rsidRPr="007047B5" w:rsidRDefault="00CB2077">
            <w:pPr>
              <w:pStyle w:val="ColumnHeading"/>
              <w:keepNext/>
              <w:rPr>
                <w:lang w:val="en-IE"/>
              </w:rPr>
            </w:pPr>
            <w:r w:rsidRPr="007047B5">
              <w:rPr>
                <w:lang w:val="en-IE"/>
              </w:rPr>
              <w:t>Amendment</w:t>
            </w:r>
          </w:p>
        </w:tc>
      </w:tr>
      <w:tr w:rsidR="00CB2077" w:rsidRPr="007047B5" w14:paraId="451F7BAD" w14:textId="77777777" w:rsidTr="00CB2077">
        <w:trPr>
          <w:jc w:val="center"/>
        </w:trPr>
        <w:tc>
          <w:tcPr>
            <w:tcW w:w="4876" w:type="dxa"/>
            <w:hideMark/>
          </w:tcPr>
          <w:p w14:paraId="26E1743F" w14:textId="77777777" w:rsidR="00CB2077" w:rsidRPr="007047B5" w:rsidRDefault="00CB2077">
            <w:pPr>
              <w:pStyle w:val="Normal6"/>
              <w:rPr>
                <w:lang w:val="en-IE"/>
              </w:rPr>
            </w:pPr>
            <w:r w:rsidRPr="007047B5">
              <w:rPr>
                <w:lang w:val="en-IE"/>
              </w:rPr>
              <w:t>(19)</w:t>
            </w:r>
            <w:r w:rsidRPr="007047B5">
              <w:rPr>
                <w:lang w:val="en-IE"/>
              </w:rPr>
              <w:tab/>
              <w:t xml:space="preserve">It is important that AML/CFT requirements apply in a proportionate manner and that the imposition of any requirement is proportionate to the role that obliged entities can play in the prevention of money laundering and terrorist financing. To this end, it should be possible for Member States in line with the risk base approach of this Regulation to exempt </w:t>
            </w:r>
            <w:r w:rsidRPr="007047B5">
              <w:rPr>
                <w:b/>
                <w:i/>
                <w:lang w:val="en-IE"/>
              </w:rPr>
              <w:t>certain</w:t>
            </w:r>
            <w:r w:rsidRPr="007047B5">
              <w:rPr>
                <w:lang w:val="en-IE"/>
              </w:rPr>
              <w:t xml:space="preserve"> operators from AML/CFT requirements, where the activities they perform present low money laundering and terrorist financing risks and where the </w:t>
            </w:r>
            <w:r w:rsidRPr="007047B5">
              <w:rPr>
                <w:lang w:val="en-IE"/>
              </w:rPr>
              <w:lastRenderedPageBreak/>
              <w:t>activities are limited in nature. To ensure transparent and consistent application of such exemptions across the Union, a mechanism should be put in place allowing the Commission to verify the necessity of the exemptions to be granted. The Commission should also publish such exemptions on a yearly basis in the Official Journal of the European Union.</w:t>
            </w:r>
          </w:p>
        </w:tc>
        <w:tc>
          <w:tcPr>
            <w:tcW w:w="4876" w:type="dxa"/>
            <w:hideMark/>
          </w:tcPr>
          <w:p w14:paraId="323562E3" w14:textId="77777777" w:rsidR="00CB2077" w:rsidRPr="007047B5" w:rsidRDefault="00CB2077">
            <w:pPr>
              <w:pStyle w:val="Normal6"/>
              <w:rPr>
                <w:szCs w:val="24"/>
                <w:lang w:val="en-IE"/>
              </w:rPr>
            </w:pPr>
            <w:r w:rsidRPr="007047B5">
              <w:rPr>
                <w:lang w:val="en-IE"/>
              </w:rPr>
              <w:lastRenderedPageBreak/>
              <w:t>(19)</w:t>
            </w:r>
            <w:r w:rsidRPr="007047B5">
              <w:rPr>
                <w:lang w:val="en-IE"/>
              </w:rPr>
              <w:tab/>
              <w:t xml:space="preserve">It is important that AML/CFT requirements apply in a proportionate manner and that the imposition of any requirement is proportionate to the role that obliged entities can play in the prevention of money laundering and terrorist financing. To this end, it should be possible for Member States in line with the risk base approach of this Regulation to exempt </w:t>
            </w:r>
            <w:r w:rsidRPr="007047B5">
              <w:rPr>
                <w:b/>
                <w:i/>
                <w:lang w:val="en-IE"/>
              </w:rPr>
              <w:t>a limited group of</w:t>
            </w:r>
            <w:r w:rsidRPr="007047B5">
              <w:rPr>
                <w:lang w:val="en-IE"/>
              </w:rPr>
              <w:t xml:space="preserve"> operators from AML/CFT requirements, where the activities they perform present low money laundering and terrorist financing risks and </w:t>
            </w:r>
            <w:r w:rsidRPr="007047B5">
              <w:rPr>
                <w:lang w:val="en-IE"/>
              </w:rPr>
              <w:lastRenderedPageBreak/>
              <w:t>where the activities are limited in nature. To ensure transparent and consistent application of such exemptions across the Union, a mechanism should be put in place allowing the Commission to verify the necessity of the exemptions to be granted. The Commission should also publish such exemptions on a yearly basis in the Official Journal of the European Union.</w:t>
            </w:r>
            <w:r w:rsidRPr="007047B5">
              <w:rPr>
                <w:b/>
                <w:i/>
                <w:lang w:val="en-IE"/>
              </w:rPr>
              <w:t>.</w:t>
            </w:r>
          </w:p>
        </w:tc>
      </w:tr>
    </w:tbl>
    <w:p w14:paraId="63D87430"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1EE3533" w14:textId="77777777" w:rsidR="00CB2077" w:rsidRPr="007047B5" w:rsidRDefault="00CB2077" w:rsidP="00CB2077">
      <w:pPr>
        <w:rPr>
          <w:lang w:val="en-IE"/>
        </w:rPr>
      </w:pPr>
      <w:r w:rsidRPr="007047B5">
        <w:rPr>
          <w:rStyle w:val="HideTWBExt"/>
          <w:noProof w:val="0"/>
          <w:lang w:val="en-IE"/>
        </w:rPr>
        <w:t>&lt;/Amend&gt;</w:t>
      </w:r>
    </w:p>
    <w:p w14:paraId="2A7B9E40"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w:t>
      </w:r>
      <w:r w:rsidRPr="007047B5">
        <w:rPr>
          <w:rStyle w:val="HideTWBExt"/>
          <w:b w:val="0"/>
          <w:noProof w:val="0"/>
          <w:lang w:val="en-IE"/>
        </w:rPr>
        <w:t>&lt;/NumAm&gt;</w:t>
      </w:r>
    </w:p>
    <w:p w14:paraId="6372C3FC"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4D57702"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24</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0D77FC7" w14:textId="77777777" w:rsidTr="00CB2077">
        <w:trPr>
          <w:jc w:val="center"/>
        </w:trPr>
        <w:tc>
          <w:tcPr>
            <w:tcW w:w="9752" w:type="dxa"/>
            <w:gridSpan w:val="2"/>
          </w:tcPr>
          <w:p w14:paraId="4C43671C" w14:textId="77777777" w:rsidR="00CB2077" w:rsidRPr="007047B5" w:rsidRDefault="00CB2077">
            <w:pPr>
              <w:keepNext/>
              <w:rPr>
                <w:lang w:val="en-IE"/>
              </w:rPr>
            </w:pPr>
          </w:p>
        </w:tc>
      </w:tr>
      <w:tr w:rsidR="00CB2077" w:rsidRPr="007047B5" w14:paraId="7CB68E87" w14:textId="77777777" w:rsidTr="00CB2077">
        <w:trPr>
          <w:jc w:val="center"/>
        </w:trPr>
        <w:tc>
          <w:tcPr>
            <w:tcW w:w="4876" w:type="dxa"/>
            <w:hideMark/>
          </w:tcPr>
          <w:p w14:paraId="764DD0A1"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2499A70" w14:textId="77777777" w:rsidR="00CB2077" w:rsidRPr="007047B5" w:rsidRDefault="00CB2077">
            <w:pPr>
              <w:pStyle w:val="ColumnHeading"/>
              <w:keepNext/>
              <w:rPr>
                <w:lang w:val="en-IE"/>
              </w:rPr>
            </w:pPr>
            <w:r w:rsidRPr="007047B5">
              <w:rPr>
                <w:lang w:val="en-IE"/>
              </w:rPr>
              <w:t>Amendment</w:t>
            </w:r>
          </w:p>
        </w:tc>
      </w:tr>
      <w:tr w:rsidR="00CB2077" w:rsidRPr="007047B5" w14:paraId="213949C3" w14:textId="77777777" w:rsidTr="00CB2077">
        <w:trPr>
          <w:jc w:val="center"/>
        </w:trPr>
        <w:tc>
          <w:tcPr>
            <w:tcW w:w="4876" w:type="dxa"/>
            <w:hideMark/>
          </w:tcPr>
          <w:p w14:paraId="0286DB11" w14:textId="77777777" w:rsidR="00CB2077" w:rsidRPr="007047B5" w:rsidRDefault="00CB2077">
            <w:pPr>
              <w:pStyle w:val="Normal6"/>
              <w:rPr>
                <w:lang w:val="en-IE"/>
              </w:rPr>
            </w:pPr>
            <w:r w:rsidRPr="007047B5">
              <w:rPr>
                <w:lang w:val="en-IE"/>
              </w:rPr>
              <w:t>(24)</w:t>
            </w:r>
            <w:r w:rsidRPr="007047B5">
              <w:rPr>
                <w:lang w:val="en-IE"/>
              </w:rPr>
              <w:tab/>
              <w:t>In order to reflect the latest developments at international level, a requirement has been introduced by this Regulation to identify, understand, manage and mitigate risks of potential non-implementation or evasion of proliferation financing-related targeted financial sanctions at obliged entity level.</w:t>
            </w:r>
          </w:p>
        </w:tc>
        <w:tc>
          <w:tcPr>
            <w:tcW w:w="4876" w:type="dxa"/>
            <w:hideMark/>
          </w:tcPr>
          <w:p w14:paraId="0A8EBEC5" w14:textId="77777777" w:rsidR="00CB2077" w:rsidRPr="007047B5" w:rsidRDefault="00CB2077">
            <w:pPr>
              <w:pStyle w:val="Normal6"/>
              <w:rPr>
                <w:szCs w:val="24"/>
                <w:lang w:val="en-IE"/>
              </w:rPr>
            </w:pPr>
            <w:r w:rsidRPr="007047B5">
              <w:rPr>
                <w:lang w:val="en-IE"/>
              </w:rPr>
              <w:t>(24)</w:t>
            </w:r>
            <w:r w:rsidRPr="007047B5">
              <w:rPr>
                <w:lang w:val="en-IE"/>
              </w:rPr>
              <w:tab/>
              <w:t xml:space="preserve">In order to reflect the latest developments at international level, a requirement has been introduced by this Regulation to identify, understand, manage and mitigate risks of potential non-implementation or evasion of </w:t>
            </w:r>
            <w:r w:rsidRPr="007047B5">
              <w:rPr>
                <w:b/>
                <w:i/>
                <w:lang w:val="en-IE"/>
              </w:rPr>
              <w:t>targeted financial sanctions and</w:t>
            </w:r>
            <w:r w:rsidRPr="007047B5">
              <w:rPr>
                <w:lang w:val="en-IE"/>
              </w:rPr>
              <w:t xml:space="preserve"> proliferation financing-related targeted financial sanctions at obliged entity level.</w:t>
            </w:r>
          </w:p>
        </w:tc>
      </w:tr>
    </w:tbl>
    <w:p w14:paraId="2DCF7F2B"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C4E6E34" w14:textId="77777777" w:rsidR="00CB2077" w:rsidRPr="007047B5" w:rsidRDefault="00CB2077" w:rsidP="00CB2077">
      <w:pPr>
        <w:rPr>
          <w:lang w:val="en-IE"/>
        </w:rPr>
      </w:pPr>
      <w:r w:rsidRPr="007047B5">
        <w:rPr>
          <w:rStyle w:val="HideTWBExt"/>
          <w:noProof w:val="0"/>
          <w:lang w:val="en-IE"/>
        </w:rPr>
        <w:t>&lt;/Amend&gt;</w:t>
      </w:r>
    </w:p>
    <w:p w14:paraId="37E666FE"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w:t>
      </w:r>
      <w:r w:rsidRPr="007047B5">
        <w:rPr>
          <w:rStyle w:val="HideTWBExt"/>
          <w:b w:val="0"/>
          <w:noProof w:val="0"/>
          <w:lang w:val="en-IE"/>
        </w:rPr>
        <w:t>&lt;/NumAm&gt;</w:t>
      </w:r>
    </w:p>
    <w:p w14:paraId="1D09F2E8"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1B87B29"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27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0C1C121" w14:textId="77777777" w:rsidTr="00CB2077">
        <w:trPr>
          <w:jc w:val="center"/>
        </w:trPr>
        <w:tc>
          <w:tcPr>
            <w:tcW w:w="9752" w:type="dxa"/>
            <w:gridSpan w:val="2"/>
          </w:tcPr>
          <w:p w14:paraId="3D59954F" w14:textId="77777777" w:rsidR="00CB2077" w:rsidRPr="007047B5" w:rsidRDefault="00CB2077">
            <w:pPr>
              <w:keepNext/>
              <w:rPr>
                <w:lang w:val="en-IE"/>
              </w:rPr>
            </w:pPr>
          </w:p>
        </w:tc>
      </w:tr>
      <w:tr w:rsidR="00CB2077" w:rsidRPr="007047B5" w14:paraId="101F86E5" w14:textId="77777777" w:rsidTr="00CB2077">
        <w:trPr>
          <w:jc w:val="center"/>
        </w:trPr>
        <w:tc>
          <w:tcPr>
            <w:tcW w:w="4876" w:type="dxa"/>
            <w:hideMark/>
          </w:tcPr>
          <w:p w14:paraId="141AE921"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76E5E2B" w14:textId="77777777" w:rsidR="00CB2077" w:rsidRPr="007047B5" w:rsidRDefault="00CB2077">
            <w:pPr>
              <w:pStyle w:val="ColumnHeading"/>
              <w:keepNext/>
              <w:rPr>
                <w:lang w:val="en-IE"/>
              </w:rPr>
            </w:pPr>
            <w:r w:rsidRPr="007047B5">
              <w:rPr>
                <w:lang w:val="en-IE"/>
              </w:rPr>
              <w:t>Amendment</w:t>
            </w:r>
          </w:p>
        </w:tc>
      </w:tr>
      <w:tr w:rsidR="00CB2077" w:rsidRPr="007047B5" w14:paraId="72F23CE5" w14:textId="77777777" w:rsidTr="00CB2077">
        <w:trPr>
          <w:jc w:val="center"/>
        </w:trPr>
        <w:tc>
          <w:tcPr>
            <w:tcW w:w="4876" w:type="dxa"/>
          </w:tcPr>
          <w:p w14:paraId="2486A88E" w14:textId="77777777" w:rsidR="00CB2077" w:rsidRPr="007047B5" w:rsidRDefault="00CB2077">
            <w:pPr>
              <w:pStyle w:val="Normal6"/>
              <w:rPr>
                <w:lang w:val="en-IE"/>
              </w:rPr>
            </w:pPr>
          </w:p>
        </w:tc>
        <w:tc>
          <w:tcPr>
            <w:tcW w:w="4876" w:type="dxa"/>
            <w:hideMark/>
          </w:tcPr>
          <w:p w14:paraId="5CFD0D40" w14:textId="5481B805" w:rsidR="00CB2077" w:rsidRPr="007047B5" w:rsidRDefault="00CB2077">
            <w:pPr>
              <w:pStyle w:val="Normal6"/>
              <w:rPr>
                <w:szCs w:val="24"/>
                <w:lang w:val="en-IE"/>
              </w:rPr>
            </w:pPr>
            <w:r w:rsidRPr="007047B5">
              <w:rPr>
                <w:b/>
                <w:i/>
                <w:lang w:val="en-IE"/>
              </w:rPr>
              <w:t>(27a)</w:t>
            </w:r>
            <w:r w:rsidRPr="007047B5">
              <w:rPr>
                <w:b/>
                <w:i/>
                <w:lang w:val="en-IE"/>
              </w:rPr>
              <w:tab/>
              <w:t xml:space="preserve">Given that AML/CFT requirements are applicable to a wide range of obliged entities in both nature and size, AMLA should have the task of developing draft regulatory technical standards concerning minimum requirements and standards by obliged </w:t>
            </w:r>
            <w:r w:rsidRPr="007047B5">
              <w:rPr>
                <w:b/>
                <w:i/>
                <w:lang w:val="en-IE"/>
              </w:rPr>
              <w:lastRenderedPageBreak/>
              <w:t>entities which are sole traders, single operators or microenterprises.</w:t>
            </w:r>
          </w:p>
        </w:tc>
      </w:tr>
    </w:tbl>
    <w:p w14:paraId="52170591"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83D6690" w14:textId="77777777" w:rsidR="00CB2077" w:rsidRPr="007047B5" w:rsidRDefault="00CB2077" w:rsidP="00CB2077">
      <w:pPr>
        <w:rPr>
          <w:lang w:val="en-IE"/>
        </w:rPr>
      </w:pPr>
      <w:r w:rsidRPr="007047B5">
        <w:rPr>
          <w:rStyle w:val="HideTWBExt"/>
          <w:noProof w:val="0"/>
          <w:lang w:val="en-IE"/>
        </w:rPr>
        <w:t>&lt;/Amend&gt;</w:t>
      </w:r>
    </w:p>
    <w:p w14:paraId="469488D0"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w:t>
      </w:r>
      <w:r w:rsidRPr="007047B5">
        <w:rPr>
          <w:rStyle w:val="HideTWBExt"/>
          <w:b w:val="0"/>
          <w:noProof w:val="0"/>
          <w:lang w:val="en-IE"/>
        </w:rPr>
        <w:t>&lt;/NumAm&gt;</w:t>
      </w:r>
    </w:p>
    <w:p w14:paraId="4B517FFC"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0A7BA05"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47</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E0F88E6" w14:textId="77777777" w:rsidTr="00CB2077">
        <w:trPr>
          <w:jc w:val="center"/>
        </w:trPr>
        <w:tc>
          <w:tcPr>
            <w:tcW w:w="9752" w:type="dxa"/>
            <w:gridSpan w:val="2"/>
          </w:tcPr>
          <w:p w14:paraId="0D9812A2" w14:textId="77777777" w:rsidR="00CB2077" w:rsidRPr="007047B5" w:rsidRDefault="00CB2077">
            <w:pPr>
              <w:keepNext/>
              <w:rPr>
                <w:lang w:val="en-IE"/>
              </w:rPr>
            </w:pPr>
          </w:p>
        </w:tc>
      </w:tr>
      <w:tr w:rsidR="00CB2077" w:rsidRPr="007047B5" w14:paraId="56478D9C" w14:textId="77777777" w:rsidTr="00CB2077">
        <w:trPr>
          <w:jc w:val="center"/>
        </w:trPr>
        <w:tc>
          <w:tcPr>
            <w:tcW w:w="4876" w:type="dxa"/>
            <w:hideMark/>
          </w:tcPr>
          <w:p w14:paraId="5503B44C"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A28B229" w14:textId="77777777" w:rsidR="00CB2077" w:rsidRPr="007047B5" w:rsidRDefault="00CB2077">
            <w:pPr>
              <w:pStyle w:val="ColumnHeading"/>
              <w:keepNext/>
              <w:rPr>
                <w:lang w:val="en-IE"/>
              </w:rPr>
            </w:pPr>
            <w:r w:rsidRPr="007047B5">
              <w:rPr>
                <w:lang w:val="en-IE"/>
              </w:rPr>
              <w:t>Amendment</w:t>
            </w:r>
          </w:p>
        </w:tc>
      </w:tr>
      <w:tr w:rsidR="00CB2077" w:rsidRPr="007047B5" w14:paraId="3A70FDDF" w14:textId="77777777" w:rsidTr="00CB2077">
        <w:trPr>
          <w:jc w:val="center"/>
        </w:trPr>
        <w:tc>
          <w:tcPr>
            <w:tcW w:w="4876" w:type="dxa"/>
            <w:hideMark/>
          </w:tcPr>
          <w:p w14:paraId="121074CA" w14:textId="77777777" w:rsidR="00CB2077" w:rsidRPr="007047B5" w:rsidRDefault="00CB2077">
            <w:pPr>
              <w:pStyle w:val="Normal6"/>
              <w:rPr>
                <w:lang w:val="en-IE"/>
              </w:rPr>
            </w:pPr>
            <w:r w:rsidRPr="007047B5">
              <w:rPr>
                <w:lang w:val="en-IE"/>
              </w:rPr>
              <w:t>(47)</w:t>
            </w:r>
            <w:r w:rsidRPr="007047B5">
              <w:rPr>
                <w:lang w:val="en-IE"/>
              </w:rPr>
              <w:tab/>
              <w:t xml:space="preserve">Cross-border correspondent relationships with a third-country’s respondent institution are characterised by their on-going, repetitive nature. Moreover, not all cross-border correspondent banking services present the same level of money laundering and terrorist financing risks. Therefore, the intensity of the enhanced due diligence measures should be determined by application of the principles of the risk based approach. However, the risk based approach should not be applied when interacting with third-country’s respondent institutions that have no physical presence where they are incorporated. Given the high risk of money laundering and terrorist financing inherent in shell banks, credit institutions </w:t>
            </w:r>
            <w:r w:rsidRPr="007047B5">
              <w:rPr>
                <w:b/>
                <w:i/>
                <w:lang w:val="en-IE"/>
              </w:rPr>
              <w:t>and</w:t>
            </w:r>
            <w:r w:rsidRPr="007047B5">
              <w:rPr>
                <w:lang w:val="en-IE"/>
              </w:rPr>
              <w:t xml:space="preserve"> financial institutions should refrain from entertaining any correspondent relationship with such shell banks.</w:t>
            </w:r>
          </w:p>
        </w:tc>
        <w:tc>
          <w:tcPr>
            <w:tcW w:w="4876" w:type="dxa"/>
            <w:hideMark/>
          </w:tcPr>
          <w:p w14:paraId="1C5D1811" w14:textId="60229ADB" w:rsidR="00CB2077" w:rsidRPr="007047B5" w:rsidRDefault="00CB2077" w:rsidP="00BE0E57">
            <w:pPr>
              <w:pStyle w:val="Normal6"/>
              <w:rPr>
                <w:szCs w:val="24"/>
                <w:lang w:val="en-IE"/>
              </w:rPr>
            </w:pPr>
            <w:r w:rsidRPr="007047B5">
              <w:rPr>
                <w:lang w:val="en-IE"/>
              </w:rPr>
              <w:t>(47)</w:t>
            </w:r>
            <w:r w:rsidRPr="007047B5">
              <w:rPr>
                <w:lang w:val="en-IE"/>
              </w:rPr>
              <w:tab/>
              <w:t xml:space="preserve">Cross-border correspondent relationships with a third-country’s respondent institution are characterised by their on-going, repetitive nature. Moreover, not all cross-border correspondent banking services present the same level of money laundering and terrorist financing risks. Therefore, the intensity of the enhanced due diligence measures should be determined by application of the principles of the risk based approach. However, the risk based approach should not be applied when interacting with third-country’s respondent institutions that have no physical presence where they are incorporated </w:t>
            </w:r>
            <w:r w:rsidRPr="007047B5">
              <w:rPr>
                <w:b/>
                <w:i/>
                <w:lang w:val="en-IE"/>
              </w:rPr>
              <w:t>or with non-compliant crypto-asset service providers</w:t>
            </w:r>
            <w:r w:rsidRPr="007047B5">
              <w:rPr>
                <w:lang w:val="en-IE"/>
              </w:rPr>
              <w:t xml:space="preserve">. Given the high risk of money laundering and terrorist financing inherent in shell banks </w:t>
            </w:r>
            <w:r w:rsidRPr="007047B5">
              <w:rPr>
                <w:b/>
                <w:i/>
                <w:lang w:val="en-IE"/>
              </w:rPr>
              <w:t>and non-compliant crypto-asset service providers</w:t>
            </w:r>
            <w:r w:rsidRPr="007047B5">
              <w:rPr>
                <w:lang w:val="en-IE"/>
              </w:rPr>
              <w:t>, credit institutions</w:t>
            </w:r>
            <w:r w:rsidR="00F03062" w:rsidRPr="007047B5">
              <w:rPr>
                <w:lang w:val="en-IE"/>
              </w:rPr>
              <w:t>,</w:t>
            </w:r>
            <w:r w:rsidRPr="007047B5">
              <w:rPr>
                <w:lang w:val="en-IE"/>
              </w:rPr>
              <w:t xml:space="preserve"> financial institutions </w:t>
            </w:r>
            <w:r w:rsidR="00F03062" w:rsidRPr="007047B5">
              <w:rPr>
                <w:b/>
                <w:i/>
                <w:lang w:val="en-IE"/>
              </w:rPr>
              <w:t xml:space="preserve">and </w:t>
            </w:r>
            <w:r w:rsidRPr="007047B5">
              <w:rPr>
                <w:b/>
                <w:i/>
                <w:lang w:val="en-IE"/>
              </w:rPr>
              <w:t>other obliged entities, such as crypto-asset service providers,</w:t>
            </w:r>
            <w:r w:rsidRPr="007047B5">
              <w:rPr>
                <w:lang w:val="en-IE"/>
              </w:rPr>
              <w:t xml:space="preserve"> should refrain from entertaining any correspondent relationship with such shell banks </w:t>
            </w:r>
            <w:r w:rsidRPr="007047B5">
              <w:rPr>
                <w:b/>
                <w:i/>
                <w:lang w:val="en-IE"/>
              </w:rPr>
              <w:t>and with non-compliant crypto-asset service providers</w:t>
            </w:r>
            <w:r w:rsidRPr="007047B5">
              <w:rPr>
                <w:lang w:val="en-IE"/>
              </w:rPr>
              <w:t xml:space="preserve">. </w:t>
            </w:r>
            <w:r w:rsidRPr="007047B5">
              <w:rPr>
                <w:b/>
                <w:i/>
                <w:lang w:val="en-IE"/>
              </w:rPr>
              <w:t xml:space="preserve">In order to facilitate compliance by obliged entities, AMLA should establish and maintain a non-exhaustive public register of entities identified as shell banks or non-compliant crypto-asset service providers on the basis of information submitted by competent authorities, supervisors and other obliged </w:t>
            </w:r>
            <w:r w:rsidRPr="007047B5">
              <w:rPr>
                <w:b/>
                <w:i/>
                <w:lang w:val="en-IE"/>
              </w:rPr>
              <w:lastRenderedPageBreak/>
              <w:t xml:space="preserve">entities. The inclusion of a specific entity in the public register is merely indicative and should not replace the obligation on obliged entities to take adequate and effective measures to comply with the prohibition </w:t>
            </w:r>
            <w:r w:rsidR="00F03062" w:rsidRPr="007047B5">
              <w:rPr>
                <w:b/>
                <w:i/>
                <w:lang w:val="en-IE"/>
              </w:rPr>
              <w:t xml:space="preserve">on </w:t>
            </w:r>
            <w:r w:rsidR="00BE0E57" w:rsidRPr="007047B5">
              <w:rPr>
                <w:b/>
                <w:i/>
                <w:lang w:val="en-IE"/>
              </w:rPr>
              <w:t>entering into</w:t>
            </w:r>
            <w:r w:rsidR="00F03062" w:rsidRPr="007047B5">
              <w:rPr>
                <w:b/>
                <w:i/>
                <w:lang w:val="en-IE"/>
              </w:rPr>
              <w:t xml:space="preserve"> </w:t>
            </w:r>
            <w:r w:rsidRPr="007047B5">
              <w:rPr>
                <w:b/>
                <w:i/>
                <w:lang w:val="en-IE"/>
              </w:rPr>
              <w:t>a correspondent relationship with those entities</w:t>
            </w:r>
            <w:r w:rsidR="00F03062" w:rsidRPr="007047B5">
              <w:rPr>
                <w:b/>
                <w:i/>
                <w:lang w:val="en-IE"/>
              </w:rPr>
              <w:t>.</w:t>
            </w:r>
          </w:p>
        </w:tc>
      </w:tr>
    </w:tbl>
    <w:p w14:paraId="1BC8289C"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8CA9EEB" w14:textId="77777777" w:rsidR="00CB2077" w:rsidRPr="007047B5" w:rsidRDefault="00CB2077" w:rsidP="00CB2077">
      <w:pPr>
        <w:rPr>
          <w:lang w:val="en-IE"/>
        </w:rPr>
      </w:pPr>
      <w:r w:rsidRPr="007047B5">
        <w:rPr>
          <w:rStyle w:val="HideTWBExt"/>
          <w:noProof w:val="0"/>
          <w:lang w:val="en-IE"/>
        </w:rPr>
        <w:t>&lt;/Amend&gt;</w:t>
      </w:r>
    </w:p>
    <w:p w14:paraId="403F8AB1"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w:t>
      </w:r>
      <w:r w:rsidRPr="007047B5">
        <w:rPr>
          <w:rStyle w:val="HideTWBExt"/>
          <w:b w:val="0"/>
          <w:noProof w:val="0"/>
          <w:lang w:val="en-IE"/>
        </w:rPr>
        <w:t>&lt;/NumAm&gt;</w:t>
      </w:r>
    </w:p>
    <w:p w14:paraId="60B882AA"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1798FD9"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53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6A3617B8" w14:textId="77777777" w:rsidTr="00CB2077">
        <w:trPr>
          <w:jc w:val="center"/>
        </w:trPr>
        <w:tc>
          <w:tcPr>
            <w:tcW w:w="9752" w:type="dxa"/>
            <w:gridSpan w:val="2"/>
          </w:tcPr>
          <w:p w14:paraId="4F903460" w14:textId="77777777" w:rsidR="00CB2077" w:rsidRPr="007047B5" w:rsidRDefault="00CB2077">
            <w:pPr>
              <w:keepNext/>
              <w:rPr>
                <w:lang w:val="en-IE"/>
              </w:rPr>
            </w:pPr>
          </w:p>
        </w:tc>
      </w:tr>
      <w:tr w:rsidR="00CB2077" w:rsidRPr="007047B5" w14:paraId="31DA3ED8" w14:textId="77777777" w:rsidTr="00CB2077">
        <w:trPr>
          <w:jc w:val="center"/>
        </w:trPr>
        <w:tc>
          <w:tcPr>
            <w:tcW w:w="4876" w:type="dxa"/>
            <w:hideMark/>
          </w:tcPr>
          <w:p w14:paraId="3838EDAC"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B02B4AD" w14:textId="77777777" w:rsidR="00CB2077" w:rsidRPr="007047B5" w:rsidRDefault="00CB2077">
            <w:pPr>
              <w:pStyle w:val="ColumnHeading"/>
              <w:keepNext/>
              <w:rPr>
                <w:lang w:val="en-IE"/>
              </w:rPr>
            </w:pPr>
            <w:r w:rsidRPr="007047B5">
              <w:rPr>
                <w:lang w:val="en-IE"/>
              </w:rPr>
              <w:t>Amendment</w:t>
            </w:r>
          </w:p>
        </w:tc>
      </w:tr>
      <w:tr w:rsidR="00CB2077" w:rsidRPr="007047B5" w14:paraId="2709D795" w14:textId="77777777" w:rsidTr="00CB2077">
        <w:trPr>
          <w:jc w:val="center"/>
        </w:trPr>
        <w:tc>
          <w:tcPr>
            <w:tcW w:w="4876" w:type="dxa"/>
          </w:tcPr>
          <w:p w14:paraId="1CA9B0D3" w14:textId="77777777" w:rsidR="00CB2077" w:rsidRPr="007047B5" w:rsidRDefault="00CB2077">
            <w:pPr>
              <w:pStyle w:val="Normal6"/>
              <w:rPr>
                <w:lang w:val="en-IE"/>
              </w:rPr>
            </w:pPr>
          </w:p>
        </w:tc>
        <w:tc>
          <w:tcPr>
            <w:tcW w:w="4876" w:type="dxa"/>
            <w:hideMark/>
          </w:tcPr>
          <w:p w14:paraId="34F145A7" w14:textId="26684FA3" w:rsidR="00CB2077" w:rsidRPr="007047B5" w:rsidRDefault="00CB2077">
            <w:pPr>
              <w:pStyle w:val="Normal6"/>
              <w:rPr>
                <w:szCs w:val="24"/>
                <w:lang w:val="en-IE"/>
              </w:rPr>
            </w:pPr>
            <w:r w:rsidRPr="007047B5">
              <w:rPr>
                <w:b/>
                <w:i/>
                <w:lang w:val="en-IE"/>
              </w:rPr>
              <w:t>(53a)</w:t>
            </w:r>
            <w:r w:rsidRPr="007047B5">
              <w:rPr>
                <w:b/>
                <w:i/>
                <w:lang w:val="en-IE"/>
              </w:rPr>
              <w:tab/>
              <w:t xml:space="preserve">Certain credit </w:t>
            </w:r>
            <w:r w:rsidR="00D524E8" w:rsidRPr="007047B5">
              <w:rPr>
                <w:b/>
                <w:i/>
                <w:lang w:val="en-IE"/>
              </w:rPr>
              <w:t xml:space="preserve">institutions </w:t>
            </w:r>
            <w:r w:rsidRPr="007047B5">
              <w:rPr>
                <w:b/>
                <w:i/>
                <w:lang w:val="en-IE"/>
              </w:rPr>
              <w:t xml:space="preserve">or </w:t>
            </w:r>
            <w:r w:rsidRPr="007047B5">
              <w:rPr>
                <w:b/>
                <w:i/>
                <w:lang w:val="en-GB"/>
              </w:rPr>
              <w:t>financial institutions or crypto</w:t>
            </w:r>
            <w:r w:rsidR="00023B8F" w:rsidRPr="007047B5">
              <w:rPr>
                <w:b/>
                <w:i/>
                <w:lang w:val="en-GB"/>
              </w:rPr>
              <w:t>-</w:t>
            </w:r>
            <w:r w:rsidRPr="007047B5">
              <w:rPr>
                <w:b/>
                <w:i/>
                <w:lang w:val="en-GB"/>
              </w:rPr>
              <w:t>asset service providers not established in the U</w:t>
            </w:r>
            <w:r w:rsidR="00023B8F" w:rsidRPr="007047B5">
              <w:rPr>
                <w:b/>
                <w:i/>
                <w:lang w:val="en-GB"/>
              </w:rPr>
              <w:t>nion</w:t>
            </w:r>
            <w:r w:rsidRPr="007047B5">
              <w:rPr>
                <w:b/>
                <w:i/>
                <w:lang w:val="en-GB"/>
              </w:rPr>
              <w:t xml:space="preserve"> </w:t>
            </w:r>
            <w:r w:rsidR="00023B8F" w:rsidRPr="007047B5">
              <w:rPr>
                <w:b/>
                <w:i/>
                <w:lang w:val="en-GB"/>
              </w:rPr>
              <w:t xml:space="preserve">could </w:t>
            </w:r>
            <w:r w:rsidRPr="007047B5">
              <w:rPr>
                <w:b/>
                <w:i/>
                <w:lang w:val="en-IE"/>
              </w:rPr>
              <w:t>also pose a specific and serious threat to the financial system of the Union. To mitigate th</w:t>
            </w:r>
            <w:r w:rsidR="007B07DE" w:rsidRPr="007047B5">
              <w:rPr>
                <w:b/>
                <w:i/>
                <w:lang w:val="en-IE"/>
              </w:rPr>
              <w:t>at</w:t>
            </w:r>
            <w:r w:rsidRPr="007047B5">
              <w:rPr>
                <w:b/>
                <w:i/>
                <w:lang w:val="en-IE"/>
              </w:rPr>
              <w:t xml:space="preserve"> threat, the Commission</w:t>
            </w:r>
            <w:r w:rsidR="00E22E21" w:rsidRPr="007047B5">
              <w:rPr>
                <w:b/>
                <w:i/>
                <w:lang w:val="en-IE"/>
              </w:rPr>
              <w:t xml:space="preserve"> should be able</w:t>
            </w:r>
            <w:r w:rsidR="007B07DE" w:rsidRPr="007047B5">
              <w:rPr>
                <w:b/>
                <w:i/>
                <w:lang w:val="en-IE"/>
              </w:rPr>
              <w:t xml:space="preserve">, on its own initiative or at the request of </w:t>
            </w:r>
            <w:r w:rsidR="00BE0E57" w:rsidRPr="007047B5">
              <w:rPr>
                <w:b/>
                <w:i/>
                <w:lang w:val="en-IE"/>
              </w:rPr>
              <w:t xml:space="preserve">the </w:t>
            </w:r>
            <w:r w:rsidR="007B07DE" w:rsidRPr="007047B5">
              <w:rPr>
                <w:b/>
                <w:i/>
                <w:lang w:val="en-IE"/>
              </w:rPr>
              <w:t>specific bodies</w:t>
            </w:r>
            <w:r w:rsidR="00BE0E57" w:rsidRPr="007047B5">
              <w:rPr>
                <w:b/>
                <w:i/>
                <w:lang w:val="en-IE"/>
              </w:rPr>
              <w:t xml:space="preserve"> set out in this Regulation</w:t>
            </w:r>
            <w:r w:rsidR="007B07DE" w:rsidRPr="007047B5">
              <w:rPr>
                <w:b/>
                <w:i/>
                <w:lang w:val="en-IE"/>
              </w:rPr>
              <w:t>,</w:t>
            </w:r>
            <w:r w:rsidRPr="007047B5">
              <w:rPr>
                <w:b/>
                <w:i/>
                <w:lang w:val="en-IE"/>
              </w:rPr>
              <w:t xml:space="preserve"> to take action by identifying </w:t>
            </w:r>
            <w:r w:rsidR="00E22E21" w:rsidRPr="007047B5">
              <w:rPr>
                <w:b/>
                <w:i/>
                <w:lang w:val="en-IE"/>
              </w:rPr>
              <w:t xml:space="preserve">credit </w:t>
            </w:r>
            <w:r w:rsidR="00D524E8" w:rsidRPr="007047B5">
              <w:rPr>
                <w:b/>
                <w:i/>
                <w:lang w:val="en-IE"/>
              </w:rPr>
              <w:t xml:space="preserve">institutions </w:t>
            </w:r>
            <w:r w:rsidR="00E22E21" w:rsidRPr="007047B5">
              <w:rPr>
                <w:b/>
                <w:i/>
                <w:lang w:val="en-IE"/>
              </w:rPr>
              <w:t>or financial institutions or crypto</w:t>
            </w:r>
            <w:r w:rsidR="00023B8F" w:rsidRPr="007047B5">
              <w:rPr>
                <w:b/>
                <w:i/>
                <w:lang w:val="en-IE"/>
              </w:rPr>
              <w:t>-</w:t>
            </w:r>
            <w:r w:rsidR="00E22E21" w:rsidRPr="007047B5">
              <w:rPr>
                <w:b/>
                <w:i/>
                <w:lang w:val="en-IE"/>
              </w:rPr>
              <w:t>asset service providers</w:t>
            </w:r>
            <w:r w:rsidR="008D168E" w:rsidRPr="007047B5">
              <w:rPr>
                <w:b/>
                <w:i/>
                <w:lang w:val="en-IE"/>
              </w:rPr>
              <w:t xml:space="preserve"> not established in the Union</w:t>
            </w:r>
            <w:r w:rsidR="00E22E21" w:rsidRPr="007047B5">
              <w:rPr>
                <w:b/>
                <w:i/>
                <w:lang w:val="en-IE"/>
              </w:rPr>
              <w:t xml:space="preserve"> </w:t>
            </w:r>
            <w:r w:rsidRPr="007047B5">
              <w:rPr>
                <w:b/>
                <w:i/>
                <w:lang w:val="en-IE"/>
              </w:rPr>
              <w:t>which pose</w:t>
            </w:r>
            <w:r w:rsidR="008D168E" w:rsidRPr="007047B5">
              <w:rPr>
                <w:b/>
                <w:i/>
                <w:lang w:val="en-IE"/>
              </w:rPr>
              <w:t>s</w:t>
            </w:r>
            <w:r w:rsidRPr="007047B5">
              <w:rPr>
                <w:b/>
                <w:i/>
                <w:lang w:val="en-IE"/>
              </w:rPr>
              <w:t xml:space="preserve"> a specific and serious threat to the Union’s financial system. </w:t>
            </w:r>
            <w:r w:rsidR="00E22E21" w:rsidRPr="007047B5">
              <w:rPr>
                <w:b/>
                <w:i/>
                <w:lang w:val="en-IE"/>
              </w:rPr>
              <w:t>Depending on</w:t>
            </w:r>
            <w:r w:rsidRPr="007047B5">
              <w:rPr>
                <w:b/>
                <w:i/>
                <w:lang w:val="en-IE"/>
              </w:rPr>
              <w:t xml:space="preserve"> the level of risk posed to the Union’s financial system, the Commission should require</w:t>
            </w:r>
            <w:r w:rsidR="00926F3D" w:rsidRPr="007047B5">
              <w:rPr>
                <w:b/>
                <w:i/>
                <w:lang w:val="en-IE"/>
              </w:rPr>
              <w:t xml:space="preserve"> obliged entities</w:t>
            </w:r>
            <w:r w:rsidRPr="007047B5">
              <w:rPr>
                <w:b/>
                <w:i/>
                <w:lang w:val="en-IE"/>
              </w:rPr>
              <w:t xml:space="preserve"> </w:t>
            </w:r>
            <w:r w:rsidR="00E22E21" w:rsidRPr="007047B5">
              <w:rPr>
                <w:b/>
                <w:i/>
                <w:lang w:val="en-IE"/>
              </w:rPr>
              <w:t xml:space="preserve">to </w:t>
            </w:r>
            <w:r w:rsidRPr="007047B5">
              <w:rPr>
                <w:b/>
                <w:i/>
                <w:lang w:val="en-IE"/>
              </w:rPr>
              <w:t>appl</w:t>
            </w:r>
            <w:r w:rsidR="00E22E21" w:rsidRPr="007047B5">
              <w:rPr>
                <w:b/>
                <w:i/>
                <w:lang w:val="en-IE"/>
              </w:rPr>
              <w:t>y</w:t>
            </w:r>
            <w:r w:rsidRPr="007047B5">
              <w:rPr>
                <w:b/>
                <w:i/>
                <w:lang w:val="en-IE"/>
              </w:rPr>
              <w:t xml:space="preserve"> concrete enhanced due diligence measures and specific countermeasures.</w:t>
            </w:r>
          </w:p>
        </w:tc>
      </w:tr>
    </w:tbl>
    <w:p w14:paraId="3FA046A5"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2C307C7" w14:textId="77777777" w:rsidR="00CB2077" w:rsidRPr="007047B5" w:rsidRDefault="00CB2077" w:rsidP="00CB2077">
      <w:pPr>
        <w:rPr>
          <w:lang w:val="en-IE"/>
        </w:rPr>
      </w:pPr>
      <w:r w:rsidRPr="007047B5">
        <w:rPr>
          <w:rStyle w:val="HideTWBExt"/>
          <w:noProof w:val="0"/>
          <w:lang w:val="en-IE"/>
        </w:rPr>
        <w:t>&lt;/Amend&gt;</w:t>
      </w:r>
    </w:p>
    <w:p w14:paraId="0F0E1CFC"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12</w:t>
      </w:r>
      <w:r w:rsidRPr="007047B5">
        <w:rPr>
          <w:rStyle w:val="HideTWBExt"/>
          <w:b w:val="0"/>
          <w:noProof w:val="0"/>
          <w:lang w:val="en-IE"/>
        </w:rPr>
        <w:t>&lt;/NumAm&gt;</w:t>
      </w:r>
    </w:p>
    <w:p w14:paraId="2B7AB229"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D11ABBC"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60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D89601B" w14:textId="77777777" w:rsidTr="00CB2077">
        <w:trPr>
          <w:jc w:val="center"/>
        </w:trPr>
        <w:tc>
          <w:tcPr>
            <w:tcW w:w="9752" w:type="dxa"/>
            <w:gridSpan w:val="2"/>
          </w:tcPr>
          <w:p w14:paraId="49F600CC" w14:textId="77777777" w:rsidR="00CB2077" w:rsidRPr="007047B5" w:rsidRDefault="00CB2077">
            <w:pPr>
              <w:keepNext/>
              <w:rPr>
                <w:lang w:val="en-IE"/>
              </w:rPr>
            </w:pPr>
          </w:p>
        </w:tc>
      </w:tr>
      <w:tr w:rsidR="00CB2077" w:rsidRPr="007047B5" w14:paraId="7A61AF4E" w14:textId="77777777" w:rsidTr="00CB2077">
        <w:trPr>
          <w:jc w:val="center"/>
        </w:trPr>
        <w:tc>
          <w:tcPr>
            <w:tcW w:w="4876" w:type="dxa"/>
            <w:hideMark/>
          </w:tcPr>
          <w:p w14:paraId="1A38EF63"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5445AF2" w14:textId="77777777" w:rsidR="00CB2077" w:rsidRPr="007047B5" w:rsidRDefault="00CB2077">
            <w:pPr>
              <w:pStyle w:val="ColumnHeading"/>
              <w:keepNext/>
              <w:rPr>
                <w:lang w:val="en-IE"/>
              </w:rPr>
            </w:pPr>
            <w:r w:rsidRPr="007047B5">
              <w:rPr>
                <w:lang w:val="en-IE"/>
              </w:rPr>
              <w:t>Amendment</w:t>
            </w:r>
          </w:p>
        </w:tc>
      </w:tr>
      <w:tr w:rsidR="00CB2077" w:rsidRPr="007047B5" w14:paraId="58674A71" w14:textId="77777777" w:rsidTr="00CB2077">
        <w:trPr>
          <w:jc w:val="center"/>
        </w:trPr>
        <w:tc>
          <w:tcPr>
            <w:tcW w:w="4876" w:type="dxa"/>
          </w:tcPr>
          <w:p w14:paraId="108F48C9" w14:textId="77777777" w:rsidR="00CB2077" w:rsidRPr="007047B5" w:rsidRDefault="00CB2077">
            <w:pPr>
              <w:pStyle w:val="Normal6"/>
              <w:rPr>
                <w:lang w:val="en-IE"/>
              </w:rPr>
            </w:pPr>
          </w:p>
        </w:tc>
        <w:tc>
          <w:tcPr>
            <w:tcW w:w="4876" w:type="dxa"/>
            <w:hideMark/>
          </w:tcPr>
          <w:p w14:paraId="63E80DD3" w14:textId="781FF6EE" w:rsidR="00CB2077" w:rsidRPr="007047B5" w:rsidRDefault="00CB2077" w:rsidP="00BE0E57">
            <w:pPr>
              <w:pStyle w:val="Normal6"/>
              <w:rPr>
                <w:szCs w:val="24"/>
                <w:lang w:val="en-IE"/>
              </w:rPr>
            </w:pPr>
            <w:r w:rsidRPr="007047B5">
              <w:rPr>
                <w:b/>
                <w:i/>
                <w:lang w:val="en-IE"/>
              </w:rPr>
              <w:t>(60a)</w:t>
            </w:r>
            <w:r w:rsidRPr="007047B5">
              <w:rPr>
                <w:b/>
                <w:i/>
                <w:lang w:val="en-IE"/>
              </w:rPr>
              <w:tab/>
              <w:t>Business relationships and transactions involving high</w:t>
            </w:r>
            <w:r w:rsidR="005127A2" w:rsidRPr="007047B5">
              <w:rPr>
                <w:b/>
                <w:i/>
                <w:lang w:val="en-IE"/>
              </w:rPr>
              <w:t>-</w:t>
            </w:r>
            <w:r w:rsidRPr="007047B5">
              <w:rPr>
                <w:b/>
                <w:i/>
                <w:lang w:val="en-IE"/>
              </w:rPr>
              <w:t>net</w:t>
            </w:r>
            <w:r w:rsidR="005127A2" w:rsidRPr="007047B5">
              <w:rPr>
                <w:b/>
                <w:i/>
                <w:lang w:val="en-IE"/>
              </w:rPr>
              <w:t>-</w:t>
            </w:r>
            <w:r w:rsidRPr="007047B5">
              <w:rPr>
                <w:b/>
                <w:i/>
                <w:lang w:val="en-IE"/>
              </w:rPr>
              <w:t xml:space="preserve">worth individuals who present one or several factors of higher risk </w:t>
            </w:r>
            <w:r w:rsidR="00E22E21" w:rsidRPr="007047B5">
              <w:rPr>
                <w:b/>
                <w:i/>
                <w:lang w:val="en-IE"/>
              </w:rPr>
              <w:t xml:space="preserve">could </w:t>
            </w:r>
            <w:r w:rsidRPr="007047B5">
              <w:rPr>
                <w:b/>
                <w:i/>
                <w:lang w:val="en-IE"/>
              </w:rPr>
              <w:t xml:space="preserve">seriously compromise the integrity of the Union’s financial system and cause serious vulnerabilities </w:t>
            </w:r>
            <w:r w:rsidR="00E22E21" w:rsidRPr="007047B5">
              <w:rPr>
                <w:b/>
                <w:i/>
                <w:lang w:val="en-IE"/>
              </w:rPr>
              <w:t xml:space="preserve">in </w:t>
            </w:r>
            <w:r w:rsidRPr="007047B5">
              <w:rPr>
                <w:b/>
                <w:i/>
                <w:lang w:val="en-IE"/>
              </w:rPr>
              <w:t xml:space="preserve">the internal market. </w:t>
            </w:r>
            <w:r w:rsidR="00926F3D" w:rsidRPr="007047B5">
              <w:rPr>
                <w:b/>
                <w:i/>
                <w:lang w:val="en-IE"/>
              </w:rPr>
              <w:t xml:space="preserve">Obliged entities should therefore apply </w:t>
            </w:r>
            <w:r w:rsidRPr="007047B5">
              <w:rPr>
                <w:b/>
                <w:i/>
                <w:lang w:val="en-IE"/>
              </w:rPr>
              <w:t xml:space="preserve">enhanced customer due diligence measures </w:t>
            </w:r>
            <w:r w:rsidR="00BE0E57" w:rsidRPr="007047B5">
              <w:rPr>
                <w:b/>
                <w:i/>
                <w:lang w:val="en-IE"/>
              </w:rPr>
              <w:t xml:space="preserve">as </w:t>
            </w:r>
            <w:r w:rsidR="00926F3D" w:rsidRPr="007047B5">
              <w:rPr>
                <w:b/>
                <w:i/>
                <w:lang w:val="en-IE"/>
              </w:rPr>
              <w:t xml:space="preserve">laid down in this Regulation </w:t>
            </w:r>
            <w:r w:rsidRPr="007047B5">
              <w:rPr>
                <w:b/>
                <w:i/>
                <w:lang w:val="en-IE"/>
              </w:rPr>
              <w:t>with respect to th</w:t>
            </w:r>
            <w:r w:rsidR="00E22E21" w:rsidRPr="007047B5">
              <w:rPr>
                <w:b/>
                <w:i/>
                <w:lang w:val="en-IE"/>
              </w:rPr>
              <w:t>o</w:t>
            </w:r>
            <w:r w:rsidRPr="007047B5">
              <w:rPr>
                <w:b/>
                <w:i/>
                <w:lang w:val="en-IE"/>
              </w:rPr>
              <w:t xml:space="preserve">se </w:t>
            </w:r>
            <w:r w:rsidR="00E22E21" w:rsidRPr="007047B5">
              <w:rPr>
                <w:b/>
                <w:i/>
                <w:lang w:val="en-IE"/>
              </w:rPr>
              <w:t xml:space="preserve">individuals </w:t>
            </w:r>
            <w:r w:rsidRPr="007047B5">
              <w:rPr>
                <w:b/>
                <w:i/>
                <w:lang w:val="en-IE"/>
              </w:rPr>
              <w:t>.</w:t>
            </w:r>
          </w:p>
        </w:tc>
      </w:tr>
    </w:tbl>
    <w:p w14:paraId="0D9FB562"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2FE2C65" w14:textId="77777777" w:rsidR="00CB2077" w:rsidRPr="007047B5" w:rsidRDefault="00CB2077" w:rsidP="00CB2077">
      <w:pPr>
        <w:rPr>
          <w:lang w:val="en-IE"/>
        </w:rPr>
      </w:pPr>
      <w:r w:rsidRPr="007047B5">
        <w:rPr>
          <w:rStyle w:val="HideTWBExt"/>
          <w:noProof w:val="0"/>
          <w:lang w:val="en-IE"/>
        </w:rPr>
        <w:t>&lt;/Amend&gt;</w:t>
      </w:r>
    </w:p>
    <w:p w14:paraId="2BF9F695"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13</w:t>
      </w:r>
      <w:r w:rsidRPr="007047B5">
        <w:rPr>
          <w:rStyle w:val="HideTWBExt"/>
          <w:b w:val="0"/>
          <w:noProof w:val="0"/>
          <w:lang w:val="en-IE"/>
        </w:rPr>
        <w:t>&lt;/NumAm&gt;</w:t>
      </w:r>
    </w:p>
    <w:p w14:paraId="2F758E7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BE6567F"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65</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3110E24" w14:textId="77777777" w:rsidTr="00CB2077">
        <w:trPr>
          <w:jc w:val="center"/>
        </w:trPr>
        <w:tc>
          <w:tcPr>
            <w:tcW w:w="9752" w:type="dxa"/>
            <w:gridSpan w:val="2"/>
          </w:tcPr>
          <w:p w14:paraId="5E9130FC" w14:textId="77777777" w:rsidR="00CB2077" w:rsidRPr="007047B5" w:rsidRDefault="00CB2077">
            <w:pPr>
              <w:keepNext/>
              <w:rPr>
                <w:lang w:val="en-IE"/>
              </w:rPr>
            </w:pPr>
          </w:p>
        </w:tc>
      </w:tr>
      <w:tr w:rsidR="00CB2077" w:rsidRPr="007047B5" w14:paraId="058C0F91" w14:textId="77777777" w:rsidTr="00CB2077">
        <w:trPr>
          <w:jc w:val="center"/>
        </w:trPr>
        <w:tc>
          <w:tcPr>
            <w:tcW w:w="4876" w:type="dxa"/>
            <w:hideMark/>
          </w:tcPr>
          <w:p w14:paraId="40581F58"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FB74984" w14:textId="77777777" w:rsidR="00CB2077" w:rsidRPr="007047B5" w:rsidRDefault="00CB2077">
            <w:pPr>
              <w:pStyle w:val="ColumnHeading"/>
              <w:keepNext/>
              <w:rPr>
                <w:lang w:val="en-IE"/>
              </w:rPr>
            </w:pPr>
            <w:r w:rsidRPr="007047B5">
              <w:rPr>
                <w:lang w:val="en-IE"/>
              </w:rPr>
              <w:t>Amendment</w:t>
            </w:r>
          </w:p>
        </w:tc>
      </w:tr>
      <w:tr w:rsidR="00CB2077" w:rsidRPr="007047B5" w14:paraId="6F2076B4" w14:textId="77777777" w:rsidTr="00CB2077">
        <w:trPr>
          <w:jc w:val="center"/>
        </w:trPr>
        <w:tc>
          <w:tcPr>
            <w:tcW w:w="4876" w:type="dxa"/>
            <w:hideMark/>
          </w:tcPr>
          <w:p w14:paraId="693DF382" w14:textId="77777777" w:rsidR="00CB2077" w:rsidRPr="007047B5" w:rsidRDefault="00CB2077">
            <w:pPr>
              <w:pStyle w:val="Normal6"/>
              <w:rPr>
                <w:lang w:val="en-IE"/>
              </w:rPr>
            </w:pPr>
            <w:r w:rsidRPr="007047B5">
              <w:rPr>
                <w:lang w:val="en-IE"/>
              </w:rPr>
              <w:t>(65)</w:t>
            </w:r>
            <w:r w:rsidRPr="007047B5">
              <w:rPr>
                <w:lang w:val="en-IE"/>
              </w:rPr>
              <w:tab/>
              <w:t xml:space="preserve">Detailed rules should be laid down to identify the beneficial owners of corporate and other legal entities and to harmonise definitions of beneficial ownership. While a specified percentage shareholding or ownership interest does not automatically determine the beneficial owners, it should be one factor among others to be taken into account. </w:t>
            </w:r>
            <w:r w:rsidRPr="007047B5">
              <w:rPr>
                <w:b/>
                <w:i/>
                <w:lang w:val="en-IE"/>
              </w:rPr>
              <w:t>Member States should be able, however, to decide that a percentage lower than 25% may be an indication of ownership or control.</w:t>
            </w:r>
            <w:r w:rsidRPr="007047B5">
              <w:rPr>
                <w:lang w:val="en-IE"/>
              </w:rPr>
              <w:t xml:space="preserve"> Control through ownership interest of </w:t>
            </w:r>
            <w:r w:rsidRPr="007047B5">
              <w:rPr>
                <w:b/>
                <w:i/>
                <w:lang w:val="en-IE"/>
              </w:rPr>
              <w:t>25%</w:t>
            </w:r>
            <w:r w:rsidRPr="007047B5">
              <w:rPr>
                <w:lang w:val="en-IE"/>
              </w:rPr>
              <w:t xml:space="preserve"> plus one of the shares or voting rights or other ownership interest should be assessed on every level of ownership, meaning that this threshold should apply to every link in the ownership structure and that every link </w:t>
            </w:r>
            <w:r w:rsidRPr="007047B5">
              <w:rPr>
                <w:lang w:val="en-IE"/>
              </w:rPr>
              <w:lastRenderedPageBreak/>
              <w:t>in the ownership structure and the combination of them should be properly examined.</w:t>
            </w:r>
          </w:p>
        </w:tc>
        <w:tc>
          <w:tcPr>
            <w:tcW w:w="4876" w:type="dxa"/>
            <w:hideMark/>
          </w:tcPr>
          <w:p w14:paraId="08B3A729" w14:textId="77777777" w:rsidR="00CB2077" w:rsidRPr="007047B5" w:rsidRDefault="00CB2077">
            <w:pPr>
              <w:pStyle w:val="Normal6"/>
              <w:rPr>
                <w:szCs w:val="24"/>
                <w:lang w:val="en-IE"/>
              </w:rPr>
            </w:pPr>
            <w:r w:rsidRPr="007047B5">
              <w:rPr>
                <w:lang w:val="en-IE"/>
              </w:rPr>
              <w:lastRenderedPageBreak/>
              <w:t>(65)</w:t>
            </w:r>
            <w:r w:rsidRPr="007047B5">
              <w:rPr>
                <w:lang w:val="en-IE"/>
              </w:rPr>
              <w:tab/>
              <w:t xml:space="preserve">Detailed rules should be laid down to identify the beneficial owners of corporate and other legal entities and to harmonise definitions of beneficial ownership. While a specified percentage shareholding or ownership interest does not automatically determine the beneficial owners, it should be one factor among others to be taken into account. Control through ownership interest of </w:t>
            </w:r>
            <w:r w:rsidRPr="007047B5">
              <w:rPr>
                <w:b/>
                <w:i/>
                <w:lang w:val="en-IE"/>
              </w:rPr>
              <w:t>5%</w:t>
            </w:r>
            <w:r w:rsidRPr="007047B5">
              <w:rPr>
                <w:lang w:val="en-IE"/>
              </w:rPr>
              <w:t xml:space="preserve"> plus one of the shares or voting rights or other ownership interest should be assessed on every level of ownership, meaning that this threshold should apply to every link in the ownership structure and that every link in the ownership structure and the combination of them should be properly examined.</w:t>
            </w:r>
          </w:p>
        </w:tc>
      </w:tr>
    </w:tbl>
    <w:p w14:paraId="4B76DB0A"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9BDEE05" w14:textId="77777777" w:rsidR="00CB2077" w:rsidRPr="007047B5" w:rsidRDefault="00CB2077" w:rsidP="00CB2077">
      <w:pPr>
        <w:rPr>
          <w:lang w:val="en-IE"/>
        </w:rPr>
      </w:pPr>
      <w:r w:rsidRPr="007047B5">
        <w:rPr>
          <w:rStyle w:val="HideTWBExt"/>
          <w:noProof w:val="0"/>
          <w:lang w:val="en-IE"/>
        </w:rPr>
        <w:t>&lt;/Amend&gt;</w:t>
      </w:r>
    </w:p>
    <w:p w14:paraId="7660F20E"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14</w:t>
      </w:r>
      <w:r w:rsidRPr="007047B5">
        <w:rPr>
          <w:rStyle w:val="HideTWBExt"/>
          <w:b w:val="0"/>
          <w:noProof w:val="0"/>
          <w:lang w:val="en-IE"/>
        </w:rPr>
        <w:t>&lt;/NumAm&gt;</w:t>
      </w:r>
    </w:p>
    <w:p w14:paraId="003304CB"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04B7D0B"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75</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FF8D862" w14:textId="77777777" w:rsidTr="00CB2077">
        <w:trPr>
          <w:jc w:val="center"/>
        </w:trPr>
        <w:tc>
          <w:tcPr>
            <w:tcW w:w="9752" w:type="dxa"/>
            <w:gridSpan w:val="2"/>
          </w:tcPr>
          <w:p w14:paraId="2B08E9AA" w14:textId="77777777" w:rsidR="00CB2077" w:rsidRPr="007047B5" w:rsidRDefault="00CB2077">
            <w:pPr>
              <w:keepNext/>
              <w:rPr>
                <w:lang w:val="en-IE"/>
              </w:rPr>
            </w:pPr>
          </w:p>
        </w:tc>
      </w:tr>
      <w:tr w:rsidR="00CB2077" w:rsidRPr="007047B5" w14:paraId="302DE766" w14:textId="77777777" w:rsidTr="00CB2077">
        <w:trPr>
          <w:jc w:val="center"/>
        </w:trPr>
        <w:tc>
          <w:tcPr>
            <w:tcW w:w="4876" w:type="dxa"/>
            <w:hideMark/>
          </w:tcPr>
          <w:p w14:paraId="5891CEDD"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CB9D504" w14:textId="77777777" w:rsidR="00CB2077" w:rsidRPr="007047B5" w:rsidRDefault="00CB2077">
            <w:pPr>
              <w:pStyle w:val="ColumnHeading"/>
              <w:keepNext/>
              <w:rPr>
                <w:lang w:val="en-IE"/>
              </w:rPr>
            </w:pPr>
            <w:r w:rsidRPr="007047B5">
              <w:rPr>
                <w:lang w:val="en-IE"/>
              </w:rPr>
              <w:t>Amendment</w:t>
            </w:r>
          </w:p>
        </w:tc>
      </w:tr>
      <w:tr w:rsidR="00CB2077" w:rsidRPr="007047B5" w14:paraId="384EB0B4" w14:textId="77777777" w:rsidTr="00CB2077">
        <w:trPr>
          <w:jc w:val="center"/>
        </w:trPr>
        <w:tc>
          <w:tcPr>
            <w:tcW w:w="4876" w:type="dxa"/>
            <w:hideMark/>
          </w:tcPr>
          <w:p w14:paraId="6C131216" w14:textId="77777777" w:rsidR="00CB2077" w:rsidRPr="007047B5" w:rsidRDefault="00CB2077">
            <w:pPr>
              <w:pStyle w:val="Normal6"/>
              <w:rPr>
                <w:lang w:val="en-IE"/>
              </w:rPr>
            </w:pPr>
            <w:r w:rsidRPr="007047B5">
              <w:rPr>
                <w:lang w:val="en-IE"/>
              </w:rPr>
              <w:t>(75)</w:t>
            </w:r>
            <w:r w:rsidRPr="007047B5">
              <w:rPr>
                <w:lang w:val="en-IE"/>
              </w:rPr>
              <w:tab/>
              <w:t>The risks posed by foreign corporate entities and legal arrangements, which are misused to channel proceeds of funds into the Union’s financial system, need to be mitigated. Since beneficial ownership standards in place in third countries might not be sufficient to allow for the same level of transparency and timely availability of beneficial ownership information as in the Union, there is a need to ensure adequate means to identify the beneficial owners of foreign corporate entities or legal arrangements in specific circumstances. Therefore, legal entities incorporated outside the Union and express trusts or similar legal arrangements administered outside the Union should be required to disclose their beneficial owners whenever they operate in the Union by entering into a business relationship with a Union’s obliged entity or by acquiring real estate in the Union.</w:t>
            </w:r>
          </w:p>
        </w:tc>
        <w:tc>
          <w:tcPr>
            <w:tcW w:w="4876" w:type="dxa"/>
            <w:hideMark/>
          </w:tcPr>
          <w:p w14:paraId="32A9D49F" w14:textId="77777777" w:rsidR="00CB2077" w:rsidRPr="007047B5" w:rsidRDefault="00CB2077">
            <w:pPr>
              <w:pStyle w:val="Normal6"/>
              <w:rPr>
                <w:szCs w:val="24"/>
                <w:lang w:val="en-IE"/>
              </w:rPr>
            </w:pPr>
            <w:r w:rsidRPr="007047B5">
              <w:rPr>
                <w:lang w:val="en-IE"/>
              </w:rPr>
              <w:t>(75)</w:t>
            </w:r>
            <w:r w:rsidRPr="007047B5">
              <w:rPr>
                <w:lang w:val="en-IE"/>
              </w:rPr>
              <w:tab/>
              <w:t xml:space="preserve">The risks posed by foreign corporate entities and legal arrangements, which are misused to channel proceeds of funds into the Union’s financial system, need to be mitigated. Since beneficial ownership standards in place in third countries might not be sufficient to allow for the same level of transparency and timely availability of beneficial ownership information as in the Union, there is a need to ensure adequate means to identify the beneficial owners of foreign corporate entities or legal arrangements in specific circumstances. Therefore, legal entities incorporated outside the Union and express trusts or similar legal arrangements administered outside the Union should be required to disclose their beneficial owners whenever they operate in the Union by </w:t>
            </w:r>
            <w:r w:rsidRPr="007047B5">
              <w:rPr>
                <w:b/>
                <w:i/>
                <w:lang w:val="en-IE"/>
              </w:rPr>
              <w:t>being</w:t>
            </w:r>
            <w:r w:rsidR="00E22E21" w:rsidRPr="007047B5">
              <w:rPr>
                <w:b/>
                <w:i/>
                <w:lang w:val="en-IE"/>
              </w:rPr>
              <w:t xml:space="preserve"> in</w:t>
            </w:r>
            <w:r w:rsidRPr="007047B5">
              <w:rPr>
                <w:b/>
                <w:i/>
                <w:lang w:val="en-IE"/>
              </w:rPr>
              <w:t xml:space="preserve"> or</w:t>
            </w:r>
            <w:r w:rsidRPr="007047B5">
              <w:rPr>
                <w:lang w:val="en-IE"/>
              </w:rPr>
              <w:t xml:space="preserve"> entering into a business relationship with a Union’s obliged entity or by </w:t>
            </w:r>
            <w:r w:rsidRPr="007047B5">
              <w:rPr>
                <w:b/>
                <w:i/>
                <w:lang w:val="en-IE"/>
              </w:rPr>
              <w:t>owning or</w:t>
            </w:r>
            <w:r w:rsidRPr="007047B5">
              <w:rPr>
                <w:lang w:val="en-IE"/>
              </w:rPr>
              <w:t xml:space="preserve"> acquiring real estate in the Union.</w:t>
            </w:r>
          </w:p>
        </w:tc>
      </w:tr>
    </w:tbl>
    <w:p w14:paraId="3DDDB42B"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D55BA19" w14:textId="77777777" w:rsidR="00CB2077" w:rsidRPr="007047B5" w:rsidRDefault="00CB2077" w:rsidP="00CB2077">
      <w:pPr>
        <w:rPr>
          <w:lang w:val="en-IE"/>
        </w:rPr>
      </w:pPr>
      <w:r w:rsidRPr="007047B5">
        <w:rPr>
          <w:rStyle w:val="HideTWBExt"/>
          <w:noProof w:val="0"/>
          <w:lang w:val="en-IE"/>
        </w:rPr>
        <w:t>&lt;/Amend&gt;</w:t>
      </w:r>
    </w:p>
    <w:p w14:paraId="5CD1412C"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15</w:t>
      </w:r>
      <w:r w:rsidRPr="007047B5">
        <w:rPr>
          <w:rStyle w:val="HideTWBExt"/>
          <w:b w:val="0"/>
          <w:noProof w:val="0"/>
          <w:lang w:val="en-IE"/>
        </w:rPr>
        <w:t>&lt;/NumAm&gt;</w:t>
      </w:r>
    </w:p>
    <w:p w14:paraId="62BE2AFF"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48455B3"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81</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37729F6" w14:textId="77777777" w:rsidTr="00CB2077">
        <w:trPr>
          <w:jc w:val="center"/>
        </w:trPr>
        <w:tc>
          <w:tcPr>
            <w:tcW w:w="9752" w:type="dxa"/>
            <w:gridSpan w:val="2"/>
          </w:tcPr>
          <w:p w14:paraId="53D87E6E" w14:textId="77777777" w:rsidR="00CB2077" w:rsidRPr="007047B5" w:rsidRDefault="00CB2077">
            <w:pPr>
              <w:keepNext/>
              <w:rPr>
                <w:lang w:val="en-IE"/>
              </w:rPr>
            </w:pPr>
          </w:p>
        </w:tc>
      </w:tr>
      <w:tr w:rsidR="00CB2077" w:rsidRPr="007047B5" w14:paraId="5A872513" w14:textId="77777777" w:rsidTr="00CB2077">
        <w:trPr>
          <w:jc w:val="center"/>
        </w:trPr>
        <w:tc>
          <w:tcPr>
            <w:tcW w:w="4876" w:type="dxa"/>
            <w:hideMark/>
          </w:tcPr>
          <w:p w14:paraId="7D91A0B3"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6CEE72A" w14:textId="77777777" w:rsidR="00CB2077" w:rsidRPr="007047B5" w:rsidRDefault="00CB2077">
            <w:pPr>
              <w:pStyle w:val="ColumnHeading"/>
              <w:keepNext/>
              <w:rPr>
                <w:lang w:val="en-IE"/>
              </w:rPr>
            </w:pPr>
            <w:r w:rsidRPr="007047B5">
              <w:rPr>
                <w:lang w:val="en-IE"/>
              </w:rPr>
              <w:t>Amendment</w:t>
            </w:r>
          </w:p>
        </w:tc>
      </w:tr>
      <w:tr w:rsidR="00CB2077" w:rsidRPr="007047B5" w14:paraId="2B76CCDD" w14:textId="77777777" w:rsidTr="00CB2077">
        <w:trPr>
          <w:jc w:val="center"/>
        </w:trPr>
        <w:tc>
          <w:tcPr>
            <w:tcW w:w="4876" w:type="dxa"/>
            <w:hideMark/>
          </w:tcPr>
          <w:p w14:paraId="0DA63C8C" w14:textId="77777777" w:rsidR="00CB2077" w:rsidRPr="007047B5" w:rsidRDefault="00CB2077">
            <w:pPr>
              <w:pStyle w:val="Normal6"/>
              <w:rPr>
                <w:lang w:val="en-IE"/>
              </w:rPr>
            </w:pPr>
            <w:r w:rsidRPr="007047B5">
              <w:rPr>
                <w:lang w:val="en-IE"/>
              </w:rPr>
              <w:t>(81)</w:t>
            </w:r>
            <w:r w:rsidRPr="007047B5">
              <w:rPr>
                <w:lang w:val="en-IE"/>
              </w:rPr>
              <w:tab/>
              <w:t>Where a Member State decides to designate such a self-regulatory body, it may allow or require that body not to transmit to the FIU any information obtained from persons represented by that body where such information has been received from, or obtained on, one of their clients, in the course of ascertaining the legal position of their client, or in performing their task of defending or representing that client in, or concerning, judicial proceedings, including providing advice on instituting or avoiding such proceedings, whether such information is received or obtained before, during or after such proceedings.</w:t>
            </w:r>
          </w:p>
        </w:tc>
        <w:tc>
          <w:tcPr>
            <w:tcW w:w="4876" w:type="dxa"/>
            <w:hideMark/>
          </w:tcPr>
          <w:p w14:paraId="3D6D76E4" w14:textId="6F4FF1A8" w:rsidR="00CB2077" w:rsidRPr="007047B5" w:rsidRDefault="00CB2077" w:rsidP="00C86AF9">
            <w:pPr>
              <w:pStyle w:val="Normal6"/>
              <w:rPr>
                <w:szCs w:val="24"/>
                <w:lang w:val="en-IE"/>
              </w:rPr>
            </w:pPr>
            <w:r w:rsidRPr="007047B5">
              <w:rPr>
                <w:lang w:val="en-IE"/>
              </w:rPr>
              <w:t>(81)</w:t>
            </w:r>
            <w:r w:rsidRPr="007047B5">
              <w:rPr>
                <w:lang w:val="en-IE"/>
              </w:rPr>
              <w:tab/>
              <w:t xml:space="preserve">Where a Member State decides to designate such a self-regulatory body, it may allow or require that body not to transmit to the FIU any information obtained from persons represented by that body where such information has been received from, or obtained on, one of their clients, in the course of ascertaining the legal position of their client </w:t>
            </w:r>
            <w:r w:rsidRPr="007047B5">
              <w:rPr>
                <w:b/>
                <w:i/>
                <w:lang w:val="en-IE"/>
              </w:rPr>
              <w:t>subject to the rules laid down in this Regulation</w:t>
            </w:r>
            <w:r w:rsidRPr="007047B5">
              <w:rPr>
                <w:lang w:val="en-IE"/>
              </w:rPr>
              <w:t xml:space="preserve">, or in performing their task of defending or representing that client in, or concerning, judicial proceedings, including providing advice on instituting or avoiding such proceedings, whether such information is received or obtained before, during or after such proceedings. </w:t>
            </w:r>
            <w:r w:rsidRPr="007047B5">
              <w:rPr>
                <w:b/>
                <w:i/>
                <w:lang w:val="en-IE"/>
              </w:rPr>
              <w:t xml:space="preserve">The exemption should not </w:t>
            </w:r>
            <w:r w:rsidR="00BE0E57" w:rsidRPr="007047B5">
              <w:rPr>
                <w:b/>
                <w:i/>
                <w:lang w:val="en-IE"/>
              </w:rPr>
              <w:t>apply</w:t>
            </w:r>
            <w:r w:rsidRPr="007047B5">
              <w:rPr>
                <w:b/>
                <w:i/>
                <w:lang w:val="en-IE"/>
              </w:rPr>
              <w:t xml:space="preserve">, however, where the main purpose of the ascertainment of the </w:t>
            </w:r>
            <w:r w:rsidR="00800FA6" w:rsidRPr="007047B5">
              <w:rPr>
                <w:b/>
                <w:i/>
                <w:lang w:val="en-IE"/>
              </w:rPr>
              <w:t xml:space="preserve">client’s </w:t>
            </w:r>
            <w:r w:rsidRPr="007047B5">
              <w:rPr>
                <w:b/>
                <w:i/>
                <w:lang w:val="en-IE"/>
              </w:rPr>
              <w:t xml:space="preserve">legal position is either to prepare or execute a commercial or financial transaction or activity, subject to the client’s instructions or on behalf of the client, with a view to identifying, in particular, the most favourable scenario economically for the client, and without any link with ongoing or </w:t>
            </w:r>
            <w:r w:rsidR="00800FA6" w:rsidRPr="007047B5">
              <w:rPr>
                <w:b/>
                <w:i/>
                <w:lang w:val="en-IE"/>
              </w:rPr>
              <w:t xml:space="preserve">planned </w:t>
            </w:r>
            <w:r w:rsidRPr="007047B5">
              <w:rPr>
                <w:b/>
                <w:i/>
                <w:lang w:val="en-IE"/>
              </w:rPr>
              <w:t xml:space="preserve">judicial proceedings. The exemption should </w:t>
            </w:r>
            <w:r w:rsidR="00800FA6" w:rsidRPr="007047B5">
              <w:rPr>
                <w:b/>
                <w:i/>
                <w:lang w:val="en-IE"/>
              </w:rPr>
              <w:t xml:space="preserve">also </w:t>
            </w:r>
            <w:r w:rsidRPr="007047B5">
              <w:rPr>
                <w:b/>
                <w:i/>
                <w:lang w:val="en-IE"/>
              </w:rPr>
              <w:t xml:space="preserve">not </w:t>
            </w:r>
            <w:r w:rsidR="00800FA6" w:rsidRPr="007047B5">
              <w:rPr>
                <w:b/>
                <w:i/>
                <w:lang w:val="en-IE"/>
              </w:rPr>
              <w:t xml:space="preserve">apply </w:t>
            </w:r>
            <w:r w:rsidRPr="007047B5">
              <w:rPr>
                <w:b/>
                <w:i/>
                <w:lang w:val="en-IE"/>
              </w:rPr>
              <w:t>whe</w:t>
            </w:r>
            <w:r w:rsidR="00800FA6" w:rsidRPr="007047B5">
              <w:rPr>
                <w:b/>
                <w:i/>
                <w:lang w:val="en-IE"/>
              </w:rPr>
              <w:t>re</w:t>
            </w:r>
            <w:r w:rsidRPr="007047B5">
              <w:rPr>
                <w:b/>
                <w:i/>
                <w:lang w:val="en-IE"/>
              </w:rPr>
              <w:t xml:space="preserve"> the ascertainment is inconsistent with applicable law</w:t>
            </w:r>
            <w:r w:rsidR="00926F3D" w:rsidRPr="007047B5">
              <w:rPr>
                <w:b/>
                <w:i/>
                <w:lang w:val="en-IE"/>
              </w:rPr>
              <w:t xml:space="preserve"> </w:t>
            </w:r>
            <w:r w:rsidRPr="007047B5">
              <w:rPr>
                <w:b/>
                <w:i/>
                <w:lang w:val="en-IE"/>
              </w:rPr>
              <w:t xml:space="preserve"> and </w:t>
            </w:r>
            <w:r w:rsidR="00800FA6" w:rsidRPr="007047B5">
              <w:rPr>
                <w:b/>
                <w:i/>
                <w:lang w:val="en-IE"/>
              </w:rPr>
              <w:t xml:space="preserve">the client’s legal position </w:t>
            </w:r>
            <w:r w:rsidR="00C86AF9" w:rsidRPr="007047B5">
              <w:rPr>
                <w:b/>
                <w:i/>
                <w:lang w:val="en-IE"/>
              </w:rPr>
              <w:t xml:space="preserve">is </w:t>
            </w:r>
            <w:r w:rsidRPr="007047B5">
              <w:rPr>
                <w:b/>
                <w:i/>
                <w:lang w:val="en-IE"/>
              </w:rPr>
              <w:t xml:space="preserve">sought in bad faith or </w:t>
            </w:r>
            <w:r w:rsidR="00800FA6" w:rsidRPr="007047B5">
              <w:rPr>
                <w:b/>
                <w:i/>
                <w:lang w:val="en-IE"/>
              </w:rPr>
              <w:t xml:space="preserve">where the ascertainment </w:t>
            </w:r>
            <w:r w:rsidRPr="007047B5">
              <w:rPr>
                <w:b/>
                <w:i/>
                <w:lang w:val="en-IE"/>
              </w:rPr>
              <w:t xml:space="preserve">clearly exceeds legal matters pertaining to the </w:t>
            </w:r>
            <w:r w:rsidR="00800FA6" w:rsidRPr="007047B5">
              <w:rPr>
                <w:b/>
                <w:i/>
                <w:lang w:val="en-IE"/>
              </w:rPr>
              <w:t xml:space="preserve">client’s legal </w:t>
            </w:r>
            <w:r w:rsidRPr="007047B5">
              <w:rPr>
                <w:b/>
                <w:i/>
                <w:lang w:val="en-IE"/>
              </w:rPr>
              <w:t xml:space="preserve">position. Finally, the exemption should not </w:t>
            </w:r>
            <w:r w:rsidR="00800FA6" w:rsidRPr="007047B5">
              <w:rPr>
                <w:b/>
                <w:i/>
                <w:lang w:val="en-IE"/>
              </w:rPr>
              <w:t>apply</w:t>
            </w:r>
            <w:r w:rsidRPr="007047B5">
              <w:rPr>
                <w:b/>
                <w:i/>
                <w:lang w:val="en-IE"/>
              </w:rPr>
              <w:t xml:space="preserve"> </w:t>
            </w:r>
            <w:r w:rsidR="00A058E3" w:rsidRPr="007047B5">
              <w:rPr>
                <w:b/>
                <w:i/>
                <w:lang w:val="en-IE"/>
              </w:rPr>
              <w:t xml:space="preserve">where a person represented by a self-regulatory body provides </w:t>
            </w:r>
            <w:r w:rsidRPr="007047B5">
              <w:rPr>
                <w:b/>
                <w:i/>
                <w:lang w:val="en-IE"/>
              </w:rPr>
              <w:t>information</w:t>
            </w:r>
            <w:r w:rsidR="00D75AC5" w:rsidRPr="007047B5">
              <w:rPr>
                <w:b/>
                <w:i/>
                <w:lang w:val="en-IE"/>
              </w:rPr>
              <w:t xml:space="preserve"> </w:t>
            </w:r>
            <w:r w:rsidR="00A058E3" w:rsidRPr="007047B5">
              <w:rPr>
                <w:b/>
                <w:i/>
                <w:lang w:val="en-IE"/>
              </w:rPr>
              <w:t xml:space="preserve">to a client </w:t>
            </w:r>
            <w:r w:rsidRPr="007047B5">
              <w:rPr>
                <w:b/>
                <w:i/>
                <w:lang w:val="en-IE"/>
              </w:rPr>
              <w:t>for the purpose of money laundering, or its predicate offences</w:t>
            </w:r>
            <w:r w:rsidR="00800FA6" w:rsidRPr="007047B5">
              <w:rPr>
                <w:b/>
                <w:i/>
                <w:lang w:val="en-IE"/>
              </w:rPr>
              <w:t>,</w:t>
            </w:r>
            <w:r w:rsidRPr="007047B5">
              <w:rPr>
                <w:b/>
                <w:i/>
                <w:lang w:val="en-IE"/>
              </w:rPr>
              <w:t xml:space="preserve"> or terrorist financing </w:t>
            </w:r>
            <w:r w:rsidR="00800FA6" w:rsidRPr="007047B5">
              <w:rPr>
                <w:b/>
                <w:i/>
                <w:lang w:val="en-IE"/>
              </w:rPr>
              <w:t xml:space="preserve">and </w:t>
            </w:r>
            <w:r w:rsidRPr="007047B5">
              <w:rPr>
                <w:b/>
                <w:i/>
                <w:lang w:val="en-IE"/>
              </w:rPr>
              <w:t>ha</w:t>
            </w:r>
            <w:r w:rsidR="00800FA6" w:rsidRPr="007047B5">
              <w:rPr>
                <w:b/>
                <w:i/>
                <w:lang w:val="en-IE"/>
              </w:rPr>
              <w:t>s</w:t>
            </w:r>
            <w:r w:rsidRPr="007047B5">
              <w:rPr>
                <w:b/>
                <w:i/>
                <w:lang w:val="en-IE"/>
              </w:rPr>
              <w:t xml:space="preserve"> the knowledge</w:t>
            </w:r>
            <w:r w:rsidR="00E43941" w:rsidRPr="007047B5">
              <w:rPr>
                <w:b/>
                <w:i/>
                <w:lang w:val="en-IE"/>
              </w:rPr>
              <w:t xml:space="preserve"> or </w:t>
            </w:r>
            <w:r w:rsidR="00BE0E57" w:rsidRPr="007047B5">
              <w:rPr>
                <w:b/>
                <w:i/>
                <w:lang w:val="en-IE"/>
              </w:rPr>
              <w:t>a well-</w:t>
            </w:r>
            <w:r w:rsidR="00E43941" w:rsidRPr="007047B5">
              <w:rPr>
                <w:b/>
                <w:i/>
                <w:lang w:val="en-IE"/>
              </w:rPr>
              <w:t>grounded suspicion</w:t>
            </w:r>
            <w:r w:rsidRPr="007047B5">
              <w:rPr>
                <w:b/>
                <w:i/>
                <w:lang w:val="en-IE"/>
              </w:rPr>
              <w:t xml:space="preserve"> that the client requested it for th</w:t>
            </w:r>
            <w:r w:rsidR="00800FA6" w:rsidRPr="007047B5">
              <w:rPr>
                <w:b/>
                <w:i/>
                <w:lang w:val="en-IE"/>
              </w:rPr>
              <w:t>at</w:t>
            </w:r>
            <w:r w:rsidRPr="007047B5">
              <w:rPr>
                <w:b/>
                <w:i/>
                <w:lang w:val="en-IE"/>
              </w:rPr>
              <w:t xml:space="preserve"> purpose.</w:t>
            </w:r>
          </w:p>
        </w:tc>
      </w:tr>
    </w:tbl>
    <w:p w14:paraId="079E116E"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60F65F4" w14:textId="77777777" w:rsidR="00CB2077" w:rsidRPr="007047B5" w:rsidRDefault="00CB2077" w:rsidP="00CB2077">
      <w:pPr>
        <w:rPr>
          <w:lang w:val="en-IE"/>
        </w:rPr>
      </w:pPr>
      <w:r w:rsidRPr="007047B5">
        <w:rPr>
          <w:rStyle w:val="HideTWBExt"/>
          <w:noProof w:val="0"/>
          <w:lang w:val="en-IE"/>
        </w:rPr>
        <w:lastRenderedPageBreak/>
        <w:t>&lt;/Amend&gt;</w:t>
      </w:r>
    </w:p>
    <w:p w14:paraId="27C715F0"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16</w:t>
      </w:r>
      <w:r w:rsidRPr="007047B5">
        <w:rPr>
          <w:rStyle w:val="HideTWBExt"/>
          <w:b w:val="0"/>
          <w:noProof w:val="0"/>
          <w:lang w:val="en-IE"/>
        </w:rPr>
        <w:t>&lt;/NumAm&gt;</w:t>
      </w:r>
    </w:p>
    <w:p w14:paraId="1BA158EE"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7DD538B"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86</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051F9D0" w14:textId="77777777" w:rsidTr="00CB2077">
        <w:trPr>
          <w:jc w:val="center"/>
        </w:trPr>
        <w:tc>
          <w:tcPr>
            <w:tcW w:w="9752" w:type="dxa"/>
            <w:gridSpan w:val="2"/>
          </w:tcPr>
          <w:p w14:paraId="20DAAE00" w14:textId="77777777" w:rsidR="00CB2077" w:rsidRPr="007047B5" w:rsidRDefault="00CB2077">
            <w:pPr>
              <w:keepNext/>
              <w:rPr>
                <w:lang w:val="en-IE"/>
              </w:rPr>
            </w:pPr>
          </w:p>
        </w:tc>
      </w:tr>
      <w:tr w:rsidR="00CB2077" w:rsidRPr="007047B5" w14:paraId="4CB87592" w14:textId="77777777" w:rsidTr="00CB2077">
        <w:trPr>
          <w:jc w:val="center"/>
        </w:trPr>
        <w:tc>
          <w:tcPr>
            <w:tcW w:w="4876" w:type="dxa"/>
            <w:hideMark/>
          </w:tcPr>
          <w:p w14:paraId="63E962CC"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B801BD5" w14:textId="77777777" w:rsidR="00CB2077" w:rsidRPr="007047B5" w:rsidRDefault="00CB2077">
            <w:pPr>
              <w:pStyle w:val="ColumnHeading"/>
              <w:keepNext/>
              <w:rPr>
                <w:lang w:val="en-IE"/>
              </w:rPr>
            </w:pPr>
            <w:r w:rsidRPr="007047B5">
              <w:rPr>
                <w:lang w:val="en-IE"/>
              </w:rPr>
              <w:t>Amendment</w:t>
            </w:r>
          </w:p>
        </w:tc>
      </w:tr>
      <w:tr w:rsidR="00CB2077" w:rsidRPr="007047B5" w14:paraId="0ECFBDC4" w14:textId="77777777" w:rsidTr="00CB2077">
        <w:trPr>
          <w:jc w:val="center"/>
        </w:trPr>
        <w:tc>
          <w:tcPr>
            <w:tcW w:w="4876" w:type="dxa"/>
            <w:hideMark/>
          </w:tcPr>
          <w:p w14:paraId="5B834EE9" w14:textId="77777777" w:rsidR="00CB2077" w:rsidRPr="007047B5" w:rsidRDefault="00CB2077">
            <w:pPr>
              <w:pStyle w:val="Normal6"/>
              <w:rPr>
                <w:lang w:val="en-IE"/>
              </w:rPr>
            </w:pPr>
            <w:r w:rsidRPr="007047B5">
              <w:rPr>
                <w:lang w:val="en-IE"/>
              </w:rPr>
              <w:t>(86)</w:t>
            </w:r>
            <w:r w:rsidRPr="007047B5">
              <w:rPr>
                <w:lang w:val="en-IE"/>
              </w:rPr>
              <w:tab/>
              <w:t>It is essential that the alignment of the AML/CFT framework with the revised FATF Recommendations is carried out in full compliance with Union law, in particular as regards Union data protection law and the protection of fundamental rights as enshrined in the Charter. Certain aspects of the implementation of the AML/CFT framework involve the collection, analysis, storage and sharing of data. Such processing of personal data should be permitted, while fully respecting fundamental rights, only for the purposes laid down in this Regulation, and for carrying out customer due diligence, ongoing monitoring, analysis and reporting of unusual and suspicious transactions, identification of the beneficial owner of a legal person or legal arrangement, identification of a politically exposed person and sharing of information by credit institutions and financial institutions and other obliged entities. The collection and subsequent processing of personal data by obliged entities should be limited to what is necessary for the purpose of complying with AML/CFT requirements and personal data should not be further processed in a way that is incompatible with that purpose. In particular, further processing of personal data for commercial purposes should be strictly prohibited.</w:t>
            </w:r>
          </w:p>
        </w:tc>
        <w:tc>
          <w:tcPr>
            <w:tcW w:w="4876" w:type="dxa"/>
            <w:hideMark/>
          </w:tcPr>
          <w:p w14:paraId="5777178F" w14:textId="57B316D3" w:rsidR="00CB2077" w:rsidRPr="007047B5" w:rsidRDefault="00CB2077">
            <w:pPr>
              <w:pStyle w:val="Normal6"/>
              <w:rPr>
                <w:szCs w:val="24"/>
                <w:lang w:val="en-IE"/>
              </w:rPr>
            </w:pPr>
            <w:r w:rsidRPr="007047B5">
              <w:rPr>
                <w:lang w:val="en-IE"/>
              </w:rPr>
              <w:t>(86)</w:t>
            </w:r>
            <w:r w:rsidRPr="007047B5">
              <w:rPr>
                <w:lang w:val="en-IE"/>
              </w:rPr>
              <w:tab/>
              <w:t xml:space="preserve">It is essential that the alignment of the AML/CFT framework with the revised FATF Recommendations is carried out in full compliance with Union law, in particular as regards Union data protection law and the protection of fundamental rights as enshrined in the Charter. Certain aspects of the implementation of the AML/CFT framework involve the collection, analysis, storage and sharing of data. Such processing of personal data should be permitted, while fully respecting fundamental rights, only for the purposes laid down in this Regulation, and for carrying out customer due diligence, ongoing monitoring, analysis and reporting of unusual and suspicious transactions, identification of the beneficial owner of a legal person or legal arrangement, identification of a politically exposed person and sharing of information by credit institutions and financial institutions and other obliged entities. The collection and subsequent processing of personal data by obliged entities should be limited to what is necessary for the purpose of complying with AML/CFT requirements and personal data should not be further processed in a way that is incompatible with that purpose. In particular, </w:t>
            </w:r>
            <w:r w:rsidRPr="007047B5">
              <w:rPr>
                <w:b/>
                <w:i/>
                <w:lang w:val="en-IE"/>
              </w:rPr>
              <w:t xml:space="preserve">processing of special categories of personal data and of personal data relating to criminal convictions and offences should be subject to </w:t>
            </w:r>
            <w:r w:rsidR="00F55DF7" w:rsidRPr="007047B5">
              <w:rPr>
                <w:b/>
                <w:i/>
                <w:lang w:val="en-IE"/>
              </w:rPr>
              <w:t xml:space="preserve">appropriate </w:t>
            </w:r>
            <w:r w:rsidRPr="007047B5">
              <w:rPr>
                <w:b/>
                <w:i/>
                <w:lang w:val="en-IE"/>
              </w:rPr>
              <w:t>safeguards laid down in this Regulation.</w:t>
            </w:r>
            <w:r w:rsidRPr="007047B5">
              <w:rPr>
                <w:lang w:val="en-IE"/>
              </w:rPr>
              <w:t xml:space="preserve"> Further processing of personal data for commercial purposes should be strictly prohibited.</w:t>
            </w:r>
          </w:p>
        </w:tc>
      </w:tr>
    </w:tbl>
    <w:p w14:paraId="52AFC27F"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3BC5681D" w14:textId="77777777" w:rsidR="00CB2077" w:rsidRPr="007047B5" w:rsidRDefault="00CB2077" w:rsidP="00CB2077">
      <w:pPr>
        <w:rPr>
          <w:lang w:val="en-IE"/>
        </w:rPr>
      </w:pPr>
      <w:r w:rsidRPr="007047B5">
        <w:rPr>
          <w:rStyle w:val="HideTWBExt"/>
          <w:noProof w:val="0"/>
          <w:lang w:val="en-IE"/>
        </w:rPr>
        <w:lastRenderedPageBreak/>
        <w:t>&lt;/Amend&gt;</w:t>
      </w:r>
    </w:p>
    <w:p w14:paraId="1F38028B"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17</w:t>
      </w:r>
      <w:r w:rsidRPr="007047B5">
        <w:rPr>
          <w:rStyle w:val="HideTWBExt"/>
          <w:b w:val="0"/>
          <w:noProof w:val="0"/>
          <w:lang w:val="en-IE"/>
        </w:rPr>
        <w:t>&lt;/NumAm&gt;</w:t>
      </w:r>
    </w:p>
    <w:p w14:paraId="42C65873"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E3C1855"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94</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1400A4A" w14:textId="77777777" w:rsidTr="00CB2077">
        <w:trPr>
          <w:jc w:val="center"/>
        </w:trPr>
        <w:tc>
          <w:tcPr>
            <w:tcW w:w="9752" w:type="dxa"/>
            <w:gridSpan w:val="2"/>
          </w:tcPr>
          <w:p w14:paraId="727E4593" w14:textId="77777777" w:rsidR="00CB2077" w:rsidRPr="007047B5" w:rsidRDefault="00CB2077">
            <w:pPr>
              <w:keepNext/>
              <w:rPr>
                <w:lang w:val="en-IE"/>
              </w:rPr>
            </w:pPr>
          </w:p>
        </w:tc>
      </w:tr>
      <w:tr w:rsidR="00CB2077" w:rsidRPr="007047B5" w14:paraId="357AD7C5" w14:textId="77777777" w:rsidTr="00CB2077">
        <w:trPr>
          <w:jc w:val="center"/>
        </w:trPr>
        <w:tc>
          <w:tcPr>
            <w:tcW w:w="4876" w:type="dxa"/>
            <w:hideMark/>
          </w:tcPr>
          <w:p w14:paraId="40D7BCAF"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F6E4C88" w14:textId="77777777" w:rsidR="00CB2077" w:rsidRPr="007047B5" w:rsidRDefault="00CB2077">
            <w:pPr>
              <w:pStyle w:val="ColumnHeading"/>
              <w:keepNext/>
              <w:rPr>
                <w:lang w:val="en-IE"/>
              </w:rPr>
            </w:pPr>
            <w:r w:rsidRPr="007047B5">
              <w:rPr>
                <w:lang w:val="en-IE"/>
              </w:rPr>
              <w:t>Amendment</w:t>
            </w:r>
          </w:p>
        </w:tc>
      </w:tr>
      <w:tr w:rsidR="00CB2077" w:rsidRPr="007047B5" w14:paraId="4DBFD940" w14:textId="77777777" w:rsidTr="00CB2077">
        <w:trPr>
          <w:jc w:val="center"/>
        </w:trPr>
        <w:tc>
          <w:tcPr>
            <w:tcW w:w="4876" w:type="dxa"/>
            <w:hideMark/>
          </w:tcPr>
          <w:p w14:paraId="44B47CA7" w14:textId="77777777" w:rsidR="00CB2077" w:rsidRPr="007047B5" w:rsidRDefault="00CB2077">
            <w:pPr>
              <w:pStyle w:val="Normal6"/>
              <w:rPr>
                <w:lang w:val="en-IE"/>
              </w:rPr>
            </w:pPr>
            <w:r w:rsidRPr="007047B5">
              <w:rPr>
                <w:lang w:val="en-IE"/>
              </w:rPr>
              <w:t>(94)</w:t>
            </w:r>
            <w:r w:rsidRPr="007047B5">
              <w:rPr>
                <w:lang w:val="en-IE"/>
              </w:rPr>
              <w:tab/>
              <w:t xml:space="preserve">The use of large cash payments is highly vulnerable to money laundering and terrorist financing; this has not been sufficiently mitigated by the requirement for traders in goods to be subject to anti-money laundering rules when making or receiving cash payments of EUR 10 000 or more. At the same time, differences in approaches among Member States have undermined the level playing field within the internal market to the detriment of businesses located in Member States with stricter controls. It is therefore necessary to introduce a Union-wide limit to large cash payments of EUR </w:t>
            </w:r>
            <w:r w:rsidRPr="007047B5">
              <w:rPr>
                <w:b/>
                <w:i/>
                <w:lang w:val="en-IE"/>
              </w:rPr>
              <w:t>10 000</w:t>
            </w:r>
            <w:r w:rsidRPr="007047B5">
              <w:rPr>
                <w:lang w:val="en-IE"/>
              </w:rPr>
              <w:t>. Member States should be able to adopt lower thresholds and further stricter provisions</w:t>
            </w:r>
            <w:r w:rsidRPr="007047B5">
              <w:rPr>
                <w:b/>
                <w:i/>
                <w:lang w:val="en-IE"/>
              </w:rPr>
              <w:t>.</w:t>
            </w:r>
          </w:p>
        </w:tc>
        <w:tc>
          <w:tcPr>
            <w:tcW w:w="4876" w:type="dxa"/>
            <w:hideMark/>
          </w:tcPr>
          <w:p w14:paraId="5B1EF592" w14:textId="77777777" w:rsidR="00CB2077" w:rsidRPr="007047B5" w:rsidRDefault="00CB2077">
            <w:pPr>
              <w:pStyle w:val="Normal6"/>
              <w:rPr>
                <w:szCs w:val="24"/>
                <w:lang w:val="en-IE"/>
              </w:rPr>
            </w:pPr>
            <w:r w:rsidRPr="007047B5">
              <w:rPr>
                <w:lang w:val="en-IE"/>
              </w:rPr>
              <w:t>(94)</w:t>
            </w:r>
            <w:r w:rsidRPr="007047B5">
              <w:rPr>
                <w:lang w:val="en-IE"/>
              </w:rPr>
              <w:tab/>
              <w:t xml:space="preserve">The use of large cash payments is highly vulnerable to money laundering and terrorist financing; this has not been sufficiently mitigated by the requirement for traders in goods to be subject to anti-money laundering rules when making or receiving cash payments of EUR 10 000 or more. At the same time, differences in approaches among Member States have undermined the level playing field within the internal market to the detriment of businesses located in Member States with stricter controls. It is therefore necessary to introduce a Union-wide limit to large cash payments of EUR </w:t>
            </w:r>
            <w:r w:rsidRPr="007047B5">
              <w:rPr>
                <w:b/>
                <w:i/>
                <w:lang w:val="en-IE"/>
              </w:rPr>
              <w:t>5 000</w:t>
            </w:r>
            <w:r w:rsidRPr="007047B5">
              <w:rPr>
                <w:lang w:val="en-IE"/>
              </w:rPr>
              <w:t>. Member States should be able to adopt lower thresholds and further stricter provisions</w:t>
            </w:r>
          </w:p>
        </w:tc>
      </w:tr>
    </w:tbl>
    <w:p w14:paraId="53FE45B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CC552AC" w14:textId="77777777" w:rsidR="00CB2077" w:rsidRPr="007047B5" w:rsidRDefault="00CB2077" w:rsidP="00CB2077">
      <w:pPr>
        <w:rPr>
          <w:lang w:val="en-IE"/>
        </w:rPr>
      </w:pPr>
      <w:r w:rsidRPr="007047B5">
        <w:rPr>
          <w:rStyle w:val="HideTWBExt"/>
          <w:noProof w:val="0"/>
          <w:lang w:val="en-IE"/>
        </w:rPr>
        <w:t>&lt;/Amend&gt;</w:t>
      </w:r>
    </w:p>
    <w:p w14:paraId="19017E7B"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18</w:t>
      </w:r>
      <w:r w:rsidRPr="007047B5">
        <w:rPr>
          <w:rStyle w:val="HideTWBExt"/>
          <w:b w:val="0"/>
          <w:noProof w:val="0"/>
          <w:lang w:val="en-IE"/>
        </w:rPr>
        <w:t>&lt;/NumAm&gt;</w:t>
      </w:r>
    </w:p>
    <w:p w14:paraId="695E0109"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65A93A1"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Recital 97</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F25CFB8" w14:textId="77777777" w:rsidTr="00CB2077">
        <w:trPr>
          <w:jc w:val="center"/>
        </w:trPr>
        <w:tc>
          <w:tcPr>
            <w:tcW w:w="9752" w:type="dxa"/>
            <w:gridSpan w:val="2"/>
          </w:tcPr>
          <w:p w14:paraId="6BDE6DC3" w14:textId="77777777" w:rsidR="00CB2077" w:rsidRPr="007047B5" w:rsidRDefault="00CB2077">
            <w:pPr>
              <w:keepNext/>
              <w:rPr>
                <w:lang w:val="en-IE"/>
              </w:rPr>
            </w:pPr>
          </w:p>
        </w:tc>
      </w:tr>
      <w:tr w:rsidR="00CB2077" w:rsidRPr="007047B5" w14:paraId="2AD637AE" w14:textId="77777777" w:rsidTr="00CB2077">
        <w:trPr>
          <w:jc w:val="center"/>
        </w:trPr>
        <w:tc>
          <w:tcPr>
            <w:tcW w:w="4876" w:type="dxa"/>
            <w:hideMark/>
          </w:tcPr>
          <w:p w14:paraId="789EA5AD"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946C3E6" w14:textId="77777777" w:rsidR="00CB2077" w:rsidRPr="007047B5" w:rsidRDefault="00CB2077">
            <w:pPr>
              <w:pStyle w:val="ColumnHeading"/>
              <w:keepNext/>
              <w:rPr>
                <w:lang w:val="en-IE"/>
              </w:rPr>
            </w:pPr>
            <w:r w:rsidRPr="007047B5">
              <w:rPr>
                <w:lang w:val="en-IE"/>
              </w:rPr>
              <w:t>Amendment</w:t>
            </w:r>
          </w:p>
        </w:tc>
      </w:tr>
      <w:tr w:rsidR="00CB2077" w:rsidRPr="007047B5" w14:paraId="124040FB" w14:textId="77777777" w:rsidTr="00CB2077">
        <w:trPr>
          <w:jc w:val="center"/>
        </w:trPr>
        <w:tc>
          <w:tcPr>
            <w:tcW w:w="4876" w:type="dxa"/>
            <w:hideMark/>
          </w:tcPr>
          <w:p w14:paraId="7722E20D" w14:textId="77777777" w:rsidR="00CB2077" w:rsidRPr="007047B5" w:rsidRDefault="00CB2077">
            <w:pPr>
              <w:pStyle w:val="Normal6"/>
              <w:rPr>
                <w:lang w:val="en-IE"/>
              </w:rPr>
            </w:pPr>
            <w:r w:rsidRPr="007047B5">
              <w:rPr>
                <w:lang w:val="en-IE"/>
              </w:rPr>
              <w:t>(97)</w:t>
            </w:r>
            <w:r w:rsidRPr="007047B5">
              <w:rPr>
                <w:lang w:val="en-IE"/>
              </w:rPr>
              <w:tab/>
              <w:t xml:space="preserve">In order to ensure consistent application of AML/CFT requirements, the power to adopt acts in accordance with Article 290 of the Treaty on the Functioning of the European Union should be delegated to the Commission to supplement this Regulation by adopting delegated acts identifying high-risk third countries, third countries with compliance weaknesses and countries that pose a threat to the Union’s financial system and </w:t>
            </w:r>
            <w:r w:rsidRPr="007047B5">
              <w:rPr>
                <w:lang w:val="en-IE"/>
              </w:rPr>
              <w:lastRenderedPageBreak/>
              <w:t>defining harmonised and proportionate enhanced due diligence measures as well as, where relevant, mitigating measures as well as the regulatory technical standards setting out the minimum requirements of group-wide policies, controls and procedures and the conditions under which structures which share common ownership, management or compliance controls are required to apply group-wide policies, controls and procedures, the actions to be taken by groups when the laws of third countries do not permit the application of group-wide policies, controls and procedures and supervisory measures, the sectors and transactions subject to lower thresholds for the performance of customer due diligence and the information necessary for the performance of customer due diligence.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7047B5">
              <w:rPr>
                <w:b/>
                <w:i/>
                <w:vertAlign w:val="superscript"/>
                <w:lang w:val="en-IE"/>
              </w:rPr>
              <w:t>39</w:t>
            </w:r>
            <w:r w:rsidRPr="007047B5">
              <w:rPr>
                <w:lang w:val="en-IE"/>
              </w:rPr>
              <w:t xml:space="preserve"> .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tc>
        <w:tc>
          <w:tcPr>
            <w:tcW w:w="4876" w:type="dxa"/>
            <w:hideMark/>
          </w:tcPr>
          <w:p w14:paraId="104716BE" w14:textId="0C7F86E7" w:rsidR="00CB2077" w:rsidRPr="007047B5" w:rsidRDefault="00CB2077" w:rsidP="00610012">
            <w:pPr>
              <w:pStyle w:val="Normal6"/>
              <w:rPr>
                <w:szCs w:val="24"/>
                <w:lang w:val="en-IE"/>
              </w:rPr>
            </w:pPr>
            <w:r w:rsidRPr="007047B5">
              <w:rPr>
                <w:lang w:val="en-IE"/>
              </w:rPr>
              <w:lastRenderedPageBreak/>
              <w:t>(97)</w:t>
            </w:r>
            <w:r w:rsidRPr="007047B5">
              <w:rPr>
                <w:lang w:val="en-IE"/>
              </w:rPr>
              <w:tab/>
              <w:t>In order to ensure consistent application of AML/CFT requirements, the power to adopt acts in accordance with Article 290 of the Treaty on the Functioning of the European Union should be delegated to the Commission to supplement this Regulation by adopting delegated acts identifying high-risk third countries, third countries with compliance weaknesses</w:t>
            </w:r>
            <w:r w:rsidR="00800FA6" w:rsidRPr="007047B5">
              <w:rPr>
                <w:b/>
                <w:i/>
                <w:lang w:val="en-IE"/>
              </w:rPr>
              <w:t>,</w:t>
            </w:r>
            <w:r w:rsidRPr="007047B5">
              <w:rPr>
                <w:lang w:val="en-IE"/>
              </w:rPr>
              <w:t xml:space="preserve"> and countries </w:t>
            </w:r>
            <w:r w:rsidR="00800FA6" w:rsidRPr="007047B5">
              <w:rPr>
                <w:b/>
                <w:i/>
                <w:lang w:val="en-IE"/>
              </w:rPr>
              <w:t>and</w:t>
            </w:r>
            <w:r w:rsidRPr="007047B5">
              <w:rPr>
                <w:b/>
                <w:i/>
                <w:lang w:val="en-IE"/>
              </w:rPr>
              <w:t xml:space="preserve"> specific entities</w:t>
            </w:r>
            <w:r w:rsidRPr="007047B5">
              <w:rPr>
                <w:lang w:val="en-IE"/>
              </w:rPr>
              <w:t xml:space="preserve"> that pose a threat to the Union’s </w:t>
            </w:r>
            <w:r w:rsidRPr="007047B5">
              <w:rPr>
                <w:lang w:val="en-IE"/>
              </w:rPr>
              <w:lastRenderedPageBreak/>
              <w:t>financial system and defining harmonised and proportionate enhanced due diligence measures as well as, where relevant, mitigating measures as well as the regulatory technical standards setting out the minimum requirements of group-wide policies, controls and procedures and the conditions under which structures which share common ownership, management or compliance controls are required to apply group-wide policies, controls and procedures, the actions to be taken by groups when the laws of third countries do not permit the application of group-wide policies, controls and procedures and supervisory measures, the sectors and transactions subject to lower thresholds for the performance of customer due diligence and the information necessary for the performance of customer due diligence.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tc>
      </w:tr>
      <w:tr w:rsidR="00CB2077" w:rsidRPr="007047B5" w14:paraId="37900CEE" w14:textId="77777777" w:rsidTr="00CB2077">
        <w:trPr>
          <w:jc w:val="center"/>
        </w:trPr>
        <w:tc>
          <w:tcPr>
            <w:tcW w:w="4876" w:type="dxa"/>
            <w:hideMark/>
          </w:tcPr>
          <w:p w14:paraId="46099B60" w14:textId="77777777" w:rsidR="00CB2077" w:rsidRPr="007047B5" w:rsidRDefault="00CB2077">
            <w:pPr>
              <w:pStyle w:val="Normal6"/>
              <w:rPr>
                <w:lang w:val="en-IE"/>
              </w:rPr>
            </w:pPr>
            <w:r w:rsidRPr="007047B5">
              <w:rPr>
                <w:lang w:val="en-IE"/>
              </w:rPr>
              <w:lastRenderedPageBreak/>
              <w:t>__________________</w:t>
            </w:r>
          </w:p>
        </w:tc>
        <w:tc>
          <w:tcPr>
            <w:tcW w:w="4876" w:type="dxa"/>
            <w:hideMark/>
          </w:tcPr>
          <w:p w14:paraId="799A8292" w14:textId="77777777" w:rsidR="00CB2077" w:rsidRPr="007047B5" w:rsidRDefault="00CB2077">
            <w:pPr>
              <w:pStyle w:val="Normal6"/>
              <w:rPr>
                <w:szCs w:val="24"/>
                <w:lang w:val="en-IE"/>
              </w:rPr>
            </w:pPr>
            <w:r w:rsidRPr="007047B5">
              <w:rPr>
                <w:lang w:val="en-IE"/>
              </w:rPr>
              <w:t>__________________</w:t>
            </w:r>
          </w:p>
        </w:tc>
      </w:tr>
      <w:tr w:rsidR="00CB2077" w:rsidRPr="007047B5" w14:paraId="67705D15" w14:textId="77777777" w:rsidTr="00CB2077">
        <w:trPr>
          <w:jc w:val="center"/>
        </w:trPr>
        <w:tc>
          <w:tcPr>
            <w:tcW w:w="4876" w:type="dxa"/>
            <w:hideMark/>
          </w:tcPr>
          <w:p w14:paraId="2C4CE3E6" w14:textId="77777777" w:rsidR="00CB2077" w:rsidRPr="007047B5" w:rsidRDefault="00CB2077">
            <w:pPr>
              <w:pStyle w:val="Normal6"/>
              <w:rPr>
                <w:lang w:val="en-IE"/>
              </w:rPr>
            </w:pPr>
            <w:r w:rsidRPr="007047B5">
              <w:rPr>
                <w:vertAlign w:val="superscript"/>
                <w:lang w:val="en-IE"/>
              </w:rPr>
              <w:t>39</w:t>
            </w:r>
            <w:r w:rsidRPr="007047B5">
              <w:rPr>
                <w:lang w:val="en-IE"/>
              </w:rPr>
              <w:t xml:space="preserve"> OJ L 123, 12.5.2016, p. 1.</w:t>
            </w:r>
          </w:p>
        </w:tc>
        <w:tc>
          <w:tcPr>
            <w:tcW w:w="4876" w:type="dxa"/>
            <w:hideMark/>
          </w:tcPr>
          <w:p w14:paraId="1CCFB570" w14:textId="77777777" w:rsidR="00CB2077" w:rsidRPr="007047B5" w:rsidRDefault="00CB2077">
            <w:pPr>
              <w:pStyle w:val="Normal6"/>
              <w:rPr>
                <w:szCs w:val="24"/>
                <w:lang w:val="en-IE"/>
              </w:rPr>
            </w:pPr>
            <w:r w:rsidRPr="007047B5">
              <w:rPr>
                <w:vertAlign w:val="superscript"/>
                <w:lang w:val="en-IE"/>
              </w:rPr>
              <w:t>39</w:t>
            </w:r>
            <w:r w:rsidRPr="007047B5">
              <w:rPr>
                <w:lang w:val="en-IE"/>
              </w:rPr>
              <w:t xml:space="preserve"> OJ L 123, 12.5.2016, p. 1.</w:t>
            </w:r>
          </w:p>
        </w:tc>
      </w:tr>
    </w:tbl>
    <w:p w14:paraId="5CAFCED6"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F9ECA45" w14:textId="77777777" w:rsidR="00CB2077" w:rsidRPr="007047B5" w:rsidRDefault="00CB2077" w:rsidP="00CB2077">
      <w:pPr>
        <w:rPr>
          <w:lang w:val="en-IE"/>
        </w:rPr>
      </w:pPr>
      <w:r w:rsidRPr="007047B5">
        <w:rPr>
          <w:rStyle w:val="HideTWBExt"/>
          <w:noProof w:val="0"/>
          <w:lang w:val="en-IE"/>
        </w:rPr>
        <w:t>&lt;/Amend&gt;</w:t>
      </w:r>
    </w:p>
    <w:p w14:paraId="69C2B3CC"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19</w:t>
      </w:r>
      <w:r w:rsidRPr="007047B5">
        <w:rPr>
          <w:rStyle w:val="HideTWBExt"/>
          <w:b w:val="0"/>
          <w:noProof w:val="0"/>
          <w:lang w:val="en-IE"/>
        </w:rPr>
        <w:t>&lt;/NumAm&gt;</w:t>
      </w:r>
    </w:p>
    <w:p w14:paraId="6D78872D"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3E6C308" w14:textId="77777777" w:rsidR="00CB2077" w:rsidRPr="007047B5" w:rsidRDefault="00CB2077" w:rsidP="00CB2077">
      <w:pPr>
        <w:pStyle w:val="NormalBold"/>
        <w:rPr>
          <w:lang w:val="fr-BE"/>
        </w:rPr>
      </w:pPr>
      <w:r w:rsidRPr="007047B5">
        <w:rPr>
          <w:rStyle w:val="HideTWBExt"/>
          <w:b w:val="0"/>
          <w:noProof w:val="0"/>
          <w:lang w:val="fr-BE"/>
        </w:rPr>
        <w:t>&lt;Article&gt;</w:t>
      </w:r>
      <w:r w:rsidRPr="007047B5">
        <w:rPr>
          <w:lang w:val="fr-BE"/>
        </w:rPr>
        <w:t>Article 1 – paragraph 1 – point a a (new)</w:t>
      </w:r>
      <w:r w:rsidRPr="007047B5">
        <w:rPr>
          <w:rStyle w:val="HideTWBExt"/>
          <w:b w:val="0"/>
          <w:noProof w:val="0"/>
          <w:lang w:val="fr-B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5A0D9F" w14:paraId="301AE918" w14:textId="77777777" w:rsidTr="00CB2077">
        <w:trPr>
          <w:jc w:val="center"/>
        </w:trPr>
        <w:tc>
          <w:tcPr>
            <w:tcW w:w="9752" w:type="dxa"/>
            <w:gridSpan w:val="2"/>
          </w:tcPr>
          <w:p w14:paraId="06D4E326" w14:textId="77777777" w:rsidR="00CB2077" w:rsidRPr="007047B5" w:rsidRDefault="00CB2077">
            <w:pPr>
              <w:keepNext/>
              <w:rPr>
                <w:lang w:val="fr-BE"/>
              </w:rPr>
            </w:pPr>
          </w:p>
        </w:tc>
      </w:tr>
      <w:tr w:rsidR="00CB2077" w:rsidRPr="007047B5" w14:paraId="661D5BAD" w14:textId="77777777" w:rsidTr="00CB2077">
        <w:trPr>
          <w:jc w:val="center"/>
        </w:trPr>
        <w:tc>
          <w:tcPr>
            <w:tcW w:w="4876" w:type="dxa"/>
            <w:hideMark/>
          </w:tcPr>
          <w:p w14:paraId="136D11B7"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A4D64B5" w14:textId="77777777" w:rsidR="00CB2077" w:rsidRPr="007047B5" w:rsidRDefault="00CB2077">
            <w:pPr>
              <w:pStyle w:val="ColumnHeading"/>
              <w:keepNext/>
              <w:rPr>
                <w:lang w:val="en-IE"/>
              </w:rPr>
            </w:pPr>
            <w:r w:rsidRPr="007047B5">
              <w:rPr>
                <w:lang w:val="en-IE"/>
              </w:rPr>
              <w:t>Amendment</w:t>
            </w:r>
          </w:p>
        </w:tc>
      </w:tr>
      <w:tr w:rsidR="00CB2077" w:rsidRPr="007047B5" w14:paraId="39B165B1" w14:textId="77777777" w:rsidTr="00CB2077">
        <w:trPr>
          <w:jc w:val="center"/>
        </w:trPr>
        <w:tc>
          <w:tcPr>
            <w:tcW w:w="4876" w:type="dxa"/>
          </w:tcPr>
          <w:p w14:paraId="0F52F995" w14:textId="77777777" w:rsidR="00CB2077" w:rsidRPr="007047B5" w:rsidRDefault="00CB2077">
            <w:pPr>
              <w:pStyle w:val="Normal6"/>
              <w:rPr>
                <w:lang w:val="en-IE"/>
              </w:rPr>
            </w:pPr>
          </w:p>
        </w:tc>
        <w:tc>
          <w:tcPr>
            <w:tcW w:w="4876" w:type="dxa"/>
            <w:hideMark/>
          </w:tcPr>
          <w:p w14:paraId="7D3D74A9" w14:textId="71C76B67" w:rsidR="00CB2077" w:rsidRPr="007047B5" w:rsidRDefault="00CB2077" w:rsidP="00A058E3">
            <w:pPr>
              <w:pStyle w:val="Normal6"/>
              <w:rPr>
                <w:szCs w:val="24"/>
                <w:lang w:val="en-IE"/>
              </w:rPr>
            </w:pPr>
            <w:r w:rsidRPr="007047B5">
              <w:rPr>
                <w:b/>
                <w:i/>
                <w:lang w:val="en-IE"/>
              </w:rPr>
              <w:t>(aa)</w:t>
            </w:r>
            <w:r w:rsidRPr="007047B5">
              <w:rPr>
                <w:b/>
                <w:i/>
                <w:lang w:val="en-IE"/>
              </w:rPr>
              <w:tab/>
            </w:r>
            <w:r w:rsidR="00BD6C15" w:rsidRPr="007047B5">
              <w:rPr>
                <w:b/>
                <w:i/>
                <w:lang w:val="en-IE"/>
              </w:rPr>
              <w:t xml:space="preserve">the </w:t>
            </w:r>
            <w:r w:rsidRPr="007047B5">
              <w:rPr>
                <w:b/>
                <w:i/>
                <w:lang w:val="en-IE"/>
              </w:rPr>
              <w:t>prevent</w:t>
            </w:r>
            <w:r w:rsidR="00BD6C15" w:rsidRPr="007047B5">
              <w:rPr>
                <w:b/>
                <w:i/>
                <w:lang w:val="en-IE"/>
              </w:rPr>
              <w:t>ion of</w:t>
            </w:r>
            <w:r w:rsidRPr="007047B5">
              <w:rPr>
                <w:b/>
                <w:i/>
                <w:lang w:val="en-IE"/>
              </w:rPr>
              <w:t xml:space="preserve"> money laundering and terrorist financing </w:t>
            </w:r>
            <w:r w:rsidR="00BD6C15" w:rsidRPr="007047B5">
              <w:rPr>
                <w:b/>
                <w:i/>
                <w:lang w:val="en-IE"/>
              </w:rPr>
              <w:t xml:space="preserve"> in </w:t>
            </w:r>
            <w:r w:rsidRPr="007047B5">
              <w:rPr>
                <w:b/>
                <w:i/>
                <w:lang w:val="en-IE"/>
              </w:rPr>
              <w:t xml:space="preserve">Member States which allow for citizenship or residence rights in exchange </w:t>
            </w:r>
            <w:r w:rsidR="00800FA6" w:rsidRPr="007047B5">
              <w:rPr>
                <w:b/>
                <w:i/>
                <w:lang w:val="en-IE"/>
              </w:rPr>
              <w:t xml:space="preserve">for </w:t>
            </w:r>
            <w:r w:rsidRPr="007047B5">
              <w:rPr>
                <w:b/>
                <w:i/>
                <w:lang w:val="en-IE"/>
              </w:rPr>
              <w:t xml:space="preserve">any kind of investment, including capital transfers, purchase or renting of property, investment in government bonds, investment in corporate entities, donation or endowment of an activity </w:t>
            </w:r>
            <w:r w:rsidR="00800FA6" w:rsidRPr="007047B5">
              <w:rPr>
                <w:b/>
                <w:i/>
                <w:lang w:val="en-IE"/>
              </w:rPr>
              <w:t xml:space="preserve">contributing </w:t>
            </w:r>
            <w:r w:rsidRPr="007047B5">
              <w:rPr>
                <w:b/>
                <w:i/>
                <w:lang w:val="en-IE"/>
              </w:rPr>
              <w:t xml:space="preserve">to the public good and contributions to the </w:t>
            </w:r>
            <w:r w:rsidRPr="007047B5">
              <w:rPr>
                <w:b/>
                <w:i/>
                <w:lang w:val="en-GB"/>
              </w:rPr>
              <w:t xml:space="preserve">state </w:t>
            </w:r>
            <w:r w:rsidRPr="007047B5">
              <w:rPr>
                <w:b/>
                <w:i/>
                <w:lang w:val="en-IE"/>
              </w:rPr>
              <w:t>budget;</w:t>
            </w:r>
          </w:p>
        </w:tc>
      </w:tr>
    </w:tbl>
    <w:p w14:paraId="6596F929"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BE18D22" w14:textId="77777777" w:rsidR="00CB2077" w:rsidRPr="007047B5" w:rsidRDefault="00CB2077" w:rsidP="00CB2077">
      <w:pPr>
        <w:rPr>
          <w:lang w:val="en-IE"/>
        </w:rPr>
      </w:pPr>
      <w:r w:rsidRPr="007047B5">
        <w:rPr>
          <w:rStyle w:val="HideTWBExt"/>
          <w:noProof w:val="0"/>
          <w:lang w:val="en-IE"/>
        </w:rPr>
        <w:t>&lt;/Amend&gt;</w:t>
      </w:r>
    </w:p>
    <w:p w14:paraId="46F03921"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20</w:t>
      </w:r>
      <w:r w:rsidRPr="007047B5">
        <w:rPr>
          <w:rStyle w:val="HideTWBExt"/>
          <w:b w:val="0"/>
          <w:noProof w:val="0"/>
          <w:lang w:val="en-IE"/>
        </w:rPr>
        <w:t>&lt;/NumAm&gt;</w:t>
      </w:r>
    </w:p>
    <w:p w14:paraId="08CC707F"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60472E2"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1 – paragraph 1 – point c</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691138A" w14:textId="77777777" w:rsidTr="00CB2077">
        <w:trPr>
          <w:jc w:val="center"/>
        </w:trPr>
        <w:tc>
          <w:tcPr>
            <w:tcW w:w="9752" w:type="dxa"/>
            <w:gridSpan w:val="2"/>
          </w:tcPr>
          <w:p w14:paraId="13B80B2A" w14:textId="77777777" w:rsidR="00CB2077" w:rsidRPr="007047B5" w:rsidRDefault="00CB2077">
            <w:pPr>
              <w:keepNext/>
              <w:rPr>
                <w:lang w:val="en-IE"/>
              </w:rPr>
            </w:pPr>
          </w:p>
        </w:tc>
      </w:tr>
      <w:tr w:rsidR="00CB2077" w:rsidRPr="007047B5" w14:paraId="3EF03B47" w14:textId="77777777" w:rsidTr="00CB2077">
        <w:trPr>
          <w:jc w:val="center"/>
        </w:trPr>
        <w:tc>
          <w:tcPr>
            <w:tcW w:w="4876" w:type="dxa"/>
            <w:hideMark/>
          </w:tcPr>
          <w:p w14:paraId="56A76155"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E4DEFAA" w14:textId="77777777" w:rsidR="00CB2077" w:rsidRPr="007047B5" w:rsidRDefault="00CB2077">
            <w:pPr>
              <w:pStyle w:val="ColumnHeading"/>
              <w:keepNext/>
              <w:rPr>
                <w:lang w:val="en-IE"/>
              </w:rPr>
            </w:pPr>
            <w:r w:rsidRPr="007047B5">
              <w:rPr>
                <w:lang w:val="en-IE"/>
              </w:rPr>
              <w:t>Amendment</w:t>
            </w:r>
          </w:p>
        </w:tc>
      </w:tr>
      <w:tr w:rsidR="00CB2077" w:rsidRPr="007047B5" w14:paraId="27AD6672" w14:textId="77777777" w:rsidTr="00CB2077">
        <w:trPr>
          <w:jc w:val="center"/>
        </w:trPr>
        <w:tc>
          <w:tcPr>
            <w:tcW w:w="4876" w:type="dxa"/>
            <w:hideMark/>
          </w:tcPr>
          <w:p w14:paraId="211EE9A3" w14:textId="77777777" w:rsidR="00CB2077" w:rsidRPr="007047B5" w:rsidRDefault="00CB2077">
            <w:pPr>
              <w:pStyle w:val="Normal6"/>
              <w:rPr>
                <w:lang w:val="en-IE"/>
              </w:rPr>
            </w:pPr>
            <w:r w:rsidRPr="007047B5">
              <w:rPr>
                <w:lang w:val="en-IE"/>
              </w:rPr>
              <w:t>(c)</w:t>
            </w:r>
            <w:r w:rsidRPr="007047B5">
              <w:rPr>
                <w:lang w:val="en-IE"/>
              </w:rPr>
              <w:tab/>
              <w:t xml:space="preserve">measures to </w:t>
            </w:r>
            <w:r w:rsidRPr="007047B5">
              <w:rPr>
                <w:b/>
                <w:i/>
                <w:lang w:val="en-IE"/>
              </w:rPr>
              <w:t>limit the misuse</w:t>
            </w:r>
            <w:r w:rsidRPr="007047B5">
              <w:rPr>
                <w:lang w:val="en-IE"/>
              </w:rPr>
              <w:t xml:space="preserve"> of bearer instruments.</w:t>
            </w:r>
          </w:p>
        </w:tc>
        <w:tc>
          <w:tcPr>
            <w:tcW w:w="4876" w:type="dxa"/>
            <w:hideMark/>
          </w:tcPr>
          <w:p w14:paraId="39F5D9B2" w14:textId="77777777" w:rsidR="00CB2077" w:rsidRPr="007047B5" w:rsidRDefault="00CB2077">
            <w:pPr>
              <w:pStyle w:val="Normal6"/>
              <w:rPr>
                <w:szCs w:val="24"/>
                <w:lang w:val="en-IE"/>
              </w:rPr>
            </w:pPr>
            <w:r w:rsidRPr="007047B5">
              <w:rPr>
                <w:lang w:val="en-IE"/>
              </w:rPr>
              <w:t>(c)</w:t>
            </w:r>
            <w:r w:rsidRPr="007047B5">
              <w:rPr>
                <w:lang w:val="en-IE"/>
              </w:rPr>
              <w:tab/>
              <w:t xml:space="preserve">measures to </w:t>
            </w:r>
            <w:r w:rsidRPr="007047B5">
              <w:rPr>
                <w:b/>
                <w:i/>
                <w:lang w:val="en-IE"/>
              </w:rPr>
              <w:t>ban the use</w:t>
            </w:r>
            <w:r w:rsidRPr="007047B5">
              <w:rPr>
                <w:lang w:val="en-IE"/>
              </w:rPr>
              <w:t xml:space="preserve"> of bearer instruments.</w:t>
            </w:r>
          </w:p>
        </w:tc>
      </w:tr>
    </w:tbl>
    <w:p w14:paraId="423FE2A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7E70633" w14:textId="77777777" w:rsidR="00CB2077" w:rsidRPr="007047B5" w:rsidRDefault="00CB2077" w:rsidP="00CB2077">
      <w:pPr>
        <w:rPr>
          <w:lang w:val="en-IE"/>
        </w:rPr>
      </w:pPr>
      <w:r w:rsidRPr="007047B5">
        <w:rPr>
          <w:rStyle w:val="HideTWBExt"/>
          <w:noProof w:val="0"/>
          <w:lang w:val="en-IE"/>
        </w:rPr>
        <w:t>&lt;/Amend&gt;</w:t>
      </w:r>
    </w:p>
    <w:p w14:paraId="64E58AB9"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21</w:t>
      </w:r>
      <w:r w:rsidRPr="007047B5">
        <w:rPr>
          <w:rStyle w:val="HideTWBExt"/>
          <w:b w:val="0"/>
          <w:noProof w:val="0"/>
          <w:lang w:val="en-IE"/>
        </w:rPr>
        <w:t>&lt;/NumAm&gt;</w:t>
      </w:r>
    </w:p>
    <w:p w14:paraId="5507BDE3"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50C8FC6"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 – paragraph 1 – point 7 – point b</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2D61CC3" w14:textId="77777777" w:rsidTr="00CB2077">
        <w:trPr>
          <w:jc w:val="center"/>
        </w:trPr>
        <w:tc>
          <w:tcPr>
            <w:tcW w:w="9752" w:type="dxa"/>
            <w:gridSpan w:val="2"/>
          </w:tcPr>
          <w:p w14:paraId="6DF45E64" w14:textId="77777777" w:rsidR="00CB2077" w:rsidRPr="007047B5" w:rsidRDefault="00CB2077">
            <w:pPr>
              <w:keepNext/>
              <w:rPr>
                <w:lang w:val="fr-FR"/>
              </w:rPr>
            </w:pPr>
          </w:p>
        </w:tc>
      </w:tr>
      <w:tr w:rsidR="00CB2077" w:rsidRPr="007047B5" w14:paraId="7406DC92" w14:textId="77777777" w:rsidTr="00CB2077">
        <w:trPr>
          <w:jc w:val="center"/>
        </w:trPr>
        <w:tc>
          <w:tcPr>
            <w:tcW w:w="4876" w:type="dxa"/>
            <w:hideMark/>
          </w:tcPr>
          <w:p w14:paraId="7B1A372F"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7C3F7D1" w14:textId="77777777" w:rsidR="00CB2077" w:rsidRPr="007047B5" w:rsidRDefault="00CB2077">
            <w:pPr>
              <w:pStyle w:val="ColumnHeading"/>
              <w:keepNext/>
              <w:rPr>
                <w:lang w:val="en-IE"/>
              </w:rPr>
            </w:pPr>
            <w:r w:rsidRPr="007047B5">
              <w:rPr>
                <w:lang w:val="en-IE"/>
              </w:rPr>
              <w:t>Amendment</w:t>
            </w:r>
          </w:p>
        </w:tc>
      </w:tr>
      <w:tr w:rsidR="00CB2077" w:rsidRPr="007047B5" w14:paraId="21A00198" w14:textId="77777777" w:rsidTr="00CB2077">
        <w:trPr>
          <w:jc w:val="center"/>
        </w:trPr>
        <w:tc>
          <w:tcPr>
            <w:tcW w:w="4876" w:type="dxa"/>
            <w:hideMark/>
          </w:tcPr>
          <w:p w14:paraId="4648D077" w14:textId="77777777" w:rsidR="00CB2077" w:rsidRPr="007047B5" w:rsidRDefault="00CB2077">
            <w:pPr>
              <w:pStyle w:val="Normal6"/>
              <w:rPr>
                <w:lang w:val="en-IE"/>
              </w:rPr>
            </w:pPr>
            <w:r w:rsidRPr="007047B5">
              <w:rPr>
                <w:lang w:val="en-IE"/>
              </w:rPr>
              <w:t>(b)</w:t>
            </w:r>
            <w:r w:rsidRPr="007047B5">
              <w:rPr>
                <w:lang w:val="en-IE"/>
              </w:rPr>
              <w:tab/>
              <w:t>acting as, or arranging for another person to act as, a director or secretary of a company, a partner of a partnership, or a similar position in relation to other legal persons;</w:t>
            </w:r>
          </w:p>
        </w:tc>
        <w:tc>
          <w:tcPr>
            <w:tcW w:w="4876" w:type="dxa"/>
            <w:hideMark/>
          </w:tcPr>
          <w:p w14:paraId="72722FC8" w14:textId="77777777" w:rsidR="00CB2077" w:rsidRPr="007047B5" w:rsidRDefault="00CB2077">
            <w:pPr>
              <w:pStyle w:val="Normal6"/>
              <w:rPr>
                <w:szCs w:val="24"/>
                <w:lang w:val="en-IE"/>
              </w:rPr>
            </w:pPr>
            <w:r w:rsidRPr="007047B5">
              <w:rPr>
                <w:lang w:val="en-IE"/>
              </w:rPr>
              <w:t>(b)</w:t>
            </w:r>
            <w:r w:rsidRPr="007047B5">
              <w:rPr>
                <w:lang w:val="en-IE"/>
              </w:rPr>
              <w:tab/>
              <w:t xml:space="preserve">acting as, or arranging for another person to act as, a director or secretary of a company, </w:t>
            </w:r>
            <w:r w:rsidRPr="007047B5">
              <w:rPr>
                <w:b/>
                <w:i/>
                <w:lang w:val="en-IE"/>
              </w:rPr>
              <w:t>namely as a nominee,</w:t>
            </w:r>
            <w:r w:rsidRPr="007047B5">
              <w:rPr>
                <w:lang w:val="en-IE"/>
              </w:rPr>
              <w:t xml:space="preserve"> a partner of a partnership, or a similar position in relation to other legal persons;</w:t>
            </w:r>
          </w:p>
        </w:tc>
      </w:tr>
    </w:tbl>
    <w:p w14:paraId="1269FA7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6BA5D55" w14:textId="77777777" w:rsidR="00CB2077" w:rsidRPr="007047B5" w:rsidRDefault="00CB2077" w:rsidP="00CB2077">
      <w:pPr>
        <w:rPr>
          <w:lang w:val="en-IE"/>
        </w:rPr>
      </w:pPr>
      <w:r w:rsidRPr="007047B5">
        <w:rPr>
          <w:rStyle w:val="HideTWBExt"/>
          <w:noProof w:val="0"/>
          <w:lang w:val="en-IE"/>
        </w:rPr>
        <w:t>&lt;/Amend&gt;</w:t>
      </w:r>
    </w:p>
    <w:p w14:paraId="369B3EE6"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22</w:t>
      </w:r>
      <w:r w:rsidRPr="007047B5">
        <w:rPr>
          <w:rStyle w:val="HideTWBExt"/>
          <w:b w:val="0"/>
          <w:noProof w:val="0"/>
          <w:lang w:val="en-IE"/>
        </w:rPr>
        <w:t>&lt;/NumAm&gt;</w:t>
      </w:r>
    </w:p>
    <w:p w14:paraId="7CC8E028"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14C603B"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 – paragraph 1 – point 7 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482E02A" w14:textId="77777777" w:rsidTr="00CB2077">
        <w:trPr>
          <w:jc w:val="center"/>
        </w:trPr>
        <w:tc>
          <w:tcPr>
            <w:tcW w:w="9752" w:type="dxa"/>
            <w:gridSpan w:val="2"/>
          </w:tcPr>
          <w:p w14:paraId="2A14A175" w14:textId="77777777" w:rsidR="00CB2077" w:rsidRPr="007047B5" w:rsidRDefault="00CB2077">
            <w:pPr>
              <w:keepNext/>
              <w:rPr>
                <w:lang w:val="fr-FR"/>
              </w:rPr>
            </w:pPr>
          </w:p>
        </w:tc>
      </w:tr>
      <w:tr w:rsidR="00CB2077" w:rsidRPr="007047B5" w14:paraId="350AAA6C" w14:textId="77777777" w:rsidTr="00CB2077">
        <w:trPr>
          <w:jc w:val="center"/>
        </w:trPr>
        <w:tc>
          <w:tcPr>
            <w:tcW w:w="4876" w:type="dxa"/>
            <w:hideMark/>
          </w:tcPr>
          <w:p w14:paraId="5BDEA337"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7286DD8" w14:textId="77777777" w:rsidR="00CB2077" w:rsidRPr="007047B5" w:rsidRDefault="00CB2077">
            <w:pPr>
              <w:pStyle w:val="ColumnHeading"/>
              <w:keepNext/>
              <w:rPr>
                <w:lang w:val="en-IE"/>
              </w:rPr>
            </w:pPr>
            <w:r w:rsidRPr="007047B5">
              <w:rPr>
                <w:lang w:val="en-IE"/>
              </w:rPr>
              <w:t>Amendment</w:t>
            </w:r>
          </w:p>
        </w:tc>
      </w:tr>
      <w:tr w:rsidR="00CB2077" w:rsidRPr="007047B5" w14:paraId="5B4F710E" w14:textId="77777777" w:rsidTr="00CB2077">
        <w:trPr>
          <w:jc w:val="center"/>
        </w:trPr>
        <w:tc>
          <w:tcPr>
            <w:tcW w:w="4876" w:type="dxa"/>
          </w:tcPr>
          <w:p w14:paraId="7538B87D" w14:textId="77777777" w:rsidR="00CB2077" w:rsidRPr="007047B5" w:rsidRDefault="00CB2077">
            <w:pPr>
              <w:pStyle w:val="Normal6"/>
              <w:rPr>
                <w:lang w:val="en-IE"/>
              </w:rPr>
            </w:pPr>
          </w:p>
        </w:tc>
        <w:tc>
          <w:tcPr>
            <w:tcW w:w="4876" w:type="dxa"/>
            <w:hideMark/>
          </w:tcPr>
          <w:p w14:paraId="1C0A89A6" w14:textId="67410D7D" w:rsidR="00CB2077" w:rsidRPr="007047B5" w:rsidRDefault="00CB2077" w:rsidP="00610012">
            <w:pPr>
              <w:pStyle w:val="Normal6"/>
              <w:rPr>
                <w:szCs w:val="24"/>
                <w:lang w:val="en-IE"/>
              </w:rPr>
            </w:pPr>
            <w:r w:rsidRPr="007047B5">
              <w:rPr>
                <w:b/>
                <w:i/>
                <w:lang w:val="en-IE"/>
              </w:rPr>
              <w:t>(7a)</w:t>
            </w:r>
            <w:r w:rsidRPr="007047B5">
              <w:rPr>
                <w:b/>
                <w:i/>
                <w:lang w:val="en-IE"/>
              </w:rPr>
              <w:tab/>
            </w:r>
            <w:r w:rsidR="00610012" w:rsidRPr="007047B5">
              <w:rPr>
                <w:b/>
                <w:i/>
                <w:lang w:val="en-IE"/>
              </w:rPr>
              <w:t>‘</w:t>
            </w:r>
            <w:r w:rsidRPr="007047B5">
              <w:rPr>
                <w:b/>
                <w:i/>
                <w:lang w:val="en-IE"/>
              </w:rPr>
              <w:t>wealth or asset manager</w:t>
            </w:r>
            <w:r w:rsidR="00610012" w:rsidRPr="007047B5">
              <w:rPr>
                <w:b/>
                <w:i/>
                <w:lang w:val="en-IE"/>
              </w:rPr>
              <w:t>’</w:t>
            </w:r>
            <w:r w:rsidRPr="007047B5">
              <w:rPr>
                <w:b/>
                <w:i/>
                <w:lang w:val="en-IE"/>
              </w:rPr>
              <w:t xml:space="preserve"> means a</w:t>
            </w:r>
            <w:r w:rsidR="00BD6C15" w:rsidRPr="007047B5">
              <w:rPr>
                <w:b/>
                <w:i/>
                <w:lang w:val="en-IE"/>
              </w:rPr>
              <w:t xml:space="preserve"> natural or legal</w:t>
            </w:r>
            <w:r w:rsidRPr="007047B5">
              <w:rPr>
                <w:b/>
                <w:i/>
                <w:lang w:val="en-IE"/>
              </w:rPr>
              <w:t xml:space="preserve"> person that, by way of its business, provides services and offers products designed to grow, protect, utilise and disseminate the wealth of third parties;</w:t>
            </w:r>
          </w:p>
        </w:tc>
      </w:tr>
    </w:tbl>
    <w:p w14:paraId="11B1186E"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202EE7B" w14:textId="77777777" w:rsidR="00CB2077" w:rsidRPr="007047B5" w:rsidRDefault="00CB2077" w:rsidP="00CB2077">
      <w:pPr>
        <w:rPr>
          <w:lang w:val="en-IE"/>
        </w:rPr>
      </w:pPr>
      <w:r w:rsidRPr="007047B5">
        <w:rPr>
          <w:rStyle w:val="HideTWBExt"/>
          <w:noProof w:val="0"/>
          <w:lang w:val="en-IE"/>
        </w:rPr>
        <w:t>&lt;/Amend&gt;</w:t>
      </w:r>
    </w:p>
    <w:p w14:paraId="5583B934"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23</w:t>
      </w:r>
      <w:r w:rsidRPr="007047B5">
        <w:rPr>
          <w:rStyle w:val="HideTWBExt"/>
          <w:b w:val="0"/>
          <w:noProof w:val="0"/>
          <w:lang w:val="en-IE"/>
        </w:rPr>
        <w:t>&lt;/NumAm&gt;</w:t>
      </w:r>
    </w:p>
    <w:p w14:paraId="3964D589"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C60B3D8"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 – paragraph 1 – point 14 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FAF08F9" w14:textId="77777777" w:rsidTr="00CB2077">
        <w:trPr>
          <w:jc w:val="center"/>
        </w:trPr>
        <w:tc>
          <w:tcPr>
            <w:tcW w:w="9752" w:type="dxa"/>
            <w:gridSpan w:val="2"/>
          </w:tcPr>
          <w:p w14:paraId="54E065D2" w14:textId="77777777" w:rsidR="00CB2077" w:rsidRPr="007047B5" w:rsidRDefault="00CB2077">
            <w:pPr>
              <w:keepNext/>
              <w:rPr>
                <w:lang w:val="fr-FR"/>
              </w:rPr>
            </w:pPr>
          </w:p>
        </w:tc>
      </w:tr>
      <w:tr w:rsidR="00CB2077" w:rsidRPr="007047B5" w14:paraId="707D830F" w14:textId="77777777" w:rsidTr="00CB2077">
        <w:trPr>
          <w:jc w:val="center"/>
        </w:trPr>
        <w:tc>
          <w:tcPr>
            <w:tcW w:w="4876" w:type="dxa"/>
            <w:hideMark/>
          </w:tcPr>
          <w:p w14:paraId="38F81093"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FA0A242" w14:textId="77777777" w:rsidR="00CB2077" w:rsidRPr="007047B5" w:rsidRDefault="00CB2077">
            <w:pPr>
              <w:pStyle w:val="ColumnHeading"/>
              <w:keepNext/>
              <w:rPr>
                <w:lang w:val="en-IE"/>
              </w:rPr>
            </w:pPr>
            <w:r w:rsidRPr="007047B5">
              <w:rPr>
                <w:lang w:val="en-IE"/>
              </w:rPr>
              <w:t>Amendment</w:t>
            </w:r>
          </w:p>
        </w:tc>
      </w:tr>
      <w:tr w:rsidR="00CB2077" w:rsidRPr="007047B5" w14:paraId="02EF9264" w14:textId="77777777" w:rsidTr="00CB2077">
        <w:trPr>
          <w:jc w:val="center"/>
        </w:trPr>
        <w:tc>
          <w:tcPr>
            <w:tcW w:w="4876" w:type="dxa"/>
          </w:tcPr>
          <w:p w14:paraId="1A19C26C" w14:textId="77777777" w:rsidR="00CB2077" w:rsidRPr="007047B5" w:rsidRDefault="00CB2077">
            <w:pPr>
              <w:pStyle w:val="Normal6"/>
              <w:rPr>
                <w:lang w:val="en-IE"/>
              </w:rPr>
            </w:pPr>
          </w:p>
        </w:tc>
        <w:tc>
          <w:tcPr>
            <w:tcW w:w="4876" w:type="dxa"/>
            <w:hideMark/>
          </w:tcPr>
          <w:p w14:paraId="69447955" w14:textId="5EAF9078" w:rsidR="00CB2077" w:rsidRPr="007047B5" w:rsidRDefault="00CB2077" w:rsidP="00610012">
            <w:pPr>
              <w:pStyle w:val="Normal6"/>
              <w:rPr>
                <w:szCs w:val="24"/>
                <w:lang w:val="en-IE"/>
              </w:rPr>
            </w:pPr>
            <w:r w:rsidRPr="007047B5">
              <w:rPr>
                <w:b/>
                <w:i/>
                <w:lang w:val="en-IE"/>
              </w:rPr>
              <w:t>(14a)</w:t>
            </w:r>
            <w:r w:rsidRPr="007047B5">
              <w:rPr>
                <w:b/>
                <w:i/>
                <w:lang w:val="en-IE"/>
              </w:rPr>
              <w:tab/>
            </w:r>
            <w:r w:rsidR="00610012" w:rsidRPr="007047B5">
              <w:rPr>
                <w:b/>
                <w:i/>
                <w:lang w:val="en-IE"/>
              </w:rPr>
              <w:t>‘</w:t>
            </w:r>
            <w:r w:rsidRPr="007047B5">
              <w:rPr>
                <w:b/>
                <w:i/>
                <w:lang w:val="en-IE"/>
              </w:rPr>
              <w:t>high-level professional football club</w:t>
            </w:r>
            <w:r w:rsidR="00610012" w:rsidRPr="007047B5">
              <w:rPr>
                <w:b/>
                <w:i/>
                <w:lang w:val="en-IE"/>
              </w:rPr>
              <w:t>’</w:t>
            </w:r>
            <w:r w:rsidRPr="007047B5">
              <w:rPr>
                <w:b/>
                <w:i/>
                <w:lang w:val="en-IE"/>
              </w:rPr>
              <w:t xml:space="preserve"> means a legal entity established in a Member State which owns or manages a professional football club of which at least one team plays in the championship</w:t>
            </w:r>
            <w:r w:rsidR="00610012" w:rsidRPr="007047B5">
              <w:rPr>
                <w:b/>
                <w:i/>
                <w:lang w:val="en-IE"/>
              </w:rPr>
              <w:t xml:space="preserve"> or championship</w:t>
            </w:r>
            <w:r w:rsidRPr="007047B5">
              <w:rPr>
                <w:b/>
                <w:i/>
                <w:lang w:val="en-IE"/>
              </w:rPr>
              <w:t>s of the highest level of the competition in that Member State;</w:t>
            </w:r>
          </w:p>
        </w:tc>
      </w:tr>
    </w:tbl>
    <w:p w14:paraId="3BCFB802"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AD2E89E" w14:textId="77777777" w:rsidR="00CB2077" w:rsidRPr="007047B5" w:rsidRDefault="00CB2077" w:rsidP="00CB2077">
      <w:pPr>
        <w:rPr>
          <w:lang w:val="en-IE"/>
        </w:rPr>
      </w:pPr>
      <w:r w:rsidRPr="007047B5">
        <w:rPr>
          <w:rStyle w:val="HideTWBExt"/>
          <w:noProof w:val="0"/>
          <w:lang w:val="en-IE"/>
        </w:rPr>
        <w:t>&lt;/Amend&gt;</w:t>
      </w:r>
    </w:p>
    <w:p w14:paraId="7832AF3D"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24</w:t>
      </w:r>
      <w:r w:rsidRPr="007047B5">
        <w:rPr>
          <w:rStyle w:val="HideTWBExt"/>
          <w:b w:val="0"/>
          <w:noProof w:val="0"/>
          <w:lang w:val="en-IE"/>
        </w:rPr>
        <w:t>&lt;/NumAm&gt;</w:t>
      </w:r>
    </w:p>
    <w:p w14:paraId="4B79C00E"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8C9AD88"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 – paragraph 1 – point 14 b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15039D4" w14:textId="77777777" w:rsidTr="00CB2077">
        <w:trPr>
          <w:jc w:val="center"/>
        </w:trPr>
        <w:tc>
          <w:tcPr>
            <w:tcW w:w="9752" w:type="dxa"/>
            <w:gridSpan w:val="2"/>
          </w:tcPr>
          <w:p w14:paraId="0C130916" w14:textId="77777777" w:rsidR="00CB2077" w:rsidRPr="007047B5" w:rsidRDefault="00CB2077">
            <w:pPr>
              <w:keepNext/>
              <w:rPr>
                <w:lang w:val="fr-FR"/>
              </w:rPr>
            </w:pPr>
          </w:p>
        </w:tc>
      </w:tr>
      <w:tr w:rsidR="00CB2077" w:rsidRPr="007047B5" w14:paraId="5CCFD526" w14:textId="77777777" w:rsidTr="00CB2077">
        <w:trPr>
          <w:jc w:val="center"/>
        </w:trPr>
        <w:tc>
          <w:tcPr>
            <w:tcW w:w="4876" w:type="dxa"/>
            <w:hideMark/>
          </w:tcPr>
          <w:p w14:paraId="0DC753A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2E02A9F" w14:textId="77777777" w:rsidR="00CB2077" w:rsidRPr="007047B5" w:rsidRDefault="00CB2077">
            <w:pPr>
              <w:pStyle w:val="ColumnHeading"/>
              <w:keepNext/>
              <w:rPr>
                <w:lang w:val="en-IE"/>
              </w:rPr>
            </w:pPr>
            <w:r w:rsidRPr="007047B5">
              <w:rPr>
                <w:lang w:val="en-IE"/>
              </w:rPr>
              <w:t>Amendment</w:t>
            </w:r>
          </w:p>
        </w:tc>
      </w:tr>
      <w:tr w:rsidR="00CB2077" w:rsidRPr="007047B5" w14:paraId="4120A208" w14:textId="77777777" w:rsidTr="00CB2077">
        <w:trPr>
          <w:jc w:val="center"/>
        </w:trPr>
        <w:tc>
          <w:tcPr>
            <w:tcW w:w="4876" w:type="dxa"/>
          </w:tcPr>
          <w:p w14:paraId="2C310645" w14:textId="77777777" w:rsidR="00CB2077" w:rsidRPr="007047B5" w:rsidRDefault="00CB2077">
            <w:pPr>
              <w:pStyle w:val="Normal6"/>
              <w:rPr>
                <w:lang w:val="en-IE"/>
              </w:rPr>
            </w:pPr>
          </w:p>
        </w:tc>
        <w:tc>
          <w:tcPr>
            <w:tcW w:w="4876" w:type="dxa"/>
            <w:hideMark/>
          </w:tcPr>
          <w:p w14:paraId="6FCA5B62" w14:textId="7E2EACBA" w:rsidR="00CB2077" w:rsidRPr="007047B5" w:rsidRDefault="00CB2077" w:rsidP="00DD29FC">
            <w:pPr>
              <w:pStyle w:val="Normal6"/>
              <w:rPr>
                <w:szCs w:val="24"/>
                <w:lang w:val="en-IE"/>
              </w:rPr>
            </w:pPr>
            <w:r w:rsidRPr="007047B5">
              <w:rPr>
                <w:b/>
                <w:i/>
                <w:lang w:val="en-IE"/>
              </w:rPr>
              <w:t>(14b)</w:t>
            </w:r>
            <w:r w:rsidRPr="007047B5">
              <w:rPr>
                <w:b/>
                <w:i/>
                <w:lang w:val="en-IE"/>
              </w:rPr>
              <w:tab/>
            </w:r>
            <w:r w:rsidR="00610012" w:rsidRPr="007047B5">
              <w:rPr>
                <w:b/>
                <w:i/>
                <w:lang w:val="en-IE"/>
              </w:rPr>
              <w:t>‘</w:t>
            </w:r>
            <w:r w:rsidRPr="007047B5">
              <w:rPr>
                <w:b/>
                <w:i/>
                <w:lang w:val="en-IE"/>
              </w:rPr>
              <w:t>sports agent in the football sector</w:t>
            </w:r>
            <w:r w:rsidR="00610012" w:rsidRPr="007047B5">
              <w:rPr>
                <w:b/>
                <w:i/>
                <w:lang w:val="en-IE"/>
              </w:rPr>
              <w:t>’</w:t>
            </w:r>
            <w:r w:rsidRPr="007047B5">
              <w:rPr>
                <w:b/>
                <w:i/>
                <w:lang w:val="en-IE"/>
              </w:rPr>
              <w:t xml:space="preserve"> means a</w:t>
            </w:r>
            <w:r w:rsidR="00610012" w:rsidRPr="007047B5">
              <w:rPr>
                <w:b/>
                <w:i/>
                <w:lang w:val="en-IE"/>
              </w:rPr>
              <w:t xml:space="preserve"> </w:t>
            </w:r>
            <w:r w:rsidRPr="007047B5">
              <w:rPr>
                <w:b/>
                <w:i/>
                <w:lang w:val="en-IE"/>
              </w:rPr>
              <w:t>person that provides private job placement in the football sector for p</w:t>
            </w:r>
            <w:r w:rsidR="00DD29FC" w:rsidRPr="007047B5">
              <w:rPr>
                <w:b/>
                <w:i/>
                <w:lang w:val="en-IE"/>
              </w:rPr>
              <w:t>r</w:t>
            </w:r>
            <w:r w:rsidRPr="007047B5">
              <w:rPr>
                <w:b/>
                <w:i/>
                <w:lang w:val="en-IE"/>
              </w:rPr>
              <w:t>o</w:t>
            </w:r>
            <w:r w:rsidR="00DD29FC" w:rsidRPr="007047B5">
              <w:rPr>
                <w:b/>
                <w:i/>
                <w:lang w:val="en-IE"/>
              </w:rPr>
              <w:t>spective</w:t>
            </w:r>
            <w:r w:rsidRPr="007047B5">
              <w:rPr>
                <w:b/>
                <w:i/>
                <w:lang w:val="en-IE"/>
              </w:rPr>
              <w:t xml:space="preserve"> paid football players or for employers with a view to signing an </w:t>
            </w:r>
            <w:r w:rsidRPr="007047B5">
              <w:rPr>
                <w:b/>
                <w:i/>
                <w:lang w:val="en-IE"/>
              </w:rPr>
              <w:lastRenderedPageBreak/>
              <w:t>employment contract for paid football players;</w:t>
            </w:r>
          </w:p>
        </w:tc>
      </w:tr>
    </w:tbl>
    <w:p w14:paraId="1BF4E83F"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1D7E7C79" w14:textId="77777777" w:rsidR="00CB2077" w:rsidRPr="007047B5" w:rsidRDefault="00CB2077" w:rsidP="00CB2077">
      <w:pPr>
        <w:rPr>
          <w:lang w:val="en-IE"/>
        </w:rPr>
      </w:pPr>
      <w:r w:rsidRPr="007047B5">
        <w:rPr>
          <w:rStyle w:val="HideTWBExt"/>
          <w:noProof w:val="0"/>
          <w:lang w:val="en-IE"/>
        </w:rPr>
        <w:t>&lt;/Amend&gt;</w:t>
      </w:r>
    </w:p>
    <w:p w14:paraId="187A01A8"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25</w:t>
      </w:r>
      <w:r w:rsidRPr="007047B5">
        <w:rPr>
          <w:rStyle w:val="HideTWBExt"/>
          <w:b w:val="0"/>
          <w:noProof w:val="0"/>
          <w:lang w:val="en-IE"/>
        </w:rPr>
        <w:t>&lt;/NumAm&gt;</w:t>
      </w:r>
    </w:p>
    <w:p w14:paraId="1B9E3963"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00C5D03"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 – paragraph 1 – point 20 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512C3FD" w14:textId="77777777" w:rsidTr="00CB2077">
        <w:trPr>
          <w:jc w:val="center"/>
        </w:trPr>
        <w:tc>
          <w:tcPr>
            <w:tcW w:w="9752" w:type="dxa"/>
            <w:gridSpan w:val="2"/>
          </w:tcPr>
          <w:p w14:paraId="155911F6" w14:textId="77777777" w:rsidR="00CB2077" w:rsidRPr="007047B5" w:rsidRDefault="00CB2077">
            <w:pPr>
              <w:keepNext/>
              <w:rPr>
                <w:lang w:val="fr-FR"/>
              </w:rPr>
            </w:pPr>
          </w:p>
        </w:tc>
      </w:tr>
      <w:tr w:rsidR="00CB2077" w:rsidRPr="007047B5" w14:paraId="0B556173" w14:textId="77777777" w:rsidTr="00CB2077">
        <w:trPr>
          <w:jc w:val="center"/>
        </w:trPr>
        <w:tc>
          <w:tcPr>
            <w:tcW w:w="4876" w:type="dxa"/>
            <w:hideMark/>
          </w:tcPr>
          <w:p w14:paraId="0BF58E8A"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669FE80" w14:textId="77777777" w:rsidR="00CB2077" w:rsidRPr="007047B5" w:rsidRDefault="00CB2077">
            <w:pPr>
              <w:pStyle w:val="ColumnHeading"/>
              <w:keepNext/>
              <w:rPr>
                <w:lang w:val="en-IE"/>
              </w:rPr>
            </w:pPr>
            <w:r w:rsidRPr="007047B5">
              <w:rPr>
                <w:lang w:val="en-IE"/>
              </w:rPr>
              <w:t>Amendment</w:t>
            </w:r>
          </w:p>
        </w:tc>
      </w:tr>
      <w:tr w:rsidR="00CB2077" w:rsidRPr="007047B5" w14:paraId="22C49F02" w14:textId="77777777" w:rsidTr="00CB2077">
        <w:trPr>
          <w:jc w:val="center"/>
        </w:trPr>
        <w:tc>
          <w:tcPr>
            <w:tcW w:w="4876" w:type="dxa"/>
          </w:tcPr>
          <w:p w14:paraId="6588304C" w14:textId="77777777" w:rsidR="00CB2077" w:rsidRPr="007047B5" w:rsidRDefault="00CB2077">
            <w:pPr>
              <w:pStyle w:val="Normal6"/>
              <w:rPr>
                <w:lang w:val="en-IE"/>
              </w:rPr>
            </w:pPr>
          </w:p>
        </w:tc>
        <w:tc>
          <w:tcPr>
            <w:tcW w:w="4876" w:type="dxa"/>
            <w:hideMark/>
          </w:tcPr>
          <w:p w14:paraId="34B1C44D" w14:textId="324ED468" w:rsidR="00CB2077" w:rsidRPr="007047B5" w:rsidRDefault="00CB2077" w:rsidP="00F03062">
            <w:pPr>
              <w:pStyle w:val="Normal6"/>
              <w:rPr>
                <w:szCs w:val="24"/>
                <w:lang w:val="en-IE"/>
              </w:rPr>
            </w:pPr>
            <w:r w:rsidRPr="007047B5">
              <w:rPr>
                <w:b/>
                <w:i/>
                <w:lang w:val="en-IE"/>
              </w:rPr>
              <w:t>(20a)</w:t>
            </w:r>
            <w:r w:rsidRPr="007047B5">
              <w:rPr>
                <w:b/>
                <w:i/>
                <w:lang w:val="en-IE"/>
              </w:rPr>
              <w:tab/>
              <w:t xml:space="preserve">‘non-compliant crypto-asset service provider’ means a crypto-asset service provider that is not established </w:t>
            </w:r>
            <w:r w:rsidR="00F03062" w:rsidRPr="007047B5">
              <w:rPr>
                <w:b/>
                <w:i/>
                <w:lang w:val="en-IE"/>
              </w:rPr>
              <w:t xml:space="preserve">in any jurisdiction </w:t>
            </w:r>
            <w:r w:rsidRPr="007047B5">
              <w:rPr>
                <w:b/>
                <w:i/>
                <w:lang w:val="en-IE"/>
              </w:rPr>
              <w:t xml:space="preserve">or does not have a central contact point or substantive management presence in any jurisdiction and </w:t>
            </w:r>
            <w:r w:rsidR="00F03062" w:rsidRPr="007047B5">
              <w:rPr>
                <w:b/>
                <w:i/>
                <w:lang w:val="en-IE"/>
              </w:rPr>
              <w:t xml:space="preserve">that </w:t>
            </w:r>
            <w:r w:rsidRPr="007047B5">
              <w:rPr>
                <w:b/>
                <w:i/>
                <w:lang w:val="en-IE"/>
              </w:rPr>
              <w:t xml:space="preserve">is unaffiliated with a regulated entity or </w:t>
            </w:r>
            <w:r w:rsidR="00F03062" w:rsidRPr="007047B5">
              <w:rPr>
                <w:b/>
                <w:i/>
                <w:lang w:val="en-IE"/>
              </w:rPr>
              <w:t xml:space="preserve">that </w:t>
            </w:r>
            <w:r w:rsidRPr="007047B5">
              <w:rPr>
                <w:b/>
                <w:i/>
                <w:lang w:val="en-IE"/>
              </w:rPr>
              <w:t xml:space="preserve">operates in the Union without authorisation under Regulation </w:t>
            </w:r>
            <w:r w:rsidR="00F03062" w:rsidRPr="007047B5">
              <w:rPr>
                <w:b/>
                <w:i/>
                <w:lang w:val="en-IE"/>
              </w:rPr>
              <w:t xml:space="preserve">(EU) 2021/... </w:t>
            </w:r>
            <w:r w:rsidRPr="007047B5">
              <w:rPr>
                <w:b/>
                <w:i/>
                <w:lang w:val="en-IE"/>
              </w:rPr>
              <w:t>[Regulation on Markets in Crypto-assets];</w:t>
            </w:r>
          </w:p>
        </w:tc>
      </w:tr>
    </w:tbl>
    <w:p w14:paraId="6C14CBD1"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4DC04B0" w14:textId="77777777" w:rsidR="00CB2077" w:rsidRPr="007047B5" w:rsidRDefault="00CB2077" w:rsidP="00CB2077">
      <w:pPr>
        <w:rPr>
          <w:lang w:val="en-IE"/>
        </w:rPr>
      </w:pPr>
      <w:r w:rsidRPr="007047B5">
        <w:rPr>
          <w:rStyle w:val="HideTWBExt"/>
          <w:noProof w:val="0"/>
          <w:lang w:val="en-IE"/>
        </w:rPr>
        <w:t>&lt;/Amend&gt;</w:t>
      </w:r>
    </w:p>
    <w:p w14:paraId="37ACC634"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26</w:t>
      </w:r>
      <w:r w:rsidRPr="007047B5">
        <w:rPr>
          <w:rStyle w:val="HideTWBExt"/>
          <w:b w:val="0"/>
          <w:noProof w:val="0"/>
          <w:lang w:val="en-IE"/>
        </w:rPr>
        <w:t>&lt;/NumAm&gt;</w:t>
      </w:r>
    </w:p>
    <w:p w14:paraId="7A3C92E0"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0DBA15A"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 xml:space="preserve">Article 2 – paragraph 1 – point 25 – point a </w:t>
      </w:r>
      <w:r w:rsidR="005127A2" w:rsidRPr="007047B5">
        <w:rPr>
          <w:lang w:val="fr-FR"/>
        </w:rPr>
        <w:t xml:space="preserve">- point vii </w:t>
      </w:r>
      <w:r w:rsidRPr="007047B5">
        <w:rPr>
          <w:lang w:val="fr-FR"/>
        </w:rPr>
        <w:t>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5A0D9F" w14:paraId="46B7D1A9" w14:textId="77777777" w:rsidTr="00CB2077">
        <w:trPr>
          <w:jc w:val="center"/>
        </w:trPr>
        <w:tc>
          <w:tcPr>
            <w:tcW w:w="9752" w:type="dxa"/>
            <w:gridSpan w:val="2"/>
          </w:tcPr>
          <w:p w14:paraId="04C9A47C" w14:textId="77777777" w:rsidR="00CB2077" w:rsidRPr="007047B5" w:rsidRDefault="00CB2077">
            <w:pPr>
              <w:keepNext/>
              <w:rPr>
                <w:lang w:val="fr-FR"/>
              </w:rPr>
            </w:pPr>
          </w:p>
        </w:tc>
      </w:tr>
      <w:tr w:rsidR="00CB2077" w:rsidRPr="007047B5" w14:paraId="209ACA60" w14:textId="77777777" w:rsidTr="00CB2077">
        <w:trPr>
          <w:jc w:val="center"/>
        </w:trPr>
        <w:tc>
          <w:tcPr>
            <w:tcW w:w="4876" w:type="dxa"/>
            <w:hideMark/>
          </w:tcPr>
          <w:p w14:paraId="14F3109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BD0B41E" w14:textId="77777777" w:rsidR="00CB2077" w:rsidRPr="007047B5" w:rsidRDefault="00CB2077">
            <w:pPr>
              <w:pStyle w:val="ColumnHeading"/>
              <w:keepNext/>
              <w:rPr>
                <w:lang w:val="en-IE"/>
              </w:rPr>
            </w:pPr>
            <w:r w:rsidRPr="007047B5">
              <w:rPr>
                <w:lang w:val="en-IE"/>
              </w:rPr>
              <w:t>Amendment</w:t>
            </w:r>
          </w:p>
        </w:tc>
      </w:tr>
      <w:tr w:rsidR="00CB2077" w:rsidRPr="007047B5" w14:paraId="20AE9846" w14:textId="77777777" w:rsidTr="00CB2077">
        <w:trPr>
          <w:jc w:val="center"/>
        </w:trPr>
        <w:tc>
          <w:tcPr>
            <w:tcW w:w="4876" w:type="dxa"/>
          </w:tcPr>
          <w:p w14:paraId="6D5298CB" w14:textId="77777777" w:rsidR="00CB2077" w:rsidRPr="007047B5" w:rsidRDefault="00CB2077">
            <w:pPr>
              <w:pStyle w:val="Normal6"/>
              <w:rPr>
                <w:lang w:val="en-IE"/>
              </w:rPr>
            </w:pPr>
          </w:p>
        </w:tc>
        <w:tc>
          <w:tcPr>
            <w:tcW w:w="4876" w:type="dxa"/>
            <w:hideMark/>
          </w:tcPr>
          <w:p w14:paraId="14BC8E5F" w14:textId="15376D41" w:rsidR="00CB2077" w:rsidRPr="007047B5" w:rsidRDefault="00CB2077" w:rsidP="00F101B6">
            <w:pPr>
              <w:pStyle w:val="Normal6"/>
              <w:rPr>
                <w:szCs w:val="24"/>
                <w:lang w:val="en-IE"/>
              </w:rPr>
            </w:pPr>
            <w:r w:rsidRPr="007047B5">
              <w:rPr>
                <w:b/>
                <w:i/>
                <w:lang w:val="en-IE"/>
              </w:rPr>
              <w:t>(</w:t>
            </w:r>
            <w:r w:rsidR="005127A2" w:rsidRPr="007047B5">
              <w:rPr>
                <w:b/>
                <w:i/>
                <w:lang w:val="en-IE"/>
              </w:rPr>
              <w:t>viia</w:t>
            </w:r>
            <w:r w:rsidRPr="007047B5">
              <w:rPr>
                <w:b/>
                <w:i/>
                <w:lang w:val="en-IE"/>
              </w:rPr>
              <w:t>)</w:t>
            </w:r>
            <w:r w:rsidRPr="007047B5">
              <w:rPr>
                <w:b/>
                <w:i/>
                <w:lang w:val="en-IE"/>
              </w:rPr>
              <w:tab/>
              <w:t>heads of regional and local authorities including groupings of municipalities and metropolitan regions;</w:t>
            </w:r>
          </w:p>
        </w:tc>
      </w:tr>
    </w:tbl>
    <w:p w14:paraId="65146D06"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BA776D7" w14:textId="77777777" w:rsidR="00CB2077" w:rsidRPr="007047B5" w:rsidRDefault="00CB2077" w:rsidP="00CB2077">
      <w:pPr>
        <w:rPr>
          <w:lang w:val="en-IE"/>
        </w:rPr>
      </w:pPr>
      <w:r w:rsidRPr="007047B5">
        <w:rPr>
          <w:rStyle w:val="HideTWBExt"/>
          <w:noProof w:val="0"/>
          <w:lang w:val="en-IE"/>
        </w:rPr>
        <w:t>&lt;/Amend&gt;</w:t>
      </w:r>
    </w:p>
    <w:p w14:paraId="4286F304"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27</w:t>
      </w:r>
      <w:r w:rsidRPr="007047B5">
        <w:rPr>
          <w:rStyle w:val="HideTWBExt"/>
          <w:b w:val="0"/>
          <w:noProof w:val="0"/>
          <w:lang w:val="en-IE"/>
        </w:rPr>
        <w:t>&lt;/NumAm&gt;</w:t>
      </w:r>
    </w:p>
    <w:p w14:paraId="4E25C348"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9C19167"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 – paragraph 1 – point 26 – point c</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20B0F65" w14:textId="77777777" w:rsidTr="00CB2077">
        <w:trPr>
          <w:jc w:val="center"/>
        </w:trPr>
        <w:tc>
          <w:tcPr>
            <w:tcW w:w="9752" w:type="dxa"/>
            <w:gridSpan w:val="2"/>
          </w:tcPr>
          <w:p w14:paraId="31F3D3A4" w14:textId="77777777" w:rsidR="00CB2077" w:rsidRPr="007047B5" w:rsidRDefault="00CB2077">
            <w:pPr>
              <w:keepNext/>
              <w:rPr>
                <w:lang w:val="fr-FR"/>
              </w:rPr>
            </w:pPr>
          </w:p>
        </w:tc>
      </w:tr>
      <w:tr w:rsidR="00CB2077" w:rsidRPr="007047B5" w14:paraId="33931BFA" w14:textId="77777777" w:rsidTr="00CB2077">
        <w:trPr>
          <w:jc w:val="center"/>
        </w:trPr>
        <w:tc>
          <w:tcPr>
            <w:tcW w:w="4876" w:type="dxa"/>
            <w:hideMark/>
          </w:tcPr>
          <w:p w14:paraId="2D5A8736"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501DD4A" w14:textId="77777777" w:rsidR="00CB2077" w:rsidRPr="007047B5" w:rsidRDefault="00CB2077">
            <w:pPr>
              <w:pStyle w:val="ColumnHeading"/>
              <w:keepNext/>
              <w:rPr>
                <w:lang w:val="en-IE"/>
              </w:rPr>
            </w:pPr>
            <w:r w:rsidRPr="007047B5">
              <w:rPr>
                <w:lang w:val="en-IE"/>
              </w:rPr>
              <w:t>Amendment</w:t>
            </w:r>
          </w:p>
        </w:tc>
      </w:tr>
      <w:tr w:rsidR="00CB2077" w:rsidRPr="007047B5" w14:paraId="7F4883B6" w14:textId="77777777" w:rsidTr="00CB2077">
        <w:trPr>
          <w:jc w:val="center"/>
        </w:trPr>
        <w:tc>
          <w:tcPr>
            <w:tcW w:w="4876" w:type="dxa"/>
            <w:hideMark/>
          </w:tcPr>
          <w:p w14:paraId="2DA51339" w14:textId="77777777" w:rsidR="00CB2077" w:rsidRPr="007047B5" w:rsidRDefault="00CB2077">
            <w:pPr>
              <w:pStyle w:val="Normal6"/>
              <w:rPr>
                <w:lang w:val="en-IE"/>
              </w:rPr>
            </w:pPr>
            <w:r w:rsidRPr="007047B5">
              <w:rPr>
                <w:lang w:val="en-IE"/>
              </w:rPr>
              <w:t>(c)</w:t>
            </w:r>
            <w:r w:rsidRPr="007047B5">
              <w:rPr>
                <w:lang w:val="en-IE"/>
              </w:rPr>
              <w:tab/>
              <w:t>the parents;</w:t>
            </w:r>
          </w:p>
        </w:tc>
        <w:tc>
          <w:tcPr>
            <w:tcW w:w="4876" w:type="dxa"/>
            <w:hideMark/>
          </w:tcPr>
          <w:p w14:paraId="30DF3D89" w14:textId="77777777" w:rsidR="00CB2077" w:rsidRPr="007047B5" w:rsidRDefault="00CB2077">
            <w:pPr>
              <w:pStyle w:val="Normal6"/>
              <w:rPr>
                <w:szCs w:val="24"/>
                <w:lang w:val="en-IE"/>
              </w:rPr>
            </w:pPr>
            <w:r w:rsidRPr="007047B5">
              <w:rPr>
                <w:lang w:val="en-IE"/>
              </w:rPr>
              <w:t>(c)</w:t>
            </w:r>
            <w:r w:rsidRPr="007047B5">
              <w:rPr>
                <w:lang w:val="en-IE"/>
              </w:rPr>
              <w:tab/>
              <w:t xml:space="preserve">the parents </w:t>
            </w:r>
            <w:r w:rsidRPr="007047B5">
              <w:rPr>
                <w:b/>
                <w:i/>
                <w:lang w:val="en-IE"/>
              </w:rPr>
              <w:t>and the siblings</w:t>
            </w:r>
            <w:r w:rsidRPr="007047B5">
              <w:rPr>
                <w:lang w:val="en-IE"/>
              </w:rPr>
              <w:t>;</w:t>
            </w:r>
          </w:p>
        </w:tc>
      </w:tr>
    </w:tbl>
    <w:p w14:paraId="1BF1E03F"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9347F92" w14:textId="77777777" w:rsidR="00CB2077" w:rsidRPr="007047B5" w:rsidRDefault="00CB2077" w:rsidP="00CB2077">
      <w:pPr>
        <w:rPr>
          <w:lang w:val="en-IE"/>
        </w:rPr>
      </w:pPr>
      <w:r w:rsidRPr="007047B5">
        <w:rPr>
          <w:rStyle w:val="HideTWBExt"/>
          <w:noProof w:val="0"/>
          <w:lang w:val="en-IE"/>
        </w:rPr>
        <w:t>&lt;/Amend&gt;</w:t>
      </w:r>
    </w:p>
    <w:p w14:paraId="5E0EBDBB"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28</w:t>
      </w:r>
      <w:r w:rsidRPr="007047B5">
        <w:rPr>
          <w:rStyle w:val="HideTWBExt"/>
          <w:b w:val="0"/>
          <w:noProof w:val="0"/>
          <w:lang w:val="en-IE"/>
        </w:rPr>
        <w:t>&lt;/NumAm&gt;</w:t>
      </w:r>
    </w:p>
    <w:p w14:paraId="7691A9E3"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D2F6C70"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 – paragraph 1 – point 27 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ED41118" w14:textId="77777777" w:rsidTr="00CB2077">
        <w:trPr>
          <w:jc w:val="center"/>
        </w:trPr>
        <w:tc>
          <w:tcPr>
            <w:tcW w:w="9752" w:type="dxa"/>
            <w:gridSpan w:val="2"/>
          </w:tcPr>
          <w:p w14:paraId="2F5FF202" w14:textId="77777777" w:rsidR="00CB2077" w:rsidRPr="007047B5" w:rsidRDefault="00CB2077">
            <w:pPr>
              <w:keepNext/>
              <w:rPr>
                <w:lang w:val="fr-FR"/>
              </w:rPr>
            </w:pPr>
          </w:p>
        </w:tc>
      </w:tr>
      <w:tr w:rsidR="00CB2077" w:rsidRPr="007047B5" w14:paraId="57DC07DA" w14:textId="77777777" w:rsidTr="00CB2077">
        <w:trPr>
          <w:jc w:val="center"/>
        </w:trPr>
        <w:tc>
          <w:tcPr>
            <w:tcW w:w="4876" w:type="dxa"/>
            <w:hideMark/>
          </w:tcPr>
          <w:p w14:paraId="78A07B70"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FAC80F5" w14:textId="77777777" w:rsidR="00CB2077" w:rsidRPr="007047B5" w:rsidRDefault="00CB2077">
            <w:pPr>
              <w:pStyle w:val="ColumnHeading"/>
              <w:keepNext/>
              <w:rPr>
                <w:lang w:val="en-IE"/>
              </w:rPr>
            </w:pPr>
            <w:r w:rsidRPr="007047B5">
              <w:rPr>
                <w:lang w:val="en-IE"/>
              </w:rPr>
              <w:t>Amendment</w:t>
            </w:r>
          </w:p>
        </w:tc>
      </w:tr>
      <w:tr w:rsidR="00CB2077" w:rsidRPr="007047B5" w14:paraId="70E4B77C" w14:textId="77777777" w:rsidTr="00CB2077">
        <w:trPr>
          <w:jc w:val="center"/>
        </w:trPr>
        <w:tc>
          <w:tcPr>
            <w:tcW w:w="4876" w:type="dxa"/>
          </w:tcPr>
          <w:p w14:paraId="2F260FA9" w14:textId="77777777" w:rsidR="00CB2077" w:rsidRPr="007047B5" w:rsidRDefault="00CB2077">
            <w:pPr>
              <w:pStyle w:val="Normal6"/>
              <w:rPr>
                <w:lang w:val="en-IE"/>
              </w:rPr>
            </w:pPr>
          </w:p>
        </w:tc>
        <w:tc>
          <w:tcPr>
            <w:tcW w:w="4876" w:type="dxa"/>
            <w:hideMark/>
          </w:tcPr>
          <w:p w14:paraId="62339B96" w14:textId="3A4D1479" w:rsidR="00CB2077" w:rsidRPr="007047B5" w:rsidRDefault="00CB2077">
            <w:pPr>
              <w:pStyle w:val="Normal6"/>
              <w:rPr>
                <w:szCs w:val="24"/>
                <w:lang w:val="en-IE"/>
              </w:rPr>
            </w:pPr>
            <w:r w:rsidRPr="007047B5">
              <w:rPr>
                <w:b/>
                <w:i/>
                <w:lang w:val="en-IE"/>
              </w:rPr>
              <w:t>(27a)</w:t>
            </w:r>
            <w:r w:rsidRPr="007047B5">
              <w:rPr>
                <w:b/>
                <w:i/>
                <w:lang w:val="en-IE"/>
              </w:rPr>
              <w:tab/>
              <w:t>‘high</w:t>
            </w:r>
            <w:r w:rsidR="005127A2" w:rsidRPr="007047B5">
              <w:rPr>
                <w:b/>
                <w:i/>
                <w:lang w:val="en-IE"/>
              </w:rPr>
              <w:t>-</w:t>
            </w:r>
            <w:r w:rsidRPr="007047B5">
              <w:rPr>
                <w:b/>
                <w:i/>
                <w:lang w:val="en-IE"/>
              </w:rPr>
              <w:t>net</w:t>
            </w:r>
            <w:r w:rsidR="005127A2" w:rsidRPr="007047B5">
              <w:rPr>
                <w:b/>
                <w:i/>
                <w:lang w:val="en-IE"/>
              </w:rPr>
              <w:t>-</w:t>
            </w:r>
            <w:r w:rsidRPr="007047B5">
              <w:rPr>
                <w:b/>
                <w:i/>
                <w:lang w:val="en-IE"/>
              </w:rPr>
              <w:t>worth individual’ means a natural person who owns at least EUR 1 million or the equivalent in national currency in liquid financial assets;</w:t>
            </w:r>
          </w:p>
        </w:tc>
      </w:tr>
    </w:tbl>
    <w:p w14:paraId="116002C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B56D047" w14:textId="77777777" w:rsidR="00CB2077" w:rsidRPr="007047B5" w:rsidRDefault="00CB2077" w:rsidP="00CB2077">
      <w:pPr>
        <w:rPr>
          <w:lang w:val="en-IE"/>
        </w:rPr>
      </w:pPr>
      <w:r w:rsidRPr="007047B5">
        <w:rPr>
          <w:rStyle w:val="HideTWBExt"/>
          <w:noProof w:val="0"/>
          <w:lang w:val="en-IE"/>
        </w:rPr>
        <w:t>&lt;/Amend&gt;</w:t>
      </w:r>
    </w:p>
    <w:p w14:paraId="3C80FAAD"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29</w:t>
      </w:r>
      <w:r w:rsidRPr="007047B5">
        <w:rPr>
          <w:rStyle w:val="HideTWBExt"/>
          <w:b w:val="0"/>
          <w:noProof w:val="0"/>
          <w:lang w:val="en-IE"/>
        </w:rPr>
        <w:t>&lt;/NumAm&gt;</w:t>
      </w:r>
    </w:p>
    <w:p w14:paraId="3B1D923E"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88034BA"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3 – paragraph 1 – point 3 – point a</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A77C5AD" w14:textId="77777777" w:rsidTr="00CB2077">
        <w:trPr>
          <w:jc w:val="center"/>
        </w:trPr>
        <w:tc>
          <w:tcPr>
            <w:tcW w:w="9752" w:type="dxa"/>
            <w:gridSpan w:val="2"/>
          </w:tcPr>
          <w:p w14:paraId="6973CC76" w14:textId="77777777" w:rsidR="00CB2077" w:rsidRPr="007047B5" w:rsidRDefault="00CB2077">
            <w:pPr>
              <w:keepNext/>
              <w:rPr>
                <w:lang w:val="fr-FR"/>
              </w:rPr>
            </w:pPr>
          </w:p>
        </w:tc>
      </w:tr>
      <w:tr w:rsidR="00CB2077" w:rsidRPr="007047B5" w14:paraId="3B89B46E" w14:textId="77777777" w:rsidTr="00CB2077">
        <w:trPr>
          <w:jc w:val="center"/>
        </w:trPr>
        <w:tc>
          <w:tcPr>
            <w:tcW w:w="4876" w:type="dxa"/>
            <w:hideMark/>
          </w:tcPr>
          <w:p w14:paraId="7FE74C85"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76F7FE0" w14:textId="77777777" w:rsidR="00CB2077" w:rsidRPr="007047B5" w:rsidRDefault="00CB2077">
            <w:pPr>
              <w:pStyle w:val="ColumnHeading"/>
              <w:keepNext/>
              <w:rPr>
                <w:lang w:val="en-IE"/>
              </w:rPr>
            </w:pPr>
            <w:r w:rsidRPr="007047B5">
              <w:rPr>
                <w:lang w:val="en-IE"/>
              </w:rPr>
              <w:t>Amendment</w:t>
            </w:r>
          </w:p>
        </w:tc>
      </w:tr>
      <w:tr w:rsidR="00CB2077" w:rsidRPr="007047B5" w14:paraId="5454C216" w14:textId="77777777" w:rsidTr="00CB2077">
        <w:trPr>
          <w:jc w:val="center"/>
        </w:trPr>
        <w:tc>
          <w:tcPr>
            <w:tcW w:w="4876" w:type="dxa"/>
            <w:hideMark/>
          </w:tcPr>
          <w:p w14:paraId="2CDBA3B3" w14:textId="77777777" w:rsidR="00CB2077" w:rsidRPr="007047B5" w:rsidRDefault="00CB2077">
            <w:pPr>
              <w:pStyle w:val="Normal6"/>
              <w:rPr>
                <w:lang w:val="en-IE"/>
              </w:rPr>
            </w:pPr>
            <w:r w:rsidRPr="007047B5">
              <w:rPr>
                <w:lang w:val="en-IE"/>
              </w:rPr>
              <w:t>(a)</w:t>
            </w:r>
            <w:r w:rsidRPr="007047B5">
              <w:rPr>
                <w:lang w:val="en-IE"/>
              </w:rPr>
              <w:tab/>
              <w:t>auditors, external accountants and tax advisors, and any other natural or legal person that undertakes to provide, directly or by means of other persons to which that other person is related, material aid, assistance or advice on tax matters as principal business or professional activity;</w:t>
            </w:r>
          </w:p>
        </w:tc>
        <w:tc>
          <w:tcPr>
            <w:tcW w:w="4876" w:type="dxa"/>
            <w:hideMark/>
          </w:tcPr>
          <w:p w14:paraId="0123C54D" w14:textId="77777777" w:rsidR="00CB2077" w:rsidRPr="007047B5" w:rsidRDefault="00CB2077">
            <w:pPr>
              <w:pStyle w:val="Normal6"/>
              <w:rPr>
                <w:szCs w:val="24"/>
                <w:lang w:val="en-IE"/>
              </w:rPr>
            </w:pPr>
            <w:r w:rsidRPr="007047B5">
              <w:rPr>
                <w:lang w:val="en-IE"/>
              </w:rPr>
              <w:t>(a)</w:t>
            </w:r>
            <w:r w:rsidRPr="007047B5">
              <w:rPr>
                <w:lang w:val="en-IE"/>
              </w:rPr>
              <w:tab/>
              <w:t>auditors, external accountants</w:t>
            </w:r>
            <w:r w:rsidR="00610012" w:rsidRPr="007047B5">
              <w:rPr>
                <w:b/>
                <w:i/>
                <w:lang w:val="en-IE"/>
              </w:rPr>
              <w:t>,</w:t>
            </w:r>
            <w:r w:rsidRPr="007047B5">
              <w:rPr>
                <w:lang w:val="en-IE"/>
              </w:rPr>
              <w:t xml:space="preserve"> </w:t>
            </w:r>
            <w:r w:rsidRPr="007047B5">
              <w:rPr>
                <w:b/>
                <w:i/>
                <w:lang w:val="en-IE"/>
              </w:rPr>
              <w:t>wealth or asset managers</w:t>
            </w:r>
            <w:r w:rsidRPr="007047B5">
              <w:rPr>
                <w:lang w:val="en-IE"/>
              </w:rPr>
              <w:t xml:space="preserve"> and tax advisors, and any other natural or legal person that undertakes to provide, directly or by means of other persons to which that other person is related, material aid, assistance or advice on tax</w:t>
            </w:r>
            <w:r w:rsidRPr="007047B5">
              <w:rPr>
                <w:b/>
                <w:i/>
                <w:lang w:val="en-IE"/>
              </w:rPr>
              <w:t>, investment or personal finance</w:t>
            </w:r>
            <w:r w:rsidRPr="007047B5">
              <w:rPr>
                <w:lang w:val="en-IE"/>
              </w:rPr>
              <w:t xml:space="preserve"> matters as principal business or professional activity;</w:t>
            </w:r>
          </w:p>
        </w:tc>
      </w:tr>
    </w:tbl>
    <w:p w14:paraId="52A698CA"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C4057AC" w14:textId="77777777" w:rsidR="00CB2077" w:rsidRPr="007047B5" w:rsidRDefault="00CB2077" w:rsidP="00CB2077">
      <w:pPr>
        <w:rPr>
          <w:lang w:val="en-IE"/>
        </w:rPr>
      </w:pPr>
      <w:r w:rsidRPr="007047B5">
        <w:rPr>
          <w:rStyle w:val="HideTWBExt"/>
          <w:noProof w:val="0"/>
          <w:lang w:val="en-IE"/>
        </w:rPr>
        <w:t>&lt;/Amend&gt;</w:t>
      </w:r>
    </w:p>
    <w:p w14:paraId="2B70369B"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30</w:t>
      </w:r>
      <w:r w:rsidRPr="007047B5">
        <w:rPr>
          <w:rStyle w:val="HideTWBExt"/>
          <w:b w:val="0"/>
          <w:noProof w:val="0"/>
          <w:lang w:val="en-IE"/>
        </w:rPr>
        <w:t>&lt;/NumAm&gt;</w:t>
      </w:r>
    </w:p>
    <w:p w14:paraId="0AEB98FA"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B5858EF"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3 – paragraph 1 – point 3 – point b – introductory part</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91E2236" w14:textId="77777777" w:rsidTr="00CB2077">
        <w:trPr>
          <w:jc w:val="center"/>
        </w:trPr>
        <w:tc>
          <w:tcPr>
            <w:tcW w:w="9752" w:type="dxa"/>
            <w:gridSpan w:val="2"/>
          </w:tcPr>
          <w:p w14:paraId="57587F72" w14:textId="77777777" w:rsidR="00CB2077" w:rsidRPr="007047B5" w:rsidRDefault="00CB2077">
            <w:pPr>
              <w:keepNext/>
              <w:rPr>
                <w:lang w:val="en-IE"/>
              </w:rPr>
            </w:pPr>
          </w:p>
        </w:tc>
      </w:tr>
      <w:tr w:rsidR="00CB2077" w:rsidRPr="007047B5" w14:paraId="081AF9EF" w14:textId="77777777" w:rsidTr="00CB2077">
        <w:trPr>
          <w:jc w:val="center"/>
        </w:trPr>
        <w:tc>
          <w:tcPr>
            <w:tcW w:w="4876" w:type="dxa"/>
            <w:hideMark/>
          </w:tcPr>
          <w:p w14:paraId="14135DBE"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5FFF9B2" w14:textId="77777777" w:rsidR="00CB2077" w:rsidRPr="007047B5" w:rsidRDefault="00CB2077">
            <w:pPr>
              <w:pStyle w:val="ColumnHeading"/>
              <w:keepNext/>
              <w:rPr>
                <w:lang w:val="en-IE"/>
              </w:rPr>
            </w:pPr>
            <w:r w:rsidRPr="007047B5">
              <w:rPr>
                <w:lang w:val="en-IE"/>
              </w:rPr>
              <w:t>Amendment</w:t>
            </w:r>
          </w:p>
        </w:tc>
      </w:tr>
      <w:tr w:rsidR="00CB2077" w:rsidRPr="007047B5" w14:paraId="254158DD" w14:textId="77777777" w:rsidTr="00CB2077">
        <w:trPr>
          <w:jc w:val="center"/>
        </w:trPr>
        <w:tc>
          <w:tcPr>
            <w:tcW w:w="4876" w:type="dxa"/>
            <w:hideMark/>
          </w:tcPr>
          <w:p w14:paraId="0DF2F841" w14:textId="77777777" w:rsidR="00CB2077" w:rsidRPr="007047B5" w:rsidRDefault="00CB2077">
            <w:pPr>
              <w:pStyle w:val="Normal6"/>
              <w:rPr>
                <w:lang w:val="en-IE"/>
              </w:rPr>
            </w:pPr>
            <w:r w:rsidRPr="007047B5">
              <w:rPr>
                <w:lang w:val="en-IE"/>
              </w:rPr>
              <w:t>(b)</w:t>
            </w:r>
            <w:r w:rsidRPr="007047B5">
              <w:rPr>
                <w:lang w:val="en-IE"/>
              </w:rPr>
              <w:tab/>
              <w:t>notaries and other independent legal professionals, where they participate, whether by acting on behalf of and for their client in any financial or real estate transaction, or by assisting in the planning or carrying out of transactions for their client concerning any of the following:</w:t>
            </w:r>
          </w:p>
        </w:tc>
        <w:tc>
          <w:tcPr>
            <w:tcW w:w="4876" w:type="dxa"/>
            <w:hideMark/>
          </w:tcPr>
          <w:p w14:paraId="3D2A9275" w14:textId="77777777" w:rsidR="00CB2077" w:rsidRPr="007047B5" w:rsidRDefault="00CB2077">
            <w:pPr>
              <w:pStyle w:val="Normal6"/>
              <w:rPr>
                <w:szCs w:val="24"/>
                <w:lang w:val="en-IE"/>
              </w:rPr>
            </w:pPr>
            <w:r w:rsidRPr="007047B5">
              <w:rPr>
                <w:lang w:val="en-IE"/>
              </w:rPr>
              <w:t>(b)</w:t>
            </w:r>
            <w:r w:rsidRPr="007047B5">
              <w:rPr>
                <w:lang w:val="en-IE"/>
              </w:rPr>
              <w:tab/>
              <w:t>notaries</w:t>
            </w:r>
            <w:r w:rsidRPr="007047B5">
              <w:rPr>
                <w:b/>
                <w:i/>
                <w:lang w:val="en-IE"/>
              </w:rPr>
              <w:t>, lawyers</w:t>
            </w:r>
            <w:r w:rsidRPr="007047B5">
              <w:rPr>
                <w:lang w:val="en-IE"/>
              </w:rPr>
              <w:t xml:space="preserve"> and other independent legal professionals, where they participate, whether by acting on behalf of and for their client in any financial or real estate transaction, or by assisting in the planning or carrying out of transactions for their client concerning any of the following:</w:t>
            </w:r>
          </w:p>
        </w:tc>
      </w:tr>
    </w:tbl>
    <w:p w14:paraId="56FADF4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1540A64" w14:textId="77777777" w:rsidR="00CB2077" w:rsidRPr="007047B5" w:rsidRDefault="00CB2077" w:rsidP="00CB2077">
      <w:pPr>
        <w:rPr>
          <w:lang w:val="en-IE"/>
        </w:rPr>
      </w:pPr>
      <w:r w:rsidRPr="007047B5">
        <w:rPr>
          <w:rStyle w:val="HideTWBExt"/>
          <w:noProof w:val="0"/>
          <w:lang w:val="en-IE"/>
        </w:rPr>
        <w:t>&lt;/Amend&gt;</w:t>
      </w:r>
    </w:p>
    <w:p w14:paraId="401FA49A"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31</w:t>
      </w:r>
      <w:r w:rsidRPr="007047B5">
        <w:rPr>
          <w:rStyle w:val="HideTWBExt"/>
          <w:b w:val="0"/>
          <w:noProof w:val="0"/>
          <w:lang w:val="en-IE"/>
        </w:rPr>
        <w:t>&lt;/NumAm&gt;</w:t>
      </w:r>
    </w:p>
    <w:p w14:paraId="18FA6E9B"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A71EECC"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3 – paragraph 1 – point 3 – point d</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0D1989F" w14:textId="77777777" w:rsidTr="00CB2077">
        <w:trPr>
          <w:jc w:val="center"/>
        </w:trPr>
        <w:tc>
          <w:tcPr>
            <w:tcW w:w="9752" w:type="dxa"/>
            <w:gridSpan w:val="2"/>
          </w:tcPr>
          <w:p w14:paraId="5FE2F4AE" w14:textId="77777777" w:rsidR="00CB2077" w:rsidRPr="007047B5" w:rsidRDefault="00CB2077">
            <w:pPr>
              <w:keepNext/>
              <w:rPr>
                <w:lang w:val="fr-FR"/>
              </w:rPr>
            </w:pPr>
          </w:p>
        </w:tc>
      </w:tr>
      <w:tr w:rsidR="00CB2077" w:rsidRPr="007047B5" w14:paraId="2A69DD56" w14:textId="77777777" w:rsidTr="00CB2077">
        <w:trPr>
          <w:jc w:val="center"/>
        </w:trPr>
        <w:tc>
          <w:tcPr>
            <w:tcW w:w="4876" w:type="dxa"/>
            <w:hideMark/>
          </w:tcPr>
          <w:p w14:paraId="23D8C456"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DF0D00A" w14:textId="77777777" w:rsidR="00CB2077" w:rsidRPr="007047B5" w:rsidRDefault="00CB2077">
            <w:pPr>
              <w:pStyle w:val="ColumnHeading"/>
              <w:keepNext/>
              <w:rPr>
                <w:lang w:val="en-IE"/>
              </w:rPr>
            </w:pPr>
            <w:r w:rsidRPr="007047B5">
              <w:rPr>
                <w:lang w:val="en-IE"/>
              </w:rPr>
              <w:t>Amendment</w:t>
            </w:r>
          </w:p>
        </w:tc>
      </w:tr>
      <w:tr w:rsidR="00CB2077" w:rsidRPr="007047B5" w14:paraId="6D15921D" w14:textId="77777777" w:rsidTr="00CB2077">
        <w:trPr>
          <w:jc w:val="center"/>
        </w:trPr>
        <w:tc>
          <w:tcPr>
            <w:tcW w:w="4876" w:type="dxa"/>
            <w:hideMark/>
          </w:tcPr>
          <w:p w14:paraId="3A5CED95" w14:textId="77777777" w:rsidR="00CB2077" w:rsidRPr="007047B5" w:rsidRDefault="00CB2077">
            <w:pPr>
              <w:pStyle w:val="Normal6"/>
              <w:rPr>
                <w:lang w:val="en-IE"/>
              </w:rPr>
            </w:pPr>
            <w:r w:rsidRPr="007047B5">
              <w:rPr>
                <w:lang w:val="en-IE"/>
              </w:rPr>
              <w:t>(d)</w:t>
            </w:r>
            <w:r w:rsidRPr="007047B5">
              <w:rPr>
                <w:lang w:val="en-IE"/>
              </w:rPr>
              <w:tab/>
              <w:t xml:space="preserve">estate agents, including when acting as intermediaries in the letting of immovable property for transactions for which the monthly rent amounts to EUR </w:t>
            </w:r>
            <w:r w:rsidRPr="007047B5">
              <w:rPr>
                <w:b/>
                <w:i/>
                <w:lang w:val="en-IE"/>
              </w:rPr>
              <w:t>10 000</w:t>
            </w:r>
            <w:r w:rsidRPr="007047B5">
              <w:rPr>
                <w:lang w:val="en-IE"/>
              </w:rPr>
              <w:t xml:space="preserve"> or more, or the equivalent in national currency;</w:t>
            </w:r>
          </w:p>
        </w:tc>
        <w:tc>
          <w:tcPr>
            <w:tcW w:w="4876" w:type="dxa"/>
            <w:hideMark/>
          </w:tcPr>
          <w:p w14:paraId="1A132F98" w14:textId="77777777" w:rsidR="00CB2077" w:rsidRPr="007047B5" w:rsidRDefault="00CB2077">
            <w:pPr>
              <w:pStyle w:val="Normal6"/>
              <w:rPr>
                <w:szCs w:val="24"/>
                <w:lang w:val="en-IE"/>
              </w:rPr>
            </w:pPr>
            <w:r w:rsidRPr="007047B5">
              <w:rPr>
                <w:lang w:val="en-IE"/>
              </w:rPr>
              <w:t>(d)</w:t>
            </w:r>
            <w:r w:rsidRPr="007047B5">
              <w:rPr>
                <w:lang w:val="en-IE"/>
              </w:rPr>
              <w:tab/>
              <w:t xml:space="preserve">estate agents, including when acting as intermediaries in the letting of immovable property for transactions for which the monthly rent amounts to EUR </w:t>
            </w:r>
            <w:r w:rsidRPr="007047B5">
              <w:rPr>
                <w:b/>
                <w:i/>
                <w:lang w:val="en-IE"/>
              </w:rPr>
              <w:t>5 000</w:t>
            </w:r>
            <w:r w:rsidRPr="007047B5">
              <w:rPr>
                <w:lang w:val="en-IE"/>
              </w:rPr>
              <w:t xml:space="preserve"> or more, or the equivalent in national currency;</w:t>
            </w:r>
          </w:p>
        </w:tc>
      </w:tr>
    </w:tbl>
    <w:p w14:paraId="6F934FB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1659F43" w14:textId="77777777" w:rsidR="00CB2077" w:rsidRPr="007047B5" w:rsidRDefault="00CB2077" w:rsidP="00CB2077">
      <w:pPr>
        <w:rPr>
          <w:lang w:val="en-IE"/>
        </w:rPr>
      </w:pPr>
      <w:r w:rsidRPr="007047B5">
        <w:rPr>
          <w:rStyle w:val="HideTWBExt"/>
          <w:noProof w:val="0"/>
          <w:lang w:val="en-IE"/>
        </w:rPr>
        <w:t>&lt;/Amend&gt;</w:t>
      </w:r>
    </w:p>
    <w:p w14:paraId="329B6BFD"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32</w:t>
      </w:r>
      <w:r w:rsidRPr="007047B5">
        <w:rPr>
          <w:rStyle w:val="HideTWBExt"/>
          <w:b w:val="0"/>
          <w:noProof w:val="0"/>
          <w:lang w:val="en-IE"/>
        </w:rPr>
        <w:t>&lt;/NumAm&gt;</w:t>
      </w:r>
    </w:p>
    <w:p w14:paraId="0F8A878E"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07F0BDE"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3 – paragraph 1 – point 3 – point h</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94B2DEE" w14:textId="77777777" w:rsidTr="00CB2077">
        <w:trPr>
          <w:jc w:val="center"/>
        </w:trPr>
        <w:tc>
          <w:tcPr>
            <w:tcW w:w="9752" w:type="dxa"/>
            <w:gridSpan w:val="2"/>
          </w:tcPr>
          <w:p w14:paraId="34F72B76" w14:textId="77777777" w:rsidR="00CB2077" w:rsidRPr="007047B5" w:rsidRDefault="00CB2077">
            <w:pPr>
              <w:keepNext/>
              <w:rPr>
                <w:lang w:val="fr-FR"/>
              </w:rPr>
            </w:pPr>
          </w:p>
        </w:tc>
      </w:tr>
      <w:tr w:rsidR="00CB2077" w:rsidRPr="007047B5" w14:paraId="03976AF8" w14:textId="77777777" w:rsidTr="00CB2077">
        <w:trPr>
          <w:jc w:val="center"/>
        </w:trPr>
        <w:tc>
          <w:tcPr>
            <w:tcW w:w="4876" w:type="dxa"/>
            <w:hideMark/>
          </w:tcPr>
          <w:p w14:paraId="242DB1B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806AFEA" w14:textId="77777777" w:rsidR="00CB2077" w:rsidRPr="007047B5" w:rsidRDefault="00CB2077">
            <w:pPr>
              <w:pStyle w:val="ColumnHeading"/>
              <w:keepNext/>
              <w:rPr>
                <w:lang w:val="en-IE"/>
              </w:rPr>
            </w:pPr>
            <w:r w:rsidRPr="007047B5">
              <w:rPr>
                <w:lang w:val="en-IE"/>
              </w:rPr>
              <w:t>Amendment</w:t>
            </w:r>
          </w:p>
        </w:tc>
      </w:tr>
      <w:tr w:rsidR="00CB2077" w:rsidRPr="007047B5" w14:paraId="693045BD" w14:textId="77777777" w:rsidTr="00CB2077">
        <w:trPr>
          <w:jc w:val="center"/>
        </w:trPr>
        <w:tc>
          <w:tcPr>
            <w:tcW w:w="4876" w:type="dxa"/>
            <w:hideMark/>
          </w:tcPr>
          <w:p w14:paraId="62EF6018" w14:textId="77777777" w:rsidR="00CB2077" w:rsidRPr="007047B5" w:rsidRDefault="00CB2077">
            <w:pPr>
              <w:pStyle w:val="Normal6"/>
              <w:rPr>
                <w:lang w:val="en-IE"/>
              </w:rPr>
            </w:pPr>
            <w:r w:rsidRPr="007047B5">
              <w:rPr>
                <w:lang w:val="en-IE"/>
              </w:rPr>
              <w:t>(h)</w:t>
            </w:r>
            <w:r w:rsidRPr="007047B5">
              <w:rPr>
                <w:lang w:val="en-IE"/>
              </w:rPr>
              <w:tab/>
              <w:t xml:space="preserve">crowdfunding service providers </w:t>
            </w:r>
            <w:r w:rsidRPr="007047B5">
              <w:rPr>
                <w:b/>
                <w:i/>
                <w:lang w:val="en-IE"/>
              </w:rPr>
              <w:t>other than those regulated by Regulation (EU) 2020/1503</w:t>
            </w:r>
            <w:r w:rsidRPr="007047B5">
              <w:rPr>
                <w:lang w:val="en-IE"/>
              </w:rPr>
              <w:t>;</w:t>
            </w:r>
          </w:p>
        </w:tc>
        <w:tc>
          <w:tcPr>
            <w:tcW w:w="4876" w:type="dxa"/>
            <w:hideMark/>
          </w:tcPr>
          <w:p w14:paraId="144654CF" w14:textId="77777777" w:rsidR="00CB2077" w:rsidRPr="007047B5" w:rsidRDefault="00CB2077">
            <w:pPr>
              <w:pStyle w:val="Normal6"/>
              <w:rPr>
                <w:szCs w:val="24"/>
                <w:lang w:val="en-IE"/>
              </w:rPr>
            </w:pPr>
            <w:r w:rsidRPr="007047B5">
              <w:rPr>
                <w:lang w:val="en-IE"/>
              </w:rPr>
              <w:t>(h)</w:t>
            </w:r>
            <w:r w:rsidRPr="007047B5">
              <w:rPr>
                <w:lang w:val="en-IE"/>
              </w:rPr>
              <w:tab/>
              <w:t>crowdfunding service providers</w:t>
            </w:r>
            <w:r w:rsidR="00F101B6" w:rsidRPr="007047B5">
              <w:rPr>
                <w:lang w:val="en-IE"/>
              </w:rPr>
              <w:t>;</w:t>
            </w:r>
          </w:p>
        </w:tc>
      </w:tr>
    </w:tbl>
    <w:p w14:paraId="7BF05ADE"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EDAF67A" w14:textId="77777777" w:rsidR="00CB2077" w:rsidRPr="007047B5" w:rsidRDefault="00CB2077" w:rsidP="00CB2077">
      <w:pPr>
        <w:rPr>
          <w:lang w:val="en-IE"/>
        </w:rPr>
      </w:pPr>
      <w:r w:rsidRPr="007047B5">
        <w:rPr>
          <w:rStyle w:val="HideTWBExt"/>
          <w:noProof w:val="0"/>
          <w:lang w:val="en-IE"/>
        </w:rPr>
        <w:t>&lt;/Amend&gt;</w:t>
      </w:r>
    </w:p>
    <w:p w14:paraId="412E7BAA"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33</w:t>
      </w:r>
      <w:r w:rsidRPr="007047B5">
        <w:rPr>
          <w:rStyle w:val="HideTWBExt"/>
          <w:b w:val="0"/>
          <w:noProof w:val="0"/>
          <w:lang w:val="en-IE"/>
        </w:rPr>
        <w:t>&lt;/NumAm&gt;</w:t>
      </w:r>
    </w:p>
    <w:p w14:paraId="2F4AFE54"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B0BA0A0"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3 – paragraph 1 – point 3 – point i</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5A0D9F" w14:paraId="70C8F507" w14:textId="77777777" w:rsidTr="00CB2077">
        <w:trPr>
          <w:jc w:val="center"/>
        </w:trPr>
        <w:tc>
          <w:tcPr>
            <w:tcW w:w="9752" w:type="dxa"/>
            <w:gridSpan w:val="2"/>
          </w:tcPr>
          <w:p w14:paraId="381DF83C" w14:textId="77777777" w:rsidR="00CB2077" w:rsidRPr="007047B5" w:rsidRDefault="00CB2077">
            <w:pPr>
              <w:keepNext/>
              <w:rPr>
                <w:lang w:val="fr-FR"/>
              </w:rPr>
            </w:pPr>
          </w:p>
        </w:tc>
      </w:tr>
      <w:tr w:rsidR="00CB2077" w:rsidRPr="007047B5" w14:paraId="1A269020" w14:textId="77777777" w:rsidTr="00CB2077">
        <w:trPr>
          <w:jc w:val="center"/>
        </w:trPr>
        <w:tc>
          <w:tcPr>
            <w:tcW w:w="4876" w:type="dxa"/>
            <w:hideMark/>
          </w:tcPr>
          <w:p w14:paraId="686D0893"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9EED322" w14:textId="77777777" w:rsidR="00CB2077" w:rsidRPr="007047B5" w:rsidRDefault="00CB2077">
            <w:pPr>
              <w:pStyle w:val="ColumnHeading"/>
              <w:keepNext/>
              <w:rPr>
                <w:lang w:val="en-IE"/>
              </w:rPr>
            </w:pPr>
            <w:r w:rsidRPr="007047B5">
              <w:rPr>
                <w:lang w:val="en-IE"/>
              </w:rPr>
              <w:t>Amendment</w:t>
            </w:r>
          </w:p>
        </w:tc>
      </w:tr>
      <w:tr w:rsidR="00CB2077" w:rsidRPr="007047B5" w14:paraId="00ED9907" w14:textId="77777777" w:rsidTr="00CB2077">
        <w:trPr>
          <w:jc w:val="center"/>
        </w:trPr>
        <w:tc>
          <w:tcPr>
            <w:tcW w:w="4876" w:type="dxa"/>
            <w:hideMark/>
          </w:tcPr>
          <w:p w14:paraId="5473EE1F" w14:textId="77777777" w:rsidR="00CB2077" w:rsidRPr="007047B5" w:rsidRDefault="00CB2077">
            <w:pPr>
              <w:pStyle w:val="Normal6"/>
              <w:rPr>
                <w:lang w:val="en-IE"/>
              </w:rPr>
            </w:pPr>
            <w:r w:rsidRPr="007047B5">
              <w:rPr>
                <w:lang w:val="en-IE"/>
              </w:rPr>
              <w:t>(i)</w:t>
            </w:r>
            <w:r w:rsidRPr="007047B5">
              <w:rPr>
                <w:lang w:val="en-IE"/>
              </w:rPr>
              <w:tab/>
              <w:t xml:space="preserve">persons trading or acting as intermediaries in the trade of works of art, including when this is carried out by art galleries and auction houses, where the value of the transaction or linked transactions amounts to at least EUR </w:t>
            </w:r>
            <w:r w:rsidRPr="007047B5">
              <w:rPr>
                <w:b/>
                <w:i/>
                <w:lang w:val="en-IE"/>
              </w:rPr>
              <w:t>10 000</w:t>
            </w:r>
            <w:r w:rsidRPr="007047B5">
              <w:rPr>
                <w:lang w:val="en-IE"/>
              </w:rPr>
              <w:t xml:space="preserve"> or the equivalent in national currency;</w:t>
            </w:r>
          </w:p>
        </w:tc>
        <w:tc>
          <w:tcPr>
            <w:tcW w:w="4876" w:type="dxa"/>
            <w:hideMark/>
          </w:tcPr>
          <w:p w14:paraId="7E82F493" w14:textId="77777777" w:rsidR="00CB2077" w:rsidRPr="007047B5" w:rsidRDefault="00CB2077">
            <w:pPr>
              <w:pStyle w:val="Normal6"/>
              <w:rPr>
                <w:szCs w:val="24"/>
                <w:lang w:val="en-IE"/>
              </w:rPr>
            </w:pPr>
            <w:r w:rsidRPr="007047B5">
              <w:rPr>
                <w:lang w:val="en-IE"/>
              </w:rPr>
              <w:t>(i)</w:t>
            </w:r>
            <w:r w:rsidRPr="007047B5">
              <w:rPr>
                <w:lang w:val="en-IE"/>
              </w:rPr>
              <w:tab/>
              <w:t xml:space="preserve">persons trading or acting as intermediaries in the trade of works of art, including when this is carried out by art galleries and auction houses, where the value of the transaction or linked transactions amounts to at least EUR </w:t>
            </w:r>
            <w:r w:rsidRPr="007047B5">
              <w:rPr>
                <w:b/>
                <w:i/>
                <w:lang w:val="en-IE"/>
              </w:rPr>
              <w:t>5 000</w:t>
            </w:r>
            <w:r w:rsidRPr="007047B5">
              <w:rPr>
                <w:lang w:val="en-IE"/>
              </w:rPr>
              <w:t xml:space="preserve"> or the equivalent in national currency;</w:t>
            </w:r>
          </w:p>
        </w:tc>
      </w:tr>
    </w:tbl>
    <w:p w14:paraId="36144B21"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393038F" w14:textId="77777777" w:rsidR="00CB2077" w:rsidRPr="007047B5" w:rsidRDefault="00CB2077" w:rsidP="00CB2077">
      <w:pPr>
        <w:rPr>
          <w:lang w:val="en-IE"/>
        </w:rPr>
      </w:pPr>
      <w:r w:rsidRPr="007047B5">
        <w:rPr>
          <w:rStyle w:val="HideTWBExt"/>
          <w:noProof w:val="0"/>
          <w:lang w:val="en-IE"/>
        </w:rPr>
        <w:t>&lt;/Amend&gt;</w:t>
      </w:r>
    </w:p>
    <w:p w14:paraId="79FC70B1"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34</w:t>
      </w:r>
      <w:r w:rsidRPr="007047B5">
        <w:rPr>
          <w:rStyle w:val="HideTWBExt"/>
          <w:b w:val="0"/>
          <w:noProof w:val="0"/>
          <w:lang w:val="en-IE"/>
        </w:rPr>
        <w:t>&lt;/NumAm&gt;</w:t>
      </w:r>
    </w:p>
    <w:p w14:paraId="647C3E2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D68F76C"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3 – paragraph 1 – point 3 – point j</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E3072B2" w14:textId="77777777" w:rsidTr="00CB2077">
        <w:trPr>
          <w:jc w:val="center"/>
        </w:trPr>
        <w:tc>
          <w:tcPr>
            <w:tcW w:w="9752" w:type="dxa"/>
            <w:gridSpan w:val="2"/>
          </w:tcPr>
          <w:p w14:paraId="0EE8A5E1" w14:textId="77777777" w:rsidR="00CB2077" w:rsidRPr="007047B5" w:rsidRDefault="00CB2077">
            <w:pPr>
              <w:keepNext/>
              <w:rPr>
                <w:lang w:val="fr-FR"/>
              </w:rPr>
            </w:pPr>
          </w:p>
        </w:tc>
      </w:tr>
      <w:tr w:rsidR="00CB2077" w:rsidRPr="007047B5" w14:paraId="57ECFD94" w14:textId="77777777" w:rsidTr="00CB2077">
        <w:trPr>
          <w:jc w:val="center"/>
        </w:trPr>
        <w:tc>
          <w:tcPr>
            <w:tcW w:w="4876" w:type="dxa"/>
            <w:hideMark/>
          </w:tcPr>
          <w:p w14:paraId="73ACD4DA"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86EA642" w14:textId="77777777" w:rsidR="00CB2077" w:rsidRPr="007047B5" w:rsidRDefault="00CB2077">
            <w:pPr>
              <w:pStyle w:val="ColumnHeading"/>
              <w:keepNext/>
              <w:rPr>
                <w:lang w:val="en-IE"/>
              </w:rPr>
            </w:pPr>
            <w:r w:rsidRPr="007047B5">
              <w:rPr>
                <w:lang w:val="en-IE"/>
              </w:rPr>
              <w:t>Amendment</w:t>
            </w:r>
          </w:p>
        </w:tc>
      </w:tr>
      <w:tr w:rsidR="00CB2077" w:rsidRPr="007047B5" w14:paraId="55A93828" w14:textId="77777777" w:rsidTr="00CB2077">
        <w:trPr>
          <w:jc w:val="center"/>
        </w:trPr>
        <w:tc>
          <w:tcPr>
            <w:tcW w:w="4876" w:type="dxa"/>
            <w:hideMark/>
          </w:tcPr>
          <w:p w14:paraId="39C8FB2C" w14:textId="77777777" w:rsidR="00CB2077" w:rsidRPr="007047B5" w:rsidRDefault="00CB2077">
            <w:pPr>
              <w:pStyle w:val="Normal6"/>
              <w:rPr>
                <w:lang w:val="en-IE"/>
              </w:rPr>
            </w:pPr>
            <w:r w:rsidRPr="007047B5">
              <w:rPr>
                <w:lang w:val="en-IE"/>
              </w:rPr>
              <w:t>(j)</w:t>
            </w:r>
            <w:r w:rsidRPr="007047B5">
              <w:rPr>
                <w:lang w:val="en-IE"/>
              </w:rPr>
              <w:tab/>
              <w:t xml:space="preserve">persons storing, trading or acting as intermediaries in the trade of works of art when this is carried out within free zones and customs warehouses, where the value of the transaction or linked transactions amounts to at least EUR </w:t>
            </w:r>
            <w:r w:rsidRPr="007047B5">
              <w:rPr>
                <w:b/>
                <w:i/>
                <w:lang w:val="en-IE"/>
              </w:rPr>
              <w:t>10 000</w:t>
            </w:r>
            <w:r w:rsidRPr="007047B5">
              <w:rPr>
                <w:lang w:val="en-IE"/>
              </w:rPr>
              <w:t xml:space="preserve"> or the equivalent in national currency</w:t>
            </w:r>
            <w:r w:rsidRPr="007047B5">
              <w:rPr>
                <w:b/>
                <w:i/>
                <w:lang w:val="en-IE"/>
              </w:rPr>
              <w:t>;</w:t>
            </w:r>
          </w:p>
        </w:tc>
        <w:tc>
          <w:tcPr>
            <w:tcW w:w="4876" w:type="dxa"/>
            <w:hideMark/>
          </w:tcPr>
          <w:p w14:paraId="6E5889BE" w14:textId="25B88C29" w:rsidR="00CB2077" w:rsidRPr="007047B5" w:rsidRDefault="00CB2077" w:rsidP="00F101B6">
            <w:pPr>
              <w:pStyle w:val="Normal6"/>
              <w:rPr>
                <w:szCs w:val="24"/>
                <w:lang w:val="en-IE"/>
              </w:rPr>
            </w:pPr>
            <w:r w:rsidRPr="007047B5">
              <w:rPr>
                <w:lang w:val="en-IE"/>
              </w:rPr>
              <w:t>(j)</w:t>
            </w:r>
            <w:r w:rsidRPr="007047B5">
              <w:rPr>
                <w:lang w:val="en-IE"/>
              </w:rPr>
              <w:tab/>
              <w:t xml:space="preserve">persons storing, trading or acting as intermediaries in the trade of works of art </w:t>
            </w:r>
            <w:r w:rsidRPr="007047B5">
              <w:rPr>
                <w:b/>
                <w:i/>
                <w:lang w:val="en-IE"/>
              </w:rPr>
              <w:t>and other high</w:t>
            </w:r>
            <w:r w:rsidR="00F101B6" w:rsidRPr="007047B5">
              <w:rPr>
                <w:b/>
                <w:i/>
                <w:lang w:val="en-IE"/>
              </w:rPr>
              <w:t>-</w:t>
            </w:r>
            <w:r w:rsidRPr="007047B5">
              <w:rPr>
                <w:b/>
                <w:i/>
                <w:lang w:val="en-IE"/>
              </w:rPr>
              <w:t>value goods</w:t>
            </w:r>
            <w:r w:rsidRPr="007047B5">
              <w:rPr>
                <w:lang w:val="en-IE"/>
              </w:rPr>
              <w:t xml:space="preserve"> when this is carried out within free zones and customs warehouses, where the value of the transaction or linked transactions amounts to at least EUR </w:t>
            </w:r>
            <w:r w:rsidRPr="007047B5">
              <w:rPr>
                <w:b/>
                <w:i/>
                <w:lang w:val="en-IE"/>
              </w:rPr>
              <w:t>5 000</w:t>
            </w:r>
            <w:r w:rsidRPr="007047B5">
              <w:rPr>
                <w:lang w:val="en-IE"/>
              </w:rPr>
              <w:t xml:space="preserve"> or the equivalent in national currency</w:t>
            </w:r>
          </w:p>
        </w:tc>
      </w:tr>
    </w:tbl>
    <w:p w14:paraId="57DC335E"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35AB7903" w14:textId="77777777" w:rsidR="00CB2077" w:rsidRPr="007047B5" w:rsidRDefault="00CB2077" w:rsidP="00CB2077">
      <w:pPr>
        <w:rPr>
          <w:lang w:val="en-IE"/>
        </w:rPr>
      </w:pPr>
      <w:r w:rsidRPr="007047B5">
        <w:rPr>
          <w:rStyle w:val="HideTWBExt"/>
          <w:noProof w:val="0"/>
          <w:lang w:val="en-IE"/>
        </w:rPr>
        <w:t>&lt;/Amend&gt;</w:t>
      </w:r>
    </w:p>
    <w:p w14:paraId="0E4E3618"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35</w:t>
      </w:r>
      <w:r w:rsidRPr="007047B5">
        <w:rPr>
          <w:rStyle w:val="HideTWBExt"/>
          <w:b w:val="0"/>
          <w:noProof w:val="0"/>
          <w:lang w:val="en-IE"/>
        </w:rPr>
        <w:t>&lt;/NumAm&gt;</w:t>
      </w:r>
    </w:p>
    <w:p w14:paraId="697DED90"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F0FAC05"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3 – paragraph 1 – point 3 – point l</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839F7B4" w14:textId="77777777" w:rsidTr="00CB2077">
        <w:trPr>
          <w:jc w:val="center"/>
        </w:trPr>
        <w:tc>
          <w:tcPr>
            <w:tcW w:w="9752" w:type="dxa"/>
            <w:gridSpan w:val="2"/>
          </w:tcPr>
          <w:p w14:paraId="3746F536" w14:textId="77777777" w:rsidR="00CB2077" w:rsidRPr="007047B5" w:rsidRDefault="00CB2077">
            <w:pPr>
              <w:keepNext/>
              <w:rPr>
                <w:lang w:val="fr-FR"/>
              </w:rPr>
            </w:pPr>
          </w:p>
        </w:tc>
      </w:tr>
      <w:tr w:rsidR="00CB2077" w:rsidRPr="007047B5" w14:paraId="6E074E14" w14:textId="77777777" w:rsidTr="00CB2077">
        <w:trPr>
          <w:jc w:val="center"/>
        </w:trPr>
        <w:tc>
          <w:tcPr>
            <w:tcW w:w="4876" w:type="dxa"/>
            <w:hideMark/>
          </w:tcPr>
          <w:p w14:paraId="22E07B20"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8E04016" w14:textId="77777777" w:rsidR="00CB2077" w:rsidRPr="007047B5" w:rsidRDefault="00CB2077">
            <w:pPr>
              <w:pStyle w:val="ColumnHeading"/>
              <w:keepNext/>
              <w:rPr>
                <w:lang w:val="en-IE"/>
              </w:rPr>
            </w:pPr>
            <w:r w:rsidRPr="007047B5">
              <w:rPr>
                <w:lang w:val="en-IE"/>
              </w:rPr>
              <w:t>Amendment</w:t>
            </w:r>
          </w:p>
        </w:tc>
      </w:tr>
      <w:tr w:rsidR="00CB2077" w:rsidRPr="007047B5" w14:paraId="18F3305B" w14:textId="77777777" w:rsidTr="00CB2077">
        <w:trPr>
          <w:jc w:val="center"/>
        </w:trPr>
        <w:tc>
          <w:tcPr>
            <w:tcW w:w="4876" w:type="dxa"/>
            <w:hideMark/>
          </w:tcPr>
          <w:p w14:paraId="294B370C" w14:textId="77777777" w:rsidR="00CB2077" w:rsidRPr="007047B5" w:rsidRDefault="00CB2077">
            <w:pPr>
              <w:pStyle w:val="Normal6"/>
              <w:rPr>
                <w:lang w:val="en-IE"/>
              </w:rPr>
            </w:pPr>
            <w:r w:rsidRPr="007047B5">
              <w:rPr>
                <w:lang w:val="en-IE"/>
              </w:rPr>
              <w:t>(l)</w:t>
            </w:r>
            <w:r w:rsidRPr="007047B5">
              <w:rPr>
                <w:lang w:val="en-IE"/>
              </w:rPr>
              <w:tab/>
              <w:t>investment migration operators permitted to represent or offer intermediation services to third country nationals seeking to obtain residence rights in a Member State in exchange of any kind of investment, including capital transfers, purchase or renting of property, investment in government bonds, investment in corporate entities, donation or endowment of an activity to the public good and contributions to the state budget</w:t>
            </w:r>
            <w:r w:rsidRPr="007047B5">
              <w:rPr>
                <w:b/>
                <w:i/>
                <w:lang w:val="en-IE"/>
              </w:rPr>
              <w:t>.</w:t>
            </w:r>
          </w:p>
        </w:tc>
        <w:tc>
          <w:tcPr>
            <w:tcW w:w="4876" w:type="dxa"/>
            <w:hideMark/>
          </w:tcPr>
          <w:p w14:paraId="458BA2D9" w14:textId="1FD9063C" w:rsidR="00CB2077" w:rsidRPr="007047B5" w:rsidRDefault="00CB2077" w:rsidP="002D7FE0">
            <w:pPr>
              <w:pStyle w:val="Normal6"/>
              <w:rPr>
                <w:szCs w:val="24"/>
                <w:lang w:val="en-IE"/>
              </w:rPr>
            </w:pPr>
            <w:r w:rsidRPr="007047B5">
              <w:rPr>
                <w:lang w:val="en-IE"/>
              </w:rPr>
              <w:t>(l)</w:t>
            </w:r>
            <w:r w:rsidRPr="007047B5">
              <w:rPr>
                <w:lang w:val="en-IE"/>
              </w:rPr>
              <w:tab/>
              <w:t xml:space="preserve">investment migration operators permitted to represent or offer intermediation services to third country nationals seeking to obtain </w:t>
            </w:r>
            <w:r w:rsidR="00F101B6" w:rsidRPr="007047B5">
              <w:rPr>
                <w:b/>
                <w:i/>
                <w:lang w:val="en-IE"/>
              </w:rPr>
              <w:t>the</w:t>
            </w:r>
            <w:r w:rsidR="00F101B6" w:rsidRPr="007047B5">
              <w:rPr>
                <w:lang w:val="en-IE"/>
              </w:rPr>
              <w:t xml:space="preserve"> </w:t>
            </w:r>
            <w:r w:rsidRPr="007047B5">
              <w:rPr>
                <w:b/>
                <w:i/>
                <w:lang w:val="en-IE"/>
              </w:rPr>
              <w:t xml:space="preserve">citizenship </w:t>
            </w:r>
            <w:r w:rsidR="00F101B6" w:rsidRPr="007047B5">
              <w:rPr>
                <w:b/>
                <w:i/>
                <w:lang w:val="en-IE"/>
              </w:rPr>
              <w:t xml:space="preserve">of </w:t>
            </w:r>
            <w:r w:rsidRPr="007047B5">
              <w:rPr>
                <w:b/>
                <w:i/>
                <w:lang w:val="en-IE"/>
              </w:rPr>
              <w:t>or</w:t>
            </w:r>
            <w:r w:rsidRPr="007047B5">
              <w:rPr>
                <w:lang w:val="en-IE"/>
              </w:rPr>
              <w:t xml:space="preserve"> residence rights in a Member State in exchange </w:t>
            </w:r>
            <w:r w:rsidR="002D7FE0" w:rsidRPr="007047B5">
              <w:rPr>
                <w:lang w:val="en-IE"/>
              </w:rPr>
              <w:t xml:space="preserve"> for </w:t>
            </w:r>
            <w:r w:rsidRPr="007047B5">
              <w:rPr>
                <w:lang w:val="en-IE"/>
              </w:rPr>
              <w:t>any kind of investment, including capital transfers, purchase or renting of property, investment in government bonds, investment in corporate entities, donation or endowment of an activity to the public good and contributions to the state budget</w:t>
            </w:r>
            <w:r w:rsidRPr="007047B5">
              <w:rPr>
                <w:b/>
                <w:i/>
                <w:lang w:val="en-IE"/>
              </w:rPr>
              <w:t>;</w:t>
            </w:r>
          </w:p>
        </w:tc>
      </w:tr>
    </w:tbl>
    <w:p w14:paraId="4492DE83"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16F1E0E" w14:textId="77777777" w:rsidR="00CB2077" w:rsidRPr="007047B5" w:rsidRDefault="00CB2077" w:rsidP="00CB2077">
      <w:pPr>
        <w:rPr>
          <w:lang w:val="en-IE"/>
        </w:rPr>
      </w:pPr>
      <w:r w:rsidRPr="007047B5">
        <w:rPr>
          <w:rStyle w:val="HideTWBExt"/>
          <w:noProof w:val="0"/>
          <w:lang w:val="en-IE"/>
        </w:rPr>
        <w:t>&lt;/Amend&gt;</w:t>
      </w:r>
    </w:p>
    <w:p w14:paraId="2EE0F074"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36</w:t>
      </w:r>
      <w:r w:rsidRPr="007047B5">
        <w:rPr>
          <w:rStyle w:val="HideTWBExt"/>
          <w:b w:val="0"/>
          <w:noProof w:val="0"/>
          <w:lang w:val="en-IE"/>
        </w:rPr>
        <w:t>&lt;/NumAm&gt;</w:t>
      </w:r>
    </w:p>
    <w:p w14:paraId="0675652A"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0B6B99F"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3 – paragraph 1 – point 3 – point l 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A94ED0D" w14:textId="77777777" w:rsidTr="00CB2077">
        <w:trPr>
          <w:jc w:val="center"/>
        </w:trPr>
        <w:tc>
          <w:tcPr>
            <w:tcW w:w="9752" w:type="dxa"/>
            <w:gridSpan w:val="2"/>
          </w:tcPr>
          <w:p w14:paraId="5CFBFFE5" w14:textId="77777777" w:rsidR="00CB2077" w:rsidRPr="007047B5" w:rsidRDefault="00CB2077">
            <w:pPr>
              <w:keepNext/>
              <w:rPr>
                <w:lang w:val="fr-FR"/>
              </w:rPr>
            </w:pPr>
          </w:p>
        </w:tc>
      </w:tr>
      <w:tr w:rsidR="00CB2077" w:rsidRPr="007047B5" w14:paraId="120D35B4" w14:textId="77777777" w:rsidTr="00CB2077">
        <w:trPr>
          <w:jc w:val="center"/>
        </w:trPr>
        <w:tc>
          <w:tcPr>
            <w:tcW w:w="4876" w:type="dxa"/>
            <w:hideMark/>
          </w:tcPr>
          <w:p w14:paraId="4E56E509"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69D77E3" w14:textId="77777777" w:rsidR="00CB2077" w:rsidRPr="007047B5" w:rsidRDefault="00CB2077">
            <w:pPr>
              <w:pStyle w:val="ColumnHeading"/>
              <w:keepNext/>
              <w:rPr>
                <w:lang w:val="en-IE"/>
              </w:rPr>
            </w:pPr>
            <w:r w:rsidRPr="007047B5">
              <w:rPr>
                <w:lang w:val="en-IE"/>
              </w:rPr>
              <w:t>Amendment</w:t>
            </w:r>
          </w:p>
        </w:tc>
      </w:tr>
      <w:tr w:rsidR="00CB2077" w:rsidRPr="007047B5" w14:paraId="2E053AC1" w14:textId="77777777" w:rsidTr="00CB2077">
        <w:trPr>
          <w:jc w:val="center"/>
        </w:trPr>
        <w:tc>
          <w:tcPr>
            <w:tcW w:w="4876" w:type="dxa"/>
          </w:tcPr>
          <w:p w14:paraId="1FD20625" w14:textId="77777777" w:rsidR="00CB2077" w:rsidRPr="007047B5" w:rsidRDefault="00CB2077">
            <w:pPr>
              <w:pStyle w:val="Normal6"/>
              <w:rPr>
                <w:lang w:val="en-IE"/>
              </w:rPr>
            </w:pPr>
          </w:p>
        </w:tc>
        <w:tc>
          <w:tcPr>
            <w:tcW w:w="4876" w:type="dxa"/>
            <w:hideMark/>
          </w:tcPr>
          <w:p w14:paraId="5742856B" w14:textId="63D1020A" w:rsidR="00CB2077" w:rsidRPr="007047B5" w:rsidRDefault="00CB2077">
            <w:pPr>
              <w:pStyle w:val="Normal6"/>
              <w:rPr>
                <w:szCs w:val="24"/>
                <w:lang w:val="en-IE"/>
              </w:rPr>
            </w:pPr>
            <w:r w:rsidRPr="007047B5">
              <w:rPr>
                <w:b/>
                <w:i/>
                <w:lang w:val="en-IE"/>
              </w:rPr>
              <w:t>(la)</w:t>
            </w:r>
            <w:r w:rsidRPr="007047B5">
              <w:rPr>
                <w:b/>
                <w:i/>
                <w:lang w:val="en-IE"/>
              </w:rPr>
              <w:tab/>
              <w:t>sports agents in the football sector</w:t>
            </w:r>
            <w:r w:rsidR="00F101B6" w:rsidRPr="007047B5">
              <w:rPr>
                <w:b/>
                <w:i/>
                <w:lang w:val="en-IE"/>
              </w:rPr>
              <w:t>;</w:t>
            </w:r>
          </w:p>
        </w:tc>
      </w:tr>
    </w:tbl>
    <w:p w14:paraId="19ABD2A3"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FBC667E" w14:textId="77777777" w:rsidR="00CB2077" w:rsidRPr="007047B5" w:rsidRDefault="00CB2077" w:rsidP="00CB2077">
      <w:pPr>
        <w:rPr>
          <w:lang w:val="en-IE"/>
        </w:rPr>
      </w:pPr>
      <w:r w:rsidRPr="007047B5">
        <w:rPr>
          <w:rStyle w:val="HideTWBExt"/>
          <w:noProof w:val="0"/>
          <w:lang w:val="en-IE"/>
        </w:rPr>
        <w:t>&lt;/Amend&gt;</w:t>
      </w:r>
    </w:p>
    <w:p w14:paraId="29B4E137"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37</w:t>
      </w:r>
      <w:r w:rsidRPr="007047B5">
        <w:rPr>
          <w:rStyle w:val="HideTWBExt"/>
          <w:b w:val="0"/>
          <w:noProof w:val="0"/>
          <w:lang w:val="en-IE"/>
        </w:rPr>
        <w:t>&lt;/NumAm&gt;</w:t>
      </w:r>
    </w:p>
    <w:p w14:paraId="1B30D51F"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B6CCD72"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3 – paragraph 1 – point 3 – point l b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2ACB483" w14:textId="77777777" w:rsidTr="00CB2077">
        <w:trPr>
          <w:jc w:val="center"/>
        </w:trPr>
        <w:tc>
          <w:tcPr>
            <w:tcW w:w="9752" w:type="dxa"/>
            <w:gridSpan w:val="2"/>
          </w:tcPr>
          <w:p w14:paraId="58125751" w14:textId="77777777" w:rsidR="00CB2077" w:rsidRPr="007047B5" w:rsidRDefault="00CB2077">
            <w:pPr>
              <w:keepNext/>
              <w:rPr>
                <w:lang w:val="fr-FR"/>
              </w:rPr>
            </w:pPr>
          </w:p>
        </w:tc>
      </w:tr>
      <w:tr w:rsidR="00CB2077" w:rsidRPr="007047B5" w14:paraId="55EF715F" w14:textId="77777777" w:rsidTr="00CB2077">
        <w:trPr>
          <w:jc w:val="center"/>
        </w:trPr>
        <w:tc>
          <w:tcPr>
            <w:tcW w:w="4876" w:type="dxa"/>
            <w:hideMark/>
          </w:tcPr>
          <w:p w14:paraId="4695E99E"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0303F0C" w14:textId="77777777" w:rsidR="00CB2077" w:rsidRPr="007047B5" w:rsidRDefault="00CB2077">
            <w:pPr>
              <w:pStyle w:val="ColumnHeading"/>
              <w:keepNext/>
              <w:rPr>
                <w:lang w:val="en-IE"/>
              </w:rPr>
            </w:pPr>
            <w:r w:rsidRPr="007047B5">
              <w:rPr>
                <w:lang w:val="en-IE"/>
              </w:rPr>
              <w:t>Amendment</w:t>
            </w:r>
          </w:p>
        </w:tc>
      </w:tr>
      <w:tr w:rsidR="00CB2077" w:rsidRPr="007047B5" w14:paraId="0970084A" w14:textId="77777777" w:rsidTr="00CB2077">
        <w:trPr>
          <w:jc w:val="center"/>
        </w:trPr>
        <w:tc>
          <w:tcPr>
            <w:tcW w:w="4876" w:type="dxa"/>
          </w:tcPr>
          <w:p w14:paraId="5DDD2453" w14:textId="77777777" w:rsidR="00CB2077" w:rsidRPr="007047B5" w:rsidRDefault="00CB2077">
            <w:pPr>
              <w:pStyle w:val="Normal6"/>
              <w:rPr>
                <w:lang w:val="en-IE"/>
              </w:rPr>
            </w:pPr>
          </w:p>
        </w:tc>
        <w:tc>
          <w:tcPr>
            <w:tcW w:w="4876" w:type="dxa"/>
            <w:hideMark/>
          </w:tcPr>
          <w:p w14:paraId="07C77213" w14:textId="64481618" w:rsidR="00CB2077" w:rsidRPr="007047B5" w:rsidRDefault="00CB2077">
            <w:pPr>
              <w:pStyle w:val="Normal6"/>
              <w:rPr>
                <w:szCs w:val="24"/>
                <w:lang w:val="en-IE"/>
              </w:rPr>
            </w:pPr>
            <w:r w:rsidRPr="007047B5">
              <w:rPr>
                <w:b/>
                <w:i/>
                <w:lang w:val="en-IE"/>
              </w:rPr>
              <w:t>(lb)</w:t>
            </w:r>
            <w:r w:rsidRPr="007047B5">
              <w:rPr>
                <w:b/>
                <w:i/>
                <w:lang w:val="en-IE"/>
              </w:rPr>
              <w:tab/>
              <w:t>high-level professional football clubs;</w:t>
            </w:r>
          </w:p>
        </w:tc>
      </w:tr>
    </w:tbl>
    <w:p w14:paraId="29FABA01"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12BE77E8" w14:textId="77777777" w:rsidR="00CB2077" w:rsidRPr="007047B5" w:rsidRDefault="00CB2077" w:rsidP="00CB2077">
      <w:pPr>
        <w:rPr>
          <w:lang w:val="en-IE"/>
        </w:rPr>
      </w:pPr>
      <w:r w:rsidRPr="007047B5">
        <w:rPr>
          <w:rStyle w:val="HideTWBExt"/>
          <w:noProof w:val="0"/>
          <w:lang w:val="en-IE"/>
        </w:rPr>
        <w:t>&lt;/Amend&gt;</w:t>
      </w:r>
    </w:p>
    <w:p w14:paraId="300AB3F5"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38</w:t>
      </w:r>
      <w:r w:rsidRPr="007047B5">
        <w:rPr>
          <w:rStyle w:val="HideTWBExt"/>
          <w:b w:val="0"/>
          <w:noProof w:val="0"/>
          <w:lang w:val="en-IE"/>
        </w:rPr>
        <w:t>&lt;/NumAm&gt;</w:t>
      </w:r>
    </w:p>
    <w:p w14:paraId="25A68C1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158BF73"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3 – paragraph 1 – point 3 – point l c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A49C2FC" w14:textId="77777777" w:rsidTr="00CB2077">
        <w:trPr>
          <w:jc w:val="center"/>
        </w:trPr>
        <w:tc>
          <w:tcPr>
            <w:tcW w:w="9752" w:type="dxa"/>
            <w:gridSpan w:val="2"/>
          </w:tcPr>
          <w:p w14:paraId="44B54CA2" w14:textId="77777777" w:rsidR="00CB2077" w:rsidRPr="007047B5" w:rsidRDefault="00CB2077">
            <w:pPr>
              <w:keepNext/>
              <w:rPr>
                <w:lang w:val="fr-FR"/>
              </w:rPr>
            </w:pPr>
          </w:p>
        </w:tc>
      </w:tr>
      <w:tr w:rsidR="00CB2077" w:rsidRPr="007047B5" w14:paraId="240DAD4F" w14:textId="77777777" w:rsidTr="00CB2077">
        <w:trPr>
          <w:jc w:val="center"/>
        </w:trPr>
        <w:tc>
          <w:tcPr>
            <w:tcW w:w="4876" w:type="dxa"/>
            <w:hideMark/>
          </w:tcPr>
          <w:p w14:paraId="7ACA249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7E9EBF3" w14:textId="77777777" w:rsidR="00CB2077" w:rsidRPr="007047B5" w:rsidRDefault="00CB2077">
            <w:pPr>
              <w:pStyle w:val="ColumnHeading"/>
              <w:keepNext/>
              <w:rPr>
                <w:lang w:val="en-IE"/>
              </w:rPr>
            </w:pPr>
            <w:r w:rsidRPr="007047B5">
              <w:rPr>
                <w:lang w:val="en-IE"/>
              </w:rPr>
              <w:t>Amendment</w:t>
            </w:r>
          </w:p>
        </w:tc>
      </w:tr>
      <w:tr w:rsidR="00CB2077" w:rsidRPr="007047B5" w14:paraId="4C2576C3" w14:textId="77777777" w:rsidTr="00CB2077">
        <w:trPr>
          <w:jc w:val="center"/>
        </w:trPr>
        <w:tc>
          <w:tcPr>
            <w:tcW w:w="4876" w:type="dxa"/>
          </w:tcPr>
          <w:p w14:paraId="3BBE75FC" w14:textId="77777777" w:rsidR="00CB2077" w:rsidRPr="007047B5" w:rsidRDefault="00CB2077">
            <w:pPr>
              <w:pStyle w:val="Normal6"/>
              <w:rPr>
                <w:lang w:val="en-IE"/>
              </w:rPr>
            </w:pPr>
          </w:p>
        </w:tc>
        <w:tc>
          <w:tcPr>
            <w:tcW w:w="4876" w:type="dxa"/>
            <w:hideMark/>
          </w:tcPr>
          <w:p w14:paraId="14C10690" w14:textId="3C84761A" w:rsidR="00CB2077" w:rsidRPr="007047B5" w:rsidRDefault="00CB2077">
            <w:pPr>
              <w:pStyle w:val="Normal6"/>
              <w:rPr>
                <w:szCs w:val="24"/>
                <w:lang w:val="en-IE"/>
              </w:rPr>
            </w:pPr>
            <w:r w:rsidRPr="007047B5">
              <w:rPr>
                <w:b/>
                <w:i/>
                <w:lang w:val="en-IE"/>
              </w:rPr>
              <w:t>(lc)</w:t>
            </w:r>
            <w:r w:rsidRPr="007047B5">
              <w:rPr>
                <w:b/>
                <w:i/>
                <w:lang w:val="en-IE"/>
              </w:rPr>
              <w:tab/>
              <w:t>football associations in Member States which are members of the Union of European Football Associations.</w:t>
            </w:r>
          </w:p>
        </w:tc>
      </w:tr>
    </w:tbl>
    <w:p w14:paraId="5449F65F"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347D8B0E" w14:textId="77777777" w:rsidR="00CB2077" w:rsidRPr="007047B5" w:rsidRDefault="00CB2077" w:rsidP="00CB2077">
      <w:pPr>
        <w:rPr>
          <w:lang w:val="en-IE"/>
        </w:rPr>
      </w:pPr>
      <w:r w:rsidRPr="007047B5">
        <w:rPr>
          <w:rStyle w:val="HideTWBExt"/>
          <w:noProof w:val="0"/>
          <w:lang w:val="en-IE"/>
        </w:rPr>
        <w:t>&lt;/Amend&gt;</w:t>
      </w:r>
    </w:p>
    <w:p w14:paraId="4F4C6B2E"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39</w:t>
      </w:r>
      <w:r w:rsidRPr="007047B5">
        <w:rPr>
          <w:rStyle w:val="HideTWBExt"/>
          <w:b w:val="0"/>
          <w:noProof w:val="0"/>
          <w:lang w:val="en-IE"/>
        </w:rPr>
        <w:t>&lt;/NumAm&gt;</w:t>
      </w:r>
    </w:p>
    <w:p w14:paraId="41B8AE69"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507BECB"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 – paragraph 1</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727F4FA" w14:textId="77777777" w:rsidTr="00CB2077">
        <w:trPr>
          <w:jc w:val="center"/>
        </w:trPr>
        <w:tc>
          <w:tcPr>
            <w:tcW w:w="9752" w:type="dxa"/>
            <w:gridSpan w:val="2"/>
          </w:tcPr>
          <w:p w14:paraId="752F6AFA" w14:textId="77777777" w:rsidR="00CB2077" w:rsidRPr="007047B5" w:rsidRDefault="00CB2077">
            <w:pPr>
              <w:keepNext/>
              <w:rPr>
                <w:lang w:val="en-IE"/>
              </w:rPr>
            </w:pPr>
          </w:p>
        </w:tc>
      </w:tr>
      <w:tr w:rsidR="00CB2077" w:rsidRPr="007047B5" w14:paraId="68A147A8" w14:textId="77777777" w:rsidTr="00CB2077">
        <w:trPr>
          <w:jc w:val="center"/>
        </w:trPr>
        <w:tc>
          <w:tcPr>
            <w:tcW w:w="4876" w:type="dxa"/>
            <w:hideMark/>
          </w:tcPr>
          <w:p w14:paraId="12EDF3EA"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DB30A5C" w14:textId="77777777" w:rsidR="00CB2077" w:rsidRPr="007047B5" w:rsidRDefault="00CB2077">
            <w:pPr>
              <w:pStyle w:val="ColumnHeading"/>
              <w:keepNext/>
              <w:rPr>
                <w:lang w:val="en-IE"/>
              </w:rPr>
            </w:pPr>
            <w:r w:rsidRPr="007047B5">
              <w:rPr>
                <w:lang w:val="en-IE"/>
              </w:rPr>
              <w:t>Amendment</w:t>
            </w:r>
          </w:p>
        </w:tc>
      </w:tr>
      <w:tr w:rsidR="00CB2077" w:rsidRPr="007047B5" w14:paraId="0332F467" w14:textId="77777777" w:rsidTr="00CB2077">
        <w:trPr>
          <w:jc w:val="center"/>
        </w:trPr>
        <w:tc>
          <w:tcPr>
            <w:tcW w:w="4876" w:type="dxa"/>
            <w:hideMark/>
          </w:tcPr>
          <w:p w14:paraId="0E46E8E0" w14:textId="77777777" w:rsidR="00CB2077" w:rsidRPr="007047B5" w:rsidRDefault="00CB2077">
            <w:pPr>
              <w:pStyle w:val="Normal6"/>
              <w:rPr>
                <w:lang w:val="en-IE"/>
              </w:rPr>
            </w:pPr>
            <w:r w:rsidRPr="007047B5">
              <w:rPr>
                <w:lang w:val="en-IE"/>
              </w:rPr>
              <w:t>1.</w:t>
            </w:r>
            <w:r w:rsidRPr="007047B5">
              <w:rPr>
                <w:lang w:val="en-IE"/>
              </w:rPr>
              <w:tab/>
              <w:t>With the exception of casinos, Member States may decide to exempt, in full or in part, providers of gambling services from the requirements set out in this Regulation on the basis of the proven low risk posed by the nature and, where appropriate, the scale of operations of such services.</w:t>
            </w:r>
          </w:p>
        </w:tc>
        <w:tc>
          <w:tcPr>
            <w:tcW w:w="4876" w:type="dxa"/>
            <w:hideMark/>
          </w:tcPr>
          <w:p w14:paraId="5160A1FB" w14:textId="40B3A60D" w:rsidR="00CB2077" w:rsidRPr="007047B5" w:rsidRDefault="00CB2077" w:rsidP="00F101B6">
            <w:pPr>
              <w:pStyle w:val="Normal6"/>
              <w:rPr>
                <w:szCs w:val="24"/>
                <w:lang w:val="en-IE"/>
              </w:rPr>
            </w:pPr>
            <w:r w:rsidRPr="007047B5">
              <w:rPr>
                <w:lang w:val="en-IE"/>
              </w:rPr>
              <w:t>1.</w:t>
            </w:r>
            <w:r w:rsidRPr="007047B5">
              <w:rPr>
                <w:lang w:val="en-IE"/>
              </w:rPr>
              <w:tab/>
              <w:t>With the exception of casinos</w:t>
            </w:r>
            <w:r w:rsidRPr="007047B5">
              <w:rPr>
                <w:b/>
                <w:i/>
                <w:lang w:val="en-IE"/>
              </w:rPr>
              <w:t>, online gambling platforms and sports betting providers</w:t>
            </w:r>
            <w:r w:rsidRPr="007047B5">
              <w:rPr>
                <w:lang w:val="en-IE"/>
              </w:rPr>
              <w:t>, Member States may decide to exempt, in full or in part, providers of gambling services from the requirements set out in this Regulation on the basis of the proven low risk posed by the nature and, where appropriate, the scale of operations of such services.</w:t>
            </w:r>
          </w:p>
        </w:tc>
      </w:tr>
    </w:tbl>
    <w:p w14:paraId="54D6BB3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CD8A50A" w14:textId="77777777" w:rsidR="00CB2077" w:rsidRPr="007047B5" w:rsidRDefault="00CB2077" w:rsidP="00CB2077">
      <w:pPr>
        <w:rPr>
          <w:lang w:val="en-IE"/>
        </w:rPr>
      </w:pPr>
      <w:r w:rsidRPr="007047B5">
        <w:rPr>
          <w:rStyle w:val="HideTWBExt"/>
          <w:noProof w:val="0"/>
          <w:lang w:val="en-IE"/>
        </w:rPr>
        <w:t>&lt;/Amend&gt;</w:t>
      </w:r>
    </w:p>
    <w:p w14:paraId="2E4057BC"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40</w:t>
      </w:r>
      <w:r w:rsidRPr="007047B5">
        <w:rPr>
          <w:rStyle w:val="HideTWBExt"/>
          <w:b w:val="0"/>
          <w:noProof w:val="0"/>
          <w:lang w:val="en-IE"/>
        </w:rPr>
        <w:t>&lt;/NumAm&gt;</w:t>
      </w:r>
    </w:p>
    <w:p w14:paraId="75729EBC"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9409186"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6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9A2728A" w14:textId="77777777" w:rsidTr="00CB2077">
        <w:trPr>
          <w:jc w:val="center"/>
        </w:trPr>
        <w:tc>
          <w:tcPr>
            <w:tcW w:w="9752" w:type="dxa"/>
            <w:gridSpan w:val="2"/>
          </w:tcPr>
          <w:p w14:paraId="4D1BAC01" w14:textId="77777777" w:rsidR="00CB2077" w:rsidRPr="007047B5" w:rsidRDefault="00CB2077">
            <w:pPr>
              <w:keepNext/>
              <w:rPr>
                <w:lang w:val="en-IE"/>
              </w:rPr>
            </w:pPr>
          </w:p>
        </w:tc>
      </w:tr>
      <w:tr w:rsidR="00CB2077" w:rsidRPr="007047B5" w14:paraId="0CC9DE76" w14:textId="77777777" w:rsidTr="00CB2077">
        <w:trPr>
          <w:jc w:val="center"/>
        </w:trPr>
        <w:tc>
          <w:tcPr>
            <w:tcW w:w="4876" w:type="dxa"/>
            <w:hideMark/>
          </w:tcPr>
          <w:p w14:paraId="2810D93F"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96B19CF" w14:textId="77777777" w:rsidR="00CB2077" w:rsidRPr="007047B5" w:rsidRDefault="00CB2077">
            <w:pPr>
              <w:pStyle w:val="ColumnHeading"/>
              <w:keepNext/>
              <w:rPr>
                <w:lang w:val="en-IE"/>
              </w:rPr>
            </w:pPr>
            <w:r w:rsidRPr="007047B5">
              <w:rPr>
                <w:lang w:val="en-IE"/>
              </w:rPr>
              <w:t>Amendment</w:t>
            </w:r>
          </w:p>
        </w:tc>
      </w:tr>
      <w:tr w:rsidR="00CB2077" w:rsidRPr="007047B5" w14:paraId="432A9566" w14:textId="77777777" w:rsidTr="00CB2077">
        <w:trPr>
          <w:jc w:val="center"/>
        </w:trPr>
        <w:tc>
          <w:tcPr>
            <w:tcW w:w="4876" w:type="dxa"/>
          </w:tcPr>
          <w:p w14:paraId="37681A8D" w14:textId="77777777" w:rsidR="00CB2077" w:rsidRPr="007047B5" w:rsidRDefault="00CB2077">
            <w:pPr>
              <w:pStyle w:val="Normal6"/>
              <w:rPr>
                <w:lang w:val="en-IE"/>
              </w:rPr>
            </w:pPr>
          </w:p>
        </w:tc>
        <w:tc>
          <w:tcPr>
            <w:tcW w:w="4876" w:type="dxa"/>
            <w:hideMark/>
          </w:tcPr>
          <w:p w14:paraId="2FCF6A37" w14:textId="46F61C0F" w:rsidR="00CB2077" w:rsidRPr="007047B5" w:rsidRDefault="00CB2077">
            <w:pPr>
              <w:pStyle w:val="Normal6"/>
              <w:jc w:val="center"/>
              <w:rPr>
                <w:szCs w:val="24"/>
                <w:lang w:val="en-IE"/>
              </w:rPr>
            </w:pPr>
            <w:r w:rsidRPr="007047B5">
              <w:rPr>
                <w:b/>
                <w:i/>
                <w:lang w:val="en-IE"/>
              </w:rPr>
              <w:t>Article 6a</w:t>
            </w:r>
          </w:p>
        </w:tc>
      </w:tr>
      <w:tr w:rsidR="00CB2077" w:rsidRPr="007047B5" w14:paraId="4BADD0BD" w14:textId="77777777" w:rsidTr="00CB2077">
        <w:trPr>
          <w:jc w:val="center"/>
        </w:trPr>
        <w:tc>
          <w:tcPr>
            <w:tcW w:w="4876" w:type="dxa"/>
          </w:tcPr>
          <w:p w14:paraId="53B24697" w14:textId="77777777" w:rsidR="00CB2077" w:rsidRPr="007047B5" w:rsidRDefault="00CB2077">
            <w:pPr>
              <w:pStyle w:val="Normal6"/>
              <w:rPr>
                <w:lang w:val="en-IE"/>
              </w:rPr>
            </w:pPr>
          </w:p>
        </w:tc>
        <w:tc>
          <w:tcPr>
            <w:tcW w:w="4876" w:type="dxa"/>
            <w:hideMark/>
          </w:tcPr>
          <w:p w14:paraId="794AF534" w14:textId="77777777" w:rsidR="00CB2077" w:rsidRPr="007047B5" w:rsidRDefault="00CB2077">
            <w:pPr>
              <w:pStyle w:val="Normal6"/>
              <w:rPr>
                <w:szCs w:val="24"/>
                <w:lang w:val="en-IE"/>
              </w:rPr>
            </w:pPr>
            <w:r w:rsidRPr="007047B5">
              <w:rPr>
                <w:b/>
                <w:i/>
                <w:lang w:val="en-IE"/>
              </w:rPr>
              <w:t>Minimum requirements regarding citizenship and residence by investment schemes</w:t>
            </w:r>
          </w:p>
        </w:tc>
      </w:tr>
      <w:tr w:rsidR="00CB2077" w:rsidRPr="007047B5" w14:paraId="2A8ECE88" w14:textId="77777777" w:rsidTr="00CB2077">
        <w:trPr>
          <w:jc w:val="center"/>
        </w:trPr>
        <w:tc>
          <w:tcPr>
            <w:tcW w:w="4876" w:type="dxa"/>
          </w:tcPr>
          <w:p w14:paraId="662DBE72" w14:textId="77777777" w:rsidR="00CB2077" w:rsidRPr="007047B5" w:rsidRDefault="00CB2077">
            <w:pPr>
              <w:pStyle w:val="Normal6"/>
              <w:rPr>
                <w:lang w:val="en-IE"/>
              </w:rPr>
            </w:pPr>
          </w:p>
        </w:tc>
        <w:tc>
          <w:tcPr>
            <w:tcW w:w="4876" w:type="dxa"/>
            <w:hideMark/>
          </w:tcPr>
          <w:p w14:paraId="03F008D0" w14:textId="1291D233" w:rsidR="00CB2077" w:rsidRPr="007047B5" w:rsidRDefault="00042793" w:rsidP="002D7FE0">
            <w:pPr>
              <w:pStyle w:val="Normal6"/>
              <w:rPr>
                <w:szCs w:val="24"/>
                <w:lang w:val="en-IE"/>
              </w:rPr>
            </w:pPr>
            <w:r w:rsidRPr="007047B5">
              <w:rPr>
                <w:b/>
                <w:i/>
                <w:lang w:val="en-IE"/>
              </w:rPr>
              <w:t xml:space="preserve">A </w:t>
            </w:r>
            <w:r w:rsidR="00CB2077" w:rsidRPr="007047B5">
              <w:rPr>
                <w:b/>
                <w:i/>
                <w:lang w:val="en-IE"/>
              </w:rPr>
              <w:t>Member State whose national law grant</w:t>
            </w:r>
            <w:r w:rsidR="009A47DA" w:rsidRPr="007047B5">
              <w:rPr>
                <w:b/>
                <w:i/>
                <w:lang w:val="en-IE"/>
              </w:rPr>
              <w:t>s</w:t>
            </w:r>
            <w:r w:rsidR="00CB2077" w:rsidRPr="007047B5">
              <w:rPr>
                <w:b/>
                <w:i/>
                <w:lang w:val="en-IE"/>
              </w:rPr>
              <w:t xml:space="preserve"> citizenship </w:t>
            </w:r>
            <w:r w:rsidR="00755D9B" w:rsidRPr="007047B5">
              <w:rPr>
                <w:b/>
                <w:i/>
                <w:lang w:val="en-IE"/>
              </w:rPr>
              <w:t xml:space="preserve">or </w:t>
            </w:r>
            <w:r w:rsidR="00CB2077" w:rsidRPr="007047B5">
              <w:rPr>
                <w:b/>
                <w:i/>
                <w:lang w:val="en-IE"/>
              </w:rPr>
              <w:t xml:space="preserve">residence rights in exchange </w:t>
            </w:r>
            <w:r w:rsidR="002D7FE0" w:rsidRPr="007047B5">
              <w:rPr>
                <w:b/>
                <w:i/>
                <w:lang w:val="en-IE"/>
              </w:rPr>
              <w:t xml:space="preserve">for </w:t>
            </w:r>
            <w:r w:rsidR="00CB2077" w:rsidRPr="007047B5">
              <w:rPr>
                <w:b/>
                <w:i/>
                <w:lang w:val="en-IE"/>
              </w:rPr>
              <w:t>any kind of investment, such as capital transfers, purchase or renting of property, investment in government bonds, investment in corporate entities, donation or endowment of an activity</w:t>
            </w:r>
            <w:r w:rsidR="00A058E3" w:rsidRPr="007047B5">
              <w:rPr>
                <w:b/>
                <w:i/>
                <w:lang w:val="en-IE"/>
              </w:rPr>
              <w:t xml:space="preserve"> contributing</w:t>
            </w:r>
            <w:r w:rsidR="00F101B6" w:rsidRPr="007047B5">
              <w:rPr>
                <w:b/>
                <w:i/>
                <w:lang w:val="en-IE"/>
              </w:rPr>
              <w:t xml:space="preserve"> </w:t>
            </w:r>
            <w:r w:rsidR="00CB2077" w:rsidRPr="007047B5">
              <w:rPr>
                <w:b/>
                <w:i/>
                <w:lang w:val="en-IE"/>
              </w:rPr>
              <w:t xml:space="preserve">to the public good and contributions to the state budget, shall ensure that public authorities </w:t>
            </w:r>
            <w:r w:rsidR="00F101B6" w:rsidRPr="007047B5">
              <w:rPr>
                <w:b/>
                <w:i/>
                <w:lang w:val="en-IE"/>
              </w:rPr>
              <w:t xml:space="preserve">that </w:t>
            </w:r>
            <w:r w:rsidR="00CB2077" w:rsidRPr="007047B5">
              <w:rPr>
                <w:b/>
                <w:i/>
                <w:lang w:val="en-IE"/>
              </w:rPr>
              <w:t xml:space="preserve">process applications </w:t>
            </w:r>
            <w:r w:rsidR="00F101B6" w:rsidRPr="007047B5">
              <w:rPr>
                <w:b/>
                <w:i/>
                <w:lang w:val="en-IE"/>
              </w:rPr>
              <w:t xml:space="preserve">for such citizenship and residence rights </w:t>
            </w:r>
            <w:r w:rsidR="00CB2077" w:rsidRPr="007047B5">
              <w:rPr>
                <w:b/>
                <w:i/>
                <w:lang w:val="en-IE"/>
              </w:rPr>
              <w:t>carry out at least the following measures:</w:t>
            </w:r>
          </w:p>
        </w:tc>
      </w:tr>
      <w:tr w:rsidR="00CB2077" w:rsidRPr="007047B5" w14:paraId="05844313" w14:textId="77777777" w:rsidTr="00CB2077">
        <w:trPr>
          <w:jc w:val="center"/>
        </w:trPr>
        <w:tc>
          <w:tcPr>
            <w:tcW w:w="4876" w:type="dxa"/>
          </w:tcPr>
          <w:p w14:paraId="43960F5F" w14:textId="77777777" w:rsidR="00CB2077" w:rsidRPr="007047B5" w:rsidRDefault="00CB2077">
            <w:pPr>
              <w:pStyle w:val="Normal6"/>
              <w:rPr>
                <w:lang w:val="en-IE"/>
              </w:rPr>
            </w:pPr>
          </w:p>
        </w:tc>
        <w:tc>
          <w:tcPr>
            <w:tcW w:w="4876" w:type="dxa"/>
            <w:hideMark/>
          </w:tcPr>
          <w:p w14:paraId="6ED892CA" w14:textId="63D1B1F6" w:rsidR="00CB2077" w:rsidRPr="007047B5" w:rsidRDefault="00F101B6" w:rsidP="006F5456">
            <w:pPr>
              <w:pStyle w:val="Normal6"/>
              <w:rPr>
                <w:szCs w:val="24"/>
                <w:lang w:val="en-IE"/>
              </w:rPr>
            </w:pPr>
            <w:r w:rsidRPr="007047B5">
              <w:rPr>
                <w:b/>
                <w:i/>
                <w:lang w:val="en-IE"/>
              </w:rPr>
              <w:t>(</w:t>
            </w:r>
            <w:r w:rsidR="00CB2077" w:rsidRPr="007047B5">
              <w:rPr>
                <w:b/>
                <w:i/>
                <w:lang w:val="en-IE"/>
              </w:rPr>
              <w:t>a)</w:t>
            </w:r>
            <w:r w:rsidRPr="007047B5">
              <w:rPr>
                <w:b/>
                <w:i/>
                <w:lang w:val="en-IE"/>
              </w:rPr>
              <w:tab/>
            </w:r>
            <w:r w:rsidR="00CB2077" w:rsidRPr="007047B5">
              <w:rPr>
                <w:b/>
                <w:i/>
                <w:lang w:val="en-IE"/>
              </w:rPr>
              <w:t xml:space="preserve">require that transactions are carried out </w:t>
            </w:r>
            <w:r w:rsidR="00042793" w:rsidRPr="007047B5">
              <w:rPr>
                <w:b/>
                <w:i/>
                <w:lang w:val="en-IE"/>
              </w:rPr>
              <w:t xml:space="preserve">by means of </w:t>
            </w:r>
            <w:r w:rsidR="00CB2077" w:rsidRPr="007047B5">
              <w:rPr>
                <w:b/>
                <w:i/>
                <w:lang w:val="en-IE"/>
              </w:rPr>
              <w:t>a business relationship with an obliged entity established in that Member State;</w:t>
            </w:r>
          </w:p>
        </w:tc>
      </w:tr>
      <w:tr w:rsidR="00CB2077" w:rsidRPr="007047B5" w14:paraId="49C9A7AB" w14:textId="77777777" w:rsidTr="00CB2077">
        <w:trPr>
          <w:jc w:val="center"/>
        </w:trPr>
        <w:tc>
          <w:tcPr>
            <w:tcW w:w="4876" w:type="dxa"/>
          </w:tcPr>
          <w:p w14:paraId="3E0DF4C3" w14:textId="77777777" w:rsidR="00CB2077" w:rsidRPr="007047B5" w:rsidRDefault="00CB2077">
            <w:pPr>
              <w:pStyle w:val="Normal6"/>
              <w:rPr>
                <w:lang w:val="en-IE"/>
              </w:rPr>
            </w:pPr>
          </w:p>
        </w:tc>
        <w:tc>
          <w:tcPr>
            <w:tcW w:w="4876" w:type="dxa"/>
            <w:hideMark/>
          </w:tcPr>
          <w:p w14:paraId="3873B3E8" w14:textId="4F8D6FF5" w:rsidR="00CB2077" w:rsidRPr="007047B5" w:rsidRDefault="00F101B6" w:rsidP="006F5456">
            <w:pPr>
              <w:pStyle w:val="Normal6"/>
              <w:rPr>
                <w:szCs w:val="24"/>
                <w:lang w:val="en-IE"/>
              </w:rPr>
            </w:pPr>
            <w:r w:rsidRPr="007047B5">
              <w:rPr>
                <w:b/>
                <w:i/>
                <w:lang w:val="en-IE"/>
              </w:rPr>
              <w:t>(</w:t>
            </w:r>
            <w:r w:rsidR="00CB2077" w:rsidRPr="007047B5">
              <w:rPr>
                <w:b/>
                <w:i/>
                <w:lang w:val="en-IE"/>
              </w:rPr>
              <w:t>b)</w:t>
            </w:r>
            <w:r w:rsidRPr="007047B5">
              <w:rPr>
                <w:b/>
                <w:i/>
                <w:lang w:val="en-IE"/>
              </w:rPr>
              <w:tab/>
            </w:r>
            <w:r w:rsidR="00CB2077" w:rsidRPr="007047B5">
              <w:rPr>
                <w:b/>
                <w:i/>
                <w:lang w:val="en-IE"/>
              </w:rPr>
              <w:t xml:space="preserve">request information </w:t>
            </w:r>
            <w:r w:rsidR="00042793" w:rsidRPr="007047B5">
              <w:rPr>
                <w:b/>
                <w:i/>
                <w:lang w:val="en-IE"/>
              </w:rPr>
              <w:t xml:space="preserve">from </w:t>
            </w:r>
            <w:r w:rsidR="00CB2077" w:rsidRPr="007047B5">
              <w:rPr>
                <w:b/>
                <w:i/>
                <w:lang w:val="en-IE"/>
              </w:rPr>
              <w:t>involved obliged entities about customer due diligence measures carried out;</w:t>
            </w:r>
          </w:p>
        </w:tc>
      </w:tr>
      <w:tr w:rsidR="00CB2077" w:rsidRPr="007047B5" w14:paraId="4CCD5419" w14:textId="77777777" w:rsidTr="00CB2077">
        <w:trPr>
          <w:jc w:val="center"/>
        </w:trPr>
        <w:tc>
          <w:tcPr>
            <w:tcW w:w="4876" w:type="dxa"/>
          </w:tcPr>
          <w:p w14:paraId="58322389" w14:textId="77777777" w:rsidR="00CB2077" w:rsidRPr="007047B5" w:rsidRDefault="00CB2077">
            <w:pPr>
              <w:pStyle w:val="Normal6"/>
              <w:rPr>
                <w:lang w:val="en-IE"/>
              </w:rPr>
            </w:pPr>
          </w:p>
        </w:tc>
        <w:tc>
          <w:tcPr>
            <w:tcW w:w="4876" w:type="dxa"/>
            <w:hideMark/>
          </w:tcPr>
          <w:p w14:paraId="168A2580" w14:textId="0ABD71A4" w:rsidR="00CB2077" w:rsidRPr="007047B5" w:rsidRDefault="00F101B6" w:rsidP="006F5456">
            <w:pPr>
              <w:pStyle w:val="Normal6"/>
              <w:rPr>
                <w:szCs w:val="24"/>
                <w:lang w:val="en-IE"/>
              </w:rPr>
            </w:pPr>
            <w:r w:rsidRPr="007047B5">
              <w:rPr>
                <w:b/>
                <w:i/>
                <w:lang w:val="en-IE"/>
              </w:rPr>
              <w:t>(</w:t>
            </w:r>
            <w:r w:rsidR="00CB2077" w:rsidRPr="007047B5">
              <w:rPr>
                <w:b/>
                <w:i/>
                <w:lang w:val="en-IE"/>
              </w:rPr>
              <w:t xml:space="preserve">c) </w:t>
            </w:r>
            <w:r w:rsidRPr="007047B5">
              <w:rPr>
                <w:b/>
                <w:i/>
                <w:lang w:val="en-IE"/>
              </w:rPr>
              <w:tab/>
            </w:r>
            <w:r w:rsidR="00CB2077" w:rsidRPr="007047B5">
              <w:rPr>
                <w:b/>
                <w:i/>
                <w:lang w:val="en-IE"/>
              </w:rPr>
              <w:t>obtain and record detailed information</w:t>
            </w:r>
            <w:r w:rsidR="00223F06" w:rsidRPr="007047B5">
              <w:rPr>
                <w:b/>
                <w:i/>
                <w:lang w:val="en-IE"/>
              </w:rPr>
              <w:t>,</w:t>
            </w:r>
            <w:r w:rsidR="00CB2077" w:rsidRPr="007047B5">
              <w:rPr>
                <w:b/>
                <w:i/>
                <w:lang w:val="en-IE"/>
              </w:rPr>
              <w:t xml:space="preserve"> substantiated by verified documents</w:t>
            </w:r>
            <w:r w:rsidR="00223F06" w:rsidRPr="007047B5">
              <w:rPr>
                <w:b/>
                <w:i/>
                <w:lang w:val="en-IE"/>
              </w:rPr>
              <w:t>,</w:t>
            </w:r>
            <w:r w:rsidR="00CB2077" w:rsidRPr="007047B5">
              <w:rPr>
                <w:b/>
                <w:i/>
                <w:lang w:val="en-IE"/>
              </w:rPr>
              <w:t xml:space="preserve"> on the identity of the applicant, </w:t>
            </w:r>
            <w:r w:rsidR="00223F06" w:rsidRPr="007047B5">
              <w:rPr>
                <w:b/>
                <w:i/>
                <w:lang w:val="en-IE"/>
              </w:rPr>
              <w:t xml:space="preserve">on </w:t>
            </w:r>
            <w:r w:rsidR="00CB2077" w:rsidRPr="007047B5">
              <w:rPr>
                <w:b/>
                <w:i/>
                <w:lang w:val="en-IE"/>
              </w:rPr>
              <w:t>any of the</w:t>
            </w:r>
            <w:r w:rsidR="00223F06" w:rsidRPr="007047B5">
              <w:rPr>
                <w:b/>
                <w:i/>
                <w:lang w:val="en-IE"/>
              </w:rPr>
              <w:t xml:space="preserve"> applicant’s</w:t>
            </w:r>
            <w:r w:rsidR="00CB2077" w:rsidRPr="007047B5">
              <w:rPr>
                <w:b/>
                <w:i/>
                <w:lang w:val="en-IE"/>
              </w:rPr>
              <w:t xml:space="preserve"> business interests and employment activities in the previous 10 years</w:t>
            </w:r>
            <w:r w:rsidR="00223F06" w:rsidRPr="007047B5">
              <w:rPr>
                <w:b/>
                <w:i/>
                <w:lang w:val="en-IE"/>
              </w:rPr>
              <w:t xml:space="preserve"> and on </w:t>
            </w:r>
            <w:r w:rsidR="00CB2077" w:rsidRPr="007047B5">
              <w:rPr>
                <w:b/>
                <w:i/>
                <w:lang w:val="en-IE"/>
              </w:rPr>
              <w:t xml:space="preserve">the </w:t>
            </w:r>
            <w:r w:rsidR="00223F06" w:rsidRPr="007047B5">
              <w:rPr>
                <w:b/>
                <w:i/>
                <w:lang w:val="en-IE"/>
              </w:rPr>
              <w:t xml:space="preserve">applicant’s </w:t>
            </w:r>
            <w:r w:rsidR="00CB2077" w:rsidRPr="007047B5">
              <w:rPr>
                <w:b/>
                <w:i/>
                <w:lang w:val="en-IE"/>
              </w:rPr>
              <w:t>source of funds and source of wealth;</w:t>
            </w:r>
          </w:p>
        </w:tc>
      </w:tr>
      <w:tr w:rsidR="00CB2077" w:rsidRPr="007047B5" w14:paraId="0C89DD87" w14:textId="77777777" w:rsidTr="00CB2077">
        <w:trPr>
          <w:jc w:val="center"/>
        </w:trPr>
        <w:tc>
          <w:tcPr>
            <w:tcW w:w="4876" w:type="dxa"/>
          </w:tcPr>
          <w:p w14:paraId="7C20308D" w14:textId="77777777" w:rsidR="00CB2077" w:rsidRPr="007047B5" w:rsidRDefault="00CB2077">
            <w:pPr>
              <w:pStyle w:val="Normal6"/>
              <w:rPr>
                <w:lang w:val="en-IE"/>
              </w:rPr>
            </w:pPr>
          </w:p>
        </w:tc>
        <w:tc>
          <w:tcPr>
            <w:tcW w:w="4876" w:type="dxa"/>
            <w:hideMark/>
          </w:tcPr>
          <w:p w14:paraId="79F37985" w14:textId="1B23DD28" w:rsidR="00CB2077" w:rsidRPr="007047B5" w:rsidRDefault="00F101B6" w:rsidP="006F5456">
            <w:pPr>
              <w:pStyle w:val="Normal6"/>
              <w:rPr>
                <w:szCs w:val="24"/>
                <w:lang w:val="en-IE"/>
              </w:rPr>
            </w:pPr>
            <w:r w:rsidRPr="007047B5">
              <w:rPr>
                <w:b/>
                <w:i/>
                <w:lang w:val="en-IE"/>
              </w:rPr>
              <w:t>(</w:t>
            </w:r>
            <w:r w:rsidR="00CB2077" w:rsidRPr="007047B5">
              <w:rPr>
                <w:b/>
                <w:i/>
                <w:lang w:val="en-IE"/>
              </w:rPr>
              <w:t>d)</w:t>
            </w:r>
            <w:r w:rsidRPr="007047B5">
              <w:rPr>
                <w:b/>
                <w:i/>
                <w:lang w:val="en-IE"/>
              </w:rPr>
              <w:tab/>
            </w:r>
            <w:r w:rsidR="00CB2077" w:rsidRPr="007047B5">
              <w:rPr>
                <w:b/>
                <w:i/>
                <w:lang w:val="en-IE"/>
              </w:rPr>
              <w:t xml:space="preserve">require clearance from law enforcement authorities, substantiated by evidence of </w:t>
            </w:r>
            <w:r w:rsidR="00223F06" w:rsidRPr="007047B5">
              <w:rPr>
                <w:b/>
                <w:i/>
                <w:lang w:val="en-IE"/>
              </w:rPr>
              <w:t xml:space="preserve">the </w:t>
            </w:r>
            <w:r w:rsidR="00CB2077" w:rsidRPr="007047B5">
              <w:rPr>
                <w:b/>
                <w:i/>
                <w:lang w:val="en-IE"/>
              </w:rPr>
              <w:t xml:space="preserve">absence of any criminal activities </w:t>
            </w:r>
            <w:r w:rsidR="00223F06" w:rsidRPr="007047B5">
              <w:rPr>
                <w:b/>
                <w:i/>
                <w:lang w:val="en-IE"/>
              </w:rPr>
              <w:t xml:space="preserve">on the part of </w:t>
            </w:r>
            <w:r w:rsidR="00CB2077" w:rsidRPr="007047B5">
              <w:rPr>
                <w:b/>
                <w:i/>
                <w:lang w:val="en-IE"/>
              </w:rPr>
              <w:t>the applicant.</w:t>
            </w:r>
          </w:p>
        </w:tc>
      </w:tr>
    </w:tbl>
    <w:p w14:paraId="20044169"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E4E29EA" w14:textId="77777777" w:rsidR="00CB2077" w:rsidRPr="007047B5" w:rsidRDefault="00CB2077" w:rsidP="00CB2077">
      <w:pPr>
        <w:rPr>
          <w:lang w:val="en-IE"/>
        </w:rPr>
      </w:pPr>
      <w:r w:rsidRPr="007047B5">
        <w:rPr>
          <w:rStyle w:val="HideTWBExt"/>
          <w:noProof w:val="0"/>
          <w:lang w:val="en-IE"/>
        </w:rPr>
        <w:t>&lt;/Amend&gt;</w:t>
      </w:r>
    </w:p>
    <w:p w14:paraId="77AAEEDD"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41</w:t>
      </w:r>
      <w:r w:rsidRPr="007047B5">
        <w:rPr>
          <w:rStyle w:val="HideTWBExt"/>
          <w:b w:val="0"/>
          <w:noProof w:val="0"/>
          <w:lang w:val="en-IE"/>
        </w:rPr>
        <w:t>&lt;/NumAm&gt;</w:t>
      </w:r>
    </w:p>
    <w:p w14:paraId="739A93F6"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C2B31FE"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7 – paragraph 1 – point b</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427787F" w14:textId="77777777" w:rsidTr="00CB2077">
        <w:trPr>
          <w:jc w:val="center"/>
        </w:trPr>
        <w:tc>
          <w:tcPr>
            <w:tcW w:w="9752" w:type="dxa"/>
            <w:gridSpan w:val="2"/>
          </w:tcPr>
          <w:p w14:paraId="702986DB" w14:textId="77777777" w:rsidR="00CB2077" w:rsidRPr="007047B5" w:rsidRDefault="00CB2077">
            <w:pPr>
              <w:keepNext/>
              <w:rPr>
                <w:lang w:val="en-IE"/>
              </w:rPr>
            </w:pPr>
          </w:p>
        </w:tc>
      </w:tr>
      <w:tr w:rsidR="00CB2077" w:rsidRPr="007047B5" w14:paraId="551E82AC" w14:textId="77777777" w:rsidTr="00CB2077">
        <w:trPr>
          <w:jc w:val="center"/>
        </w:trPr>
        <w:tc>
          <w:tcPr>
            <w:tcW w:w="4876" w:type="dxa"/>
            <w:hideMark/>
          </w:tcPr>
          <w:p w14:paraId="79465A34"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AFF7454" w14:textId="77777777" w:rsidR="00CB2077" w:rsidRPr="007047B5" w:rsidRDefault="00CB2077">
            <w:pPr>
              <w:pStyle w:val="ColumnHeading"/>
              <w:keepNext/>
              <w:rPr>
                <w:lang w:val="en-IE"/>
              </w:rPr>
            </w:pPr>
            <w:r w:rsidRPr="007047B5">
              <w:rPr>
                <w:lang w:val="en-IE"/>
              </w:rPr>
              <w:t>Amendment</w:t>
            </w:r>
          </w:p>
        </w:tc>
      </w:tr>
      <w:tr w:rsidR="00CB2077" w:rsidRPr="007047B5" w14:paraId="64544986" w14:textId="77777777" w:rsidTr="00CB2077">
        <w:trPr>
          <w:jc w:val="center"/>
        </w:trPr>
        <w:tc>
          <w:tcPr>
            <w:tcW w:w="4876" w:type="dxa"/>
            <w:hideMark/>
          </w:tcPr>
          <w:p w14:paraId="0E87D741" w14:textId="77777777" w:rsidR="00CB2077" w:rsidRPr="007047B5" w:rsidRDefault="00CB2077">
            <w:pPr>
              <w:pStyle w:val="Normal6"/>
              <w:rPr>
                <w:lang w:val="en-IE"/>
              </w:rPr>
            </w:pPr>
            <w:r w:rsidRPr="007047B5">
              <w:rPr>
                <w:lang w:val="en-IE"/>
              </w:rPr>
              <w:t>(b)</w:t>
            </w:r>
            <w:r w:rsidRPr="007047B5">
              <w:rPr>
                <w:lang w:val="en-IE"/>
              </w:rPr>
              <w:tab/>
              <w:t xml:space="preserve">in addition to the obligation to apply targeted financial sanctions, mitigate </w:t>
            </w:r>
            <w:r w:rsidRPr="007047B5">
              <w:rPr>
                <w:lang w:val="en-IE"/>
              </w:rPr>
              <w:lastRenderedPageBreak/>
              <w:t>and manage the risks of non-implementation and evasion of proliferation financing-related targeted financial sanctions.</w:t>
            </w:r>
          </w:p>
        </w:tc>
        <w:tc>
          <w:tcPr>
            <w:tcW w:w="4876" w:type="dxa"/>
            <w:hideMark/>
          </w:tcPr>
          <w:p w14:paraId="0C599921" w14:textId="77777777" w:rsidR="00CB2077" w:rsidRPr="007047B5" w:rsidRDefault="00CB2077">
            <w:pPr>
              <w:pStyle w:val="Normal6"/>
              <w:rPr>
                <w:szCs w:val="24"/>
                <w:lang w:val="en-IE"/>
              </w:rPr>
            </w:pPr>
            <w:r w:rsidRPr="007047B5">
              <w:rPr>
                <w:lang w:val="en-IE"/>
              </w:rPr>
              <w:lastRenderedPageBreak/>
              <w:t>(b)</w:t>
            </w:r>
            <w:r w:rsidRPr="007047B5">
              <w:rPr>
                <w:lang w:val="en-IE"/>
              </w:rPr>
              <w:tab/>
              <w:t xml:space="preserve">in addition to the obligation to apply targeted financial sanctions, mitigate </w:t>
            </w:r>
            <w:r w:rsidRPr="007047B5">
              <w:rPr>
                <w:lang w:val="en-IE"/>
              </w:rPr>
              <w:lastRenderedPageBreak/>
              <w:t xml:space="preserve">and manage the risks of non-implementation and evasion of </w:t>
            </w:r>
            <w:r w:rsidRPr="007047B5">
              <w:rPr>
                <w:b/>
                <w:i/>
                <w:lang w:val="en-IE"/>
              </w:rPr>
              <w:t>targeted financial sanctions and</w:t>
            </w:r>
            <w:r w:rsidRPr="007047B5">
              <w:rPr>
                <w:lang w:val="en-IE"/>
              </w:rPr>
              <w:t xml:space="preserve"> proliferation financing-related targeted financial sanctions.</w:t>
            </w:r>
          </w:p>
        </w:tc>
      </w:tr>
    </w:tbl>
    <w:p w14:paraId="10957EE9"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2327354" w14:textId="77777777" w:rsidR="00CB2077" w:rsidRPr="007047B5" w:rsidRDefault="00CB2077" w:rsidP="00CB2077">
      <w:pPr>
        <w:rPr>
          <w:lang w:val="en-IE"/>
        </w:rPr>
      </w:pPr>
      <w:r w:rsidRPr="007047B5">
        <w:rPr>
          <w:rStyle w:val="HideTWBExt"/>
          <w:noProof w:val="0"/>
          <w:lang w:val="en-IE"/>
        </w:rPr>
        <w:t>&lt;/Amend&gt;</w:t>
      </w:r>
    </w:p>
    <w:p w14:paraId="747F50AD"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42</w:t>
      </w:r>
      <w:r w:rsidRPr="007047B5">
        <w:rPr>
          <w:rStyle w:val="HideTWBExt"/>
          <w:b w:val="0"/>
          <w:noProof w:val="0"/>
          <w:lang w:val="en-IE"/>
        </w:rPr>
        <w:t>&lt;/NumAm&gt;</w:t>
      </w:r>
    </w:p>
    <w:p w14:paraId="53470404"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672015D"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7 – paragraph 4</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CB277B6" w14:textId="77777777" w:rsidTr="00CB2077">
        <w:trPr>
          <w:jc w:val="center"/>
        </w:trPr>
        <w:tc>
          <w:tcPr>
            <w:tcW w:w="9752" w:type="dxa"/>
            <w:gridSpan w:val="2"/>
          </w:tcPr>
          <w:p w14:paraId="3EAB4CEA" w14:textId="77777777" w:rsidR="00CB2077" w:rsidRPr="007047B5" w:rsidRDefault="00CB2077">
            <w:pPr>
              <w:keepNext/>
              <w:rPr>
                <w:lang w:val="en-IE"/>
              </w:rPr>
            </w:pPr>
          </w:p>
        </w:tc>
      </w:tr>
      <w:tr w:rsidR="00CB2077" w:rsidRPr="007047B5" w14:paraId="05A71CF5" w14:textId="77777777" w:rsidTr="00CB2077">
        <w:trPr>
          <w:jc w:val="center"/>
        </w:trPr>
        <w:tc>
          <w:tcPr>
            <w:tcW w:w="4876" w:type="dxa"/>
            <w:hideMark/>
          </w:tcPr>
          <w:p w14:paraId="75A75EA0"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0E61457" w14:textId="77777777" w:rsidR="00CB2077" w:rsidRPr="007047B5" w:rsidRDefault="00CB2077">
            <w:pPr>
              <w:pStyle w:val="ColumnHeading"/>
              <w:keepNext/>
              <w:rPr>
                <w:lang w:val="en-IE"/>
              </w:rPr>
            </w:pPr>
            <w:r w:rsidRPr="007047B5">
              <w:rPr>
                <w:lang w:val="en-IE"/>
              </w:rPr>
              <w:t>Amendment</w:t>
            </w:r>
          </w:p>
        </w:tc>
      </w:tr>
      <w:tr w:rsidR="00CB2077" w:rsidRPr="007047B5" w14:paraId="167C3484" w14:textId="77777777" w:rsidTr="00CB2077">
        <w:trPr>
          <w:jc w:val="center"/>
        </w:trPr>
        <w:tc>
          <w:tcPr>
            <w:tcW w:w="4876" w:type="dxa"/>
            <w:hideMark/>
          </w:tcPr>
          <w:p w14:paraId="770EA430" w14:textId="77777777" w:rsidR="00CB2077" w:rsidRPr="007047B5" w:rsidRDefault="00CB2077">
            <w:pPr>
              <w:pStyle w:val="Normal6"/>
              <w:rPr>
                <w:lang w:val="en-IE"/>
              </w:rPr>
            </w:pPr>
            <w:r w:rsidRPr="007047B5">
              <w:rPr>
                <w:lang w:val="en-IE"/>
              </w:rPr>
              <w:t>4.</w:t>
            </w:r>
            <w:r w:rsidRPr="007047B5">
              <w:rPr>
                <w:lang w:val="en-IE"/>
              </w:rPr>
              <w:tab/>
              <w:t>By [2 years after the entry into force of this Regulation], AMLA shall issue guidelines on the elements that obliged entities should take into account when deciding on the extent of their internal policies, controls and procedures.</w:t>
            </w:r>
          </w:p>
        </w:tc>
        <w:tc>
          <w:tcPr>
            <w:tcW w:w="4876" w:type="dxa"/>
            <w:hideMark/>
          </w:tcPr>
          <w:p w14:paraId="07BDC6B1" w14:textId="76FE2363" w:rsidR="00CB2077" w:rsidRPr="007047B5" w:rsidRDefault="00CB2077" w:rsidP="006F5456">
            <w:pPr>
              <w:pStyle w:val="Normal6"/>
              <w:rPr>
                <w:szCs w:val="24"/>
                <w:lang w:val="en-IE"/>
              </w:rPr>
            </w:pPr>
            <w:r w:rsidRPr="007047B5">
              <w:rPr>
                <w:lang w:val="en-IE"/>
              </w:rPr>
              <w:t>4.</w:t>
            </w:r>
            <w:r w:rsidRPr="007047B5">
              <w:rPr>
                <w:lang w:val="en-IE"/>
              </w:rPr>
              <w:tab/>
              <w:t xml:space="preserve">By </w:t>
            </w:r>
            <w:r w:rsidR="00CD15EB" w:rsidRPr="007047B5">
              <w:rPr>
                <w:lang w:val="en-IE"/>
              </w:rPr>
              <w:t>...</w:t>
            </w:r>
            <w:r w:rsidRPr="007047B5">
              <w:rPr>
                <w:lang w:val="en-IE"/>
              </w:rPr>
              <w:t xml:space="preserve">[2 years after the entry into force of this Regulation], AMLA shall issue guidelines on the elements that obliged entities should take into account when deciding on the extent of their internal policies, controls and procedures </w:t>
            </w:r>
            <w:r w:rsidRPr="007047B5">
              <w:rPr>
                <w:b/>
                <w:i/>
                <w:lang w:val="en-IE"/>
              </w:rPr>
              <w:t xml:space="preserve">based on their assessed level of risk, including further guidance on how to </w:t>
            </w:r>
            <w:r w:rsidR="00223F06" w:rsidRPr="007047B5">
              <w:rPr>
                <w:b/>
                <w:i/>
                <w:lang w:val="en-IE"/>
              </w:rPr>
              <w:t xml:space="preserve">determine </w:t>
            </w:r>
            <w:r w:rsidRPr="007047B5">
              <w:rPr>
                <w:b/>
                <w:i/>
                <w:lang w:val="en-IE"/>
              </w:rPr>
              <w:t xml:space="preserve">the number of staff </w:t>
            </w:r>
            <w:r w:rsidR="00223F06" w:rsidRPr="007047B5">
              <w:rPr>
                <w:b/>
                <w:i/>
                <w:lang w:val="en-IE"/>
              </w:rPr>
              <w:t xml:space="preserve">to be </w:t>
            </w:r>
            <w:r w:rsidRPr="007047B5">
              <w:rPr>
                <w:b/>
                <w:i/>
                <w:lang w:val="en-IE"/>
              </w:rPr>
              <w:t xml:space="preserve">entrusted with compliance functions as </w:t>
            </w:r>
            <w:r w:rsidR="00223F06" w:rsidRPr="007047B5">
              <w:rPr>
                <w:b/>
                <w:i/>
                <w:lang w:val="en-IE"/>
              </w:rPr>
              <w:t>set out in</w:t>
            </w:r>
            <w:r w:rsidRPr="007047B5">
              <w:rPr>
                <w:b/>
                <w:i/>
                <w:lang w:val="en-IE"/>
              </w:rPr>
              <w:t xml:space="preserve"> Article</w:t>
            </w:r>
            <w:r w:rsidR="00223F06" w:rsidRPr="007047B5">
              <w:rPr>
                <w:b/>
                <w:i/>
                <w:lang w:val="en-IE"/>
              </w:rPr>
              <w:t> </w:t>
            </w:r>
            <w:r w:rsidRPr="007047B5">
              <w:rPr>
                <w:b/>
                <w:i/>
                <w:lang w:val="en-IE"/>
              </w:rPr>
              <w:t xml:space="preserve">9, taking into account the </w:t>
            </w:r>
            <w:r w:rsidR="00223F06" w:rsidRPr="007047B5">
              <w:rPr>
                <w:b/>
                <w:i/>
                <w:lang w:val="en-IE"/>
              </w:rPr>
              <w:t xml:space="preserve">nature and </w:t>
            </w:r>
            <w:r w:rsidRPr="007047B5">
              <w:rPr>
                <w:b/>
                <w:i/>
                <w:lang w:val="en-IE"/>
              </w:rPr>
              <w:t xml:space="preserve">size of obliged entities and the </w:t>
            </w:r>
            <w:r w:rsidR="00755D9B" w:rsidRPr="007047B5">
              <w:rPr>
                <w:b/>
                <w:i/>
                <w:lang w:val="en-IE"/>
              </w:rPr>
              <w:t xml:space="preserve">inherent </w:t>
            </w:r>
            <w:r w:rsidRPr="007047B5">
              <w:rPr>
                <w:b/>
                <w:i/>
                <w:lang w:val="en-IE"/>
              </w:rPr>
              <w:t>risk</w:t>
            </w:r>
            <w:r w:rsidR="00755D9B" w:rsidRPr="007047B5">
              <w:rPr>
                <w:b/>
                <w:i/>
                <w:lang w:val="en-IE"/>
              </w:rPr>
              <w:t>s</w:t>
            </w:r>
            <w:r w:rsidRPr="007047B5">
              <w:rPr>
                <w:b/>
                <w:i/>
                <w:lang w:val="en-IE"/>
              </w:rPr>
              <w:t xml:space="preserve"> of the sector in which they operate</w:t>
            </w:r>
            <w:r w:rsidRPr="007047B5">
              <w:rPr>
                <w:lang w:val="en-IE"/>
              </w:rPr>
              <w:t>.</w:t>
            </w:r>
          </w:p>
        </w:tc>
      </w:tr>
    </w:tbl>
    <w:p w14:paraId="35F778FB"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1E90488" w14:textId="77777777" w:rsidR="00CB2077" w:rsidRPr="007047B5" w:rsidRDefault="00CB2077" w:rsidP="00CB2077">
      <w:pPr>
        <w:rPr>
          <w:lang w:val="en-IE"/>
        </w:rPr>
      </w:pPr>
      <w:r w:rsidRPr="007047B5">
        <w:rPr>
          <w:rStyle w:val="HideTWBExt"/>
          <w:noProof w:val="0"/>
          <w:lang w:val="en-IE"/>
        </w:rPr>
        <w:t>&lt;/Amend&gt;</w:t>
      </w:r>
    </w:p>
    <w:p w14:paraId="135FBCF6"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43</w:t>
      </w:r>
      <w:r w:rsidRPr="007047B5">
        <w:rPr>
          <w:rStyle w:val="HideTWBExt"/>
          <w:b w:val="0"/>
          <w:noProof w:val="0"/>
          <w:lang w:val="en-IE"/>
        </w:rPr>
        <w:t>&lt;/NumAm&gt;</w:t>
      </w:r>
    </w:p>
    <w:p w14:paraId="5AE0DE0A"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FB31A11"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9 – paragraph 1</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3E74F24" w14:textId="77777777" w:rsidTr="00CB2077">
        <w:trPr>
          <w:jc w:val="center"/>
        </w:trPr>
        <w:tc>
          <w:tcPr>
            <w:tcW w:w="9752" w:type="dxa"/>
            <w:gridSpan w:val="2"/>
          </w:tcPr>
          <w:p w14:paraId="14FC08B9" w14:textId="77777777" w:rsidR="00CB2077" w:rsidRPr="007047B5" w:rsidRDefault="00CB2077">
            <w:pPr>
              <w:keepNext/>
              <w:rPr>
                <w:lang w:val="en-IE"/>
              </w:rPr>
            </w:pPr>
          </w:p>
        </w:tc>
      </w:tr>
      <w:tr w:rsidR="00CB2077" w:rsidRPr="007047B5" w14:paraId="50086C16" w14:textId="77777777" w:rsidTr="00CB2077">
        <w:trPr>
          <w:jc w:val="center"/>
        </w:trPr>
        <w:tc>
          <w:tcPr>
            <w:tcW w:w="4876" w:type="dxa"/>
            <w:hideMark/>
          </w:tcPr>
          <w:p w14:paraId="7BD3D8D0"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931A15F" w14:textId="77777777" w:rsidR="00CB2077" w:rsidRPr="007047B5" w:rsidRDefault="00CB2077">
            <w:pPr>
              <w:pStyle w:val="ColumnHeading"/>
              <w:keepNext/>
              <w:rPr>
                <w:lang w:val="en-IE"/>
              </w:rPr>
            </w:pPr>
            <w:r w:rsidRPr="007047B5">
              <w:rPr>
                <w:lang w:val="en-IE"/>
              </w:rPr>
              <w:t>Amendment</w:t>
            </w:r>
          </w:p>
        </w:tc>
      </w:tr>
      <w:tr w:rsidR="00CB2077" w:rsidRPr="007047B5" w14:paraId="04704230" w14:textId="77777777" w:rsidTr="00CB2077">
        <w:trPr>
          <w:jc w:val="center"/>
        </w:trPr>
        <w:tc>
          <w:tcPr>
            <w:tcW w:w="4876" w:type="dxa"/>
            <w:hideMark/>
          </w:tcPr>
          <w:p w14:paraId="6E277922" w14:textId="77777777" w:rsidR="00CB2077" w:rsidRPr="007047B5" w:rsidRDefault="00CB2077">
            <w:pPr>
              <w:pStyle w:val="Normal6"/>
              <w:rPr>
                <w:lang w:val="en-IE"/>
              </w:rPr>
            </w:pPr>
            <w:r w:rsidRPr="007047B5">
              <w:rPr>
                <w:lang w:val="en-IE"/>
              </w:rPr>
              <w:t>1.</w:t>
            </w:r>
            <w:r w:rsidRPr="007047B5">
              <w:rPr>
                <w:lang w:val="en-IE"/>
              </w:rPr>
              <w:tab/>
              <w:t xml:space="preserve">Obliged entities shall appoint one executive member of their board of directors or, if there is no board, of its equivalent governing body who shall be responsible for the implementation of measures to ensure compliance with this </w:t>
            </w:r>
            <w:r w:rsidRPr="007047B5">
              <w:rPr>
                <w:lang w:val="en-IE"/>
              </w:rPr>
              <w:lastRenderedPageBreak/>
              <w:t>Regulation (‘compliance manager’). Where the entity has no governing body, the function should be performed by a member of its senior management.</w:t>
            </w:r>
          </w:p>
        </w:tc>
        <w:tc>
          <w:tcPr>
            <w:tcW w:w="4876" w:type="dxa"/>
            <w:hideMark/>
          </w:tcPr>
          <w:p w14:paraId="7B5EF1D4" w14:textId="77777777" w:rsidR="00CB2077" w:rsidRPr="007047B5" w:rsidRDefault="00CB2077">
            <w:pPr>
              <w:pStyle w:val="Normal6"/>
              <w:rPr>
                <w:szCs w:val="24"/>
                <w:lang w:val="en-IE"/>
              </w:rPr>
            </w:pPr>
            <w:r w:rsidRPr="007047B5">
              <w:rPr>
                <w:lang w:val="en-IE"/>
              </w:rPr>
              <w:lastRenderedPageBreak/>
              <w:t>1.</w:t>
            </w:r>
            <w:r w:rsidRPr="007047B5">
              <w:rPr>
                <w:lang w:val="en-IE"/>
              </w:rPr>
              <w:tab/>
              <w:t xml:space="preserve">Obliged entities shall appoint one executive member of their board of directors or, if there is no board, of its equivalent governing body who shall be responsible for the implementation of measures to ensure compliance with this </w:t>
            </w:r>
            <w:r w:rsidRPr="007047B5">
              <w:rPr>
                <w:lang w:val="en-IE"/>
              </w:rPr>
              <w:lastRenderedPageBreak/>
              <w:t xml:space="preserve">Regulation (‘compliance manager’). Where the entity has no governing body, the function should be performed by a member of its senior management. </w:t>
            </w:r>
            <w:r w:rsidRPr="007047B5">
              <w:rPr>
                <w:b/>
                <w:i/>
                <w:lang w:val="en-IE"/>
              </w:rPr>
              <w:t>This paragraph is without prejudice to national provisions on joint civil or criminal liability of governing bodies.</w:t>
            </w:r>
          </w:p>
        </w:tc>
      </w:tr>
    </w:tbl>
    <w:p w14:paraId="61A7DBC4"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FA6CE1C" w14:textId="77777777" w:rsidR="00CB2077" w:rsidRPr="007047B5" w:rsidRDefault="00CB2077" w:rsidP="00CB2077">
      <w:pPr>
        <w:rPr>
          <w:lang w:val="en-IE"/>
        </w:rPr>
      </w:pPr>
      <w:r w:rsidRPr="007047B5">
        <w:rPr>
          <w:rStyle w:val="HideTWBExt"/>
          <w:noProof w:val="0"/>
          <w:lang w:val="en-IE"/>
        </w:rPr>
        <w:t>&lt;/Amend&gt;</w:t>
      </w:r>
    </w:p>
    <w:p w14:paraId="3D3DF531"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44</w:t>
      </w:r>
      <w:r w:rsidRPr="007047B5">
        <w:rPr>
          <w:rStyle w:val="HideTWBExt"/>
          <w:b w:val="0"/>
          <w:noProof w:val="0"/>
          <w:lang w:val="en-IE"/>
        </w:rPr>
        <w:t>&lt;/NumAm&gt;</w:t>
      </w:r>
    </w:p>
    <w:p w14:paraId="0CF43DBC"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0F0FC1D" w14:textId="0EA07B1D"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9 – paragraph 3 – subparagraph </w:t>
      </w:r>
      <w:r w:rsidR="00111A6C" w:rsidRPr="007047B5">
        <w:rPr>
          <w:lang w:val="en-IE"/>
        </w:rPr>
        <w:t>3</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3CCB6D0" w14:textId="77777777" w:rsidTr="00CB2077">
        <w:trPr>
          <w:jc w:val="center"/>
        </w:trPr>
        <w:tc>
          <w:tcPr>
            <w:tcW w:w="9752" w:type="dxa"/>
            <w:gridSpan w:val="2"/>
          </w:tcPr>
          <w:p w14:paraId="08049B76" w14:textId="77777777" w:rsidR="00CB2077" w:rsidRPr="007047B5" w:rsidRDefault="00CB2077">
            <w:pPr>
              <w:keepNext/>
              <w:rPr>
                <w:lang w:val="en-IE"/>
              </w:rPr>
            </w:pPr>
          </w:p>
        </w:tc>
      </w:tr>
      <w:tr w:rsidR="00CB2077" w:rsidRPr="007047B5" w14:paraId="00045120" w14:textId="77777777" w:rsidTr="00CB2077">
        <w:trPr>
          <w:jc w:val="center"/>
        </w:trPr>
        <w:tc>
          <w:tcPr>
            <w:tcW w:w="4876" w:type="dxa"/>
            <w:hideMark/>
          </w:tcPr>
          <w:p w14:paraId="4F8E2533"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B35F4FD" w14:textId="77777777" w:rsidR="00CB2077" w:rsidRPr="007047B5" w:rsidRDefault="00CB2077">
            <w:pPr>
              <w:pStyle w:val="ColumnHeading"/>
              <w:keepNext/>
              <w:rPr>
                <w:lang w:val="en-IE"/>
              </w:rPr>
            </w:pPr>
            <w:r w:rsidRPr="007047B5">
              <w:rPr>
                <w:lang w:val="en-IE"/>
              </w:rPr>
              <w:t>Amendment</w:t>
            </w:r>
          </w:p>
        </w:tc>
      </w:tr>
      <w:tr w:rsidR="00CB2077" w:rsidRPr="007047B5" w14:paraId="668AB2F9" w14:textId="77777777" w:rsidTr="00CB2077">
        <w:trPr>
          <w:jc w:val="center"/>
        </w:trPr>
        <w:tc>
          <w:tcPr>
            <w:tcW w:w="4876" w:type="dxa"/>
            <w:hideMark/>
          </w:tcPr>
          <w:p w14:paraId="40A8E97B" w14:textId="77777777" w:rsidR="00CB2077" w:rsidRPr="007047B5" w:rsidRDefault="00CB2077">
            <w:pPr>
              <w:pStyle w:val="Normal6"/>
              <w:rPr>
                <w:lang w:val="en-IE"/>
              </w:rPr>
            </w:pPr>
            <w:r w:rsidRPr="007047B5">
              <w:rPr>
                <w:lang w:val="en-IE"/>
              </w:rPr>
              <w:t>An obliged entity that is part of a group may appoint as its compliance officer an individual who performs that function in another entity within that group.</w:t>
            </w:r>
          </w:p>
        </w:tc>
        <w:tc>
          <w:tcPr>
            <w:tcW w:w="4876" w:type="dxa"/>
            <w:hideMark/>
          </w:tcPr>
          <w:p w14:paraId="2B11D7A6" w14:textId="3D9FBB9C" w:rsidR="00CB2077" w:rsidRPr="007047B5" w:rsidRDefault="00CB2077" w:rsidP="006F5456">
            <w:pPr>
              <w:pStyle w:val="Normal6"/>
              <w:rPr>
                <w:szCs w:val="24"/>
                <w:lang w:val="en-IE"/>
              </w:rPr>
            </w:pPr>
            <w:r w:rsidRPr="007047B5">
              <w:rPr>
                <w:lang w:val="en-IE"/>
              </w:rPr>
              <w:t>An obliged entity that is part of a group may appoint as its compliance officer an individual who performs that function in another entity within that group</w:t>
            </w:r>
            <w:r w:rsidRPr="007047B5">
              <w:rPr>
                <w:b/>
                <w:i/>
                <w:lang w:val="en-IE"/>
              </w:rPr>
              <w:t>, provided that th</w:t>
            </w:r>
            <w:r w:rsidR="00223F06" w:rsidRPr="007047B5">
              <w:rPr>
                <w:b/>
                <w:i/>
                <w:lang w:val="en-IE"/>
              </w:rPr>
              <w:t>at</w:t>
            </w:r>
            <w:r w:rsidRPr="007047B5">
              <w:rPr>
                <w:b/>
                <w:i/>
                <w:lang w:val="en-IE"/>
              </w:rPr>
              <w:t xml:space="preserve"> entity is established in the same Member State</w:t>
            </w:r>
            <w:r w:rsidR="00223F06" w:rsidRPr="007047B5">
              <w:rPr>
                <w:b/>
                <w:i/>
                <w:lang w:val="en-IE"/>
              </w:rPr>
              <w:t xml:space="preserve"> in which the obliged entity is established</w:t>
            </w:r>
            <w:r w:rsidRPr="007047B5">
              <w:rPr>
                <w:lang w:val="en-IE"/>
              </w:rPr>
              <w:t>.</w:t>
            </w:r>
          </w:p>
        </w:tc>
      </w:tr>
    </w:tbl>
    <w:p w14:paraId="7200F915"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A6099C9" w14:textId="77777777" w:rsidR="00CB2077" w:rsidRPr="007047B5" w:rsidRDefault="00CB2077" w:rsidP="00CB2077">
      <w:pPr>
        <w:rPr>
          <w:lang w:val="en-IE"/>
        </w:rPr>
      </w:pPr>
      <w:r w:rsidRPr="007047B5">
        <w:rPr>
          <w:rStyle w:val="HideTWBExt"/>
          <w:noProof w:val="0"/>
          <w:lang w:val="en-IE"/>
        </w:rPr>
        <w:t>&lt;/Amend&gt;</w:t>
      </w:r>
    </w:p>
    <w:p w14:paraId="56F870EF"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45</w:t>
      </w:r>
      <w:r w:rsidRPr="007047B5">
        <w:rPr>
          <w:rStyle w:val="HideTWBExt"/>
          <w:b w:val="0"/>
          <w:noProof w:val="0"/>
          <w:lang w:val="en-IE"/>
        </w:rPr>
        <w:t>&lt;/NumAm&gt;</w:t>
      </w:r>
    </w:p>
    <w:p w14:paraId="14117484"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CAFB0CF" w14:textId="33ED32BA"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11 – paragraph 3 – subparagraph </w:t>
      </w:r>
      <w:r w:rsidR="00111A6C" w:rsidRPr="007047B5">
        <w:rPr>
          <w:lang w:val="en-IE"/>
        </w:rPr>
        <w:t>2</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6D4EE706" w14:textId="77777777" w:rsidTr="00CB2077">
        <w:trPr>
          <w:jc w:val="center"/>
        </w:trPr>
        <w:tc>
          <w:tcPr>
            <w:tcW w:w="9752" w:type="dxa"/>
            <w:gridSpan w:val="2"/>
          </w:tcPr>
          <w:p w14:paraId="7B1EF2A0" w14:textId="77777777" w:rsidR="00CB2077" w:rsidRPr="007047B5" w:rsidRDefault="00CB2077">
            <w:pPr>
              <w:keepNext/>
              <w:rPr>
                <w:lang w:val="en-IE"/>
              </w:rPr>
            </w:pPr>
          </w:p>
        </w:tc>
      </w:tr>
      <w:tr w:rsidR="00CB2077" w:rsidRPr="007047B5" w14:paraId="2159E24E" w14:textId="77777777" w:rsidTr="00CB2077">
        <w:trPr>
          <w:jc w:val="center"/>
        </w:trPr>
        <w:tc>
          <w:tcPr>
            <w:tcW w:w="4876" w:type="dxa"/>
            <w:hideMark/>
          </w:tcPr>
          <w:p w14:paraId="0701B79C"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7ED9AD6" w14:textId="77777777" w:rsidR="00CB2077" w:rsidRPr="007047B5" w:rsidRDefault="00CB2077">
            <w:pPr>
              <w:pStyle w:val="ColumnHeading"/>
              <w:keepNext/>
              <w:rPr>
                <w:lang w:val="en-IE"/>
              </w:rPr>
            </w:pPr>
            <w:r w:rsidRPr="007047B5">
              <w:rPr>
                <w:lang w:val="en-IE"/>
              </w:rPr>
              <w:t>Amendment</w:t>
            </w:r>
          </w:p>
        </w:tc>
      </w:tr>
      <w:tr w:rsidR="00CB2077" w:rsidRPr="007047B5" w14:paraId="1FA1B449" w14:textId="77777777" w:rsidTr="00CB2077">
        <w:trPr>
          <w:jc w:val="center"/>
        </w:trPr>
        <w:tc>
          <w:tcPr>
            <w:tcW w:w="4876" w:type="dxa"/>
            <w:hideMark/>
          </w:tcPr>
          <w:p w14:paraId="104B86A8" w14:textId="77777777" w:rsidR="00CB2077" w:rsidRPr="007047B5" w:rsidRDefault="00CB2077">
            <w:pPr>
              <w:pStyle w:val="Normal6"/>
              <w:rPr>
                <w:lang w:val="en-IE"/>
              </w:rPr>
            </w:pPr>
            <w:r w:rsidRPr="007047B5">
              <w:rPr>
                <w:lang w:val="en-IE"/>
              </w:rPr>
              <w:t xml:space="preserve">Obliged entities shall take measures to ensure that employees, managers or agents who report breaches pursuant to the first subparagraph are protected </w:t>
            </w:r>
            <w:r w:rsidRPr="007047B5">
              <w:rPr>
                <w:b/>
                <w:i/>
                <w:lang w:val="en-IE"/>
              </w:rPr>
              <w:t>against retaliation, discrimination and any other unfair treatment</w:t>
            </w:r>
            <w:r w:rsidRPr="007047B5">
              <w:rPr>
                <w:lang w:val="en-IE"/>
              </w:rPr>
              <w:t>.</w:t>
            </w:r>
          </w:p>
        </w:tc>
        <w:tc>
          <w:tcPr>
            <w:tcW w:w="4876" w:type="dxa"/>
            <w:hideMark/>
          </w:tcPr>
          <w:p w14:paraId="3C7996F9" w14:textId="12E0EC1A" w:rsidR="00CB2077" w:rsidRPr="007047B5" w:rsidRDefault="00CB2077" w:rsidP="006F5456">
            <w:pPr>
              <w:pStyle w:val="Normal6"/>
              <w:rPr>
                <w:szCs w:val="24"/>
                <w:lang w:val="en-IE"/>
              </w:rPr>
            </w:pPr>
            <w:r w:rsidRPr="007047B5">
              <w:rPr>
                <w:lang w:val="en-IE"/>
              </w:rPr>
              <w:t xml:space="preserve">Obliged entities shall take measures to ensure that employees, managers or agents who report breaches pursuant to the first subparagraph are </w:t>
            </w:r>
            <w:r w:rsidRPr="007047B5">
              <w:rPr>
                <w:b/>
                <w:i/>
                <w:lang w:val="en-IE"/>
              </w:rPr>
              <w:t>legally</w:t>
            </w:r>
            <w:r w:rsidRPr="007047B5">
              <w:rPr>
                <w:lang w:val="en-IE"/>
              </w:rPr>
              <w:t xml:space="preserve"> protected </w:t>
            </w:r>
            <w:r w:rsidRPr="007047B5">
              <w:rPr>
                <w:b/>
                <w:i/>
                <w:lang w:val="en-IE"/>
              </w:rPr>
              <w:t>from being exposed to threats, retaliatory or hostile action and</w:t>
            </w:r>
            <w:r w:rsidR="00223F06" w:rsidRPr="007047B5">
              <w:rPr>
                <w:b/>
                <w:i/>
                <w:lang w:val="en-IE"/>
              </w:rPr>
              <w:t>,</w:t>
            </w:r>
            <w:r w:rsidRPr="007047B5">
              <w:rPr>
                <w:b/>
                <w:i/>
                <w:lang w:val="en-IE"/>
              </w:rPr>
              <w:t xml:space="preserve"> in particular</w:t>
            </w:r>
            <w:r w:rsidR="00223F06" w:rsidRPr="007047B5">
              <w:rPr>
                <w:b/>
                <w:i/>
                <w:lang w:val="en-IE"/>
              </w:rPr>
              <w:t>,</w:t>
            </w:r>
            <w:r w:rsidRPr="007047B5">
              <w:rPr>
                <w:b/>
                <w:i/>
                <w:lang w:val="en-IE"/>
              </w:rPr>
              <w:t xml:space="preserve"> adverse or discriminatory employment actions in accordance with Directive (EU) 2019/1937 of the European Parliament and of the Council</w:t>
            </w:r>
            <w:r w:rsidR="00223F06" w:rsidRPr="007047B5">
              <w:rPr>
                <w:rFonts w:ascii="Times New Roman Bold Italic" w:hAnsi="Times New Roman Bold Italic"/>
                <w:b/>
                <w:i/>
                <w:vertAlign w:val="superscript"/>
                <w:lang w:val="en-IE"/>
              </w:rPr>
              <w:t>1a</w:t>
            </w:r>
            <w:r w:rsidRPr="007047B5">
              <w:rPr>
                <w:lang w:val="en-IE"/>
              </w:rPr>
              <w:t>.</w:t>
            </w:r>
          </w:p>
        </w:tc>
      </w:tr>
      <w:tr w:rsidR="00223F06" w:rsidRPr="007047B5" w14:paraId="16270588" w14:textId="77777777" w:rsidTr="00CB2077">
        <w:trPr>
          <w:jc w:val="center"/>
        </w:trPr>
        <w:tc>
          <w:tcPr>
            <w:tcW w:w="4876" w:type="dxa"/>
          </w:tcPr>
          <w:p w14:paraId="198E2897" w14:textId="77777777" w:rsidR="00223F06" w:rsidRPr="007047B5" w:rsidRDefault="00223F06">
            <w:pPr>
              <w:pStyle w:val="Normal6"/>
              <w:rPr>
                <w:lang w:val="en-IE"/>
              </w:rPr>
            </w:pPr>
          </w:p>
        </w:tc>
        <w:tc>
          <w:tcPr>
            <w:tcW w:w="4876" w:type="dxa"/>
          </w:tcPr>
          <w:p w14:paraId="7DB7FB0C" w14:textId="77777777" w:rsidR="00223F06" w:rsidRPr="007047B5" w:rsidRDefault="00223F06" w:rsidP="00223F06">
            <w:pPr>
              <w:pStyle w:val="Normal6"/>
              <w:rPr>
                <w:lang w:val="en-IE"/>
              </w:rPr>
            </w:pPr>
            <w:r w:rsidRPr="007047B5">
              <w:rPr>
                <w:lang w:val="en-IE"/>
              </w:rPr>
              <w:t>______________</w:t>
            </w:r>
          </w:p>
        </w:tc>
      </w:tr>
      <w:tr w:rsidR="00223F06" w:rsidRPr="007047B5" w14:paraId="07CE5089" w14:textId="77777777" w:rsidTr="00CB2077">
        <w:trPr>
          <w:jc w:val="center"/>
        </w:trPr>
        <w:tc>
          <w:tcPr>
            <w:tcW w:w="4876" w:type="dxa"/>
          </w:tcPr>
          <w:p w14:paraId="720BE3C8" w14:textId="77777777" w:rsidR="00223F06" w:rsidRPr="007047B5" w:rsidRDefault="00223F06">
            <w:pPr>
              <w:pStyle w:val="Normal6"/>
              <w:rPr>
                <w:lang w:val="en-IE"/>
              </w:rPr>
            </w:pPr>
          </w:p>
        </w:tc>
        <w:tc>
          <w:tcPr>
            <w:tcW w:w="4876" w:type="dxa"/>
          </w:tcPr>
          <w:p w14:paraId="4D2E6465" w14:textId="77777777" w:rsidR="00223F06" w:rsidRPr="007047B5" w:rsidRDefault="00223F06" w:rsidP="00223F06">
            <w:pPr>
              <w:pStyle w:val="Normal6"/>
              <w:rPr>
                <w:b/>
                <w:i/>
                <w:lang w:val="en-GB"/>
              </w:rPr>
            </w:pPr>
            <w:r w:rsidRPr="007047B5">
              <w:rPr>
                <w:rFonts w:ascii="Times New Roman Bold Italic" w:hAnsi="Times New Roman Bold Italic"/>
                <w:b/>
                <w:i/>
                <w:vertAlign w:val="superscript"/>
                <w:lang w:val="en-IE"/>
              </w:rPr>
              <w:t>1a</w:t>
            </w:r>
            <w:r w:rsidRPr="007047B5">
              <w:rPr>
                <w:b/>
                <w:i/>
                <w:lang w:val="en-IE"/>
              </w:rPr>
              <w:tab/>
            </w:r>
            <w:r w:rsidRPr="007047B5">
              <w:rPr>
                <w:b/>
                <w:i/>
                <w:lang w:val="en-GB"/>
              </w:rPr>
              <w:t>Directive (EU) 2019/1937 of the European Parliament and of the Council of 23 October 2019 on the protection of persons who report breaches of Union law (</w:t>
            </w:r>
            <w:r w:rsidRPr="007047B5">
              <w:rPr>
                <w:rStyle w:val="Emphasis"/>
                <w:b/>
                <w:lang w:val="en-GB"/>
              </w:rPr>
              <w:t>OJ L 305, 26.11.2019, p. 17</w:t>
            </w:r>
            <w:r w:rsidRPr="007047B5">
              <w:rPr>
                <w:b/>
                <w:i/>
                <w:lang w:val="en-GB"/>
              </w:rPr>
              <w:t>).</w:t>
            </w:r>
          </w:p>
        </w:tc>
      </w:tr>
    </w:tbl>
    <w:p w14:paraId="10F44315"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5BE2FA9" w14:textId="77777777" w:rsidR="00CB2077" w:rsidRPr="007047B5" w:rsidRDefault="00CB2077" w:rsidP="00CB2077">
      <w:pPr>
        <w:rPr>
          <w:lang w:val="en-IE"/>
        </w:rPr>
      </w:pPr>
      <w:r w:rsidRPr="007047B5">
        <w:rPr>
          <w:rStyle w:val="HideTWBExt"/>
          <w:noProof w:val="0"/>
          <w:lang w:val="en-IE"/>
        </w:rPr>
        <w:t>&lt;/Amend&gt;</w:t>
      </w:r>
    </w:p>
    <w:p w14:paraId="6C370E41"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46</w:t>
      </w:r>
      <w:r w:rsidRPr="007047B5">
        <w:rPr>
          <w:rStyle w:val="HideTWBExt"/>
          <w:b w:val="0"/>
          <w:noProof w:val="0"/>
          <w:lang w:val="en-IE"/>
        </w:rPr>
        <w:t>&lt;/NumAm&gt;</w:t>
      </w:r>
    </w:p>
    <w:p w14:paraId="172AC5BB"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EF062FC"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12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2FD2A74" w14:textId="77777777" w:rsidTr="00CB2077">
        <w:trPr>
          <w:jc w:val="center"/>
        </w:trPr>
        <w:tc>
          <w:tcPr>
            <w:tcW w:w="9752" w:type="dxa"/>
            <w:gridSpan w:val="2"/>
          </w:tcPr>
          <w:p w14:paraId="47124566" w14:textId="77777777" w:rsidR="00CB2077" w:rsidRPr="007047B5" w:rsidRDefault="00CB2077">
            <w:pPr>
              <w:keepNext/>
              <w:rPr>
                <w:lang w:val="en-IE"/>
              </w:rPr>
            </w:pPr>
          </w:p>
        </w:tc>
      </w:tr>
      <w:tr w:rsidR="00CB2077" w:rsidRPr="007047B5" w14:paraId="37D9AD86" w14:textId="77777777" w:rsidTr="00CB2077">
        <w:trPr>
          <w:jc w:val="center"/>
        </w:trPr>
        <w:tc>
          <w:tcPr>
            <w:tcW w:w="4876" w:type="dxa"/>
            <w:hideMark/>
          </w:tcPr>
          <w:p w14:paraId="65527A28"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8253E74" w14:textId="77777777" w:rsidR="00CB2077" w:rsidRPr="007047B5" w:rsidRDefault="00CB2077">
            <w:pPr>
              <w:pStyle w:val="ColumnHeading"/>
              <w:keepNext/>
              <w:rPr>
                <w:lang w:val="en-IE"/>
              </w:rPr>
            </w:pPr>
            <w:r w:rsidRPr="007047B5">
              <w:rPr>
                <w:lang w:val="en-IE"/>
              </w:rPr>
              <w:t>Amendment</w:t>
            </w:r>
          </w:p>
        </w:tc>
      </w:tr>
      <w:tr w:rsidR="00CB2077" w:rsidRPr="007047B5" w14:paraId="2E799626" w14:textId="77777777" w:rsidTr="00CB2077">
        <w:trPr>
          <w:jc w:val="center"/>
        </w:trPr>
        <w:tc>
          <w:tcPr>
            <w:tcW w:w="4876" w:type="dxa"/>
          </w:tcPr>
          <w:p w14:paraId="34E2CF2A" w14:textId="77777777" w:rsidR="00CB2077" w:rsidRPr="007047B5" w:rsidRDefault="00CB2077">
            <w:pPr>
              <w:pStyle w:val="Normal6"/>
              <w:rPr>
                <w:lang w:val="en-IE"/>
              </w:rPr>
            </w:pPr>
          </w:p>
        </w:tc>
        <w:tc>
          <w:tcPr>
            <w:tcW w:w="4876" w:type="dxa"/>
            <w:hideMark/>
          </w:tcPr>
          <w:p w14:paraId="7C323DCB" w14:textId="59CE6208" w:rsidR="00CB2077" w:rsidRPr="007047B5" w:rsidRDefault="00CB2077">
            <w:pPr>
              <w:pStyle w:val="Normal6"/>
              <w:jc w:val="center"/>
              <w:rPr>
                <w:szCs w:val="24"/>
                <w:lang w:val="en-IE"/>
              </w:rPr>
            </w:pPr>
            <w:r w:rsidRPr="007047B5">
              <w:rPr>
                <w:b/>
                <w:i/>
                <w:lang w:val="en-IE"/>
              </w:rPr>
              <w:t>Article 12a</w:t>
            </w:r>
          </w:p>
        </w:tc>
      </w:tr>
      <w:tr w:rsidR="00CB2077" w:rsidRPr="007047B5" w14:paraId="063F697C" w14:textId="77777777" w:rsidTr="00CB2077">
        <w:trPr>
          <w:jc w:val="center"/>
        </w:trPr>
        <w:tc>
          <w:tcPr>
            <w:tcW w:w="4876" w:type="dxa"/>
          </w:tcPr>
          <w:p w14:paraId="0981FDF5" w14:textId="77777777" w:rsidR="00CB2077" w:rsidRPr="007047B5" w:rsidRDefault="00CB2077">
            <w:pPr>
              <w:pStyle w:val="Normal6"/>
              <w:rPr>
                <w:lang w:val="en-IE"/>
              </w:rPr>
            </w:pPr>
          </w:p>
        </w:tc>
        <w:tc>
          <w:tcPr>
            <w:tcW w:w="4876" w:type="dxa"/>
            <w:hideMark/>
          </w:tcPr>
          <w:p w14:paraId="5AF864C9" w14:textId="77777777" w:rsidR="00CB2077" w:rsidRPr="007047B5" w:rsidRDefault="00CB2077" w:rsidP="006F5456">
            <w:pPr>
              <w:pStyle w:val="Normal6"/>
              <w:rPr>
                <w:szCs w:val="24"/>
                <w:lang w:val="en-IE"/>
              </w:rPr>
            </w:pPr>
            <w:r w:rsidRPr="007047B5">
              <w:rPr>
                <w:b/>
                <w:i/>
                <w:lang w:val="en-IE"/>
              </w:rPr>
              <w:t>Minimum requirements</w:t>
            </w:r>
            <w:r w:rsidR="008C6F5E" w:rsidRPr="007047B5">
              <w:rPr>
                <w:b/>
                <w:i/>
                <w:lang w:val="en-IE"/>
              </w:rPr>
              <w:t xml:space="preserve"> for sole traders, single operators or microenterprises</w:t>
            </w:r>
          </w:p>
        </w:tc>
      </w:tr>
      <w:tr w:rsidR="00CB2077" w:rsidRPr="007047B5" w14:paraId="7EA9495A" w14:textId="77777777" w:rsidTr="00CB2077">
        <w:trPr>
          <w:jc w:val="center"/>
        </w:trPr>
        <w:tc>
          <w:tcPr>
            <w:tcW w:w="4876" w:type="dxa"/>
          </w:tcPr>
          <w:p w14:paraId="49BE7431" w14:textId="77777777" w:rsidR="00CB2077" w:rsidRPr="007047B5" w:rsidRDefault="00CB2077">
            <w:pPr>
              <w:pStyle w:val="Normal6"/>
              <w:rPr>
                <w:lang w:val="en-IE"/>
              </w:rPr>
            </w:pPr>
          </w:p>
        </w:tc>
        <w:tc>
          <w:tcPr>
            <w:tcW w:w="4876" w:type="dxa"/>
            <w:hideMark/>
          </w:tcPr>
          <w:p w14:paraId="2A7C53D8" w14:textId="77777777" w:rsidR="00CB2077" w:rsidRPr="007047B5" w:rsidRDefault="00CB2077">
            <w:pPr>
              <w:pStyle w:val="Normal6"/>
              <w:rPr>
                <w:szCs w:val="24"/>
                <w:lang w:val="en-IE"/>
              </w:rPr>
            </w:pPr>
            <w:r w:rsidRPr="007047B5">
              <w:rPr>
                <w:b/>
                <w:i/>
                <w:lang w:val="en-IE"/>
              </w:rPr>
              <w:t xml:space="preserve">1. </w:t>
            </w:r>
            <w:r w:rsidR="00111A6C" w:rsidRPr="007047B5">
              <w:rPr>
                <w:lang w:val="en-IE"/>
              </w:rPr>
              <w:tab/>
            </w:r>
            <w:r w:rsidRPr="007047B5">
              <w:rPr>
                <w:b/>
                <w:i/>
                <w:lang w:val="en-IE"/>
              </w:rPr>
              <w:t xml:space="preserve">By </w:t>
            </w:r>
            <w:r w:rsidR="00223F06" w:rsidRPr="007047B5">
              <w:rPr>
                <w:b/>
                <w:i/>
                <w:lang w:val="en-IE"/>
              </w:rPr>
              <w:t xml:space="preserve">... </w:t>
            </w:r>
            <w:r w:rsidRPr="007047B5">
              <w:rPr>
                <w:b/>
                <w:i/>
                <w:lang w:val="en-IE"/>
              </w:rPr>
              <w:t>[2 years from the date of entry into force of this Regulation], AMLA shall develop draft regulatory technical standards and submit them to the Commission for adoption concerning minimum requirements and standards for compliance with this Chapter by obliged entities which are sole traders, single operators or microenterprises.</w:t>
            </w:r>
          </w:p>
        </w:tc>
      </w:tr>
      <w:tr w:rsidR="00CB2077" w:rsidRPr="007047B5" w14:paraId="1DB9E49B" w14:textId="77777777" w:rsidTr="00CB2077">
        <w:trPr>
          <w:jc w:val="center"/>
        </w:trPr>
        <w:tc>
          <w:tcPr>
            <w:tcW w:w="4876" w:type="dxa"/>
          </w:tcPr>
          <w:p w14:paraId="3F6FF144" w14:textId="77777777" w:rsidR="00CB2077" w:rsidRPr="007047B5" w:rsidRDefault="00CB2077">
            <w:pPr>
              <w:pStyle w:val="Normal6"/>
              <w:rPr>
                <w:lang w:val="en-IE"/>
              </w:rPr>
            </w:pPr>
          </w:p>
        </w:tc>
        <w:tc>
          <w:tcPr>
            <w:tcW w:w="4876" w:type="dxa"/>
            <w:hideMark/>
          </w:tcPr>
          <w:p w14:paraId="44878303" w14:textId="5D93BCC6" w:rsidR="00CB2077" w:rsidRPr="007047B5" w:rsidRDefault="00CB2077">
            <w:pPr>
              <w:pStyle w:val="Normal6"/>
              <w:rPr>
                <w:szCs w:val="24"/>
                <w:lang w:val="en-IE"/>
              </w:rPr>
            </w:pPr>
            <w:r w:rsidRPr="007047B5">
              <w:rPr>
                <w:b/>
                <w:i/>
                <w:lang w:val="en-IE"/>
              </w:rPr>
              <w:t>When developing the draft regulatory technical standards referred to in the first subparagraph, AMLA shall take due account of the inherent levels of risks of the business models of the different types of obliged entities.</w:t>
            </w:r>
          </w:p>
        </w:tc>
      </w:tr>
      <w:tr w:rsidR="00CB2077" w:rsidRPr="007047B5" w14:paraId="47B97139" w14:textId="77777777" w:rsidTr="00CB2077">
        <w:trPr>
          <w:jc w:val="center"/>
        </w:trPr>
        <w:tc>
          <w:tcPr>
            <w:tcW w:w="4876" w:type="dxa"/>
          </w:tcPr>
          <w:p w14:paraId="7F83D1F7" w14:textId="77777777" w:rsidR="00CB2077" w:rsidRPr="007047B5" w:rsidRDefault="00CB2077">
            <w:pPr>
              <w:pStyle w:val="Normal6"/>
              <w:rPr>
                <w:lang w:val="en-IE"/>
              </w:rPr>
            </w:pPr>
          </w:p>
        </w:tc>
        <w:tc>
          <w:tcPr>
            <w:tcW w:w="4876" w:type="dxa"/>
            <w:hideMark/>
          </w:tcPr>
          <w:p w14:paraId="7F1AF1C1" w14:textId="07BDD90A" w:rsidR="00CB2077" w:rsidRPr="007047B5" w:rsidRDefault="00CB2077" w:rsidP="006F5456">
            <w:pPr>
              <w:pStyle w:val="Normal6"/>
              <w:rPr>
                <w:szCs w:val="24"/>
                <w:lang w:val="en-IE"/>
              </w:rPr>
            </w:pPr>
            <w:r w:rsidRPr="007047B5">
              <w:rPr>
                <w:b/>
                <w:i/>
                <w:lang w:val="en-IE"/>
              </w:rPr>
              <w:t xml:space="preserve">2. </w:t>
            </w:r>
            <w:r w:rsidR="00111A6C" w:rsidRPr="007047B5">
              <w:rPr>
                <w:lang w:val="en-IE"/>
              </w:rPr>
              <w:tab/>
            </w:r>
            <w:r w:rsidRPr="007047B5">
              <w:rPr>
                <w:b/>
                <w:i/>
                <w:lang w:val="en-IE"/>
              </w:rPr>
              <w:t xml:space="preserve">The Commission is empowered to supplement this Regulation by adopting the regulatory technical standards referred to in paragraph </w:t>
            </w:r>
            <w:r w:rsidR="008C6F5E" w:rsidRPr="007047B5">
              <w:rPr>
                <w:b/>
                <w:i/>
                <w:lang w:val="en-IE"/>
              </w:rPr>
              <w:t>1</w:t>
            </w:r>
            <w:r w:rsidRPr="007047B5">
              <w:rPr>
                <w:b/>
                <w:i/>
                <w:lang w:val="en-IE"/>
              </w:rPr>
              <w:t xml:space="preserve"> of this Article in accordance with Articles 38 to 41 of [please insert reference – proposal for establishment of an Anti-Money Laundering Authority - COM/2021/421 final].</w:t>
            </w:r>
          </w:p>
        </w:tc>
      </w:tr>
    </w:tbl>
    <w:p w14:paraId="30397824"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7C2CE27" w14:textId="77777777" w:rsidR="00CB2077" w:rsidRPr="007047B5" w:rsidRDefault="00CB2077" w:rsidP="00CB2077">
      <w:pPr>
        <w:rPr>
          <w:lang w:val="en-IE"/>
        </w:rPr>
      </w:pPr>
      <w:r w:rsidRPr="007047B5">
        <w:rPr>
          <w:rStyle w:val="HideTWBExt"/>
          <w:noProof w:val="0"/>
          <w:lang w:val="en-IE"/>
        </w:rPr>
        <w:t>&lt;/Amend&gt;</w:t>
      </w:r>
    </w:p>
    <w:p w14:paraId="776B762C"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47</w:t>
      </w:r>
      <w:r w:rsidRPr="007047B5">
        <w:rPr>
          <w:rStyle w:val="HideTWBExt"/>
          <w:b w:val="0"/>
          <w:noProof w:val="0"/>
          <w:lang w:val="en-IE"/>
        </w:rPr>
        <w:t>&lt;/NumAm&gt;</w:t>
      </w:r>
    </w:p>
    <w:p w14:paraId="70A1652D"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AB35E77"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13 – paragraph 1</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6A91CC74" w14:textId="77777777" w:rsidTr="00CB2077">
        <w:trPr>
          <w:jc w:val="center"/>
        </w:trPr>
        <w:tc>
          <w:tcPr>
            <w:tcW w:w="9752" w:type="dxa"/>
            <w:gridSpan w:val="2"/>
          </w:tcPr>
          <w:p w14:paraId="4E3BE375" w14:textId="77777777" w:rsidR="00CB2077" w:rsidRPr="007047B5" w:rsidRDefault="00CB2077">
            <w:pPr>
              <w:keepNext/>
              <w:rPr>
                <w:lang w:val="en-IE"/>
              </w:rPr>
            </w:pPr>
          </w:p>
        </w:tc>
      </w:tr>
      <w:tr w:rsidR="00CB2077" w:rsidRPr="007047B5" w14:paraId="69155784" w14:textId="77777777" w:rsidTr="00CB2077">
        <w:trPr>
          <w:jc w:val="center"/>
        </w:trPr>
        <w:tc>
          <w:tcPr>
            <w:tcW w:w="4876" w:type="dxa"/>
            <w:hideMark/>
          </w:tcPr>
          <w:p w14:paraId="765D6CE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92705C5" w14:textId="77777777" w:rsidR="00CB2077" w:rsidRPr="007047B5" w:rsidRDefault="00CB2077">
            <w:pPr>
              <w:pStyle w:val="ColumnHeading"/>
              <w:keepNext/>
              <w:rPr>
                <w:lang w:val="en-IE"/>
              </w:rPr>
            </w:pPr>
            <w:r w:rsidRPr="007047B5">
              <w:rPr>
                <w:lang w:val="en-IE"/>
              </w:rPr>
              <w:t>Amendment</w:t>
            </w:r>
          </w:p>
        </w:tc>
      </w:tr>
      <w:tr w:rsidR="00CB2077" w:rsidRPr="007047B5" w14:paraId="5F02615D" w14:textId="77777777" w:rsidTr="00CB2077">
        <w:trPr>
          <w:jc w:val="center"/>
        </w:trPr>
        <w:tc>
          <w:tcPr>
            <w:tcW w:w="4876" w:type="dxa"/>
            <w:hideMark/>
          </w:tcPr>
          <w:p w14:paraId="72CB5404" w14:textId="77777777" w:rsidR="00CB2077" w:rsidRPr="007047B5" w:rsidRDefault="00CB2077">
            <w:pPr>
              <w:pStyle w:val="Normal6"/>
              <w:rPr>
                <w:lang w:val="en-IE"/>
              </w:rPr>
            </w:pPr>
            <w:r w:rsidRPr="007047B5">
              <w:rPr>
                <w:lang w:val="en-IE"/>
              </w:rPr>
              <w:t>1.</w:t>
            </w:r>
            <w:r w:rsidRPr="007047B5">
              <w:rPr>
                <w:lang w:val="en-IE"/>
              </w:rPr>
              <w:tab/>
            </w:r>
            <w:r w:rsidRPr="007047B5">
              <w:rPr>
                <w:b/>
                <w:i/>
                <w:lang w:val="en-IE"/>
              </w:rPr>
              <w:t>A</w:t>
            </w:r>
            <w:r w:rsidRPr="007047B5">
              <w:rPr>
                <w:lang w:val="en-IE"/>
              </w:rPr>
              <w:t xml:space="preserve"> parent undertaking shall </w:t>
            </w:r>
            <w:r w:rsidRPr="007047B5">
              <w:rPr>
                <w:b/>
                <w:i/>
                <w:lang w:val="en-IE"/>
              </w:rPr>
              <w:t>ensure that</w:t>
            </w:r>
            <w:r w:rsidRPr="007047B5">
              <w:rPr>
                <w:lang w:val="en-IE"/>
              </w:rPr>
              <w:t xml:space="preserve"> the requirements on internal procedures, risk assessment and staff referred to in Section 1 of this Chapter apply in all branches and subsidiaries of the group in the Member States </w:t>
            </w:r>
            <w:r w:rsidRPr="007047B5">
              <w:rPr>
                <w:b/>
                <w:i/>
                <w:lang w:val="en-IE"/>
              </w:rPr>
              <w:t>and, for groups whose</w:t>
            </w:r>
            <w:r w:rsidRPr="007047B5">
              <w:rPr>
                <w:lang w:val="en-IE"/>
              </w:rPr>
              <w:t xml:space="preserve"> parent undertaking is established in the Union in third countries. The group-wide policies, controls and procedures shall also include data protection policies and policies, controls and procedures for sharing information within the group for AML/CFT purposes.</w:t>
            </w:r>
          </w:p>
        </w:tc>
        <w:tc>
          <w:tcPr>
            <w:tcW w:w="4876" w:type="dxa"/>
            <w:hideMark/>
          </w:tcPr>
          <w:p w14:paraId="7D632153" w14:textId="42026377" w:rsidR="00CB2077" w:rsidRPr="007047B5" w:rsidRDefault="00CB2077" w:rsidP="006F5456">
            <w:pPr>
              <w:pStyle w:val="Normal6"/>
              <w:rPr>
                <w:szCs w:val="24"/>
                <w:lang w:val="en-IE"/>
              </w:rPr>
            </w:pPr>
            <w:r w:rsidRPr="007047B5">
              <w:rPr>
                <w:lang w:val="en-IE"/>
              </w:rPr>
              <w:t>1.</w:t>
            </w:r>
            <w:r w:rsidRPr="007047B5">
              <w:rPr>
                <w:lang w:val="en-IE"/>
              </w:rPr>
              <w:tab/>
            </w:r>
            <w:r w:rsidRPr="007047B5">
              <w:rPr>
                <w:b/>
                <w:i/>
                <w:lang w:val="en-IE"/>
              </w:rPr>
              <w:t>Each</w:t>
            </w:r>
            <w:r w:rsidRPr="007047B5">
              <w:rPr>
                <w:lang w:val="en-IE"/>
              </w:rPr>
              <w:t xml:space="preserve"> parent undertaking </w:t>
            </w:r>
            <w:r w:rsidRPr="007047B5">
              <w:rPr>
                <w:b/>
                <w:i/>
                <w:lang w:val="en-IE"/>
              </w:rPr>
              <w:t>established in the Union</w:t>
            </w:r>
            <w:r w:rsidRPr="007047B5">
              <w:rPr>
                <w:lang w:val="en-IE"/>
              </w:rPr>
              <w:t xml:space="preserve"> shall </w:t>
            </w:r>
            <w:r w:rsidRPr="007047B5">
              <w:rPr>
                <w:b/>
                <w:i/>
                <w:lang w:val="en-IE"/>
              </w:rPr>
              <w:t>put in place group-wide policies, controls and procedures to comply with this Regulation</w:t>
            </w:r>
            <w:r w:rsidR="008C6F5E" w:rsidRPr="007047B5">
              <w:rPr>
                <w:b/>
                <w:i/>
                <w:lang w:val="en-IE"/>
              </w:rPr>
              <w:t xml:space="preserve"> and shall ensure that </w:t>
            </w:r>
            <w:r w:rsidRPr="007047B5">
              <w:rPr>
                <w:lang w:val="en-IE"/>
              </w:rPr>
              <w:t>the requirements on internal procedures, risk assessment and staff referred to in Section 1 of this Chapter</w:t>
            </w:r>
            <w:r w:rsidR="008C6F5E" w:rsidRPr="007047B5">
              <w:rPr>
                <w:lang w:val="en-IE"/>
              </w:rPr>
              <w:t xml:space="preserve"> </w:t>
            </w:r>
            <w:r w:rsidRPr="007047B5">
              <w:rPr>
                <w:lang w:val="en-IE"/>
              </w:rPr>
              <w:t>apply in all branches and subsidiaries of the group in the Member States</w:t>
            </w:r>
            <w:r w:rsidRPr="007047B5">
              <w:rPr>
                <w:b/>
                <w:i/>
                <w:lang w:val="en-IE"/>
              </w:rPr>
              <w:t>. Where a</w:t>
            </w:r>
            <w:r w:rsidRPr="007047B5">
              <w:rPr>
                <w:lang w:val="en-IE"/>
              </w:rPr>
              <w:t xml:space="preserve"> parent undertaking is established in the Union</w:t>
            </w:r>
            <w:r w:rsidRPr="007047B5">
              <w:rPr>
                <w:b/>
                <w:i/>
                <w:lang w:val="en-IE"/>
              </w:rPr>
              <w:t xml:space="preserve">, it shall ensure that those requirements </w:t>
            </w:r>
            <w:r w:rsidR="008C6F5E" w:rsidRPr="007047B5">
              <w:rPr>
                <w:b/>
                <w:i/>
                <w:lang w:val="en-IE"/>
              </w:rPr>
              <w:t xml:space="preserve">also </w:t>
            </w:r>
            <w:r w:rsidRPr="007047B5">
              <w:rPr>
                <w:b/>
                <w:i/>
                <w:lang w:val="en-IE"/>
              </w:rPr>
              <w:t>apply in all branches and subsidiaries of the group</w:t>
            </w:r>
            <w:r w:rsidRPr="007047B5">
              <w:rPr>
                <w:lang w:val="en-IE"/>
              </w:rPr>
              <w:t xml:space="preserve"> in third countries. The group-wide policies, controls and procedures shall also include data protection policies and policies, controls and procedures for sharing information within the group for AML/CFT purposes.</w:t>
            </w:r>
          </w:p>
        </w:tc>
      </w:tr>
    </w:tbl>
    <w:p w14:paraId="795E227F"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B5E49B0" w14:textId="77777777" w:rsidR="00CB2077" w:rsidRPr="007047B5" w:rsidRDefault="00CB2077" w:rsidP="00CB2077">
      <w:pPr>
        <w:rPr>
          <w:lang w:val="en-IE"/>
        </w:rPr>
      </w:pPr>
      <w:r w:rsidRPr="007047B5">
        <w:rPr>
          <w:rStyle w:val="HideTWBExt"/>
          <w:noProof w:val="0"/>
          <w:lang w:val="en-IE"/>
        </w:rPr>
        <w:t>&lt;/Amend&gt;</w:t>
      </w:r>
    </w:p>
    <w:p w14:paraId="5B3DBFF9"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48</w:t>
      </w:r>
      <w:r w:rsidRPr="007047B5">
        <w:rPr>
          <w:rStyle w:val="HideTWBExt"/>
          <w:b w:val="0"/>
          <w:noProof w:val="0"/>
          <w:lang w:val="en-IE"/>
        </w:rPr>
        <w:t>&lt;/NumAm&gt;</w:t>
      </w:r>
    </w:p>
    <w:p w14:paraId="6AFAA7E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D07E05F" w14:textId="70AEB341"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15 – paragraph 1 – </w:t>
      </w:r>
      <w:r w:rsidR="008C6F5E" w:rsidRPr="007047B5">
        <w:rPr>
          <w:lang w:val="en-IE"/>
        </w:rPr>
        <w:t>subparagraph 1</w:t>
      </w:r>
      <w:r w:rsidRPr="007047B5">
        <w:rPr>
          <w:lang w:val="en-IE"/>
        </w:rPr>
        <w:t xml:space="preserve"> a (new)</w:t>
      </w:r>
      <w:r w:rsidR="00CD15EB" w:rsidRPr="007047B5">
        <w:rPr>
          <w:lang w:val="en-IE"/>
        </w:rPr>
        <w:t xml:space="preserve"> </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3EF75F0" w14:textId="77777777" w:rsidTr="00CB2077">
        <w:trPr>
          <w:jc w:val="center"/>
        </w:trPr>
        <w:tc>
          <w:tcPr>
            <w:tcW w:w="9752" w:type="dxa"/>
            <w:gridSpan w:val="2"/>
          </w:tcPr>
          <w:p w14:paraId="223770CF" w14:textId="77777777" w:rsidR="00CB2077" w:rsidRPr="007047B5" w:rsidRDefault="00CB2077">
            <w:pPr>
              <w:keepNext/>
              <w:rPr>
                <w:lang w:val="en-IE"/>
              </w:rPr>
            </w:pPr>
          </w:p>
        </w:tc>
      </w:tr>
      <w:tr w:rsidR="00CB2077" w:rsidRPr="007047B5" w14:paraId="5DFBE2DE" w14:textId="77777777" w:rsidTr="00CB2077">
        <w:trPr>
          <w:jc w:val="center"/>
        </w:trPr>
        <w:tc>
          <w:tcPr>
            <w:tcW w:w="4876" w:type="dxa"/>
            <w:hideMark/>
          </w:tcPr>
          <w:p w14:paraId="548C4FA1"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5D7AC5B" w14:textId="77777777" w:rsidR="00CB2077" w:rsidRPr="007047B5" w:rsidRDefault="00CB2077">
            <w:pPr>
              <w:pStyle w:val="ColumnHeading"/>
              <w:keepNext/>
              <w:rPr>
                <w:lang w:val="en-IE"/>
              </w:rPr>
            </w:pPr>
            <w:r w:rsidRPr="007047B5">
              <w:rPr>
                <w:lang w:val="en-IE"/>
              </w:rPr>
              <w:t>Amendment</w:t>
            </w:r>
          </w:p>
        </w:tc>
      </w:tr>
      <w:tr w:rsidR="00CB2077" w:rsidRPr="007047B5" w14:paraId="2A7AAC7B" w14:textId="77777777" w:rsidTr="00CB2077">
        <w:trPr>
          <w:jc w:val="center"/>
        </w:trPr>
        <w:tc>
          <w:tcPr>
            <w:tcW w:w="4876" w:type="dxa"/>
          </w:tcPr>
          <w:p w14:paraId="233B4740" w14:textId="77777777" w:rsidR="00CB2077" w:rsidRPr="007047B5" w:rsidRDefault="00CB2077">
            <w:pPr>
              <w:pStyle w:val="Normal6"/>
              <w:rPr>
                <w:lang w:val="en-IE"/>
              </w:rPr>
            </w:pPr>
          </w:p>
        </w:tc>
        <w:tc>
          <w:tcPr>
            <w:tcW w:w="4876" w:type="dxa"/>
            <w:hideMark/>
          </w:tcPr>
          <w:p w14:paraId="34292B9B" w14:textId="791FBB72" w:rsidR="00CB2077" w:rsidRPr="007047B5" w:rsidRDefault="00CB2077">
            <w:pPr>
              <w:pStyle w:val="Normal6"/>
              <w:rPr>
                <w:szCs w:val="24"/>
                <w:lang w:val="en-IE"/>
              </w:rPr>
            </w:pPr>
            <w:r w:rsidRPr="007047B5">
              <w:rPr>
                <w:b/>
                <w:i/>
                <w:lang w:val="en-IE"/>
              </w:rPr>
              <w:t xml:space="preserve">By way of derogation from </w:t>
            </w:r>
            <w:r w:rsidR="008C6F5E" w:rsidRPr="007047B5">
              <w:rPr>
                <w:b/>
                <w:i/>
                <w:lang w:val="en-IE"/>
              </w:rPr>
              <w:t xml:space="preserve">the first subparagraph, </w:t>
            </w:r>
            <w:r w:rsidRPr="007047B5">
              <w:rPr>
                <w:b/>
                <w:i/>
                <w:lang w:val="en-IE"/>
              </w:rPr>
              <w:t xml:space="preserve">point (b), obliged entities shall apply customer due diligence measures when involved in or carrying out an occasional transaction involving crypto-assets that amounts to EUR 1 000 or more, or the equivalent in national </w:t>
            </w:r>
            <w:r w:rsidRPr="007047B5">
              <w:rPr>
                <w:b/>
                <w:i/>
                <w:lang w:val="en-IE"/>
              </w:rPr>
              <w:lastRenderedPageBreak/>
              <w:t>currency, whether the transaction is carried out in a single operation or through linked transactions.</w:t>
            </w:r>
          </w:p>
        </w:tc>
      </w:tr>
    </w:tbl>
    <w:p w14:paraId="3F37B5FD"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74D7371" w14:textId="77777777" w:rsidR="00CB2077" w:rsidRPr="007047B5" w:rsidRDefault="00CB2077" w:rsidP="00CB2077">
      <w:pPr>
        <w:rPr>
          <w:lang w:val="en-IE"/>
        </w:rPr>
      </w:pPr>
      <w:r w:rsidRPr="007047B5">
        <w:rPr>
          <w:rStyle w:val="HideTWBExt"/>
          <w:noProof w:val="0"/>
          <w:lang w:val="en-IE"/>
        </w:rPr>
        <w:t>&lt;/Amend&gt;</w:t>
      </w:r>
    </w:p>
    <w:p w14:paraId="5152894C"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49</w:t>
      </w:r>
      <w:r w:rsidRPr="007047B5">
        <w:rPr>
          <w:rStyle w:val="HideTWBExt"/>
          <w:b w:val="0"/>
          <w:noProof w:val="0"/>
          <w:lang w:val="en-IE"/>
        </w:rPr>
        <w:t>&lt;/NumAm&gt;</w:t>
      </w:r>
    </w:p>
    <w:p w14:paraId="6669FAE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ACA7484"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15 – paragraph 2</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3D67B5E" w14:textId="77777777" w:rsidTr="00CB2077">
        <w:trPr>
          <w:jc w:val="center"/>
        </w:trPr>
        <w:tc>
          <w:tcPr>
            <w:tcW w:w="9752" w:type="dxa"/>
            <w:gridSpan w:val="2"/>
          </w:tcPr>
          <w:p w14:paraId="13E49936" w14:textId="77777777" w:rsidR="00CB2077" w:rsidRPr="007047B5" w:rsidRDefault="00CB2077">
            <w:pPr>
              <w:keepNext/>
              <w:rPr>
                <w:lang w:val="en-IE"/>
              </w:rPr>
            </w:pPr>
          </w:p>
        </w:tc>
      </w:tr>
      <w:tr w:rsidR="00CB2077" w:rsidRPr="007047B5" w14:paraId="28B9E5E1" w14:textId="77777777" w:rsidTr="00CB2077">
        <w:trPr>
          <w:jc w:val="center"/>
        </w:trPr>
        <w:tc>
          <w:tcPr>
            <w:tcW w:w="4876" w:type="dxa"/>
            <w:hideMark/>
          </w:tcPr>
          <w:p w14:paraId="16479B5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41E47EB" w14:textId="77777777" w:rsidR="00CB2077" w:rsidRPr="007047B5" w:rsidRDefault="00CB2077">
            <w:pPr>
              <w:pStyle w:val="ColumnHeading"/>
              <w:keepNext/>
              <w:rPr>
                <w:lang w:val="en-IE"/>
              </w:rPr>
            </w:pPr>
            <w:r w:rsidRPr="007047B5">
              <w:rPr>
                <w:lang w:val="en-IE"/>
              </w:rPr>
              <w:t>Amendment</w:t>
            </w:r>
          </w:p>
        </w:tc>
      </w:tr>
      <w:tr w:rsidR="00CB2077" w:rsidRPr="007047B5" w14:paraId="07CF22F7" w14:textId="77777777" w:rsidTr="00CB2077">
        <w:trPr>
          <w:jc w:val="center"/>
        </w:trPr>
        <w:tc>
          <w:tcPr>
            <w:tcW w:w="4876" w:type="dxa"/>
            <w:hideMark/>
          </w:tcPr>
          <w:p w14:paraId="7EB4A49A" w14:textId="77777777" w:rsidR="00CB2077" w:rsidRPr="007047B5" w:rsidRDefault="00CB2077">
            <w:pPr>
              <w:pStyle w:val="Normal6"/>
              <w:rPr>
                <w:lang w:val="en-IE"/>
              </w:rPr>
            </w:pPr>
            <w:r w:rsidRPr="007047B5">
              <w:rPr>
                <w:lang w:val="en-IE"/>
              </w:rPr>
              <w:t>2.</w:t>
            </w:r>
            <w:r w:rsidRPr="007047B5">
              <w:rPr>
                <w:lang w:val="en-IE"/>
              </w:rPr>
              <w:tab/>
              <w:t xml:space="preserve">In addition to the circumstances referred to in paragraph 1, credit and financial institutions </w:t>
            </w:r>
            <w:r w:rsidRPr="007047B5">
              <w:rPr>
                <w:b/>
                <w:i/>
                <w:lang w:val="en-IE"/>
              </w:rPr>
              <w:t>and crypto-asset service providers</w:t>
            </w:r>
            <w:r w:rsidRPr="007047B5">
              <w:rPr>
                <w:lang w:val="en-IE"/>
              </w:rPr>
              <w:t xml:space="preserve"> shall apply customer due diligence when </w:t>
            </w:r>
            <w:r w:rsidRPr="007047B5">
              <w:rPr>
                <w:b/>
                <w:i/>
                <w:lang w:val="en-IE"/>
              </w:rPr>
              <w:t>either</w:t>
            </w:r>
            <w:r w:rsidRPr="007047B5">
              <w:rPr>
                <w:lang w:val="en-IE"/>
              </w:rPr>
              <w:t xml:space="preserve"> initiating or executing an occasional transaction that constitutes a transfer of funds as defined in Article 3, point (9) of Regulation [please insert reference – proposal for a recast of Regulation (EU) 2015/847 - COM/2021/422 final]</w:t>
            </w:r>
            <w:r w:rsidRPr="007047B5">
              <w:rPr>
                <w:b/>
                <w:i/>
                <w:lang w:val="en-IE"/>
              </w:rPr>
              <w:t>,</w:t>
            </w:r>
            <w:r w:rsidRPr="007047B5">
              <w:rPr>
                <w:lang w:val="en-IE"/>
              </w:rPr>
              <w:t xml:space="preserve"> </w:t>
            </w:r>
            <w:r w:rsidRPr="007047B5">
              <w:rPr>
                <w:b/>
                <w:i/>
                <w:lang w:val="en-IE"/>
              </w:rPr>
              <w:t>or a transfer of crypto-assets as defined in Article 3, point (10) of that Regulation, exceeding</w:t>
            </w:r>
            <w:r w:rsidRPr="007047B5">
              <w:rPr>
                <w:lang w:val="en-IE"/>
              </w:rPr>
              <w:t xml:space="preserve"> EUR 1 000 or the equivalent in national currency.</w:t>
            </w:r>
          </w:p>
        </w:tc>
        <w:tc>
          <w:tcPr>
            <w:tcW w:w="4876" w:type="dxa"/>
            <w:hideMark/>
          </w:tcPr>
          <w:p w14:paraId="731BAD2A" w14:textId="516707EA" w:rsidR="00CB2077" w:rsidRPr="007047B5" w:rsidRDefault="00CB2077">
            <w:pPr>
              <w:pStyle w:val="Normal6"/>
              <w:rPr>
                <w:szCs w:val="24"/>
                <w:lang w:val="en-IE"/>
              </w:rPr>
            </w:pPr>
            <w:r w:rsidRPr="007047B5">
              <w:rPr>
                <w:lang w:val="en-IE"/>
              </w:rPr>
              <w:t>2.</w:t>
            </w:r>
            <w:r w:rsidRPr="007047B5">
              <w:rPr>
                <w:lang w:val="en-IE"/>
              </w:rPr>
              <w:tab/>
              <w:t xml:space="preserve">In addition to the circumstances referred to in paragraph 1, credit and financial institutions shall apply customer due diligence when initiating or executing an occasional transaction that constitutes a transfer of funds as defined in Article 3, point (9) of Regulation [please insert reference – proposal for a recast of Regulation (EU) 2015/847 - COM/2021/422 final] </w:t>
            </w:r>
            <w:r w:rsidRPr="007047B5">
              <w:rPr>
                <w:b/>
                <w:i/>
                <w:lang w:val="en-IE"/>
              </w:rPr>
              <w:t>that amounts to</w:t>
            </w:r>
            <w:r w:rsidRPr="007047B5">
              <w:rPr>
                <w:lang w:val="en-IE"/>
              </w:rPr>
              <w:t xml:space="preserve"> EUR 1 000 </w:t>
            </w:r>
            <w:r w:rsidRPr="007047B5">
              <w:rPr>
                <w:b/>
                <w:i/>
                <w:lang w:val="en-IE"/>
              </w:rPr>
              <w:t>or more</w:t>
            </w:r>
            <w:r w:rsidRPr="007047B5">
              <w:rPr>
                <w:lang w:val="en-IE"/>
              </w:rPr>
              <w:t xml:space="preserve"> or the equivalent in national currency.</w:t>
            </w:r>
          </w:p>
        </w:tc>
      </w:tr>
    </w:tbl>
    <w:p w14:paraId="307D173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9EFE594" w14:textId="77777777" w:rsidR="00CB2077" w:rsidRPr="007047B5" w:rsidRDefault="00CB2077" w:rsidP="00CB2077">
      <w:pPr>
        <w:rPr>
          <w:lang w:val="en-IE"/>
        </w:rPr>
      </w:pPr>
      <w:r w:rsidRPr="007047B5">
        <w:rPr>
          <w:rStyle w:val="HideTWBExt"/>
          <w:noProof w:val="0"/>
          <w:lang w:val="en-IE"/>
        </w:rPr>
        <w:t>&lt;/Amend&gt;</w:t>
      </w:r>
    </w:p>
    <w:p w14:paraId="134747BE"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50</w:t>
      </w:r>
      <w:r w:rsidRPr="007047B5">
        <w:rPr>
          <w:rStyle w:val="HideTWBExt"/>
          <w:b w:val="0"/>
          <w:noProof w:val="0"/>
          <w:lang w:val="en-IE"/>
        </w:rPr>
        <w:t>&lt;/NumAm&gt;</w:t>
      </w:r>
    </w:p>
    <w:p w14:paraId="309809DC"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3BEFB7C"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15 – paragraph 4</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909D2C8" w14:textId="77777777" w:rsidTr="00CB2077">
        <w:trPr>
          <w:jc w:val="center"/>
        </w:trPr>
        <w:tc>
          <w:tcPr>
            <w:tcW w:w="9752" w:type="dxa"/>
            <w:gridSpan w:val="2"/>
          </w:tcPr>
          <w:p w14:paraId="60C2B796" w14:textId="77777777" w:rsidR="00CB2077" w:rsidRPr="007047B5" w:rsidRDefault="00CB2077">
            <w:pPr>
              <w:keepNext/>
              <w:rPr>
                <w:lang w:val="en-IE"/>
              </w:rPr>
            </w:pPr>
          </w:p>
        </w:tc>
      </w:tr>
      <w:tr w:rsidR="00CB2077" w:rsidRPr="007047B5" w14:paraId="441E19AA" w14:textId="77777777" w:rsidTr="00CB2077">
        <w:trPr>
          <w:jc w:val="center"/>
        </w:trPr>
        <w:tc>
          <w:tcPr>
            <w:tcW w:w="4876" w:type="dxa"/>
            <w:hideMark/>
          </w:tcPr>
          <w:p w14:paraId="78E7FB99"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6AC1E94" w14:textId="77777777" w:rsidR="00CB2077" w:rsidRPr="007047B5" w:rsidRDefault="00CB2077">
            <w:pPr>
              <w:pStyle w:val="ColumnHeading"/>
              <w:keepNext/>
              <w:rPr>
                <w:lang w:val="en-IE"/>
              </w:rPr>
            </w:pPr>
            <w:r w:rsidRPr="007047B5">
              <w:rPr>
                <w:lang w:val="en-IE"/>
              </w:rPr>
              <w:t>Amendment</w:t>
            </w:r>
          </w:p>
        </w:tc>
      </w:tr>
      <w:tr w:rsidR="00CB2077" w:rsidRPr="007047B5" w14:paraId="28B398BF" w14:textId="77777777" w:rsidTr="00CB2077">
        <w:trPr>
          <w:jc w:val="center"/>
        </w:trPr>
        <w:tc>
          <w:tcPr>
            <w:tcW w:w="4876" w:type="dxa"/>
            <w:hideMark/>
          </w:tcPr>
          <w:p w14:paraId="51CB5903" w14:textId="77777777" w:rsidR="00CB2077" w:rsidRPr="007047B5" w:rsidRDefault="00CB2077">
            <w:pPr>
              <w:pStyle w:val="Normal6"/>
              <w:rPr>
                <w:lang w:val="en-IE"/>
              </w:rPr>
            </w:pPr>
            <w:r w:rsidRPr="007047B5">
              <w:rPr>
                <w:lang w:val="en-IE"/>
              </w:rPr>
              <w:t>4.</w:t>
            </w:r>
            <w:r w:rsidRPr="007047B5">
              <w:rPr>
                <w:lang w:val="en-IE"/>
              </w:rPr>
              <w:tab/>
              <w:t>In the case of credit institutions, the performance of customer due diligence shall also take place, under the oversight of supervisors, at the moment that the institution has been determined failing or likely to fail pursuant to Article 32(1) of Directive 2014/59/EU of the European Parliament and of the Council</w:t>
            </w:r>
            <w:r w:rsidRPr="007047B5">
              <w:rPr>
                <w:vertAlign w:val="superscript"/>
                <w:lang w:val="en-IE"/>
              </w:rPr>
              <w:t>52</w:t>
            </w:r>
            <w:r w:rsidRPr="007047B5">
              <w:rPr>
                <w:lang w:val="en-IE"/>
              </w:rPr>
              <w:t xml:space="preserve"> or when </w:t>
            </w:r>
            <w:r w:rsidRPr="007047B5">
              <w:rPr>
                <w:lang w:val="en-IE"/>
              </w:rPr>
              <w:lastRenderedPageBreak/>
              <w:t>the deposits are unavailable in accordance with Article 2(1)(8) of Directive 2014/49/EU of the European Parliament and of the Council</w:t>
            </w:r>
            <w:r w:rsidRPr="007047B5">
              <w:rPr>
                <w:vertAlign w:val="superscript"/>
                <w:lang w:val="en-IE"/>
              </w:rPr>
              <w:t>53</w:t>
            </w:r>
            <w:r w:rsidRPr="007047B5">
              <w:rPr>
                <w:lang w:val="en-IE"/>
              </w:rPr>
              <w:t xml:space="preserve"> . Supervisors shall decide on the intensity and scope of such customer due diligence measures having regard to the specific circumstances of the credit institution.</w:t>
            </w:r>
          </w:p>
        </w:tc>
        <w:tc>
          <w:tcPr>
            <w:tcW w:w="4876" w:type="dxa"/>
            <w:hideMark/>
          </w:tcPr>
          <w:p w14:paraId="0122A228" w14:textId="77777777" w:rsidR="00CB2077" w:rsidRPr="007047B5" w:rsidRDefault="00CB2077">
            <w:pPr>
              <w:pStyle w:val="Normal6"/>
              <w:rPr>
                <w:szCs w:val="24"/>
                <w:lang w:val="en-IE"/>
              </w:rPr>
            </w:pPr>
            <w:r w:rsidRPr="007047B5">
              <w:rPr>
                <w:lang w:val="en-IE"/>
              </w:rPr>
              <w:lastRenderedPageBreak/>
              <w:t>4.</w:t>
            </w:r>
            <w:r w:rsidRPr="007047B5">
              <w:rPr>
                <w:lang w:val="en-IE"/>
              </w:rPr>
              <w:tab/>
              <w:t>In the case of credit institutions, the performance of customer due diligence shall also take place</w:t>
            </w:r>
            <w:r w:rsidRPr="007047B5">
              <w:rPr>
                <w:b/>
                <w:i/>
                <w:lang w:val="en-IE"/>
              </w:rPr>
              <w:t>, where necessary</w:t>
            </w:r>
            <w:r w:rsidRPr="007047B5">
              <w:rPr>
                <w:lang w:val="en-IE"/>
              </w:rPr>
              <w:t xml:space="preserve">, under the oversight of supervisors, at the moment that the institution has been determined failing or likely to fail pursuant to Article 32(1) of Directive 2014/59/EU of the European Parliament and of the </w:t>
            </w:r>
            <w:r w:rsidRPr="007047B5">
              <w:rPr>
                <w:lang w:val="en-IE"/>
              </w:rPr>
              <w:lastRenderedPageBreak/>
              <w:t>Council</w:t>
            </w:r>
            <w:r w:rsidRPr="007047B5">
              <w:rPr>
                <w:vertAlign w:val="superscript"/>
                <w:lang w:val="en-IE"/>
              </w:rPr>
              <w:t>52</w:t>
            </w:r>
            <w:r w:rsidRPr="007047B5">
              <w:rPr>
                <w:lang w:val="en-IE"/>
              </w:rPr>
              <w:t xml:space="preserve"> or when the deposits are unavailable in accordance with Article 2(1)(8) of Directive 2014/49/EU of the European Parliament and of the Council</w:t>
            </w:r>
            <w:r w:rsidRPr="007047B5">
              <w:rPr>
                <w:vertAlign w:val="superscript"/>
                <w:lang w:val="en-IE"/>
              </w:rPr>
              <w:t>53</w:t>
            </w:r>
            <w:r w:rsidRPr="007047B5">
              <w:rPr>
                <w:lang w:val="en-IE"/>
              </w:rPr>
              <w:t xml:space="preserve"> . Supervisors shall decide on the intensity and scope of such customer due diligence measures having regard to the specific circumstances of the credit institution.</w:t>
            </w:r>
          </w:p>
        </w:tc>
      </w:tr>
      <w:tr w:rsidR="00CB2077" w:rsidRPr="007047B5" w14:paraId="171D0643" w14:textId="77777777" w:rsidTr="00CB2077">
        <w:trPr>
          <w:jc w:val="center"/>
        </w:trPr>
        <w:tc>
          <w:tcPr>
            <w:tcW w:w="4876" w:type="dxa"/>
            <w:hideMark/>
          </w:tcPr>
          <w:p w14:paraId="0CF7A46B" w14:textId="77777777" w:rsidR="00CB2077" w:rsidRPr="007047B5" w:rsidRDefault="00CB2077">
            <w:pPr>
              <w:pStyle w:val="Normal6"/>
              <w:rPr>
                <w:lang w:val="en-IE"/>
              </w:rPr>
            </w:pPr>
            <w:r w:rsidRPr="007047B5">
              <w:rPr>
                <w:lang w:val="en-IE"/>
              </w:rPr>
              <w:lastRenderedPageBreak/>
              <w:t>__________________</w:t>
            </w:r>
          </w:p>
        </w:tc>
        <w:tc>
          <w:tcPr>
            <w:tcW w:w="4876" w:type="dxa"/>
            <w:hideMark/>
          </w:tcPr>
          <w:p w14:paraId="136B515D" w14:textId="77777777" w:rsidR="00CB2077" w:rsidRPr="007047B5" w:rsidRDefault="00CB2077">
            <w:pPr>
              <w:pStyle w:val="Normal6"/>
              <w:rPr>
                <w:szCs w:val="24"/>
                <w:lang w:val="en-IE"/>
              </w:rPr>
            </w:pPr>
            <w:r w:rsidRPr="007047B5">
              <w:rPr>
                <w:lang w:val="en-IE"/>
              </w:rPr>
              <w:t>__________________</w:t>
            </w:r>
          </w:p>
        </w:tc>
      </w:tr>
      <w:tr w:rsidR="00CB2077" w:rsidRPr="007047B5" w14:paraId="116011CE" w14:textId="77777777" w:rsidTr="00CB2077">
        <w:trPr>
          <w:jc w:val="center"/>
        </w:trPr>
        <w:tc>
          <w:tcPr>
            <w:tcW w:w="4876" w:type="dxa"/>
            <w:hideMark/>
          </w:tcPr>
          <w:p w14:paraId="4F85ED47" w14:textId="77777777" w:rsidR="00CB2077" w:rsidRPr="007047B5" w:rsidRDefault="00CB2077">
            <w:pPr>
              <w:pStyle w:val="Normal6"/>
              <w:rPr>
                <w:lang w:val="en-IE"/>
              </w:rPr>
            </w:pPr>
            <w:r w:rsidRPr="007047B5">
              <w:rPr>
                <w:vertAlign w:val="superscript"/>
                <w:lang w:val="en-IE"/>
              </w:rPr>
              <w:t>52</w:t>
            </w:r>
            <w:r w:rsidRPr="007047B5">
              <w:rPr>
                <w:lang w:val="en-IE"/>
              </w:rPr>
              <w:t xml:space="preserve">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Text with EEA relevance (OJ L 173, 12.6.2014, p. 190).</w:t>
            </w:r>
          </w:p>
        </w:tc>
        <w:tc>
          <w:tcPr>
            <w:tcW w:w="4876" w:type="dxa"/>
            <w:hideMark/>
          </w:tcPr>
          <w:p w14:paraId="5FEC9013" w14:textId="77777777" w:rsidR="00CB2077" w:rsidRPr="007047B5" w:rsidRDefault="00CB2077">
            <w:pPr>
              <w:pStyle w:val="Normal6"/>
              <w:rPr>
                <w:szCs w:val="24"/>
                <w:lang w:val="en-IE"/>
              </w:rPr>
            </w:pPr>
            <w:r w:rsidRPr="007047B5">
              <w:rPr>
                <w:vertAlign w:val="superscript"/>
                <w:lang w:val="en-IE"/>
              </w:rPr>
              <w:t>52</w:t>
            </w:r>
            <w:r w:rsidRPr="007047B5">
              <w:rPr>
                <w:lang w:val="en-IE"/>
              </w:rPr>
              <w:t xml:space="preserve">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Text with EEA relevance (OJ L 173, 12.6.2014, p. 190).</w:t>
            </w:r>
          </w:p>
        </w:tc>
      </w:tr>
      <w:tr w:rsidR="00CB2077" w:rsidRPr="007047B5" w14:paraId="70B6B211" w14:textId="77777777" w:rsidTr="00CB2077">
        <w:trPr>
          <w:jc w:val="center"/>
        </w:trPr>
        <w:tc>
          <w:tcPr>
            <w:tcW w:w="4876" w:type="dxa"/>
            <w:hideMark/>
          </w:tcPr>
          <w:p w14:paraId="2D97CAB4" w14:textId="77777777" w:rsidR="00CB2077" w:rsidRPr="007047B5" w:rsidRDefault="00CB2077">
            <w:pPr>
              <w:pStyle w:val="Normal6"/>
              <w:rPr>
                <w:lang w:val="en-IE"/>
              </w:rPr>
            </w:pPr>
            <w:r w:rsidRPr="007047B5">
              <w:rPr>
                <w:vertAlign w:val="superscript"/>
                <w:lang w:val="en-IE"/>
              </w:rPr>
              <w:t>53</w:t>
            </w:r>
            <w:r w:rsidRPr="007047B5">
              <w:rPr>
                <w:lang w:val="en-IE"/>
              </w:rPr>
              <w:t xml:space="preserve"> Directive 2014/49/EU of the European Parliament and of the Council of 16 April 2014 on deposit guarantee schemes Text with EEA relevance (OJ L 173, 12.6.2014, p. 149).</w:t>
            </w:r>
          </w:p>
        </w:tc>
        <w:tc>
          <w:tcPr>
            <w:tcW w:w="4876" w:type="dxa"/>
            <w:hideMark/>
          </w:tcPr>
          <w:p w14:paraId="33481E14" w14:textId="77777777" w:rsidR="00CB2077" w:rsidRPr="007047B5" w:rsidRDefault="00CB2077">
            <w:pPr>
              <w:pStyle w:val="Normal6"/>
              <w:rPr>
                <w:szCs w:val="24"/>
                <w:lang w:val="en-IE"/>
              </w:rPr>
            </w:pPr>
            <w:r w:rsidRPr="007047B5">
              <w:rPr>
                <w:vertAlign w:val="superscript"/>
                <w:lang w:val="en-IE"/>
              </w:rPr>
              <w:t>53</w:t>
            </w:r>
            <w:r w:rsidRPr="007047B5">
              <w:rPr>
                <w:lang w:val="en-IE"/>
              </w:rPr>
              <w:t xml:space="preserve"> Directive 2014/49/EU of the European Parliament and of the Council of 16 April 2014 on deposit guarantee schemes Text with EEA relevance (OJ L 173, 12.6.2014, p. 149).</w:t>
            </w:r>
          </w:p>
        </w:tc>
      </w:tr>
    </w:tbl>
    <w:p w14:paraId="2BDA16F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8B08F18" w14:textId="77777777" w:rsidR="00CB2077" w:rsidRPr="007047B5" w:rsidRDefault="00CB2077" w:rsidP="00CB2077">
      <w:pPr>
        <w:rPr>
          <w:lang w:val="en-IE"/>
        </w:rPr>
      </w:pPr>
      <w:r w:rsidRPr="007047B5">
        <w:rPr>
          <w:rStyle w:val="HideTWBExt"/>
          <w:noProof w:val="0"/>
          <w:lang w:val="en-IE"/>
        </w:rPr>
        <w:t>&lt;/Amend&gt;</w:t>
      </w:r>
    </w:p>
    <w:p w14:paraId="586E8BD8"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51</w:t>
      </w:r>
      <w:r w:rsidRPr="007047B5">
        <w:rPr>
          <w:rStyle w:val="HideTWBExt"/>
          <w:b w:val="0"/>
          <w:noProof w:val="0"/>
          <w:lang w:val="en-IE"/>
        </w:rPr>
        <w:t>&lt;/NumAm&gt;</w:t>
      </w:r>
    </w:p>
    <w:p w14:paraId="23F7CE8A"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4BB3B47" w14:textId="34BBA88B"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15 – paragraph 5 – </w:t>
      </w:r>
      <w:r w:rsidR="00AA69C0" w:rsidRPr="007047B5">
        <w:rPr>
          <w:lang w:val="en-IE"/>
        </w:rPr>
        <w:t xml:space="preserve">subparagraph 1 – </w:t>
      </w:r>
      <w:r w:rsidRPr="007047B5">
        <w:rPr>
          <w:lang w:val="en-IE"/>
        </w:rPr>
        <w:t>point b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9BFA713" w14:textId="77777777" w:rsidTr="00CB2077">
        <w:trPr>
          <w:jc w:val="center"/>
        </w:trPr>
        <w:tc>
          <w:tcPr>
            <w:tcW w:w="9752" w:type="dxa"/>
            <w:gridSpan w:val="2"/>
          </w:tcPr>
          <w:p w14:paraId="4DDE0702" w14:textId="77777777" w:rsidR="00CB2077" w:rsidRPr="007047B5" w:rsidRDefault="00CB2077">
            <w:pPr>
              <w:keepNext/>
              <w:rPr>
                <w:lang w:val="en-IE"/>
              </w:rPr>
            </w:pPr>
          </w:p>
        </w:tc>
      </w:tr>
      <w:tr w:rsidR="00CB2077" w:rsidRPr="007047B5" w14:paraId="326C1F0C" w14:textId="77777777" w:rsidTr="00CB2077">
        <w:trPr>
          <w:jc w:val="center"/>
        </w:trPr>
        <w:tc>
          <w:tcPr>
            <w:tcW w:w="4876" w:type="dxa"/>
            <w:hideMark/>
          </w:tcPr>
          <w:p w14:paraId="28796B74"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51C1C07" w14:textId="77777777" w:rsidR="00CB2077" w:rsidRPr="007047B5" w:rsidRDefault="00CB2077">
            <w:pPr>
              <w:pStyle w:val="ColumnHeading"/>
              <w:keepNext/>
              <w:rPr>
                <w:lang w:val="en-IE"/>
              </w:rPr>
            </w:pPr>
            <w:r w:rsidRPr="007047B5">
              <w:rPr>
                <w:lang w:val="en-IE"/>
              </w:rPr>
              <w:t>Amendment</w:t>
            </w:r>
          </w:p>
        </w:tc>
      </w:tr>
      <w:tr w:rsidR="00CB2077" w:rsidRPr="007047B5" w14:paraId="2CCD19EF" w14:textId="77777777" w:rsidTr="00CB2077">
        <w:trPr>
          <w:jc w:val="center"/>
        </w:trPr>
        <w:tc>
          <w:tcPr>
            <w:tcW w:w="4876" w:type="dxa"/>
          </w:tcPr>
          <w:p w14:paraId="78EFD56A" w14:textId="77777777" w:rsidR="00CB2077" w:rsidRPr="007047B5" w:rsidRDefault="00CB2077">
            <w:pPr>
              <w:pStyle w:val="Normal6"/>
              <w:rPr>
                <w:lang w:val="en-IE"/>
              </w:rPr>
            </w:pPr>
          </w:p>
        </w:tc>
        <w:tc>
          <w:tcPr>
            <w:tcW w:w="4876" w:type="dxa"/>
            <w:hideMark/>
          </w:tcPr>
          <w:p w14:paraId="23DB3D58" w14:textId="4A1EE5FD" w:rsidR="00CB2077" w:rsidRPr="007047B5" w:rsidRDefault="00CB2077">
            <w:pPr>
              <w:pStyle w:val="Normal6"/>
              <w:rPr>
                <w:szCs w:val="24"/>
                <w:lang w:val="en-IE"/>
              </w:rPr>
            </w:pPr>
            <w:r w:rsidRPr="007047B5">
              <w:rPr>
                <w:b/>
                <w:i/>
                <w:lang w:val="en-IE"/>
              </w:rPr>
              <w:t>(ba)</w:t>
            </w:r>
            <w:r w:rsidRPr="007047B5">
              <w:rPr>
                <w:b/>
                <w:i/>
                <w:lang w:val="en-IE"/>
              </w:rPr>
              <w:tab/>
              <w:t xml:space="preserve">the </w:t>
            </w:r>
            <w:r w:rsidR="004C2963" w:rsidRPr="007047B5">
              <w:rPr>
                <w:b/>
                <w:i/>
                <w:lang w:val="en-IE"/>
              </w:rPr>
              <w:t xml:space="preserve">criteria for identifying </w:t>
            </w:r>
            <w:r w:rsidRPr="007047B5">
              <w:rPr>
                <w:b/>
                <w:i/>
                <w:lang w:val="en-IE"/>
              </w:rPr>
              <w:t>occasional transactions involving crypto-assets;</w:t>
            </w:r>
          </w:p>
        </w:tc>
      </w:tr>
    </w:tbl>
    <w:p w14:paraId="5368ABCE"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193F0B3" w14:textId="77777777" w:rsidR="00CB2077" w:rsidRPr="007047B5" w:rsidRDefault="00CB2077" w:rsidP="00CB2077">
      <w:pPr>
        <w:rPr>
          <w:lang w:val="en-IE"/>
        </w:rPr>
      </w:pPr>
      <w:r w:rsidRPr="007047B5">
        <w:rPr>
          <w:rStyle w:val="HideTWBExt"/>
          <w:noProof w:val="0"/>
          <w:lang w:val="en-IE"/>
        </w:rPr>
        <w:t>&lt;/Amend&gt;</w:t>
      </w:r>
    </w:p>
    <w:p w14:paraId="5385EE53"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52</w:t>
      </w:r>
      <w:r w:rsidRPr="007047B5">
        <w:rPr>
          <w:rStyle w:val="HideTWBExt"/>
          <w:b w:val="0"/>
          <w:noProof w:val="0"/>
          <w:lang w:val="en-IE"/>
        </w:rPr>
        <w:t>&lt;/NumAm&gt;</w:t>
      </w:r>
    </w:p>
    <w:p w14:paraId="5414C430"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BB73DB4"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16 – paragraph 1 – point b 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F9EF6EB" w14:textId="77777777" w:rsidTr="00CB2077">
        <w:trPr>
          <w:jc w:val="center"/>
        </w:trPr>
        <w:tc>
          <w:tcPr>
            <w:tcW w:w="9752" w:type="dxa"/>
            <w:gridSpan w:val="2"/>
          </w:tcPr>
          <w:p w14:paraId="7FC6FB2D" w14:textId="77777777" w:rsidR="00CB2077" w:rsidRPr="007047B5" w:rsidRDefault="00CB2077">
            <w:pPr>
              <w:keepNext/>
              <w:rPr>
                <w:lang w:val="fr-FR"/>
              </w:rPr>
            </w:pPr>
          </w:p>
        </w:tc>
      </w:tr>
      <w:tr w:rsidR="00CB2077" w:rsidRPr="007047B5" w14:paraId="515830B3" w14:textId="77777777" w:rsidTr="00CB2077">
        <w:trPr>
          <w:jc w:val="center"/>
        </w:trPr>
        <w:tc>
          <w:tcPr>
            <w:tcW w:w="4876" w:type="dxa"/>
            <w:hideMark/>
          </w:tcPr>
          <w:p w14:paraId="60735BBA"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492DDEA" w14:textId="77777777" w:rsidR="00CB2077" w:rsidRPr="007047B5" w:rsidRDefault="00CB2077">
            <w:pPr>
              <w:pStyle w:val="ColumnHeading"/>
              <w:keepNext/>
              <w:rPr>
                <w:lang w:val="en-IE"/>
              </w:rPr>
            </w:pPr>
            <w:r w:rsidRPr="007047B5">
              <w:rPr>
                <w:lang w:val="en-IE"/>
              </w:rPr>
              <w:t>Amendment</w:t>
            </w:r>
          </w:p>
        </w:tc>
      </w:tr>
      <w:tr w:rsidR="00CB2077" w:rsidRPr="007047B5" w14:paraId="32BD9E53" w14:textId="77777777" w:rsidTr="00CB2077">
        <w:trPr>
          <w:jc w:val="center"/>
        </w:trPr>
        <w:tc>
          <w:tcPr>
            <w:tcW w:w="4876" w:type="dxa"/>
          </w:tcPr>
          <w:p w14:paraId="3F5122F0" w14:textId="77777777" w:rsidR="00CB2077" w:rsidRPr="007047B5" w:rsidRDefault="00CB2077">
            <w:pPr>
              <w:pStyle w:val="Normal6"/>
              <w:rPr>
                <w:lang w:val="en-IE"/>
              </w:rPr>
            </w:pPr>
          </w:p>
        </w:tc>
        <w:tc>
          <w:tcPr>
            <w:tcW w:w="4876" w:type="dxa"/>
            <w:hideMark/>
          </w:tcPr>
          <w:p w14:paraId="26B617D9" w14:textId="77446E4F" w:rsidR="00CB2077" w:rsidRPr="007047B5" w:rsidRDefault="00CB2077" w:rsidP="006F5456">
            <w:pPr>
              <w:pStyle w:val="Normal6"/>
              <w:rPr>
                <w:szCs w:val="24"/>
                <w:lang w:val="en-IE"/>
              </w:rPr>
            </w:pPr>
            <w:r w:rsidRPr="007047B5">
              <w:rPr>
                <w:b/>
                <w:i/>
                <w:lang w:val="en-IE"/>
              </w:rPr>
              <w:t>(ba)</w:t>
            </w:r>
            <w:r w:rsidRPr="007047B5">
              <w:rPr>
                <w:b/>
                <w:i/>
                <w:lang w:val="en-IE"/>
              </w:rPr>
              <w:tab/>
              <w:t>identify and record the identity of nominee shareholders and nominee directors of a corporate or other legal entit</w:t>
            </w:r>
            <w:r w:rsidR="00643565" w:rsidRPr="007047B5">
              <w:rPr>
                <w:b/>
                <w:i/>
                <w:lang w:val="en-IE"/>
              </w:rPr>
              <w:t>y</w:t>
            </w:r>
            <w:r w:rsidRPr="007047B5">
              <w:rPr>
                <w:b/>
                <w:i/>
                <w:lang w:val="en-IE"/>
              </w:rPr>
              <w:t xml:space="preserve"> and identify their status as such, where appropriate;</w:t>
            </w:r>
          </w:p>
        </w:tc>
      </w:tr>
    </w:tbl>
    <w:p w14:paraId="2F6F9C5D"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7CE56D4" w14:textId="77777777" w:rsidR="00CB2077" w:rsidRPr="007047B5" w:rsidRDefault="00CB2077" w:rsidP="00CB2077">
      <w:pPr>
        <w:rPr>
          <w:lang w:val="en-IE"/>
        </w:rPr>
      </w:pPr>
      <w:r w:rsidRPr="007047B5">
        <w:rPr>
          <w:rStyle w:val="HideTWBExt"/>
          <w:noProof w:val="0"/>
          <w:lang w:val="en-IE"/>
        </w:rPr>
        <w:t>&lt;/Amend&gt;</w:t>
      </w:r>
    </w:p>
    <w:p w14:paraId="71E5E1F2"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53</w:t>
      </w:r>
      <w:r w:rsidRPr="007047B5">
        <w:rPr>
          <w:rStyle w:val="HideTWBExt"/>
          <w:b w:val="0"/>
          <w:noProof w:val="0"/>
          <w:lang w:val="en-IE"/>
        </w:rPr>
        <w:t>&lt;/NumAm&gt;</w:t>
      </w:r>
    </w:p>
    <w:p w14:paraId="1B1A0670"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075C48A" w14:textId="1748C5C9"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17 – paragraph 1 – subparagraph </w:t>
      </w:r>
      <w:r w:rsidR="00111A6C" w:rsidRPr="007047B5">
        <w:rPr>
          <w:lang w:val="en-IE"/>
        </w:rPr>
        <w:t>2</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8FFC35D" w14:textId="77777777" w:rsidTr="00CB2077">
        <w:trPr>
          <w:jc w:val="center"/>
        </w:trPr>
        <w:tc>
          <w:tcPr>
            <w:tcW w:w="9752" w:type="dxa"/>
            <w:gridSpan w:val="2"/>
          </w:tcPr>
          <w:p w14:paraId="5101B168" w14:textId="77777777" w:rsidR="00CB2077" w:rsidRPr="007047B5" w:rsidRDefault="00CB2077">
            <w:pPr>
              <w:keepNext/>
              <w:rPr>
                <w:lang w:val="en-IE"/>
              </w:rPr>
            </w:pPr>
          </w:p>
        </w:tc>
      </w:tr>
      <w:tr w:rsidR="00CB2077" w:rsidRPr="007047B5" w14:paraId="226954F5" w14:textId="77777777" w:rsidTr="00CB2077">
        <w:trPr>
          <w:jc w:val="center"/>
        </w:trPr>
        <w:tc>
          <w:tcPr>
            <w:tcW w:w="4876" w:type="dxa"/>
            <w:hideMark/>
          </w:tcPr>
          <w:p w14:paraId="16F6A5CC"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F4342E0" w14:textId="77777777" w:rsidR="00CB2077" w:rsidRPr="007047B5" w:rsidRDefault="00CB2077">
            <w:pPr>
              <w:pStyle w:val="ColumnHeading"/>
              <w:keepNext/>
              <w:rPr>
                <w:lang w:val="en-IE"/>
              </w:rPr>
            </w:pPr>
            <w:r w:rsidRPr="007047B5">
              <w:rPr>
                <w:lang w:val="en-IE"/>
              </w:rPr>
              <w:t>Amendment</w:t>
            </w:r>
          </w:p>
        </w:tc>
      </w:tr>
      <w:tr w:rsidR="00CB2077" w:rsidRPr="007047B5" w14:paraId="0DF431AD" w14:textId="77777777" w:rsidTr="00CB2077">
        <w:trPr>
          <w:jc w:val="center"/>
        </w:trPr>
        <w:tc>
          <w:tcPr>
            <w:tcW w:w="4876" w:type="dxa"/>
            <w:hideMark/>
          </w:tcPr>
          <w:p w14:paraId="3DECFCB7" w14:textId="77777777" w:rsidR="00CB2077" w:rsidRPr="007047B5" w:rsidRDefault="00CB2077">
            <w:pPr>
              <w:pStyle w:val="Normal6"/>
              <w:rPr>
                <w:lang w:val="en-IE"/>
              </w:rPr>
            </w:pPr>
            <w:r w:rsidRPr="007047B5">
              <w:rPr>
                <w:lang w:val="en-IE"/>
              </w:rPr>
              <w:t xml:space="preserve">The first subparagraph shall not apply to notaries, lawyers and other independent legal professionals, auditors, external accountants and tax advisors, to the strict extent that those persons ascertain the legal position of their client, </w:t>
            </w:r>
            <w:r w:rsidRPr="007047B5">
              <w:rPr>
                <w:b/>
                <w:i/>
                <w:lang w:val="en-IE"/>
              </w:rPr>
              <w:t>or perform the task of defending or representing that client in, or concerning, judicial proceedings, including providing advice on instituting or avoiding such proceedings.</w:t>
            </w:r>
          </w:p>
        </w:tc>
        <w:tc>
          <w:tcPr>
            <w:tcW w:w="4876" w:type="dxa"/>
            <w:hideMark/>
          </w:tcPr>
          <w:p w14:paraId="47A7DDC9" w14:textId="77777777" w:rsidR="00CB2077" w:rsidRPr="007047B5" w:rsidRDefault="00CB2077">
            <w:pPr>
              <w:pStyle w:val="Normal6"/>
              <w:rPr>
                <w:szCs w:val="24"/>
                <w:lang w:val="en-IE"/>
              </w:rPr>
            </w:pPr>
            <w:r w:rsidRPr="007047B5">
              <w:rPr>
                <w:lang w:val="en-IE"/>
              </w:rPr>
              <w:t xml:space="preserve">The first subparagraph shall not apply to notaries, lawyers and other independent legal professionals, auditors, external accountants and tax advisors, to the strict extent that those persons ascertain the legal position of their client, </w:t>
            </w:r>
            <w:r w:rsidRPr="007047B5">
              <w:rPr>
                <w:b/>
                <w:i/>
                <w:lang w:val="en-IE"/>
              </w:rPr>
              <w:t>except where:</w:t>
            </w:r>
          </w:p>
        </w:tc>
      </w:tr>
    </w:tbl>
    <w:p w14:paraId="6C22828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2F6563B" w14:textId="77777777" w:rsidR="00CB2077" w:rsidRPr="007047B5" w:rsidRDefault="00CB2077" w:rsidP="00CB2077">
      <w:pPr>
        <w:rPr>
          <w:lang w:val="en-IE"/>
        </w:rPr>
      </w:pPr>
      <w:r w:rsidRPr="007047B5">
        <w:rPr>
          <w:rStyle w:val="HideTWBExt"/>
          <w:noProof w:val="0"/>
          <w:lang w:val="en-IE"/>
        </w:rPr>
        <w:t>&lt;/Amend&gt;</w:t>
      </w:r>
    </w:p>
    <w:p w14:paraId="3F56B92D"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54</w:t>
      </w:r>
      <w:r w:rsidRPr="007047B5">
        <w:rPr>
          <w:rStyle w:val="HideTWBExt"/>
          <w:b w:val="0"/>
          <w:noProof w:val="0"/>
          <w:lang w:val="en-IE"/>
        </w:rPr>
        <w:t>&lt;/NumAm&gt;</w:t>
      </w:r>
    </w:p>
    <w:p w14:paraId="7D0ABF79"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0608AC8" w14:textId="5DD877E0"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17 – paragraph 1 – subparagraph </w:t>
      </w:r>
      <w:r w:rsidR="00111A6C" w:rsidRPr="007047B5">
        <w:rPr>
          <w:lang w:val="en-IE"/>
        </w:rPr>
        <w:t xml:space="preserve">2 </w:t>
      </w:r>
      <w:r w:rsidRPr="007047B5">
        <w:rPr>
          <w:lang w:val="en-IE"/>
        </w:rPr>
        <w:t>– point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92A249A" w14:textId="77777777" w:rsidTr="00CB2077">
        <w:trPr>
          <w:jc w:val="center"/>
        </w:trPr>
        <w:tc>
          <w:tcPr>
            <w:tcW w:w="9752" w:type="dxa"/>
            <w:gridSpan w:val="2"/>
          </w:tcPr>
          <w:p w14:paraId="32B8DE05" w14:textId="77777777" w:rsidR="00CB2077" w:rsidRPr="007047B5" w:rsidRDefault="00CB2077">
            <w:pPr>
              <w:keepNext/>
              <w:rPr>
                <w:lang w:val="en-IE"/>
              </w:rPr>
            </w:pPr>
          </w:p>
        </w:tc>
      </w:tr>
      <w:tr w:rsidR="00CB2077" w:rsidRPr="007047B5" w14:paraId="6699808D" w14:textId="77777777" w:rsidTr="00CB2077">
        <w:trPr>
          <w:jc w:val="center"/>
        </w:trPr>
        <w:tc>
          <w:tcPr>
            <w:tcW w:w="4876" w:type="dxa"/>
            <w:hideMark/>
          </w:tcPr>
          <w:p w14:paraId="60CB3063"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E0C3D53" w14:textId="77777777" w:rsidR="00CB2077" w:rsidRPr="007047B5" w:rsidRDefault="00CB2077">
            <w:pPr>
              <w:pStyle w:val="ColumnHeading"/>
              <w:keepNext/>
              <w:rPr>
                <w:lang w:val="en-IE"/>
              </w:rPr>
            </w:pPr>
            <w:r w:rsidRPr="007047B5">
              <w:rPr>
                <w:lang w:val="en-IE"/>
              </w:rPr>
              <w:t>Amendment</w:t>
            </w:r>
          </w:p>
        </w:tc>
      </w:tr>
      <w:tr w:rsidR="00CB2077" w:rsidRPr="007047B5" w14:paraId="3D519F43" w14:textId="77777777" w:rsidTr="00CB2077">
        <w:trPr>
          <w:jc w:val="center"/>
        </w:trPr>
        <w:tc>
          <w:tcPr>
            <w:tcW w:w="4876" w:type="dxa"/>
          </w:tcPr>
          <w:p w14:paraId="29E5948A" w14:textId="77777777" w:rsidR="00CB2077" w:rsidRPr="007047B5" w:rsidRDefault="00CB2077">
            <w:pPr>
              <w:pStyle w:val="Normal6"/>
              <w:rPr>
                <w:lang w:val="en-IE"/>
              </w:rPr>
            </w:pPr>
          </w:p>
        </w:tc>
        <w:tc>
          <w:tcPr>
            <w:tcW w:w="4876" w:type="dxa"/>
            <w:hideMark/>
          </w:tcPr>
          <w:p w14:paraId="67803A83" w14:textId="547BADA2" w:rsidR="00CB2077" w:rsidRPr="007047B5" w:rsidRDefault="00CB2077">
            <w:pPr>
              <w:pStyle w:val="Normal6"/>
              <w:rPr>
                <w:szCs w:val="24"/>
                <w:lang w:val="en-IE"/>
              </w:rPr>
            </w:pPr>
            <w:r w:rsidRPr="007047B5">
              <w:rPr>
                <w:b/>
                <w:i/>
                <w:lang w:val="en-IE"/>
              </w:rPr>
              <w:t>(a)</w:t>
            </w:r>
            <w:r w:rsidRPr="007047B5">
              <w:rPr>
                <w:b/>
                <w:i/>
                <w:lang w:val="en-IE"/>
              </w:rPr>
              <w:tab/>
              <w:t xml:space="preserve">the ascertainment is inconsistent with applicable law and </w:t>
            </w:r>
            <w:r w:rsidR="00643565" w:rsidRPr="007047B5">
              <w:rPr>
                <w:b/>
                <w:i/>
                <w:lang w:val="en-IE"/>
              </w:rPr>
              <w:t xml:space="preserve">the legal position </w:t>
            </w:r>
            <w:r w:rsidR="00643565" w:rsidRPr="007047B5">
              <w:rPr>
                <w:b/>
                <w:i/>
                <w:lang w:val="en-IE"/>
              </w:rPr>
              <w:lastRenderedPageBreak/>
              <w:t xml:space="preserve">is </w:t>
            </w:r>
            <w:r w:rsidRPr="007047B5">
              <w:rPr>
                <w:b/>
                <w:i/>
                <w:lang w:val="en-IE"/>
              </w:rPr>
              <w:t>sought in bad faith; or</w:t>
            </w:r>
          </w:p>
        </w:tc>
      </w:tr>
    </w:tbl>
    <w:p w14:paraId="7F57A7DA"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0CF4038" w14:textId="77777777" w:rsidR="00CB2077" w:rsidRPr="007047B5" w:rsidRDefault="00CB2077" w:rsidP="00CB2077">
      <w:pPr>
        <w:rPr>
          <w:lang w:val="en-IE"/>
        </w:rPr>
      </w:pPr>
      <w:r w:rsidRPr="007047B5">
        <w:rPr>
          <w:rStyle w:val="HideTWBExt"/>
          <w:noProof w:val="0"/>
          <w:lang w:val="en-IE"/>
        </w:rPr>
        <w:t>&lt;/Amend&gt;</w:t>
      </w:r>
    </w:p>
    <w:p w14:paraId="09DF7F16"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55</w:t>
      </w:r>
      <w:r w:rsidRPr="007047B5">
        <w:rPr>
          <w:rStyle w:val="HideTWBExt"/>
          <w:b w:val="0"/>
          <w:noProof w:val="0"/>
          <w:lang w:val="en-IE"/>
        </w:rPr>
        <w:t>&lt;/NumAm&gt;</w:t>
      </w:r>
    </w:p>
    <w:p w14:paraId="5E1B213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1D54977" w14:textId="27C0F0DA"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17 – paragraph 1 – subparagraph </w:t>
      </w:r>
      <w:r w:rsidR="00111A6C" w:rsidRPr="007047B5">
        <w:rPr>
          <w:lang w:val="en-IE"/>
        </w:rPr>
        <w:t xml:space="preserve">2 </w:t>
      </w:r>
      <w:r w:rsidRPr="007047B5">
        <w:rPr>
          <w:lang w:val="en-IE"/>
        </w:rPr>
        <w:t>– point b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0795480" w14:textId="77777777" w:rsidTr="00CB2077">
        <w:trPr>
          <w:jc w:val="center"/>
        </w:trPr>
        <w:tc>
          <w:tcPr>
            <w:tcW w:w="9752" w:type="dxa"/>
            <w:gridSpan w:val="2"/>
          </w:tcPr>
          <w:p w14:paraId="7E702CF3" w14:textId="77777777" w:rsidR="00CB2077" w:rsidRPr="007047B5" w:rsidRDefault="00CB2077">
            <w:pPr>
              <w:keepNext/>
              <w:rPr>
                <w:lang w:val="en-IE"/>
              </w:rPr>
            </w:pPr>
          </w:p>
        </w:tc>
      </w:tr>
      <w:tr w:rsidR="00CB2077" w:rsidRPr="007047B5" w14:paraId="32B88D3B" w14:textId="77777777" w:rsidTr="00CB2077">
        <w:trPr>
          <w:jc w:val="center"/>
        </w:trPr>
        <w:tc>
          <w:tcPr>
            <w:tcW w:w="4876" w:type="dxa"/>
            <w:hideMark/>
          </w:tcPr>
          <w:p w14:paraId="39AB6D78"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0936C90" w14:textId="77777777" w:rsidR="00CB2077" w:rsidRPr="007047B5" w:rsidRDefault="00CB2077">
            <w:pPr>
              <w:pStyle w:val="ColumnHeading"/>
              <w:keepNext/>
              <w:rPr>
                <w:lang w:val="en-IE"/>
              </w:rPr>
            </w:pPr>
            <w:r w:rsidRPr="007047B5">
              <w:rPr>
                <w:lang w:val="en-IE"/>
              </w:rPr>
              <w:t>Amendment</w:t>
            </w:r>
          </w:p>
        </w:tc>
      </w:tr>
      <w:tr w:rsidR="00CB2077" w:rsidRPr="007047B5" w14:paraId="3384545B" w14:textId="77777777" w:rsidTr="00CB2077">
        <w:trPr>
          <w:jc w:val="center"/>
        </w:trPr>
        <w:tc>
          <w:tcPr>
            <w:tcW w:w="4876" w:type="dxa"/>
          </w:tcPr>
          <w:p w14:paraId="6D0EDDC2" w14:textId="77777777" w:rsidR="00CB2077" w:rsidRPr="007047B5" w:rsidRDefault="00CB2077">
            <w:pPr>
              <w:pStyle w:val="Normal6"/>
              <w:rPr>
                <w:lang w:val="en-IE"/>
              </w:rPr>
            </w:pPr>
          </w:p>
        </w:tc>
        <w:tc>
          <w:tcPr>
            <w:tcW w:w="4876" w:type="dxa"/>
            <w:hideMark/>
          </w:tcPr>
          <w:p w14:paraId="6E5E5233" w14:textId="2FE49C3C" w:rsidR="00CB2077" w:rsidRPr="007047B5" w:rsidRDefault="00CB2077" w:rsidP="006F5456">
            <w:pPr>
              <w:pStyle w:val="Normal6"/>
              <w:rPr>
                <w:szCs w:val="24"/>
                <w:lang w:val="en-IE"/>
              </w:rPr>
            </w:pPr>
            <w:r w:rsidRPr="007047B5">
              <w:rPr>
                <w:b/>
                <w:i/>
                <w:lang w:val="en-IE"/>
              </w:rPr>
              <w:t>(b)</w:t>
            </w:r>
            <w:r w:rsidRPr="007047B5">
              <w:rPr>
                <w:b/>
                <w:i/>
                <w:lang w:val="en-IE"/>
              </w:rPr>
              <w:tab/>
              <w:t xml:space="preserve">the ascertainment clearly exceeds legal matters pertaining to the </w:t>
            </w:r>
            <w:r w:rsidR="00643565" w:rsidRPr="007047B5">
              <w:rPr>
                <w:b/>
                <w:i/>
                <w:lang w:val="en-IE"/>
              </w:rPr>
              <w:t xml:space="preserve">client’s legal </w:t>
            </w:r>
            <w:r w:rsidRPr="007047B5">
              <w:rPr>
                <w:b/>
                <w:i/>
                <w:lang w:val="en-IE"/>
              </w:rPr>
              <w:t>position;</w:t>
            </w:r>
          </w:p>
        </w:tc>
      </w:tr>
    </w:tbl>
    <w:p w14:paraId="76A4FB33"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3245D30E" w14:textId="77777777" w:rsidR="00CB2077" w:rsidRPr="007047B5" w:rsidRDefault="00CB2077" w:rsidP="00CB2077">
      <w:pPr>
        <w:rPr>
          <w:lang w:val="en-IE"/>
        </w:rPr>
      </w:pPr>
      <w:r w:rsidRPr="007047B5">
        <w:rPr>
          <w:rStyle w:val="HideTWBExt"/>
          <w:noProof w:val="0"/>
          <w:lang w:val="en-IE"/>
        </w:rPr>
        <w:t>&lt;/Amend&gt;</w:t>
      </w:r>
    </w:p>
    <w:p w14:paraId="3BBE9FEB"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56</w:t>
      </w:r>
      <w:r w:rsidRPr="007047B5">
        <w:rPr>
          <w:rStyle w:val="HideTWBExt"/>
          <w:b w:val="0"/>
          <w:noProof w:val="0"/>
          <w:lang w:val="en-IE"/>
        </w:rPr>
        <w:t>&lt;/NumAm&gt;</w:t>
      </w:r>
    </w:p>
    <w:p w14:paraId="1B09E06D"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4F37835" w14:textId="704A76BF"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17 – paragraph 1 – subparagraph </w:t>
      </w:r>
      <w:r w:rsidR="00111A6C" w:rsidRPr="007047B5">
        <w:rPr>
          <w:lang w:val="en-IE"/>
        </w:rPr>
        <w:t xml:space="preserve">2 </w:t>
      </w:r>
      <w:r w:rsidRPr="007047B5">
        <w:rPr>
          <w:lang w:val="en-IE"/>
        </w:rPr>
        <w:t>– point c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541A1B5" w14:textId="77777777" w:rsidTr="00CB2077">
        <w:trPr>
          <w:jc w:val="center"/>
        </w:trPr>
        <w:tc>
          <w:tcPr>
            <w:tcW w:w="9752" w:type="dxa"/>
            <w:gridSpan w:val="2"/>
          </w:tcPr>
          <w:p w14:paraId="6B577573" w14:textId="77777777" w:rsidR="00CB2077" w:rsidRPr="007047B5" w:rsidRDefault="00CB2077">
            <w:pPr>
              <w:keepNext/>
              <w:rPr>
                <w:lang w:val="en-IE"/>
              </w:rPr>
            </w:pPr>
          </w:p>
        </w:tc>
      </w:tr>
      <w:tr w:rsidR="00CB2077" w:rsidRPr="007047B5" w14:paraId="60BF6496" w14:textId="77777777" w:rsidTr="00CB2077">
        <w:trPr>
          <w:jc w:val="center"/>
        </w:trPr>
        <w:tc>
          <w:tcPr>
            <w:tcW w:w="4876" w:type="dxa"/>
            <w:hideMark/>
          </w:tcPr>
          <w:p w14:paraId="11E56A0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9208C9E" w14:textId="77777777" w:rsidR="00CB2077" w:rsidRPr="007047B5" w:rsidRDefault="00CB2077">
            <w:pPr>
              <w:pStyle w:val="ColumnHeading"/>
              <w:keepNext/>
              <w:rPr>
                <w:lang w:val="en-IE"/>
              </w:rPr>
            </w:pPr>
            <w:r w:rsidRPr="007047B5">
              <w:rPr>
                <w:lang w:val="en-IE"/>
              </w:rPr>
              <w:t>Amendment</w:t>
            </w:r>
          </w:p>
        </w:tc>
      </w:tr>
      <w:tr w:rsidR="00CB2077" w:rsidRPr="007047B5" w14:paraId="22167772" w14:textId="77777777" w:rsidTr="00CB2077">
        <w:trPr>
          <w:jc w:val="center"/>
        </w:trPr>
        <w:tc>
          <w:tcPr>
            <w:tcW w:w="4876" w:type="dxa"/>
          </w:tcPr>
          <w:p w14:paraId="2982AA81" w14:textId="77777777" w:rsidR="00CB2077" w:rsidRPr="007047B5" w:rsidRDefault="00CB2077">
            <w:pPr>
              <w:pStyle w:val="Normal6"/>
              <w:rPr>
                <w:lang w:val="en-IE"/>
              </w:rPr>
            </w:pPr>
          </w:p>
        </w:tc>
        <w:tc>
          <w:tcPr>
            <w:tcW w:w="4876" w:type="dxa"/>
            <w:hideMark/>
          </w:tcPr>
          <w:p w14:paraId="14D3F2CE" w14:textId="36F79D4C" w:rsidR="00CB2077" w:rsidRPr="007047B5" w:rsidRDefault="00CB2077" w:rsidP="006F5456">
            <w:pPr>
              <w:pStyle w:val="Normal6"/>
              <w:rPr>
                <w:szCs w:val="24"/>
                <w:lang w:val="en-IE"/>
              </w:rPr>
            </w:pPr>
            <w:r w:rsidRPr="007047B5">
              <w:rPr>
                <w:b/>
                <w:i/>
                <w:lang w:val="en-IE"/>
              </w:rPr>
              <w:t>(c)</w:t>
            </w:r>
            <w:r w:rsidRPr="007047B5">
              <w:rPr>
                <w:b/>
                <w:i/>
                <w:lang w:val="en-IE"/>
              </w:rPr>
              <w:tab/>
              <w:t>the</w:t>
            </w:r>
            <w:r w:rsidR="00643565" w:rsidRPr="007047B5">
              <w:rPr>
                <w:b/>
                <w:i/>
                <w:lang w:val="en-IE"/>
              </w:rPr>
              <w:t xml:space="preserve"> notary, lawyer, other independent legal professional, auditor, external accountant or tax advisor provides</w:t>
            </w:r>
            <w:r w:rsidRPr="007047B5">
              <w:rPr>
                <w:b/>
                <w:i/>
                <w:lang w:val="en-IE"/>
              </w:rPr>
              <w:t xml:space="preserve"> information </w:t>
            </w:r>
            <w:r w:rsidR="00A058E3" w:rsidRPr="007047B5">
              <w:rPr>
                <w:b/>
                <w:i/>
                <w:lang w:val="en-IE"/>
              </w:rPr>
              <w:t xml:space="preserve">to the client </w:t>
            </w:r>
            <w:r w:rsidRPr="007047B5">
              <w:rPr>
                <w:b/>
                <w:i/>
                <w:lang w:val="en-IE"/>
              </w:rPr>
              <w:t>for the purpose of money laundering, or its predicate offences</w:t>
            </w:r>
            <w:r w:rsidR="00643565" w:rsidRPr="007047B5">
              <w:rPr>
                <w:b/>
                <w:i/>
                <w:lang w:val="en-IE"/>
              </w:rPr>
              <w:t>,</w:t>
            </w:r>
            <w:r w:rsidRPr="007047B5">
              <w:rPr>
                <w:b/>
                <w:i/>
                <w:lang w:val="en-IE"/>
              </w:rPr>
              <w:t xml:space="preserve"> or terrorist financing </w:t>
            </w:r>
            <w:r w:rsidR="00643565" w:rsidRPr="007047B5">
              <w:rPr>
                <w:b/>
                <w:i/>
                <w:lang w:val="en-IE"/>
              </w:rPr>
              <w:t xml:space="preserve">and </w:t>
            </w:r>
            <w:r w:rsidRPr="007047B5">
              <w:rPr>
                <w:b/>
                <w:i/>
                <w:lang w:val="en-IE"/>
              </w:rPr>
              <w:t xml:space="preserve">has the knowledge </w:t>
            </w:r>
            <w:r w:rsidR="00E43941" w:rsidRPr="007047B5">
              <w:rPr>
                <w:b/>
                <w:i/>
                <w:lang w:val="en-IE"/>
              </w:rPr>
              <w:t xml:space="preserve">or </w:t>
            </w:r>
            <w:r w:rsidR="00BE0E57" w:rsidRPr="007047B5">
              <w:rPr>
                <w:b/>
                <w:i/>
                <w:lang w:val="en-IE"/>
              </w:rPr>
              <w:t>a well-</w:t>
            </w:r>
            <w:r w:rsidR="00E43941" w:rsidRPr="007047B5">
              <w:rPr>
                <w:b/>
                <w:i/>
                <w:lang w:val="en-IE"/>
              </w:rPr>
              <w:t xml:space="preserve">grounded suspicion </w:t>
            </w:r>
            <w:r w:rsidRPr="007047B5">
              <w:rPr>
                <w:b/>
                <w:i/>
                <w:lang w:val="en-IE"/>
              </w:rPr>
              <w:t>that the client requested it for th</w:t>
            </w:r>
            <w:r w:rsidR="00643565" w:rsidRPr="007047B5">
              <w:rPr>
                <w:b/>
                <w:i/>
                <w:lang w:val="en-IE"/>
              </w:rPr>
              <w:t>at</w:t>
            </w:r>
            <w:r w:rsidRPr="007047B5">
              <w:rPr>
                <w:b/>
                <w:i/>
                <w:lang w:val="en-IE"/>
              </w:rPr>
              <w:t xml:space="preserve"> purpose.</w:t>
            </w:r>
          </w:p>
        </w:tc>
      </w:tr>
    </w:tbl>
    <w:p w14:paraId="52F1032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31254CC" w14:textId="77777777" w:rsidR="00CB2077" w:rsidRPr="007047B5" w:rsidRDefault="00CB2077" w:rsidP="00CB2077">
      <w:pPr>
        <w:rPr>
          <w:lang w:val="en-IE"/>
        </w:rPr>
      </w:pPr>
      <w:r w:rsidRPr="007047B5">
        <w:rPr>
          <w:rStyle w:val="HideTWBExt"/>
          <w:noProof w:val="0"/>
          <w:lang w:val="en-IE"/>
        </w:rPr>
        <w:t>&lt;/Amend&gt;</w:t>
      </w:r>
    </w:p>
    <w:p w14:paraId="714BCBFB"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57</w:t>
      </w:r>
      <w:r w:rsidRPr="007047B5">
        <w:rPr>
          <w:rStyle w:val="HideTWBExt"/>
          <w:b w:val="0"/>
          <w:noProof w:val="0"/>
          <w:lang w:val="en-IE"/>
        </w:rPr>
        <w:t>&lt;/NumAm&gt;</w:t>
      </w:r>
    </w:p>
    <w:p w14:paraId="03DD4D08"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BE0E53A" w14:textId="545A3789"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17 – paragraph 1 – subparagraph </w:t>
      </w:r>
      <w:r w:rsidR="00111A6C" w:rsidRPr="007047B5">
        <w:rPr>
          <w:lang w:val="en-IE"/>
        </w:rPr>
        <w:t xml:space="preserve">2 </w:t>
      </w:r>
      <w:r w:rsidRPr="007047B5">
        <w:rPr>
          <w:lang w:val="en-IE"/>
        </w:rPr>
        <w:t>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BE18E4B" w14:textId="77777777" w:rsidTr="00CB2077">
        <w:trPr>
          <w:jc w:val="center"/>
        </w:trPr>
        <w:tc>
          <w:tcPr>
            <w:tcW w:w="9752" w:type="dxa"/>
            <w:gridSpan w:val="2"/>
          </w:tcPr>
          <w:p w14:paraId="5DC6BA2F" w14:textId="77777777" w:rsidR="00CB2077" w:rsidRPr="007047B5" w:rsidRDefault="00CB2077">
            <w:pPr>
              <w:keepNext/>
              <w:rPr>
                <w:lang w:val="en-IE"/>
              </w:rPr>
            </w:pPr>
          </w:p>
        </w:tc>
      </w:tr>
      <w:tr w:rsidR="00CB2077" w:rsidRPr="007047B5" w14:paraId="565B1D6F" w14:textId="77777777" w:rsidTr="00CB2077">
        <w:trPr>
          <w:jc w:val="center"/>
        </w:trPr>
        <w:tc>
          <w:tcPr>
            <w:tcW w:w="4876" w:type="dxa"/>
            <w:hideMark/>
          </w:tcPr>
          <w:p w14:paraId="071C9855"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F0CBA7C" w14:textId="77777777" w:rsidR="00CB2077" w:rsidRPr="007047B5" w:rsidRDefault="00CB2077">
            <w:pPr>
              <w:pStyle w:val="ColumnHeading"/>
              <w:keepNext/>
              <w:rPr>
                <w:lang w:val="en-IE"/>
              </w:rPr>
            </w:pPr>
            <w:r w:rsidRPr="007047B5">
              <w:rPr>
                <w:lang w:val="en-IE"/>
              </w:rPr>
              <w:t>Amendment</w:t>
            </w:r>
          </w:p>
        </w:tc>
      </w:tr>
      <w:tr w:rsidR="00CB2077" w:rsidRPr="007047B5" w14:paraId="6651F549" w14:textId="77777777" w:rsidTr="00CB2077">
        <w:trPr>
          <w:jc w:val="center"/>
        </w:trPr>
        <w:tc>
          <w:tcPr>
            <w:tcW w:w="4876" w:type="dxa"/>
          </w:tcPr>
          <w:p w14:paraId="008504DE" w14:textId="77777777" w:rsidR="00CB2077" w:rsidRPr="007047B5" w:rsidRDefault="00CB2077">
            <w:pPr>
              <w:pStyle w:val="Normal6"/>
              <w:rPr>
                <w:lang w:val="en-IE"/>
              </w:rPr>
            </w:pPr>
          </w:p>
        </w:tc>
        <w:tc>
          <w:tcPr>
            <w:tcW w:w="4876" w:type="dxa"/>
            <w:hideMark/>
          </w:tcPr>
          <w:p w14:paraId="0A186E73" w14:textId="67711B7E" w:rsidR="00CB2077" w:rsidRPr="007047B5" w:rsidRDefault="00CB2077" w:rsidP="006F5456">
            <w:pPr>
              <w:pStyle w:val="Normal6"/>
              <w:rPr>
                <w:szCs w:val="24"/>
                <w:lang w:val="en-IE"/>
              </w:rPr>
            </w:pPr>
            <w:r w:rsidRPr="007047B5">
              <w:rPr>
                <w:b/>
                <w:i/>
                <w:lang w:val="en-IE"/>
              </w:rPr>
              <w:t xml:space="preserve">The first subparagraph shall not apply to persons </w:t>
            </w:r>
            <w:r w:rsidR="00183B83" w:rsidRPr="007047B5">
              <w:rPr>
                <w:b/>
                <w:i/>
                <w:lang w:val="en-IE"/>
              </w:rPr>
              <w:t xml:space="preserve">as referred to </w:t>
            </w:r>
            <w:r w:rsidRPr="007047B5">
              <w:rPr>
                <w:b/>
                <w:i/>
                <w:lang w:val="en-IE"/>
              </w:rPr>
              <w:t>in the second subparagraph when perform</w:t>
            </w:r>
            <w:r w:rsidR="006F5456" w:rsidRPr="007047B5">
              <w:rPr>
                <w:b/>
                <w:i/>
                <w:lang w:val="en-IE"/>
              </w:rPr>
              <w:t>ing</w:t>
            </w:r>
            <w:r w:rsidRPr="007047B5">
              <w:rPr>
                <w:b/>
                <w:i/>
                <w:lang w:val="en-IE"/>
              </w:rPr>
              <w:t xml:space="preserve"> the</w:t>
            </w:r>
            <w:r w:rsidR="006F5456" w:rsidRPr="007047B5">
              <w:rPr>
                <w:b/>
                <w:i/>
                <w:lang w:val="en-IE"/>
              </w:rPr>
              <w:t>ir</w:t>
            </w:r>
            <w:r w:rsidRPr="007047B5">
              <w:rPr>
                <w:b/>
                <w:i/>
                <w:lang w:val="en-IE"/>
              </w:rPr>
              <w:t xml:space="preserve"> task of defending or representing their client in, or concerning, judicial proceedings, including </w:t>
            </w:r>
            <w:r w:rsidR="00183B83" w:rsidRPr="007047B5">
              <w:rPr>
                <w:b/>
                <w:i/>
                <w:lang w:val="en-IE"/>
              </w:rPr>
              <w:t xml:space="preserve">when </w:t>
            </w:r>
            <w:r w:rsidRPr="007047B5">
              <w:rPr>
                <w:b/>
                <w:i/>
                <w:lang w:val="en-IE"/>
              </w:rPr>
              <w:t xml:space="preserve">providing advice on instituting or avoiding </w:t>
            </w:r>
            <w:r w:rsidR="00183B83" w:rsidRPr="007047B5">
              <w:rPr>
                <w:b/>
                <w:i/>
                <w:lang w:val="en-IE"/>
              </w:rPr>
              <w:t xml:space="preserve">judicial </w:t>
            </w:r>
            <w:r w:rsidRPr="007047B5">
              <w:rPr>
                <w:b/>
                <w:i/>
                <w:lang w:val="en-IE"/>
              </w:rPr>
              <w:t>proceedings.</w:t>
            </w:r>
          </w:p>
        </w:tc>
      </w:tr>
    </w:tbl>
    <w:p w14:paraId="713BF01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3774AA0" w14:textId="77777777" w:rsidR="00CB2077" w:rsidRPr="007047B5" w:rsidRDefault="00CB2077" w:rsidP="00CB2077">
      <w:pPr>
        <w:rPr>
          <w:lang w:val="en-IE"/>
        </w:rPr>
      </w:pPr>
      <w:r w:rsidRPr="007047B5">
        <w:rPr>
          <w:rStyle w:val="HideTWBExt"/>
          <w:noProof w:val="0"/>
          <w:lang w:val="en-IE"/>
        </w:rPr>
        <w:t>&lt;/Amend&gt;</w:t>
      </w:r>
    </w:p>
    <w:p w14:paraId="327697B2"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58</w:t>
      </w:r>
      <w:r w:rsidRPr="007047B5">
        <w:rPr>
          <w:rStyle w:val="HideTWBExt"/>
          <w:b w:val="0"/>
          <w:noProof w:val="0"/>
          <w:lang w:val="en-IE"/>
        </w:rPr>
        <w:t>&lt;/NumAm&gt;</w:t>
      </w:r>
    </w:p>
    <w:p w14:paraId="0AA64AA7"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88AAAFB"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 xml:space="preserve">Article 18 – paragraph 4 </w:t>
      </w:r>
      <w:r w:rsidR="00111A6C" w:rsidRPr="007047B5">
        <w:rPr>
          <w:lang w:val="fr-FR"/>
        </w:rPr>
        <w:t xml:space="preserve">– subparagraph 1 </w:t>
      </w:r>
      <w:r w:rsidRPr="007047B5">
        <w:rPr>
          <w:lang w:val="fr-FR"/>
        </w:rPr>
        <w:t>– point a</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3015D48" w14:textId="77777777" w:rsidTr="00CB2077">
        <w:trPr>
          <w:jc w:val="center"/>
        </w:trPr>
        <w:tc>
          <w:tcPr>
            <w:tcW w:w="9752" w:type="dxa"/>
            <w:gridSpan w:val="2"/>
          </w:tcPr>
          <w:p w14:paraId="6ACE2F81" w14:textId="77777777" w:rsidR="00CB2077" w:rsidRPr="007047B5" w:rsidRDefault="00CB2077">
            <w:pPr>
              <w:keepNext/>
              <w:rPr>
                <w:lang w:val="fr-FR"/>
              </w:rPr>
            </w:pPr>
          </w:p>
        </w:tc>
      </w:tr>
      <w:tr w:rsidR="00CB2077" w:rsidRPr="007047B5" w14:paraId="23DDEFA1" w14:textId="77777777" w:rsidTr="00CB2077">
        <w:trPr>
          <w:jc w:val="center"/>
        </w:trPr>
        <w:tc>
          <w:tcPr>
            <w:tcW w:w="4876" w:type="dxa"/>
            <w:hideMark/>
          </w:tcPr>
          <w:p w14:paraId="6664388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DDA1ED7" w14:textId="77777777" w:rsidR="00CB2077" w:rsidRPr="007047B5" w:rsidRDefault="00CB2077">
            <w:pPr>
              <w:pStyle w:val="ColumnHeading"/>
              <w:keepNext/>
              <w:rPr>
                <w:lang w:val="en-IE"/>
              </w:rPr>
            </w:pPr>
            <w:r w:rsidRPr="007047B5">
              <w:rPr>
                <w:lang w:val="en-IE"/>
              </w:rPr>
              <w:t>Amendment</w:t>
            </w:r>
          </w:p>
        </w:tc>
      </w:tr>
      <w:tr w:rsidR="00CB2077" w:rsidRPr="007047B5" w14:paraId="39975CD2" w14:textId="77777777" w:rsidTr="00CB2077">
        <w:trPr>
          <w:jc w:val="center"/>
        </w:trPr>
        <w:tc>
          <w:tcPr>
            <w:tcW w:w="4876" w:type="dxa"/>
            <w:hideMark/>
          </w:tcPr>
          <w:p w14:paraId="143EBEF2" w14:textId="77777777" w:rsidR="00CB2077" w:rsidRPr="007047B5" w:rsidRDefault="00CB2077">
            <w:pPr>
              <w:pStyle w:val="Normal6"/>
              <w:rPr>
                <w:lang w:val="en-IE"/>
              </w:rPr>
            </w:pPr>
            <w:r w:rsidRPr="007047B5">
              <w:rPr>
                <w:lang w:val="en-IE"/>
              </w:rPr>
              <w:t>(a)</w:t>
            </w:r>
            <w:r w:rsidRPr="007047B5">
              <w:rPr>
                <w:lang w:val="en-IE"/>
              </w:rPr>
              <w:tab/>
              <w:t xml:space="preserve">the submission of the identity document, passport or equivalent </w:t>
            </w:r>
            <w:r w:rsidRPr="007047B5">
              <w:rPr>
                <w:b/>
                <w:i/>
                <w:lang w:val="en-IE"/>
              </w:rPr>
              <w:t>and the acquisition of information from reliable and independent sources</w:t>
            </w:r>
            <w:r w:rsidRPr="007047B5">
              <w:rPr>
                <w:lang w:val="en-IE"/>
              </w:rPr>
              <w:t xml:space="preserve">, </w:t>
            </w:r>
            <w:r w:rsidRPr="007047B5">
              <w:rPr>
                <w:b/>
                <w:i/>
                <w:lang w:val="en-IE"/>
              </w:rPr>
              <w:t>whether accessed directly or provided by the customer</w:t>
            </w:r>
            <w:r w:rsidRPr="007047B5">
              <w:rPr>
                <w:lang w:val="en-IE"/>
              </w:rPr>
              <w:t>;</w:t>
            </w:r>
          </w:p>
        </w:tc>
        <w:tc>
          <w:tcPr>
            <w:tcW w:w="4876" w:type="dxa"/>
            <w:hideMark/>
          </w:tcPr>
          <w:p w14:paraId="462FFA05" w14:textId="13A86081" w:rsidR="00CB2077" w:rsidRPr="007047B5" w:rsidRDefault="00CB2077" w:rsidP="006F5456">
            <w:pPr>
              <w:pStyle w:val="Normal6"/>
              <w:rPr>
                <w:szCs w:val="24"/>
                <w:lang w:val="en-IE"/>
              </w:rPr>
            </w:pPr>
            <w:r w:rsidRPr="007047B5">
              <w:rPr>
                <w:lang w:val="en-IE"/>
              </w:rPr>
              <w:t>(a)</w:t>
            </w:r>
            <w:r w:rsidRPr="007047B5">
              <w:rPr>
                <w:lang w:val="en-IE"/>
              </w:rPr>
              <w:tab/>
              <w:t xml:space="preserve">the submission of the identity document, passport or equivalent </w:t>
            </w:r>
            <w:r w:rsidRPr="007047B5">
              <w:rPr>
                <w:b/>
                <w:i/>
                <w:lang w:val="en-IE"/>
              </w:rPr>
              <w:t>for customers who are natural persons and beneficial owners</w:t>
            </w:r>
            <w:r w:rsidRPr="007047B5">
              <w:rPr>
                <w:lang w:val="en-IE"/>
              </w:rPr>
              <w:t xml:space="preserve"> </w:t>
            </w:r>
            <w:r w:rsidRPr="007047B5">
              <w:rPr>
                <w:b/>
                <w:i/>
                <w:lang w:val="en-IE"/>
              </w:rPr>
              <w:t xml:space="preserve">or </w:t>
            </w:r>
            <w:r w:rsidR="00183B83" w:rsidRPr="007047B5">
              <w:rPr>
                <w:b/>
                <w:i/>
                <w:lang w:val="en-IE"/>
              </w:rPr>
              <w:t>the submission of the L</w:t>
            </w:r>
            <w:r w:rsidRPr="007047B5">
              <w:rPr>
                <w:b/>
                <w:i/>
                <w:lang w:val="en-IE"/>
              </w:rPr>
              <w:t xml:space="preserve">egal </w:t>
            </w:r>
            <w:r w:rsidR="00183B83" w:rsidRPr="007047B5">
              <w:rPr>
                <w:b/>
                <w:i/>
                <w:lang w:val="en-IE"/>
              </w:rPr>
              <w:t>E</w:t>
            </w:r>
            <w:r w:rsidRPr="007047B5">
              <w:rPr>
                <w:b/>
                <w:i/>
                <w:lang w:val="en-IE"/>
              </w:rPr>
              <w:t xml:space="preserve">ntity </w:t>
            </w:r>
            <w:r w:rsidR="00183B83" w:rsidRPr="007047B5">
              <w:rPr>
                <w:b/>
                <w:i/>
                <w:lang w:val="en-IE"/>
              </w:rPr>
              <w:t>I</w:t>
            </w:r>
            <w:r w:rsidRPr="007047B5">
              <w:rPr>
                <w:b/>
                <w:i/>
                <w:lang w:val="en-IE"/>
              </w:rPr>
              <w:t>dentifier, registration number</w:t>
            </w:r>
            <w:r w:rsidR="00183B83" w:rsidRPr="007047B5">
              <w:rPr>
                <w:b/>
                <w:i/>
                <w:lang w:val="en-IE"/>
              </w:rPr>
              <w:t xml:space="preserve"> and </w:t>
            </w:r>
            <w:r w:rsidRPr="007047B5">
              <w:rPr>
                <w:b/>
                <w:i/>
                <w:lang w:val="en-IE"/>
              </w:rPr>
              <w:t>tax identification number, or equivalent</w:t>
            </w:r>
            <w:r w:rsidR="00183B83" w:rsidRPr="007047B5">
              <w:rPr>
                <w:b/>
                <w:i/>
                <w:lang w:val="en-IE"/>
              </w:rPr>
              <w:t>,</w:t>
            </w:r>
            <w:r w:rsidRPr="007047B5">
              <w:rPr>
                <w:b/>
                <w:i/>
                <w:lang w:val="en-IE"/>
              </w:rPr>
              <w:t xml:space="preserve"> for customers who are legal persons</w:t>
            </w:r>
            <w:r w:rsidRPr="007047B5">
              <w:rPr>
                <w:lang w:val="en-IE"/>
              </w:rPr>
              <w:t>;</w:t>
            </w:r>
          </w:p>
        </w:tc>
      </w:tr>
    </w:tbl>
    <w:p w14:paraId="7ED0B74E"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815356E" w14:textId="77777777" w:rsidR="00CB2077" w:rsidRPr="007047B5" w:rsidRDefault="00CB2077" w:rsidP="00CB2077">
      <w:pPr>
        <w:rPr>
          <w:lang w:val="en-IE"/>
        </w:rPr>
      </w:pPr>
      <w:r w:rsidRPr="007047B5">
        <w:rPr>
          <w:rStyle w:val="HideTWBExt"/>
          <w:noProof w:val="0"/>
          <w:lang w:val="en-IE"/>
        </w:rPr>
        <w:t>&lt;/Amend&gt;</w:t>
      </w:r>
    </w:p>
    <w:p w14:paraId="50AF8DCF"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59</w:t>
      </w:r>
      <w:r w:rsidRPr="007047B5">
        <w:rPr>
          <w:rStyle w:val="HideTWBExt"/>
          <w:b w:val="0"/>
          <w:noProof w:val="0"/>
          <w:lang w:val="en-IE"/>
        </w:rPr>
        <w:t>&lt;/NumAm&gt;</w:t>
      </w:r>
    </w:p>
    <w:p w14:paraId="79E017A9"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4F8A9F4"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18 – paragraph 4 </w:t>
      </w:r>
      <w:r w:rsidR="00111A6C" w:rsidRPr="007047B5">
        <w:rPr>
          <w:lang w:val="en-IE"/>
        </w:rPr>
        <w:t xml:space="preserve">– subparagraph 1 </w:t>
      </w:r>
      <w:r w:rsidRPr="007047B5">
        <w:rPr>
          <w:lang w:val="en-IE"/>
        </w:rPr>
        <w:t>– point b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218D2A8" w14:textId="77777777" w:rsidTr="00CB2077">
        <w:trPr>
          <w:jc w:val="center"/>
        </w:trPr>
        <w:tc>
          <w:tcPr>
            <w:tcW w:w="9752" w:type="dxa"/>
            <w:gridSpan w:val="2"/>
          </w:tcPr>
          <w:p w14:paraId="729CBD58" w14:textId="77777777" w:rsidR="00CB2077" w:rsidRPr="007047B5" w:rsidRDefault="00CB2077">
            <w:pPr>
              <w:keepNext/>
              <w:rPr>
                <w:lang w:val="en-IE"/>
              </w:rPr>
            </w:pPr>
          </w:p>
        </w:tc>
      </w:tr>
      <w:tr w:rsidR="00CB2077" w:rsidRPr="007047B5" w14:paraId="3AA8AED0" w14:textId="77777777" w:rsidTr="00CB2077">
        <w:trPr>
          <w:jc w:val="center"/>
        </w:trPr>
        <w:tc>
          <w:tcPr>
            <w:tcW w:w="4876" w:type="dxa"/>
            <w:hideMark/>
          </w:tcPr>
          <w:p w14:paraId="0D5629E9"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D928FF0" w14:textId="77777777" w:rsidR="00CB2077" w:rsidRPr="007047B5" w:rsidRDefault="00CB2077">
            <w:pPr>
              <w:pStyle w:val="ColumnHeading"/>
              <w:keepNext/>
              <w:rPr>
                <w:lang w:val="en-IE"/>
              </w:rPr>
            </w:pPr>
            <w:r w:rsidRPr="007047B5">
              <w:rPr>
                <w:lang w:val="en-IE"/>
              </w:rPr>
              <w:t>Amendment</w:t>
            </w:r>
          </w:p>
        </w:tc>
      </w:tr>
      <w:tr w:rsidR="00CB2077" w:rsidRPr="007047B5" w14:paraId="1B42ECC6" w14:textId="77777777" w:rsidTr="00CB2077">
        <w:trPr>
          <w:jc w:val="center"/>
        </w:trPr>
        <w:tc>
          <w:tcPr>
            <w:tcW w:w="4876" w:type="dxa"/>
          </w:tcPr>
          <w:p w14:paraId="74473ACD" w14:textId="77777777" w:rsidR="00CB2077" w:rsidRPr="007047B5" w:rsidRDefault="00CB2077">
            <w:pPr>
              <w:pStyle w:val="Normal6"/>
              <w:rPr>
                <w:lang w:val="en-IE"/>
              </w:rPr>
            </w:pPr>
          </w:p>
        </w:tc>
        <w:tc>
          <w:tcPr>
            <w:tcW w:w="4876" w:type="dxa"/>
            <w:hideMark/>
          </w:tcPr>
          <w:p w14:paraId="6BA7B11F" w14:textId="3D8AE006" w:rsidR="00CB2077" w:rsidRPr="007047B5" w:rsidRDefault="00CB2077">
            <w:pPr>
              <w:pStyle w:val="Normal6"/>
              <w:rPr>
                <w:szCs w:val="24"/>
                <w:lang w:val="en-IE"/>
              </w:rPr>
            </w:pPr>
            <w:r w:rsidRPr="007047B5">
              <w:rPr>
                <w:b/>
                <w:i/>
                <w:lang w:val="en-IE"/>
              </w:rPr>
              <w:t>(ba)</w:t>
            </w:r>
            <w:r w:rsidRPr="007047B5">
              <w:rPr>
                <w:b/>
                <w:i/>
                <w:lang w:val="en-IE"/>
              </w:rPr>
              <w:tab/>
              <w:t xml:space="preserve">the submission of proof of registration in the central register referred to in Article 10 of Directive [please insert reference – proposal for 6th Anti-Money Laundering Directive - COM/2021/423 final] for customers who are legal entities </w:t>
            </w:r>
            <w:r w:rsidRPr="007047B5">
              <w:rPr>
                <w:b/>
                <w:i/>
                <w:lang w:val="en-IE"/>
              </w:rPr>
              <w:lastRenderedPageBreak/>
              <w:t>incorporated outside the Union, in accordance with Article 48</w:t>
            </w:r>
            <w:r w:rsidR="00183B83" w:rsidRPr="007047B5">
              <w:rPr>
                <w:b/>
                <w:i/>
                <w:lang w:val="en-IE"/>
              </w:rPr>
              <w:t xml:space="preserve"> of this Regulation</w:t>
            </w:r>
            <w:r w:rsidRPr="007047B5">
              <w:rPr>
                <w:b/>
                <w:i/>
                <w:lang w:val="en-IE"/>
              </w:rPr>
              <w:t>.</w:t>
            </w:r>
          </w:p>
        </w:tc>
      </w:tr>
    </w:tbl>
    <w:p w14:paraId="71821ACE"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74B377D" w14:textId="77777777" w:rsidR="00CB2077" w:rsidRPr="007047B5" w:rsidRDefault="00CB2077" w:rsidP="00CB2077">
      <w:pPr>
        <w:rPr>
          <w:lang w:val="en-IE"/>
        </w:rPr>
      </w:pPr>
      <w:r w:rsidRPr="007047B5">
        <w:rPr>
          <w:rStyle w:val="HideTWBExt"/>
          <w:noProof w:val="0"/>
          <w:lang w:val="en-IE"/>
        </w:rPr>
        <w:t>&lt;/Amend&gt;</w:t>
      </w:r>
    </w:p>
    <w:p w14:paraId="0B9C8A8F"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60</w:t>
      </w:r>
      <w:r w:rsidRPr="007047B5">
        <w:rPr>
          <w:rStyle w:val="HideTWBExt"/>
          <w:b w:val="0"/>
          <w:noProof w:val="0"/>
          <w:lang w:val="en-IE"/>
        </w:rPr>
        <w:t>&lt;/NumAm&gt;</w:t>
      </w:r>
    </w:p>
    <w:p w14:paraId="0F7C42C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D199F6F" w14:textId="13C111A3"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18 – paragraph 4 – subparagraph </w:t>
      </w:r>
      <w:r w:rsidR="00111A6C" w:rsidRPr="007047B5">
        <w:rPr>
          <w:lang w:val="en-IE"/>
        </w:rPr>
        <w:t>2</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96FE2E7" w14:textId="77777777" w:rsidTr="00CB2077">
        <w:trPr>
          <w:jc w:val="center"/>
        </w:trPr>
        <w:tc>
          <w:tcPr>
            <w:tcW w:w="9752" w:type="dxa"/>
            <w:gridSpan w:val="2"/>
          </w:tcPr>
          <w:p w14:paraId="4B063D71" w14:textId="77777777" w:rsidR="00CB2077" w:rsidRPr="007047B5" w:rsidRDefault="00CB2077">
            <w:pPr>
              <w:keepNext/>
              <w:rPr>
                <w:lang w:val="en-IE"/>
              </w:rPr>
            </w:pPr>
          </w:p>
        </w:tc>
      </w:tr>
      <w:tr w:rsidR="00CB2077" w:rsidRPr="007047B5" w14:paraId="35A46C80" w14:textId="77777777" w:rsidTr="00CB2077">
        <w:trPr>
          <w:jc w:val="center"/>
        </w:trPr>
        <w:tc>
          <w:tcPr>
            <w:tcW w:w="4876" w:type="dxa"/>
            <w:hideMark/>
          </w:tcPr>
          <w:p w14:paraId="6460A35D"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A6812C1" w14:textId="77777777" w:rsidR="00CB2077" w:rsidRPr="007047B5" w:rsidRDefault="00CB2077">
            <w:pPr>
              <w:pStyle w:val="ColumnHeading"/>
              <w:keepNext/>
              <w:rPr>
                <w:lang w:val="en-IE"/>
              </w:rPr>
            </w:pPr>
            <w:r w:rsidRPr="007047B5">
              <w:rPr>
                <w:lang w:val="en-IE"/>
              </w:rPr>
              <w:t>Amendment</w:t>
            </w:r>
          </w:p>
        </w:tc>
      </w:tr>
      <w:tr w:rsidR="00CB2077" w:rsidRPr="007047B5" w14:paraId="7F88C8C4" w14:textId="77777777" w:rsidTr="00CB2077">
        <w:trPr>
          <w:jc w:val="center"/>
        </w:trPr>
        <w:tc>
          <w:tcPr>
            <w:tcW w:w="4876" w:type="dxa"/>
            <w:hideMark/>
          </w:tcPr>
          <w:p w14:paraId="7FE34409" w14:textId="77777777" w:rsidR="00CB2077" w:rsidRPr="007047B5" w:rsidRDefault="00CB2077">
            <w:pPr>
              <w:pStyle w:val="Normal6"/>
              <w:rPr>
                <w:lang w:val="en-IE"/>
              </w:rPr>
            </w:pPr>
            <w:r w:rsidRPr="007047B5">
              <w:rPr>
                <w:lang w:val="en-IE"/>
              </w:rPr>
              <w:t xml:space="preserve">For the purposes of verifying the information on the beneficial owner(s), obliged entities shall also consult the central registers referred to in Article 10 of Directive [please insert reference – proposal for </w:t>
            </w:r>
            <w:r w:rsidRPr="007047B5">
              <w:rPr>
                <w:b/>
                <w:i/>
                <w:lang w:val="en-IE"/>
              </w:rPr>
              <w:t>6</w:t>
            </w:r>
            <w:r w:rsidRPr="007047B5">
              <w:rPr>
                <w:b/>
                <w:i/>
                <w:vertAlign w:val="superscript"/>
                <w:lang w:val="en-IE"/>
              </w:rPr>
              <w:t>th</w:t>
            </w:r>
            <w:r w:rsidRPr="007047B5">
              <w:rPr>
                <w:lang w:val="en-IE"/>
              </w:rPr>
              <w:t xml:space="preserve"> Anti-Money Laundering Directive - COM/2021/423 final] as well as additional information. Obliged entities shall determine the extent of the additional information to be consulted, having regard to the risks posed by the transaction or the business relationship and the beneficial owner.</w:t>
            </w:r>
          </w:p>
        </w:tc>
        <w:tc>
          <w:tcPr>
            <w:tcW w:w="4876" w:type="dxa"/>
            <w:hideMark/>
          </w:tcPr>
          <w:p w14:paraId="4CB60FCB" w14:textId="40D99CD8" w:rsidR="00CB2077" w:rsidRPr="007047B5" w:rsidRDefault="00CB2077">
            <w:pPr>
              <w:pStyle w:val="Normal6"/>
              <w:rPr>
                <w:szCs w:val="24"/>
                <w:lang w:val="en-IE"/>
              </w:rPr>
            </w:pPr>
            <w:r w:rsidRPr="007047B5">
              <w:rPr>
                <w:lang w:val="en-IE"/>
              </w:rPr>
              <w:t xml:space="preserve">For the purposes of verifying the information on the beneficial owner(s), obliged entities shall also consult the central registers referred to in Article 10 of Directive [please insert reference – proposal for </w:t>
            </w:r>
            <w:r w:rsidRPr="007047B5">
              <w:rPr>
                <w:b/>
                <w:i/>
                <w:lang w:val="en-IE"/>
              </w:rPr>
              <w:t>6th</w:t>
            </w:r>
            <w:r w:rsidRPr="007047B5">
              <w:rPr>
                <w:lang w:val="en-IE"/>
              </w:rPr>
              <w:t xml:space="preserve"> Anti-Money Laundering Directive - COM/2021/423 final] as well as additional information</w:t>
            </w:r>
            <w:r w:rsidRPr="007047B5">
              <w:rPr>
                <w:b/>
                <w:i/>
                <w:lang w:val="en-IE"/>
              </w:rPr>
              <w:t>, where appropriate</w:t>
            </w:r>
            <w:r w:rsidRPr="007047B5">
              <w:rPr>
                <w:lang w:val="en-IE"/>
              </w:rPr>
              <w:t xml:space="preserve">. Obliged entities shall determine the extent of the additional information to be consulted, having regard to the risks posed by the transaction or the business relationship and the beneficial owner. </w:t>
            </w:r>
            <w:r w:rsidRPr="007047B5">
              <w:rPr>
                <w:b/>
                <w:i/>
                <w:lang w:val="en-IE"/>
              </w:rPr>
              <w:t>Obliged entities shall report to the entity in charge of the central registers any discrepancies they find between the beneficial ownership information available therein and the beneficial ownership information available to them pursuant to this Article. National law pertaining to banking secrecy and confidentiality shall not hinder compliance with th</w:t>
            </w:r>
            <w:r w:rsidR="00183B83" w:rsidRPr="007047B5">
              <w:rPr>
                <w:b/>
                <w:i/>
                <w:lang w:val="en-IE"/>
              </w:rPr>
              <w:t>at</w:t>
            </w:r>
            <w:r w:rsidRPr="007047B5">
              <w:rPr>
                <w:b/>
                <w:i/>
                <w:lang w:val="en-IE"/>
              </w:rPr>
              <w:t xml:space="preserve"> obligation.</w:t>
            </w:r>
          </w:p>
        </w:tc>
      </w:tr>
    </w:tbl>
    <w:p w14:paraId="3D8B083B"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19C7912F" w14:textId="77777777" w:rsidR="00CB2077" w:rsidRPr="007047B5" w:rsidRDefault="00CB2077" w:rsidP="00CB2077">
      <w:pPr>
        <w:rPr>
          <w:lang w:val="en-IE"/>
        </w:rPr>
      </w:pPr>
      <w:r w:rsidRPr="007047B5">
        <w:rPr>
          <w:rStyle w:val="HideTWBExt"/>
          <w:noProof w:val="0"/>
          <w:lang w:val="en-IE"/>
        </w:rPr>
        <w:t>&lt;/Amend&gt;</w:t>
      </w:r>
    </w:p>
    <w:p w14:paraId="18197212"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61</w:t>
      </w:r>
      <w:r w:rsidRPr="007047B5">
        <w:rPr>
          <w:rStyle w:val="HideTWBExt"/>
          <w:b w:val="0"/>
          <w:noProof w:val="0"/>
          <w:lang w:val="en-IE"/>
        </w:rPr>
        <w:t>&lt;/NumAm&gt;</w:t>
      </w:r>
    </w:p>
    <w:p w14:paraId="2339E6A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F521411"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22 – paragraph 1 – point c</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82408FD" w14:textId="77777777" w:rsidTr="00CB2077">
        <w:trPr>
          <w:jc w:val="center"/>
        </w:trPr>
        <w:tc>
          <w:tcPr>
            <w:tcW w:w="9752" w:type="dxa"/>
            <w:gridSpan w:val="2"/>
          </w:tcPr>
          <w:p w14:paraId="0AD8BF00" w14:textId="77777777" w:rsidR="00CB2077" w:rsidRPr="007047B5" w:rsidRDefault="00CB2077">
            <w:pPr>
              <w:keepNext/>
              <w:rPr>
                <w:lang w:val="en-IE"/>
              </w:rPr>
            </w:pPr>
          </w:p>
        </w:tc>
      </w:tr>
      <w:tr w:rsidR="00CB2077" w:rsidRPr="007047B5" w14:paraId="0D56977D" w14:textId="77777777" w:rsidTr="00CB2077">
        <w:trPr>
          <w:jc w:val="center"/>
        </w:trPr>
        <w:tc>
          <w:tcPr>
            <w:tcW w:w="4876" w:type="dxa"/>
            <w:hideMark/>
          </w:tcPr>
          <w:p w14:paraId="5979AF45"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C45D058" w14:textId="77777777" w:rsidR="00CB2077" w:rsidRPr="007047B5" w:rsidRDefault="00CB2077">
            <w:pPr>
              <w:pStyle w:val="ColumnHeading"/>
              <w:keepNext/>
              <w:rPr>
                <w:lang w:val="en-IE"/>
              </w:rPr>
            </w:pPr>
            <w:r w:rsidRPr="007047B5">
              <w:rPr>
                <w:lang w:val="en-IE"/>
              </w:rPr>
              <w:t>Amendment</w:t>
            </w:r>
          </w:p>
        </w:tc>
      </w:tr>
      <w:tr w:rsidR="00CB2077" w:rsidRPr="007047B5" w14:paraId="54673E5B" w14:textId="77777777" w:rsidTr="00CB2077">
        <w:trPr>
          <w:jc w:val="center"/>
        </w:trPr>
        <w:tc>
          <w:tcPr>
            <w:tcW w:w="4876" w:type="dxa"/>
            <w:hideMark/>
          </w:tcPr>
          <w:p w14:paraId="4DFE4FE1" w14:textId="77777777" w:rsidR="00CB2077" w:rsidRPr="007047B5" w:rsidRDefault="00CB2077">
            <w:pPr>
              <w:pStyle w:val="Normal6"/>
              <w:rPr>
                <w:lang w:val="en-IE"/>
              </w:rPr>
            </w:pPr>
            <w:r w:rsidRPr="007047B5">
              <w:rPr>
                <w:lang w:val="en-IE"/>
              </w:rPr>
              <w:t>(c)</w:t>
            </w:r>
            <w:r w:rsidRPr="007047B5">
              <w:rPr>
                <w:lang w:val="en-IE"/>
              </w:rPr>
              <w:tab/>
              <w:t>the reliable and independent sources of information that may be used to verify the identification data of natural or legal persons for the purposes of Article 18(4);</w:t>
            </w:r>
          </w:p>
        </w:tc>
        <w:tc>
          <w:tcPr>
            <w:tcW w:w="4876" w:type="dxa"/>
            <w:hideMark/>
          </w:tcPr>
          <w:p w14:paraId="304B50CB" w14:textId="7762CECD" w:rsidR="00CB2077" w:rsidRPr="007047B5" w:rsidRDefault="00CB2077" w:rsidP="006F5456">
            <w:pPr>
              <w:pStyle w:val="Normal6"/>
              <w:rPr>
                <w:szCs w:val="24"/>
                <w:lang w:val="en-IE"/>
              </w:rPr>
            </w:pPr>
            <w:r w:rsidRPr="007047B5">
              <w:rPr>
                <w:lang w:val="en-IE"/>
              </w:rPr>
              <w:t>(c)</w:t>
            </w:r>
            <w:r w:rsidRPr="007047B5">
              <w:rPr>
                <w:lang w:val="en-IE"/>
              </w:rPr>
              <w:tab/>
              <w:t xml:space="preserve">the reliable and independent sources of information that may be used to verify the identification data of natural or legal persons for the purposes of Article 18(4) </w:t>
            </w:r>
            <w:r w:rsidRPr="007047B5">
              <w:rPr>
                <w:b/>
                <w:i/>
                <w:lang w:val="en-IE"/>
              </w:rPr>
              <w:t xml:space="preserve">in addition to minimum requirements </w:t>
            </w:r>
            <w:r w:rsidR="00183B83" w:rsidRPr="007047B5">
              <w:rPr>
                <w:b/>
                <w:i/>
                <w:lang w:val="en-IE"/>
              </w:rPr>
              <w:t xml:space="preserve">to be complied with </w:t>
            </w:r>
            <w:r w:rsidRPr="007047B5">
              <w:rPr>
                <w:b/>
                <w:i/>
                <w:lang w:val="en-IE"/>
              </w:rPr>
              <w:t>and necessary steps to</w:t>
            </w:r>
            <w:r w:rsidR="00183B83" w:rsidRPr="007047B5">
              <w:rPr>
                <w:b/>
                <w:i/>
                <w:lang w:val="en-IE"/>
              </w:rPr>
              <w:t xml:space="preserve"> be</w:t>
            </w:r>
            <w:r w:rsidRPr="007047B5">
              <w:rPr>
                <w:b/>
                <w:i/>
                <w:lang w:val="en-IE"/>
              </w:rPr>
              <w:t xml:space="preserve"> take</w:t>
            </w:r>
            <w:r w:rsidR="00183B83" w:rsidRPr="007047B5">
              <w:rPr>
                <w:b/>
                <w:i/>
                <w:lang w:val="en-IE"/>
              </w:rPr>
              <w:t>n</w:t>
            </w:r>
            <w:r w:rsidRPr="007047B5">
              <w:rPr>
                <w:b/>
                <w:i/>
                <w:lang w:val="en-IE"/>
              </w:rPr>
              <w:t xml:space="preserve"> by obliged entities </w:t>
            </w:r>
            <w:r w:rsidR="00183B83" w:rsidRPr="007047B5">
              <w:rPr>
                <w:b/>
                <w:i/>
                <w:lang w:val="en-IE"/>
              </w:rPr>
              <w:t>where</w:t>
            </w:r>
            <w:r w:rsidRPr="007047B5">
              <w:rPr>
                <w:b/>
                <w:i/>
                <w:lang w:val="en-IE"/>
              </w:rPr>
              <w:t xml:space="preserve"> discrepancies are found</w:t>
            </w:r>
            <w:r w:rsidRPr="007047B5">
              <w:rPr>
                <w:lang w:val="en-IE"/>
              </w:rPr>
              <w:t>;</w:t>
            </w:r>
          </w:p>
        </w:tc>
      </w:tr>
    </w:tbl>
    <w:p w14:paraId="17D01542"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4CC438B" w14:textId="77777777" w:rsidR="00CB2077" w:rsidRPr="007047B5" w:rsidRDefault="00CB2077" w:rsidP="00CB2077">
      <w:pPr>
        <w:rPr>
          <w:lang w:val="en-IE"/>
        </w:rPr>
      </w:pPr>
      <w:r w:rsidRPr="007047B5">
        <w:rPr>
          <w:rStyle w:val="HideTWBExt"/>
          <w:noProof w:val="0"/>
          <w:lang w:val="en-IE"/>
        </w:rPr>
        <w:t>&lt;/Amend&gt;</w:t>
      </w:r>
    </w:p>
    <w:p w14:paraId="4B47F8AC"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62</w:t>
      </w:r>
      <w:r w:rsidRPr="007047B5">
        <w:rPr>
          <w:rStyle w:val="HideTWBExt"/>
          <w:b w:val="0"/>
          <w:noProof w:val="0"/>
          <w:lang w:val="en-IE"/>
        </w:rPr>
        <w:t>&lt;/NumAm&gt;</w:t>
      </w:r>
    </w:p>
    <w:p w14:paraId="231BBBC6"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9FF53DF"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 xml:space="preserve">Article 23 – paragraph 2 </w:t>
      </w:r>
      <w:r w:rsidR="00111A6C" w:rsidRPr="007047B5">
        <w:rPr>
          <w:lang w:val="fr-FR"/>
        </w:rPr>
        <w:t xml:space="preserve">– subparagraph 1 </w:t>
      </w:r>
      <w:r w:rsidRPr="007047B5">
        <w:rPr>
          <w:lang w:val="fr-FR"/>
        </w:rPr>
        <w:t>– point a</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5D816A0" w14:textId="77777777" w:rsidTr="00CB2077">
        <w:trPr>
          <w:jc w:val="center"/>
        </w:trPr>
        <w:tc>
          <w:tcPr>
            <w:tcW w:w="9752" w:type="dxa"/>
            <w:gridSpan w:val="2"/>
          </w:tcPr>
          <w:p w14:paraId="53419403" w14:textId="77777777" w:rsidR="00CB2077" w:rsidRPr="007047B5" w:rsidRDefault="00CB2077">
            <w:pPr>
              <w:keepNext/>
              <w:rPr>
                <w:lang w:val="fr-FR"/>
              </w:rPr>
            </w:pPr>
          </w:p>
        </w:tc>
      </w:tr>
      <w:tr w:rsidR="00CB2077" w:rsidRPr="007047B5" w14:paraId="27714FA9" w14:textId="77777777" w:rsidTr="00CB2077">
        <w:trPr>
          <w:jc w:val="center"/>
        </w:trPr>
        <w:tc>
          <w:tcPr>
            <w:tcW w:w="4876" w:type="dxa"/>
            <w:hideMark/>
          </w:tcPr>
          <w:p w14:paraId="1DE8C24E"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572FD6F" w14:textId="77777777" w:rsidR="00CB2077" w:rsidRPr="007047B5" w:rsidRDefault="00CB2077">
            <w:pPr>
              <w:pStyle w:val="ColumnHeading"/>
              <w:keepNext/>
              <w:rPr>
                <w:lang w:val="en-IE"/>
              </w:rPr>
            </w:pPr>
            <w:r w:rsidRPr="007047B5">
              <w:rPr>
                <w:lang w:val="en-IE"/>
              </w:rPr>
              <w:t>Amendment</w:t>
            </w:r>
          </w:p>
        </w:tc>
      </w:tr>
      <w:tr w:rsidR="00CB2077" w:rsidRPr="007047B5" w14:paraId="597D1B3A" w14:textId="77777777" w:rsidTr="00CB2077">
        <w:trPr>
          <w:jc w:val="center"/>
        </w:trPr>
        <w:tc>
          <w:tcPr>
            <w:tcW w:w="4876" w:type="dxa"/>
            <w:hideMark/>
          </w:tcPr>
          <w:p w14:paraId="4109D30C" w14:textId="77777777" w:rsidR="00CB2077" w:rsidRPr="007047B5" w:rsidRDefault="00CB2077">
            <w:pPr>
              <w:pStyle w:val="Normal6"/>
              <w:rPr>
                <w:lang w:val="en-IE"/>
              </w:rPr>
            </w:pPr>
            <w:r w:rsidRPr="007047B5">
              <w:rPr>
                <w:lang w:val="en-IE"/>
              </w:rPr>
              <w:t>(a)</w:t>
            </w:r>
            <w:r w:rsidRPr="007047B5">
              <w:rPr>
                <w:lang w:val="en-IE"/>
              </w:rPr>
              <w:tab/>
              <w:t>significant strategic deficiencies in the legal and institutional AML/CFT framework of the third country have been identified;</w:t>
            </w:r>
          </w:p>
        </w:tc>
        <w:tc>
          <w:tcPr>
            <w:tcW w:w="4876" w:type="dxa"/>
            <w:hideMark/>
          </w:tcPr>
          <w:p w14:paraId="30F2463B" w14:textId="77777777" w:rsidR="00CB2077" w:rsidRPr="007047B5" w:rsidRDefault="00CB2077">
            <w:pPr>
              <w:pStyle w:val="Normal6"/>
              <w:rPr>
                <w:szCs w:val="24"/>
                <w:lang w:val="en-IE"/>
              </w:rPr>
            </w:pPr>
            <w:r w:rsidRPr="007047B5">
              <w:rPr>
                <w:lang w:val="en-IE"/>
              </w:rPr>
              <w:t>(a)</w:t>
            </w:r>
            <w:r w:rsidRPr="007047B5">
              <w:rPr>
                <w:lang w:val="en-IE"/>
              </w:rPr>
              <w:tab/>
              <w:t xml:space="preserve">significant strategic deficiencies in the legal and institutional AML/CFT framework of the third country have been identified; </w:t>
            </w:r>
            <w:r w:rsidRPr="007047B5">
              <w:rPr>
                <w:b/>
                <w:i/>
                <w:lang w:val="en-IE"/>
              </w:rPr>
              <w:t>or</w:t>
            </w:r>
          </w:p>
        </w:tc>
      </w:tr>
    </w:tbl>
    <w:p w14:paraId="2F8A5916"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98872BD" w14:textId="77777777" w:rsidR="00CB2077" w:rsidRPr="007047B5" w:rsidRDefault="00CB2077" w:rsidP="00CB2077">
      <w:pPr>
        <w:rPr>
          <w:lang w:val="en-IE"/>
        </w:rPr>
      </w:pPr>
      <w:r w:rsidRPr="007047B5">
        <w:rPr>
          <w:rStyle w:val="HideTWBExt"/>
          <w:noProof w:val="0"/>
          <w:lang w:val="en-IE"/>
        </w:rPr>
        <w:t>&lt;/Amend&gt;</w:t>
      </w:r>
    </w:p>
    <w:p w14:paraId="32A69D05"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63</w:t>
      </w:r>
      <w:r w:rsidRPr="007047B5">
        <w:rPr>
          <w:rStyle w:val="HideTWBExt"/>
          <w:b w:val="0"/>
          <w:noProof w:val="0"/>
          <w:lang w:val="en-IE"/>
        </w:rPr>
        <w:t>&lt;/NumAm&gt;</w:t>
      </w:r>
    </w:p>
    <w:p w14:paraId="3CE292EC"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B2B33DC"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25 – paragraph 2 – point a – point i</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18BDE4D" w14:textId="77777777" w:rsidTr="00CB2077">
        <w:trPr>
          <w:jc w:val="center"/>
        </w:trPr>
        <w:tc>
          <w:tcPr>
            <w:tcW w:w="9752" w:type="dxa"/>
            <w:gridSpan w:val="2"/>
          </w:tcPr>
          <w:p w14:paraId="23716DBE" w14:textId="77777777" w:rsidR="00CB2077" w:rsidRPr="007047B5" w:rsidRDefault="00CB2077">
            <w:pPr>
              <w:keepNext/>
              <w:rPr>
                <w:lang w:val="fr-FR"/>
              </w:rPr>
            </w:pPr>
          </w:p>
        </w:tc>
      </w:tr>
      <w:tr w:rsidR="00CB2077" w:rsidRPr="007047B5" w14:paraId="2C5FCA38" w14:textId="77777777" w:rsidTr="00CB2077">
        <w:trPr>
          <w:jc w:val="center"/>
        </w:trPr>
        <w:tc>
          <w:tcPr>
            <w:tcW w:w="4876" w:type="dxa"/>
            <w:hideMark/>
          </w:tcPr>
          <w:p w14:paraId="7DDC065D"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CED082E" w14:textId="77777777" w:rsidR="00CB2077" w:rsidRPr="007047B5" w:rsidRDefault="00CB2077">
            <w:pPr>
              <w:pStyle w:val="ColumnHeading"/>
              <w:keepNext/>
              <w:rPr>
                <w:lang w:val="en-IE"/>
              </w:rPr>
            </w:pPr>
            <w:r w:rsidRPr="007047B5">
              <w:rPr>
                <w:lang w:val="en-IE"/>
              </w:rPr>
              <w:t>Amendment</w:t>
            </w:r>
          </w:p>
        </w:tc>
      </w:tr>
      <w:tr w:rsidR="00CB2077" w:rsidRPr="007047B5" w14:paraId="608C2EE9" w14:textId="77777777" w:rsidTr="00CB2077">
        <w:trPr>
          <w:jc w:val="center"/>
        </w:trPr>
        <w:tc>
          <w:tcPr>
            <w:tcW w:w="4876" w:type="dxa"/>
            <w:hideMark/>
          </w:tcPr>
          <w:p w14:paraId="71DD8368" w14:textId="77777777" w:rsidR="00CB2077" w:rsidRPr="007047B5" w:rsidRDefault="00CB2077">
            <w:pPr>
              <w:pStyle w:val="Normal6"/>
              <w:rPr>
                <w:lang w:val="en-IE"/>
              </w:rPr>
            </w:pPr>
            <w:r w:rsidRPr="007047B5">
              <w:rPr>
                <w:lang w:val="en-IE"/>
              </w:rPr>
              <w:t>(i)</w:t>
            </w:r>
            <w:r w:rsidRPr="007047B5">
              <w:rPr>
                <w:lang w:val="en-IE"/>
              </w:rPr>
              <w:tab/>
              <w:t>the criminalisation of money laundering and terrorist financing;</w:t>
            </w:r>
          </w:p>
        </w:tc>
        <w:tc>
          <w:tcPr>
            <w:tcW w:w="4876" w:type="dxa"/>
            <w:hideMark/>
          </w:tcPr>
          <w:p w14:paraId="5A072E68" w14:textId="56086B5B" w:rsidR="00CB2077" w:rsidRPr="007047B5" w:rsidRDefault="00CB2077" w:rsidP="006F5456">
            <w:pPr>
              <w:pStyle w:val="Normal6"/>
              <w:rPr>
                <w:szCs w:val="24"/>
                <w:lang w:val="en-IE"/>
              </w:rPr>
            </w:pPr>
            <w:r w:rsidRPr="007047B5">
              <w:rPr>
                <w:lang w:val="en-IE"/>
              </w:rPr>
              <w:t>(i)</w:t>
            </w:r>
            <w:r w:rsidRPr="007047B5">
              <w:rPr>
                <w:lang w:val="en-IE"/>
              </w:rPr>
              <w:tab/>
              <w:t>the criminalisation of money laundering</w:t>
            </w:r>
            <w:r w:rsidR="00183B83" w:rsidRPr="007047B5">
              <w:rPr>
                <w:b/>
                <w:i/>
                <w:lang w:val="en-IE"/>
              </w:rPr>
              <w:t xml:space="preserve"> and</w:t>
            </w:r>
            <w:r w:rsidRPr="007047B5">
              <w:rPr>
                <w:b/>
                <w:i/>
                <w:lang w:val="en-IE"/>
              </w:rPr>
              <w:t xml:space="preserve"> its predicate offences</w:t>
            </w:r>
            <w:r w:rsidRPr="007047B5">
              <w:rPr>
                <w:lang w:val="en-IE"/>
              </w:rPr>
              <w:t xml:space="preserve"> and terrorist financing;</w:t>
            </w:r>
          </w:p>
        </w:tc>
      </w:tr>
    </w:tbl>
    <w:p w14:paraId="7CF08665"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3260C428" w14:textId="77777777" w:rsidR="00CB2077" w:rsidRPr="007047B5" w:rsidRDefault="00CB2077" w:rsidP="00CB2077">
      <w:pPr>
        <w:rPr>
          <w:lang w:val="en-IE"/>
        </w:rPr>
      </w:pPr>
      <w:r w:rsidRPr="007047B5">
        <w:rPr>
          <w:rStyle w:val="HideTWBExt"/>
          <w:noProof w:val="0"/>
          <w:lang w:val="en-IE"/>
        </w:rPr>
        <w:t>&lt;/Amend&gt;</w:t>
      </w:r>
    </w:p>
    <w:p w14:paraId="455208EC"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64</w:t>
      </w:r>
      <w:r w:rsidRPr="007047B5">
        <w:rPr>
          <w:rStyle w:val="HideTWBExt"/>
          <w:b w:val="0"/>
          <w:noProof w:val="0"/>
          <w:lang w:val="en-IE"/>
        </w:rPr>
        <w:t>&lt;/NumAm&gt;</w:t>
      </w:r>
    </w:p>
    <w:p w14:paraId="772D302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B9C5F7F"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25 – paragraph 2 – point a – point v</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DC6CE28" w14:textId="77777777" w:rsidTr="00CB2077">
        <w:trPr>
          <w:jc w:val="center"/>
        </w:trPr>
        <w:tc>
          <w:tcPr>
            <w:tcW w:w="9752" w:type="dxa"/>
            <w:gridSpan w:val="2"/>
          </w:tcPr>
          <w:p w14:paraId="59084834" w14:textId="77777777" w:rsidR="00CB2077" w:rsidRPr="007047B5" w:rsidRDefault="00CB2077">
            <w:pPr>
              <w:keepNext/>
              <w:rPr>
                <w:lang w:val="fr-FR"/>
              </w:rPr>
            </w:pPr>
          </w:p>
        </w:tc>
      </w:tr>
      <w:tr w:rsidR="00CB2077" w:rsidRPr="007047B5" w14:paraId="4BCC471B" w14:textId="77777777" w:rsidTr="00CB2077">
        <w:trPr>
          <w:jc w:val="center"/>
        </w:trPr>
        <w:tc>
          <w:tcPr>
            <w:tcW w:w="4876" w:type="dxa"/>
            <w:hideMark/>
          </w:tcPr>
          <w:p w14:paraId="3EDF9126"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1D0369F" w14:textId="77777777" w:rsidR="00CB2077" w:rsidRPr="007047B5" w:rsidRDefault="00CB2077">
            <w:pPr>
              <w:pStyle w:val="ColumnHeading"/>
              <w:keepNext/>
              <w:rPr>
                <w:lang w:val="en-IE"/>
              </w:rPr>
            </w:pPr>
            <w:r w:rsidRPr="007047B5">
              <w:rPr>
                <w:lang w:val="en-IE"/>
              </w:rPr>
              <w:t>Amendment</w:t>
            </w:r>
          </w:p>
        </w:tc>
      </w:tr>
      <w:tr w:rsidR="00CB2077" w:rsidRPr="007047B5" w14:paraId="2E463985" w14:textId="77777777" w:rsidTr="00CB2077">
        <w:trPr>
          <w:jc w:val="center"/>
        </w:trPr>
        <w:tc>
          <w:tcPr>
            <w:tcW w:w="4876" w:type="dxa"/>
            <w:hideMark/>
          </w:tcPr>
          <w:p w14:paraId="76D0AC60" w14:textId="77777777" w:rsidR="00CB2077" w:rsidRPr="007047B5" w:rsidRDefault="00CB2077">
            <w:pPr>
              <w:pStyle w:val="Normal6"/>
              <w:rPr>
                <w:lang w:val="en-IE"/>
              </w:rPr>
            </w:pPr>
            <w:r w:rsidRPr="007047B5">
              <w:rPr>
                <w:lang w:val="en-IE"/>
              </w:rPr>
              <w:t>(v)</w:t>
            </w:r>
            <w:r w:rsidRPr="007047B5">
              <w:rPr>
                <w:lang w:val="en-IE"/>
              </w:rPr>
              <w:tab/>
              <w:t xml:space="preserve">the availability of accurate and timely information of the beneficial ownership of legal persons and arrangements </w:t>
            </w:r>
            <w:r w:rsidRPr="007047B5">
              <w:rPr>
                <w:b/>
                <w:i/>
                <w:lang w:val="en-IE"/>
              </w:rPr>
              <w:t>to competent authorities;</w:t>
            </w:r>
          </w:p>
        </w:tc>
        <w:tc>
          <w:tcPr>
            <w:tcW w:w="4876" w:type="dxa"/>
            <w:hideMark/>
          </w:tcPr>
          <w:p w14:paraId="3E71C959" w14:textId="0F45224A" w:rsidR="00CB2077" w:rsidRPr="007047B5" w:rsidRDefault="00CB2077" w:rsidP="00AA69C0">
            <w:pPr>
              <w:pStyle w:val="Normal6"/>
              <w:rPr>
                <w:szCs w:val="24"/>
                <w:lang w:val="en-IE"/>
              </w:rPr>
            </w:pPr>
            <w:r w:rsidRPr="007047B5">
              <w:rPr>
                <w:lang w:val="en-IE"/>
              </w:rPr>
              <w:t>(v)</w:t>
            </w:r>
            <w:r w:rsidRPr="007047B5">
              <w:rPr>
                <w:lang w:val="en-IE"/>
              </w:rPr>
              <w:tab/>
            </w:r>
            <w:r w:rsidRPr="007047B5">
              <w:rPr>
                <w:b/>
                <w:i/>
                <w:lang w:val="en-IE"/>
              </w:rPr>
              <w:t>requirements relating to</w:t>
            </w:r>
            <w:r w:rsidRPr="007047B5">
              <w:rPr>
                <w:lang w:val="en-IE"/>
              </w:rPr>
              <w:t xml:space="preserve"> the availability of accurate and timely information of the beneficial ownership of legal persons and arrangements </w:t>
            </w:r>
            <w:r w:rsidRPr="007047B5">
              <w:rPr>
                <w:b/>
                <w:i/>
                <w:lang w:val="en-IE"/>
              </w:rPr>
              <w:t>held by a public authority or body functioning as a beneficial ownership register, or a</w:t>
            </w:r>
            <w:r w:rsidR="00AA69C0" w:rsidRPr="007047B5">
              <w:rPr>
                <w:b/>
                <w:i/>
                <w:lang w:val="en-IE"/>
              </w:rPr>
              <w:t>n</w:t>
            </w:r>
            <w:r w:rsidR="00183B83" w:rsidRPr="007047B5">
              <w:rPr>
                <w:b/>
                <w:i/>
                <w:lang w:val="en-IE"/>
              </w:rPr>
              <w:t xml:space="preserve"> </w:t>
            </w:r>
            <w:r w:rsidRPr="007047B5">
              <w:rPr>
                <w:b/>
                <w:i/>
                <w:lang w:val="en-IE"/>
              </w:rPr>
              <w:t>alternative mechanism</w:t>
            </w:r>
            <w:r w:rsidR="00AA69C0" w:rsidRPr="007047B5">
              <w:rPr>
                <w:b/>
                <w:i/>
                <w:lang w:val="en-IE"/>
              </w:rPr>
              <w:t xml:space="preserve"> </w:t>
            </w:r>
            <w:r w:rsidR="002D7FE0" w:rsidRPr="007047B5">
              <w:rPr>
                <w:b/>
                <w:i/>
                <w:lang w:val="en-IE"/>
              </w:rPr>
              <w:t xml:space="preserve">that is </w:t>
            </w:r>
            <w:r w:rsidR="00AA69C0" w:rsidRPr="007047B5">
              <w:rPr>
                <w:b/>
                <w:i/>
                <w:lang w:val="en-IE"/>
              </w:rPr>
              <w:t>as efficient</w:t>
            </w:r>
            <w:r w:rsidR="00183B83" w:rsidRPr="007047B5">
              <w:rPr>
                <w:b/>
                <w:i/>
                <w:lang w:val="en-IE"/>
              </w:rPr>
              <w:t>;</w:t>
            </w:r>
          </w:p>
        </w:tc>
      </w:tr>
    </w:tbl>
    <w:p w14:paraId="5719632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3FDC615" w14:textId="77777777" w:rsidR="00CB2077" w:rsidRPr="007047B5" w:rsidRDefault="00CB2077" w:rsidP="00CB2077">
      <w:pPr>
        <w:rPr>
          <w:lang w:val="en-IE"/>
        </w:rPr>
      </w:pPr>
      <w:r w:rsidRPr="007047B5">
        <w:rPr>
          <w:rStyle w:val="HideTWBExt"/>
          <w:noProof w:val="0"/>
          <w:lang w:val="en-IE"/>
        </w:rPr>
        <w:t>&lt;/Amend&gt;</w:t>
      </w:r>
    </w:p>
    <w:p w14:paraId="39A4D138"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65</w:t>
      </w:r>
      <w:r w:rsidRPr="007047B5">
        <w:rPr>
          <w:rStyle w:val="HideTWBExt"/>
          <w:b w:val="0"/>
          <w:noProof w:val="0"/>
          <w:lang w:val="en-IE"/>
        </w:rPr>
        <w:t>&lt;/NumAm&gt;</w:t>
      </w:r>
    </w:p>
    <w:p w14:paraId="02FB3707"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A7AA74F"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25 – paragraph 2 – point a – point v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3A8628E" w14:textId="77777777" w:rsidTr="00CB2077">
        <w:trPr>
          <w:jc w:val="center"/>
        </w:trPr>
        <w:tc>
          <w:tcPr>
            <w:tcW w:w="9752" w:type="dxa"/>
            <w:gridSpan w:val="2"/>
          </w:tcPr>
          <w:p w14:paraId="4E718281" w14:textId="77777777" w:rsidR="00CB2077" w:rsidRPr="007047B5" w:rsidRDefault="00CB2077">
            <w:pPr>
              <w:keepNext/>
              <w:rPr>
                <w:lang w:val="en-IE"/>
              </w:rPr>
            </w:pPr>
          </w:p>
        </w:tc>
      </w:tr>
      <w:tr w:rsidR="00CB2077" w:rsidRPr="007047B5" w14:paraId="582E367D" w14:textId="77777777" w:rsidTr="00CB2077">
        <w:trPr>
          <w:jc w:val="center"/>
        </w:trPr>
        <w:tc>
          <w:tcPr>
            <w:tcW w:w="4876" w:type="dxa"/>
            <w:hideMark/>
          </w:tcPr>
          <w:p w14:paraId="1DD9DDA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A19BB2B" w14:textId="77777777" w:rsidR="00CB2077" w:rsidRPr="007047B5" w:rsidRDefault="00CB2077">
            <w:pPr>
              <w:pStyle w:val="ColumnHeading"/>
              <w:keepNext/>
              <w:rPr>
                <w:lang w:val="en-IE"/>
              </w:rPr>
            </w:pPr>
            <w:r w:rsidRPr="007047B5">
              <w:rPr>
                <w:lang w:val="en-IE"/>
              </w:rPr>
              <w:t>Amendment</w:t>
            </w:r>
          </w:p>
        </w:tc>
      </w:tr>
      <w:tr w:rsidR="00CB2077" w:rsidRPr="007047B5" w14:paraId="3535F529" w14:textId="77777777" w:rsidTr="00CB2077">
        <w:trPr>
          <w:jc w:val="center"/>
        </w:trPr>
        <w:tc>
          <w:tcPr>
            <w:tcW w:w="4876" w:type="dxa"/>
          </w:tcPr>
          <w:p w14:paraId="7FED3964" w14:textId="77777777" w:rsidR="00CB2077" w:rsidRPr="007047B5" w:rsidRDefault="00CB2077">
            <w:pPr>
              <w:pStyle w:val="Normal6"/>
              <w:rPr>
                <w:lang w:val="en-IE"/>
              </w:rPr>
            </w:pPr>
          </w:p>
        </w:tc>
        <w:tc>
          <w:tcPr>
            <w:tcW w:w="4876" w:type="dxa"/>
            <w:hideMark/>
          </w:tcPr>
          <w:p w14:paraId="4ABFA551" w14:textId="6A4127BA" w:rsidR="00CB2077" w:rsidRPr="007047B5" w:rsidRDefault="00CB2077">
            <w:pPr>
              <w:pStyle w:val="Normal6"/>
              <w:rPr>
                <w:szCs w:val="24"/>
                <w:lang w:val="en-IE"/>
              </w:rPr>
            </w:pPr>
            <w:r w:rsidRPr="007047B5">
              <w:rPr>
                <w:b/>
                <w:i/>
                <w:lang w:val="en-IE"/>
              </w:rPr>
              <w:t>(va)</w:t>
            </w:r>
            <w:r w:rsidRPr="007047B5">
              <w:rPr>
                <w:b/>
                <w:i/>
                <w:lang w:val="en-IE"/>
              </w:rPr>
              <w:tab/>
              <w:t>requirements for competent authorities and judicial authorities to cooperate with competent authorities and judicial authorities of the Member States;</w:t>
            </w:r>
          </w:p>
        </w:tc>
      </w:tr>
    </w:tbl>
    <w:p w14:paraId="720AEC79"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81EE235" w14:textId="77777777" w:rsidR="00CB2077" w:rsidRPr="007047B5" w:rsidRDefault="00CB2077" w:rsidP="00CB2077">
      <w:pPr>
        <w:rPr>
          <w:lang w:val="en-IE"/>
        </w:rPr>
      </w:pPr>
      <w:r w:rsidRPr="007047B5">
        <w:rPr>
          <w:rStyle w:val="HideTWBExt"/>
          <w:noProof w:val="0"/>
          <w:lang w:val="en-IE"/>
        </w:rPr>
        <w:t>&lt;/Amend&gt;</w:t>
      </w:r>
    </w:p>
    <w:p w14:paraId="43D8D5A8"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66</w:t>
      </w:r>
      <w:r w:rsidRPr="007047B5">
        <w:rPr>
          <w:rStyle w:val="HideTWBExt"/>
          <w:b w:val="0"/>
          <w:noProof w:val="0"/>
          <w:lang w:val="en-IE"/>
        </w:rPr>
        <w:t>&lt;/NumAm&gt;</w:t>
      </w:r>
    </w:p>
    <w:p w14:paraId="70897607"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481EF3D"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25 – paragraph 2 – point a – point v b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62299126" w14:textId="77777777" w:rsidTr="00CB2077">
        <w:trPr>
          <w:jc w:val="center"/>
        </w:trPr>
        <w:tc>
          <w:tcPr>
            <w:tcW w:w="9752" w:type="dxa"/>
            <w:gridSpan w:val="2"/>
          </w:tcPr>
          <w:p w14:paraId="67C3EB5F" w14:textId="77777777" w:rsidR="00CB2077" w:rsidRPr="007047B5" w:rsidRDefault="00CB2077">
            <w:pPr>
              <w:keepNext/>
              <w:rPr>
                <w:lang w:val="en-IE"/>
              </w:rPr>
            </w:pPr>
          </w:p>
        </w:tc>
      </w:tr>
      <w:tr w:rsidR="00CB2077" w:rsidRPr="007047B5" w14:paraId="5D711195" w14:textId="77777777" w:rsidTr="00CB2077">
        <w:trPr>
          <w:jc w:val="center"/>
        </w:trPr>
        <w:tc>
          <w:tcPr>
            <w:tcW w:w="4876" w:type="dxa"/>
            <w:hideMark/>
          </w:tcPr>
          <w:p w14:paraId="6FB23F6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43697FA" w14:textId="77777777" w:rsidR="00CB2077" w:rsidRPr="007047B5" w:rsidRDefault="00CB2077">
            <w:pPr>
              <w:pStyle w:val="ColumnHeading"/>
              <w:keepNext/>
              <w:rPr>
                <w:lang w:val="en-IE"/>
              </w:rPr>
            </w:pPr>
            <w:r w:rsidRPr="007047B5">
              <w:rPr>
                <w:lang w:val="en-IE"/>
              </w:rPr>
              <w:t>Amendment</w:t>
            </w:r>
          </w:p>
        </w:tc>
      </w:tr>
      <w:tr w:rsidR="00CB2077" w:rsidRPr="007047B5" w14:paraId="000D1758" w14:textId="77777777" w:rsidTr="00CB2077">
        <w:trPr>
          <w:jc w:val="center"/>
        </w:trPr>
        <w:tc>
          <w:tcPr>
            <w:tcW w:w="4876" w:type="dxa"/>
          </w:tcPr>
          <w:p w14:paraId="55BC7112" w14:textId="77777777" w:rsidR="00CB2077" w:rsidRPr="007047B5" w:rsidRDefault="00CB2077">
            <w:pPr>
              <w:pStyle w:val="Normal6"/>
              <w:rPr>
                <w:lang w:val="en-IE"/>
              </w:rPr>
            </w:pPr>
          </w:p>
        </w:tc>
        <w:tc>
          <w:tcPr>
            <w:tcW w:w="4876" w:type="dxa"/>
            <w:hideMark/>
          </w:tcPr>
          <w:p w14:paraId="394AA79D" w14:textId="609E0946" w:rsidR="00CB2077" w:rsidRPr="007047B5" w:rsidRDefault="00CB2077">
            <w:pPr>
              <w:pStyle w:val="Normal6"/>
              <w:rPr>
                <w:szCs w:val="24"/>
                <w:lang w:val="en-IE"/>
              </w:rPr>
            </w:pPr>
            <w:r w:rsidRPr="007047B5">
              <w:rPr>
                <w:b/>
                <w:i/>
                <w:lang w:val="en-IE"/>
              </w:rPr>
              <w:t>(vb)</w:t>
            </w:r>
            <w:r w:rsidRPr="007047B5">
              <w:rPr>
                <w:b/>
                <w:i/>
                <w:lang w:val="en-IE"/>
              </w:rPr>
              <w:tab/>
              <w:t>alignment with targeted financial sanctions and proliferation financing-related targeted financial sanctions;</w:t>
            </w:r>
          </w:p>
        </w:tc>
      </w:tr>
    </w:tbl>
    <w:p w14:paraId="11452E43"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60C8906" w14:textId="77777777" w:rsidR="00CB2077" w:rsidRPr="007047B5" w:rsidRDefault="00CB2077" w:rsidP="00CB2077">
      <w:pPr>
        <w:rPr>
          <w:lang w:val="en-IE"/>
        </w:rPr>
      </w:pPr>
      <w:r w:rsidRPr="007047B5">
        <w:rPr>
          <w:rStyle w:val="HideTWBExt"/>
          <w:noProof w:val="0"/>
          <w:lang w:val="en-IE"/>
        </w:rPr>
        <w:t>&lt;/Amend&gt;</w:t>
      </w:r>
    </w:p>
    <w:p w14:paraId="49F173A7"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67</w:t>
      </w:r>
      <w:r w:rsidRPr="007047B5">
        <w:rPr>
          <w:rStyle w:val="HideTWBExt"/>
          <w:b w:val="0"/>
          <w:noProof w:val="0"/>
          <w:lang w:val="en-IE"/>
        </w:rPr>
        <w:t>&lt;/NumAm&gt;</w:t>
      </w:r>
    </w:p>
    <w:p w14:paraId="4EEEB87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7269AAC"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25 – paragraph 2 – point a – point v c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6538DEF6" w14:textId="77777777" w:rsidTr="00CB2077">
        <w:trPr>
          <w:jc w:val="center"/>
        </w:trPr>
        <w:tc>
          <w:tcPr>
            <w:tcW w:w="9752" w:type="dxa"/>
            <w:gridSpan w:val="2"/>
          </w:tcPr>
          <w:p w14:paraId="5F08873C" w14:textId="77777777" w:rsidR="00CB2077" w:rsidRPr="007047B5" w:rsidRDefault="00CB2077">
            <w:pPr>
              <w:keepNext/>
              <w:rPr>
                <w:lang w:val="en-IE"/>
              </w:rPr>
            </w:pPr>
          </w:p>
        </w:tc>
      </w:tr>
      <w:tr w:rsidR="00CB2077" w:rsidRPr="007047B5" w14:paraId="1016A6DA" w14:textId="77777777" w:rsidTr="00CB2077">
        <w:trPr>
          <w:jc w:val="center"/>
        </w:trPr>
        <w:tc>
          <w:tcPr>
            <w:tcW w:w="4876" w:type="dxa"/>
            <w:hideMark/>
          </w:tcPr>
          <w:p w14:paraId="51CE7F39"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9F39135" w14:textId="77777777" w:rsidR="00CB2077" w:rsidRPr="007047B5" w:rsidRDefault="00CB2077">
            <w:pPr>
              <w:pStyle w:val="ColumnHeading"/>
              <w:keepNext/>
              <w:rPr>
                <w:lang w:val="en-IE"/>
              </w:rPr>
            </w:pPr>
            <w:r w:rsidRPr="007047B5">
              <w:rPr>
                <w:lang w:val="en-IE"/>
              </w:rPr>
              <w:t>Amendment</w:t>
            </w:r>
          </w:p>
        </w:tc>
      </w:tr>
      <w:tr w:rsidR="00CB2077" w:rsidRPr="007047B5" w14:paraId="48823C7C" w14:textId="77777777" w:rsidTr="00CB2077">
        <w:trPr>
          <w:jc w:val="center"/>
        </w:trPr>
        <w:tc>
          <w:tcPr>
            <w:tcW w:w="4876" w:type="dxa"/>
          </w:tcPr>
          <w:p w14:paraId="500BB1C4" w14:textId="77777777" w:rsidR="00CB2077" w:rsidRPr="007047B5" w:rsidRDefault="00CB2077">
            <w:pPr>
              <w:pStyle w:val="Normal6"/>
              <w:rPr>
                <w:lang w:val="en-IE"/>
              </w:rPr>
            </w:pPr>
          </w:p>
        </w:tc>
        <w:tc>
          <w:tcPr>
            <w:tcW w:w="4876" w:type="dxa"/>
            <w:hideMark/>
          </w:tcPr>
          <w:p w14:paraId="6BAF8B5C" w14:textId="29D6A231" w:rsidR="00CB2077" w:rsidRPr="007047B5" w:rsidRDefault="00CB2077">
            <w:pPr>
              <w:pStyle w:val="Normal6"/>
              <w:rPr>
                <w:szCs w:val="24"/>
                <w:lang w:val="en-IE"/>
              </w:rPr>
            </w:pPr>
            <w:r w:rsidRPr="007047B5">
              <w:rPr>
                <w:b/>
                <w:i/>
                <w:lang w:val="en-IE"/>
              </w:rPr>
              <w:t>(vc)</w:t>
            </w:r>
            <w:r w:rsidRPr="007047B5">
              <w:rPr>
                <w:b/>
                <w:i/>
                <w:lang w:val="en-IE"/>
              </w:rPr>
              <w:tab/>
              <w:t>requirements to mitigate and manage the risks of non-implementation and evasion of targeted financial sanctions and proliferation financing-related targeted financial sanctions.</w:t>
            </w:r>
          </w:p>
        </w:tc>
      </w:tr>
    </w:tbl>
    <w:p w14:paraId="475748D3"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A919014" w14:textId="77777777" w:rsidR="00CB2077" w:rsidRPr="007047B5" w:rsidRDefault="00CB2077" w:rsidP="00CB2077">
      <w:pPr>
        <w:rPr>
          <w:lang w:val="en-IE"/>
        </w:rPr>
      </w:pPr>
      <w:r w:rsidRPr="007047B5">
        <w:rPr>
          <w:rStyle w:val="HideTWBExt"/>
          <w:noProof w:val="0"/>
          <w:lang w:val="en-IE"/>
        </w:rPr>
        <w:t>&lt;/Amend&gt;</w:t>
      </w:r>
    </w:p>
    <w:p w14:paraId="3D514FC5"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68</w:t>
      </w:r>
      <w:r w:rsidRPr="007047B5">
        <w:rPr>
          <w:rStyle w:val="HideTWBExt"/>
          <w:b w:val="0"/>
          <w:noProof w:val="0"/>
          <w:lang w:val="en-IE"/>
        </w:rPr>
        <w:t>&lt;/NumAm&gt;</w:t>
      </w:r>
    </w:p>
    <w:p w14:paraId="736DFFD2"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DFC1186"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25 – paragraph 2 – subparagraph 1 </w:t>
      </w:r>
      <w:r w:rsidR="00111A6C" w:rsidRPr="007047B5">
        <w:rPr>
          <w:lang w:val="en-IE"/>
        </w:rPr>
        <w:t xml:space="preserve">a </w:t>
      </w:r>
      <w:r w:rsidRPr="007047B5">
        <w:rPr>
          <w:lang w:val="en-IE"/>
        </w:rPr>
        <w:t>(new)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6F84E516" w14:textId="77777777" w:rsidTr="00CB2077">
        <w:trPr>
          <w:jc w:val="center"/>
        </w:trPr>
        <w:tc>
          <w:tcPr>
            <w:tcW w:w="9752" w:type="dxa"/>
            <w:gridSpan w:val="2"/>
          </w:tcPr>
          <w:p w14:paraId="2A3933CC" w14:textId="77777777" w:rsidR="00CB2077" w:rsidRPr="007047B5" w:rsidRDefault="00CB2077">
            <w:pPr>
              <w:keepNext/>
              <w:rPr>
                <w:lang w:val="en-IE"/>
              </w:rPr>
            </w:pPr>
          </w:p>
        </w:tc>
      </w:tr>
      <w:tr w:rsidR="00CB2077" w:rsidRPr="007047B5" w14:paraId="21B9BCB5" w14:textId="77777777" w:rsidTr="00CB2077">
        <w:trPr>
          <w:jc w:val="center"/>
        </w:trPr>
        <w:tc>
          <w:tcPr>
            <w:tcW w:w="4876" w:type="dxa"/>
            <w:hideMark/>
          </w:tcPr>
          <w:p w14:paraId="58555DE0"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DFF2EF8" w14:textId="77777777" w:rsidR="00CB2077" w:rsidRPr="007047B5" w:rsidRDefault="00CB2077">
            <w:pPr>
              <w:pStyle w:val="ColumnHeading"/>
              <w:keepNext/>
              <w:rPr>
                <w:lang w:val="en-IE"/>
              </w:rPr>
            </w:pPr>
            <w:r w:rsidRPr="007047B5">
              <w:rPr>
                <w:lang w:val="en-IE"/>
              </w:rPr>
              <w:t>Amendment</w:t>
            </w:r>
          </w:p>
        </w:tc>
      </w:tr>
      <w:tr w:rsidR="00CB2077" w:rsidRPr="007047B5" w14:paraId="06152CED" w14:textId="77777777" w:rsidTr="00CB2077">
        <w:trPr>
          <w:jc w:val="center"/>
        </w:trPr>
        <w:tc>
          <w:tcPr>
            <w:tcW w:w="4876" w:type="dxa"/>
          </w:tcPr>
          <w:p w14:paraId="6D8932B5" w14:textId="77777777" w:rsidR="00CB2077" w:rsidRPr="007047B5" w:rsidRDefault="00CB2077">
            <w:pPr>
              <w:pStyle w:val="Normal6"/>
              <w:rPr>
                <w:lang w:val="en-IE"/>
              </w:rPr>
            </w:pPr>
          </w:p>
        </w:tc>
        <w:tc>
          <w:tcPr>
            <w:tcW w:w="4876" w:type="dxa"/>
            <w:hideMark/>
          </w:tcPr>
          <w:p w14:paraId="436B4A7B" w14:textId="18E9DD6A" w:rsidR="00CB2077" w:rsidRPr="007047B5" w:rsidRDefault="00CB2077" w:rsidP="006F5456">
            <w:pPr>
              <w:pStyle w:val="Normal6"/>
              <w:rPr>
                <w:szCs w:val="24"/>
                <w:lang w:val="en-IE"/>
              </w:rPr>
            </w:pPr>
            <w:r w:rsidRPr="007047B5">
              <w:rPr>
                <w:b/>
                <w:i/>
                <w:lang w:val="en-IE"/>
              </w:rPr>
              <w:t xml:space="preserve">The delegated acts </w:t>
            </w:r>
            <w:r w:rsidR="00183B83" w:rsidRPr="007047B5">
              <w:rPr>
                <w:b/>
                <w:i/>
                <w:lang w:val="en-IE"/>
              </w:rPr>
              <w:t xml:space="preserve">referred to in paragraph 1 </w:t>
            </w:r>
            <w:r w:rsidRPr="007047B5">
              <w:rPr>
                <w:b/>
                <w:i/>
                <w:lang w:val="en-IE"/>
              </w:rPr>
              <w:t xml:space="preserve">shall be adopted within one month after the Commission has ascertained that the criteria </w:t>
            </w:r>
            <w:r w:rsidR="00183B83" w:rsidRPr="007047B5">
              <w:rPr>
                <w:b/>
                <w:i/>
                <w:lang w:val="en-IE"/>
              </w:rPr>
              <w:t xml:space="preserve">set out </w:t>
            </w:r>
            <w:r w:rsidRPr="007047B5">
              <w:rPr>
                <w:b/>
                <w:i/>
                <w:lang w:val="en-IE"/>
              </w:rPr>
              <w:t xml:space="preserve">in point (a), (b) or (c) </w:t>
            </w:r>
            <w:r w:rsidR="00183B83" w:rsidRPr="007047B5">
              <w:rPr>
                <w:b/>
                <w:i/>
                <w:lang w:val="en-IE"/>
              </w:rPr>
              <w:t>of the first subparagraph of this paragraph have been taken into account</w:t>
            </w:r>
            <w:r w:rsidRPr="007047B5">
              <w:rPr>
                <w:b/>
                <w:i/>
                <w:lang w:val="en-IE"/>
              </w:rPr>
              <w:t>.</w:t>
            </w:r>
          </w:p>
        </w:tc>
      </w:tr>
    </w:tbl>
    <w:p w14:paraId="75692436"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D9F1A96" w14:textId="77777777" w:rsidR="00CB2077" w:rsidRPr="007047B5" w:rsidRDefault="00CB2077" w:rsidP="00CB2077">
      <w:pPr>
        <w:rPr>
          <w:lang w:val="en-IE"/>
        </w:rPr>
      </w:pPr>
      <w:r w:rsidRPr="007047B5">
        <w:rPr>
          <w:rStyle w:val="HideTWBExt"/>
          <w:noProof w:val="0"/>
          <w:lang w:val="en-IE"/>
        </w:rPr>
        <w:t>&lt;/Amend&gt;</w:t>
      </w:r>
    </w:p>
    <w:p w14:paraId="3BCBC6C8"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69</w:t>
      </w:r>
      <w:r w:rsidRPr="007047B5">
        <w:rPr>
          <w:rStyle w:val="HideTWBExt"/>
          <w:b w:val="0"/>
          <w:noProof w:val="0"/>
          <w:lang w:val="en-IE"/>
        </w:rPr>
        <w:t>&lt;/NumAm&gt;</w:t>
      </w:r>
    </w:p>
    <w:p w14:paraId="1395BBC7"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25181F4"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25 – paragraph 7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3627976" w14:textId="77777777" w:rsidTr="00CB2077">
        <w:trPr>
          <w:jc w:val="center"/>
        </w:trPr>
        <w:tc>
          <w:tcPr>
            <w:tcW w:w="9752" w:type="dxa"/>
            <w:gridSpan w:val="2"/>
          </w:tcPr>
          <w:p w14:paraId="3BF3647A" w14:textId="77777777" w:rsidR="00CB2077" w:rsidRPr="007047B5" w:rsidRDefault="00CB2077">
            <w:pPr>
              <w:keepNext/>
              <w:rPr>
                <w:lang w:val="en-IE"/>
              </w:rPr>
            </w:pPr>
          </w:p>
        </w:tc>
      </w:tr>
      <w:tr w:rsidR="00CB2077" w:rsidRPr="007047B5" w14:paraId="34525B66" w14:textId="77777777" w:rsidTr="00CB2077">
        <w:trPr>
          <w:jc w:val="center"/>
        </w:trPr>
        <w:tc>
          <w:tcPr>
            <w:tcW w:w="4876" w:type="dxa"/>
            <w:hideMark/>
          </w:tcPr>
          <w:p w14:paraId="73DA4EE0"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910CB42" w14:textId="77777777" w:rsidR="00CB2077" w:rsidRPr="007047B5" w:rsidRDefault="00CB2077">
            <w:pPr>
              <w:pStyle w:val="ColumnHeading"/>
              <w:keepNext/>
              <w:rPr>
                <w:lang w:val="en-IE"/>
              </w:rPr>
            </w:pPr>
            <w:r w:rsidRPr="007047B5">
              <w:rPr>
                <w:lang w:val="en-IE"/>
              </w:rPr>
              <w:t>Amendment</w:t>
            </w:r>
          </w:p>
        </w:tc>
      </w:tr>
      <w:tr w:rsidR="00CB2077" w:rsidRPr="007047B5" w14:paraId="3A9C3940" w14:textId="77777777" w:rsidTr="00CB2077">
        <w:trPr>
          <w:jc w:val="center"/>
        </w:trPr>
        <w:tc>
          <w:tcPr>
            <w:tcW w:w="4876" w:type="dxa"/>
          </w:tcPr>
          <w:p w14:paraId="56892947" w14:textId="77777777" w:rsidR="00CB2077" w:rsidRPr="007047B5" w:rsidRDefault="00CB2077">
            <w:pPr>
              <w:pStyle w:val="Normal6"/>
              <w:rPr>
                <w:lang w:val="en-IE"/>
              </w:rPr>
            </w:pPr>
          </w:p>
        </w:tc>
        <w:tc>
          <w:tcPr>
            <w:tcW w:w="4876" w:type="dxa"/>
            <w:hideMark/>
          </w:tcPr>
          <w:p w14:paraId="67015EBC" w14:textId="05852DDA" w:rsidR="00CB2077" w:rsidRPr="007047B5" w:rsidRDefault="00CB2077" w:rsidP="00AA69C0">
            <w:pPr>
              <w:pStyle w:val="Normal6"/>
              <w:rPr>
                <w:szCs w:val="24"/>
                <w:lang w:val="en-IE"/>
              </w:rPr>
            </w:pPr>
            <w:r w:rsidRPr="007047B5">
              <w:rPr>
                <w:b/>
                <w:i/>
                <w:lang w:val="en-IE"/>
              </w:rPr>
              <w:t>7a.</w:t>
            </w:r>
            <w:r w:rsidRPr="007047B5">
              <w:rPr>
                <w:b/>
                <w:i/>
                <w:lang w:val="en-IE"/>
              </w:rPr>
              <w:tab/>
              <w:t xml:space="preserve">Following a request from the European Parliament or the Council, the Commission shall analyse whether a third country poses a specific and serious threat to the financial system of the Union and the proper functioning of the internal </w:t>
            </w:r>
            <w:r w:rsidRPr="007047B5">
              <w:rPr>
                <w:b/>
                <w:i/>
                <w:lang w:val="en-IE"/>
              </w:rPr>
              <w:lastRenderedPageBreak/>
              <w:t xml:space="preserve">market and submit a report to the </w:t>
            </w:r>
            <w:r w:rsidR="00AA69C0" w:rsidRPr="007047B5">
              <w:rPr>
                <w:b/>
                <w:i/>
                <w:lang w:val="en-IE"/>
              </w:rPr>
              <w:t>requesting institution</w:t>
            </w:r>
            <w:r w:rsidRPr="007047B5">
              <w:rPr>
                <w:b/>
                <w:i/>
                <w:lang w:val="en-IE"/>
              </w:rPr>
              <w:t xml:space="preserve"> within 30 days</w:t>
            </w:r>
            <w:r w:rsidR="00183B83" w:rsidRPr="007047B5">
              <w:rPr>
                <w:b/>
                <w:i/>
                <w:lang w:val="en-IE"/>
              </w:rPr>
              <w:t xml:space="preserve"> of receipt of the request</w:t>
            </w:r>
            <w:r w:rsidRPr="007047B5">
              <w:rPr>
                <w:b/>
                <w:i/>
                <w:lang w:val="en-IE"/>
              </w:rPr>
              <w:t xml:space="preserve"> stating the reasons for its decision </w:t>
            </w:r>
            <w:r w:rsidR="00872C20" w:rsidRPr="007047B5">
              <w:rPr>
                <w:b/>
                <w:i/>
                <w:lang w:val="en-IE"/>
              </w:rPr>
              <w:t xml:space="preserve">as to </w:t>
            </w:r>
            <w:r w:rsidRPr="007047B5">
              <w:rPr>
                <w:b/>
                <w:i/>
                <w:lang w:val="en-IE"/>
              </w:rPr>
              <w:t>whether a delegated act should be adopted in accordance with paragraph 1, taking into account public revelations</w:t>
            </w:r>
            <w:r w:rsidR="00872C20" w:rsidRPr="007047B5">
              <w:rPr>
                <w:b/>
                <w:i/>
                <w:lang w:val="en-IE"/>
              </w:rPr>
              <w:t xml:space="preserve"> and</w:t>
            </w:r>
            <w:r w:rsidRPr="007047B5">
              <w:rPr>
                <w:b/>
                <w:i/>
                <w:lang w:val="en-IE"/>
              </w:rPr>
              <w:t xml:space="preserve"> relevant evaluations, assessments or reports drawn up by international organisations and standard setters with competence in the field of preventing money laundering and combating terrorist financing.</w:t>
            </w:r>
          </w:p>
        </w:tc>
      </w:tr>
    </w:tbl>
    <w:p w14:paraId="164D15C2"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6486E39" w14:textId="77777777" w:rsidR="00CB2077" w:rsidRPr="007047B5" w:rsidRDefault="00CB2077" w:rsidP="00CB2077">
      <w:pPr>
        <w:rPr>
          <w:lang w:val="en-IE"/>
        </w:rPr>
      </w:pPr>
      <w:r w:rsidRPr="007047B5">
        <w:rPr>
          <w:rStyle w:val="HideTWBExt"/>
          <w:noProof w:val="0"/>
          <w:lang w:val="en-IE"/>
        </w:rPr>
        <w:t>&lt;/Amend&gt;</w:t>
      </w:r>
    </w:p>
    <w:p w14:paraId="43B943C5"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70</w:t>
      </w:r>
      <w:r w:rsidRPr="007047B5">
        <w:rPr>
          <w:rStyle w:val="HideTWBExt"/>
          <w:b w:val="0"/>
          <w:noProof w:val="0"/>
          <w:lang w:val="en-IE"/>
        </w:rPr>
        <w:t>&lt;/NumAm&gt;</w:t>
      </w:r>
    </w:p>
    <w:p w14:paraId="3569A5D9"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10C4209"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25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695CED2" w14:textId="77777777" w:rsidTr="00CB2077">
        <w:trPr>
          <w:jc w:val="center"/>
        </w:trPr>
        <w:tc>
          <w:tcPr>
            <w:tcW w:w="9752" w:type="dxa"/>
            <w:gridSpan w:val="2"/>
          </w:tcPr>
          <w:p w14:paraId="3E4E22B2" w14:textId="77777777" w:rsidR="00CB2077" w:rsidRPr="007047B5" w:rsidRDefault="00CB2077">
            <w:pPr>
              <w:keepNext/>
              <w:rPr>
                <w:lang w:val="en-IE"/>
              </w:rPr>
            </w:pPr>
          </w:p>
        </w:tc>
      </w:tr>
      <w:tr w:rsidR="00CB2077" w:rsidRPr="007047B5" w14:paraId="2A787645" w14:textId="77777777" w:rsidTr="00CB2077">
        <w:trPr>
          <w:jc w:val="center"/>
        </w:trPr>
        <w:tc>
          <w:tcPr>
            <w:tcW w:w="4876" w:type="dxa"/>
            <w:hideMark/>
          </w:tcPr>
          <w:p w14:paraId="4C2C250E"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49670F6" w14:textId="77777777" w:rsidR="00CB2077" w:rsidRPr="007047B5" w:rsidRDefault="00CB2077">
            <w:pPr>
              <w:pStyle w:val="ColumnHeading"/>
              <w:keepNext/>
              <w:rPr>
                <w:lang w:val="en-IE"/>
              </w:rPr>
            </w:pPr>
            <w:r w:rsidRPr="007047B5">
              <w:rPr>
                <w:lang w:val="en-IE"/>
              </w:rPr>
              <w:t>Amendment</w:t>
            </w:r>
          </w:p>
        </w:tc>
      </w:tr>
      <w:tr w:rsidR="00CB2077" w:rsidRPr="007047B5" w14:paraId="5EC2A064" w14:textId="77777777" w:rsidTr="00CB2077">
        <w:trPr>
          <w:jc w:val="center"/>
        </w:trPr>
        <w:tc>
          <w:tcPr>
            <w:tcW w:w="4876" w:type="dxa"/>
          </w:tcPr>
          <w:p w14:paraId="6A5DF3EE" w14:textId="77777777" w:rsidR="00CB2077" w:rsidRPr="007047B5" w:rsidRDefault="00CB2077">
            <w:pPr>
              <w:pStyle w:val="Normal6"/>
              <w:rPr>
                <w:lang w:val="en-IE"/>
              </w:rPr>
            </w:pPr>
          </w:p>
        </w:tc>
        <w:tc>
          <w:tcPr>
            <w:tcW w:w="4876" w:type="dxa"/>
            <w:hideMark/>
          </w:tcPr>
          <w:p w14:paraId="3163DA83" w14:textId="613CB3EC" w:rsidR="00CB2077" w:rsidRPr="007047B5" w:rsidRDefault="00CB2077">
            <w:pPr>
              <w:pStyle w:val="Normal6"/>
              <w:jc w:val="center"/>
              <w:rPr>
                <w:szCs w:val="24"/>
                <w:lang w:val="en-IE"/>
              </w:rPr>
            </w:pPr>
            <w:r w:rsidRPr="007047B5">
              <w:rPr>
                <w:b/>
                <w:i/>
                <w:lang w:val="en-IE"/>
              </w:rPr>
              <w:t>Article 25a</w:t>
            </w:r>
          </w:p>
        </w:tc>
      </w:tr>
      <w:tr w:rsidR="00CB2077" w:rsidRPr="007047B5" w14:paraId="23440B8B" w14:textId="77777777" w:rsidTr="00CB2077">
        <w:trPr>
          <w:jc w:val="center"/>
        </w:trPr>
        <w:tc>
          <w:tcPr>
            <w:tcW w:w="4876" w:type="dxa"/>
          </w:tcPr>
          <w:p w14:paraId="6B8FFD22" w14:textId="77777777" w:rsidR="00CB2077" w:rsidRPr="007047B5" w:rsidRDefault="00CB2077">
            <w:pPr>
              <w:pStyle w:val="Normal6"/>
              <w:rPr>
                <w:lang w:val="en-IE"/>
              </w:rPr>
            </w:pPr>
          </w:p>
        </w:tc>
        <w:tc>
          <w:tcPr>
            <w:tcW w:w="4876" w:type="dxa"/>
            <w:hideMark/>
          </w:tcPr>
          <w:p w14:paraId="0DEEF545" w14:textId="759D4043" w:rsidR="00CB2077" w:rsidRPr="007047B5" w:rsidRDefault="00CB2077">
            <w:pPr>
              <w:pStyle w:val="Normal6"/>
              <w:rPr>
                <w:szCs w:val="24"/>
                <w:lang w:val="en-IE"/>
              </w:rPr>
            </w:pPr>
            <w:r w:rsidRPr="007047B5">
              <w:rPr>
                <w:b/>
                <w:i/>
                <w:lang w:val="en-IE"/>
              </w:rPr>
              <w:t xml:space="preserve">Identification of credit </w:t>
            </w:r>
            <w:r w:rsidR="00D524E8" w:rsidRPr="007047B5">
              <w:rPr>
                <w:b/>
                <w:i/>
                <w:lang w:val="en-IE"/>
              </w:rPr>
              <w:t xml:space="preserve">institutions </w:t>
            </w:r>
            <w:r w:rsidRPr="007047B5">
              <w:rPr>
                <w:b/>
                <w:i/>
                <w:lang w:val="en-IE"/>
              </w:rPr>
              <w:t>or financial institutions</w:t>
            </w:r>
            <w:r w:rsidR="008D168E" w:rsidRPr="007047B5">
              <w:rPr>
                <w:b/>
                <w:i/>
                <w:lang w:val="en-IE"/>
              </w:rPr>
              <w:t xml:space="preserve"> or</w:t>
            </w:r>
            <w:r w:rsidRPr="007047B5">
              <w:rPr>
                <w:b/>
                <w:i/>
                <w:lang w:val="en-IE"/>
              </w:rPr>
              <w:t xml:space="preserve"> crypto-asset service providers</w:t>
            </w:r>
            <w:r w:rsidR="008D168E" w:rsidRPr="007047B5">
              <w:rPr>
                <w:b/>
                <w:i/>
                <w:lang w:val="en-IE"/>
              </w:rPr>
              <w:t xml:space="preserve"> not established in the Union</w:t>
            </w:r>
            <w:r w:rsidRPr="007047B5">
              <w:rPr>
                <w:b/>
                <w:i/>
                <w:lang w:val="en-IE"/>
              </w:rPr>
              <w:t xml:space="preserve"> posing a specific threat to the Union’s financial system</w:t>
            </w:r>
          </w:p>
        </w:tc>
      </w:tr>
      <w:tr w:rsidR="00CB2077" w:rsidRPr="007047B5" w14:paraId="37170D51" w14:textId="77777777" w:rsidTr="00CB2077">
        <w:trPr>
          <w:jc w:val="center"/>
        </w:trPr>
        <w:tc>
          <w:tcPr>
            <w:tcW w:w="4876" w:type="dxa"/>
          </w:tcPr>
          <w:p w14:paraId="047BA52C" w14:textId="77777777" w:rsidR="00CB2077" w:rsidRPr="007047B5" w:rsidRDefault="00CB2077">
            <w:pPr>
              <w:pStyle w:val="Normal6"/>
              <w:rPr>
                <w:lang w:val="en-IE"/>
              </w:rPr>
            </w:pPr>
          </w:p>
        </w:tc>
        <w:tc>
          <w:tcPr>
            <w:tcW w:w="4876" w:type="dxa"/>
            <w:hideMark/>
          </w:tcPr>
          <w:p w14:paraId="167C3C03" w14:textId="051E1EB5" w:rsidR="00CB2077" w:rsidRPr="007047B5" w:rsidRDefault="00CB2077">
            <w:pPr>
              <w:pStyle w:val="Normal6"/>
              <w:rPr>
                <w:szCs w:val="24"/>
                <w:lang w:val="en-IE"/>
              </w:rPr>
            </w:pPr>
            <w:r w:rsidRPr="007047B5">
              <w:rPr>
                <w:b/>
                <w:i/>
                <w:lang w:val="en-IE"/>
              </w:rPr>
              <w:t xml:space="preserve">1. </w:t>
            </w:r>
            <w:r w:rsidR="00111A6C" w:rsidRPr="007047B5">
              <w:rPr>
                <w:b/>
                <w:i/>
                <w:lang w:val="en-IE"/>
              </w:rPr>
              <w:tab/>
            </w:r>
            <w:r w:rsidRPr="007047B5">
              <w:rPr>
                <w:b/>
                <w:i/>
                <w:lang w:val="en-IE"/>
              </w:rPr>
              <w:t xml:space="preserve">Following a request from the European Parliament or the Council, AMLA or a supervisor, the Commission shall analyse whether a specific credit </w:t>
            </w:r>
            <w:r w:rsidR="00D524E8" w:rsidRPr="007047B5">
              <w:rPr>
                <w:b/>
                <w:i/>
                <w:lang w:val="en-IE"/>
              </w:rPr>
              <w:t xml:space="preserve">institution </w:t>
            </w:r>
            <w:r w:rsidRPr="007047B5">
              <w:rPr>
                <w:b/>
                <w:i/>
                <w:lang w:val="en-GB"/>
              </w:rPr>
              <w:t xml:space="preserve">or financial institution or crypto-asset service provider not established in the Union </w:t>
            </w:r>
            <w:r w:rsidRPr="007047B5">
              <w:rPr>
                <w:b/>
                <w:i/>
                <w:lang w:val="en-IE"/>
              </w:rPr>
              <w:t>poses a specific and serious threat to the financial system of the Union.</w:t>
            </w:r>
          </w:p>
        </w:tc>
      </w:tr>
      <w:tr w:rsidR="00CB2077" w:rsidRPr="007047B5" w14:paraId="2A1018D2" w14:textId="77777777" w:rsidTr="00CB2077">
        <w:trPr>
          <w:jc w:val="center"/>
        </w:trPr>
        <w:tc>
          <w:tcPr>
            <w:tcW w:w="4876" w:type="dxa"/>
          </w:tcPr>
          <w:p w14:paraId="0A66A82F" w14:textId="77777777" w:rsidR="00CB2077" w:rsidRPr="007047B5" w:rsidRDefault="00CB2077">
            <w:pPr>
              <w:pStyle w:val="Normal6"/>
              <w:rPr>
                <w:lang w:val="en-IE"/>
              </w:rPr>
            </w:pPr>
          </w:p>
        </w:tc>
        <w:tc>
          <w:tcPr>
            <w:tcW w:w="4876" w:type="dxa"/>
            <w:hideMark/>
          </w:tcPr>
          <w:p w14:paraId="1F4EB8B1" w14:textId="6F8CB7A7" w:rsidR="00CB2077" w:rsidRPr="007047B5" w:rsidRDefault="00CB2077" w:rsidP="006F5456">
            <w:pPr>
              <w:pStyle w:val="Normal6"/>
              <w:rPr>
                <w:szCs w:val="24"/>
                <w:lang w:val="en-IE"/>
              </w:rPr>
            </w:pPr>
            <w:r w:rsidRPr="007047B5">
              <w:rPr>
                <w:b/>
                <w:i/>
                <w:lang w:val="en-IE"/>
              </w:rPr>
              <w:t xml:space="preserve">The Commission may also carry out analysis </w:t>
            </w:r>
            <w:r w:rsidR="00872C20" w:rsidRPr="007047B5">
              <w:rPr>
                <w:b/>
                <w:i/>
                <w:lang w:val="en-IE"/>
              </w:rPr>
              <w:t xml:space="preserve">as referred to in the first subparagraph </w:t>
            </w:r>
            <w:r w:rsidRPr="007047B5">
              <w:rPr>
                <w:b/>
                <w:i/>
                <w:lang w:val="en-IE"/>
              </w:rPr>
              <w:t>on its own initiative.</w:t>
            </w:r>
          </w:p>
        </w:tc>
      </w:tr>
      <w:tr w:rsidR="00CB2077" w:rsidRPr="007047B5" w14:paraId="676B7F8B" w14:textId="77777777" w:rsidTr="00CB2077">
        <w:trPr>
          <w:jc w:val="center"/>
        </w:trPr>
        <w:tc>
          <w:tcPr>
            <w:tcW w:w="4876" w:type="dxa"/>
          </w:tcPr>
          <w:p w14:paraId="469504CF" w14:textId="77777777" w:rsidR="00CB2077" w:rsidRPr="007047B5" w:rsidRDefault="00CB2077">
            <w:pPr>
              <w:pStyle w:val="Normal6"/>
              <w:rPr>
                <w:lang w:val="en-IE"/>
              </w:rPr>
            </w:pPr>
          </w:p>
        </w:tc>
        <w:tc>
          <w:tcPr>
            <w:tcW w:w="4876" w:type="dxa"/>
            <w:hideMark/>
          </w:tcPr>
          <w:p w14:paraId="5DE64ED7" w14:textId="1F043D5E" w:rsidR="00CB2077" w:rsidRPr="007047B5" w:rsidRDefault="00CB2077" w:rsidP="006F5456">
            <w:pPr>
              <w:pStyle w:val="Normal6"/>
              <w:rPr>
                <w:szCs w:val="24"/>
                <w:lang w:val="en-IE"/>
              </w:rPr>
            </w:pPr>
            <w:r w:rsidRPr="007047B5">
              <w:rPr>
                <w:b/>
                <w:i/>
                <w:lang w:val="en-IE"/>
              </w:rPr>
              <w:t xml:space="preserve">2. </w:t>
            </w:r>
            <w:r w:rsidR="00111A6C" w:rsidRPr="007047B5">
              <w:rPr>
                <w:b/>
                <w:i/>
                <w:lang w:val="en-IE"/>
              </w:rPr>
              <w:tab/>
            </w:r>
            <w:r w:rsidRPr="007047B5">
              <w:rPr>
                <w:b/>
                <w:i/>
                <w:lang w:val="en-IE"/>
              </w:rPr>
              <w:t>In the analysis referred to in paragraph 1, the Commission shall take into account information submitted by the request</w:t>
            </w:r>
            <w:r w:rsidR="00872C20" w:rsidRPr="007047B5">
              <w:rPr>
                <w:b/>
                <w:i/>
                <w:lang w:val="en-IE"/>
              </w:rPr>
              <w:t>or</w:t>
            </w:r>
            <w:r w:rsidRPr="007047B5">
              <w:rPr>
                <w:b/>
                <w:i/>
                <w:lang w:val="en-IE"/>
              </w:rPr>
              <w:t>, public revelations</w:t>
            </w:r>
            <w:r w:rsidR="00872C20" w:rsidRPr="007047B5">
              <w:rPr>
                <w:b/>
                <w:i/>
                <w:lang w:val="en-IE"/>
              </w:rPr>
              <w:t xml:space="preserve"> and</w:t>
            </w:r>
            <w:r w:rsidRPr="007047B5">
              <w:rPr>
                <w:b/>
                <w:i/>
                <w:lang w:val="en-IE"/>
              </w:rPr>
              <w:t xml:space="preserve"> relevant </w:t>
            </w:r>
            <w:r w:rsidRPr="007047B5">
              <w:rPr>
                <w:b/>
                <w:i/>
                <w:lang w:val="en-IE"/>
              </w:rPr>
              <w:lastRenderedPageBreak/>
              <w:t>evaluations, assessments or reports drawn up by international organisations and standard setters with competence in the field of preventing money laundering and combating terrorist financing.</w:t>
            </w:r>
          </w:p>
        </w:tc>
      </w:tr>
      <w:tr w:rsidR="00CB2077" w:rsidRPr="007047B5" w14:paraId="57D80332" w14:textId="77777777" w:rsidTr="00CB2077">
        <w:trPr>
          <w:jc w:val="center"/>
        </w:trPr>
        <w:tc>
          <w:tcPr>
            <w:tcW w:w="4876" w:type="dxa"/>
          </w:tcPr>
          <w:p w14:paraId="2208F7DA" w14:textId="77777777" w:rsidR="00CB2077" w:rsidRPr="007047B5" w:rsidRDefault="00CB2077">
            <w:pPr>
              <w:pStyle w:val="Normal6"/>
              <w:rPr>
                <w:lang w:val="en-IE"/>
              </w:rPr>
            </w:pPr>
          </w:p>
        </w:tc>
        <w:tc>
          <w:tcPr>
            <w:tcW w:w="4876" w:type="dxa"/>
            <w:hideMark/>
          </w:tcPr>
          <w:p w14:paraId="4D191F71" w14:textId="2A5BE51A" w:rsidR="00CB2077" w:rsidRPr="007047B5" w:rsidRDefault="00CB2077">
            <w:pPr>
              <w:pStyle w:val="Normal6"/>
              <w:rPr>
                <w:szCs w:val="24"/>
                <w:lang w:val="en-IE"/>
              </w:rPr>
            </w:pPr>
            <w:r w:rsidRPr="007047B5">
              <w:rPr>
                <w:b/>
                <w:i/>
                <w:lang w:val="en-IE"/>
              </w:rPr>
              <w:t>3.</w:t>
            </w:r>
            <w:r w:rsidR="00111A6C" w:rsidRPr="007047B5">
              <w:rPr>
                <w:b/>
                <w:i/>
                <w:lang w:val="en-IE"/>
              </w:rPr>
              <w:tab/>
            </w:r>
            <w:r w:rsidRPr="007047B5">
              <w:rPr>
                <w:b/>
                <w:i/>
                <w:lang w:val="en-IE"/>
              </w:rPr>
              <w:t>Whe</w:t>
            </w:r>
            <w:r w:rsidR="00872C20" w:rsidRPr="007047B5">
              <w:rPr>
                <w:b/>
                <w:i/>
                <w:lang w:val="en-IE"/>
              </w:rPr>
              <w:t>re</w:t>
            </w:r>
            <w:r w:rsidRPr="007047B5">
              <w:rPr>
                <w:b/>
                <w:i/>
                <w:lang w:val="en-IE"/>
              </w:rPr>
              <w:t xml:space="preserve"> the Commission, after consulting AMLA, the E</w:t>
            </w:r>
            <w:r w:rsidR="00872C20" w:rsidRPr="007047B5">
              <w:rPr>
                <w:b/>
                <w:i/>
                <w:lang w:val="en-IE"/>
              </w:rPr>
              <w:t xml:space="preserve">uropean </w:t>
            </w:r>
            <w:r w:rsidRPr="007047B5">
              <w:rPr>
                <w:b/>
                <w:i/>
                <w:lang w:val="en-IE"/>
              </w:rPr>
              <w:t>C</w:t>
            </w:r>
            <w:r w:rsidR="00872C20" w:rsidRPr="007047B5">
              <w:rPr>
                <w:b/>
                <w:i/>
                <w:lang w:val="en-IE"/>
              </w:rPr>
              <w:t xml:space="preserve">entral </w:t>
            </w:r>
            <w:r w:rsidRPr="007047B5">
              <w:rPr>
                <w:b/>
                <w:i/>
                <w:lang w:val="en-IE"/>
              </w:rPr>
              <w:t>B</w:t>
            </w:r>
            <w:r w:rsidR="00872C20" w:rsidRPr="007047B5">
              <w:rPr>
                <w:b/>
                <w:i/>
                <w:lang w:val="en-IE"/>
              </w:rPr>
              <w:t>ank</w:t>
            </w:r>
            <w:r w:rsidRPr="007047B5">
              <w:rPr>
                <w:b/>
                <w:i/>
                <w:lang w:val="en-IE"/>
              </w:rPr>
              <w:t xml:space="preserve"> and, where appropriate, </w:t>
            </w:r>
            <w:r w:rsidR="00872C20" w:rsidRPr="007047B5">
              <w:rPr>
                <w:b/>
                <w:i/>
                <w:lang w:val="en-IE"/>
              </w:rPr>
              <w:t xml:space="preserve">the </w:t>
            </w:r>
            <w:r w:rsidRPr="007047B5">
              <w:rPr>
                <w:b/>
                <w:i/>
                <w:lang w:val="en-IE"/>
              </w:rPr>
              <w:t>E</w:t>
            </w:r>
            <w:r w:rsidR="00872C20" w:rsidRPr="007047B5">
              <w:rPr>
                <w:b/>
                <w:i/>
                <w:lang w:val="en-IE"/>
              </w:rPr>
              <w:t xml:space="preserve">uropean </w:t>
            </w:r>
            <w:r w:rsidRPr="007047B5">
              <w:rPr>
                <w:b/>
                <w:i/>
                <w:lang w:val="en-IE"/>
              </w:rPr>
              <w:t>B</w:t>
            </w:r>
            <w:r w:rsidR="00872C20" w:rsidRPr="007047B5">
              <w:rPr>
                <w:b/>
                <w:i/>
                <w:lang w:val="en-IE"/>
              </w:rPr>
              <w:t xml:space="preserve">anking </w:t>
            </w:r>
            <w:r w:rsidRPr="007047B5">
              <w:rPr>
                <w:b/>
                <w:i/>
                <w:lang w:val="en-IE"/>
              </w:rPr>
              <w:t>A</w:t>
            </w:r>
            <w:r w:rsidR="00872C20" w:rsidRPr="007047B5">
              <w:rPr>
                <w:b/>
                <w:i/>
                <w:lang w:val="en-IE"/>
              </w:rPr>
              <w:t>uthorit</w:t>
            </w:r>
            <w:r w:rsidR="00023B8F" w:rsidRPr="007047B5">
              <w:rPr>
                <w:b/>
                <w:i/>
                <w:lang w:val="en-IE"/>
              </w:rPr>
              <w:t>y</w:t>
            </w:r>
            <w:r w:rsidRPr="007047B5">
              <w:rPr>
                <w:b/>
                <w:i/>
                <w:lang w:val="en-IE"/>
              </w:rPr>
              <w:t xml:space="preserve"> and </w:t>
            </w:r>
            <w:r w:rsidR="00872C20" w:rsidRPr="007047B5">
              <w:rPr>
                <w:b/>
                <w:i/>
                <w:lang w:val="en-IE"/>
              </w:rPr>
              <w:t>the</w:t>
            </w:r>
            <w:r w:rsidR="000107CF" w:rsidRPr="007047B5">
              <w:rPr>
                <w:b/>
                <w:i/>
                <w:lang w:val="en-IE"/>
              </w:rPr>
              <w:t xml:space="preserve"> </w:t>
            </w:r>
            <w:r w:rsidRPr="007047B5">
              <w:rPr>
                <w:b/>
                <w:i/>
                <w:lang w:val="en-IE"/>
              </w:rPr>
              <w:t>E</w:t>
            </w:r>
            <w:r w:rsidR="00872C20" w:rsidRPr="007047B5">
              <w:rPr>
                <w:b/>
                <w:i/>
                <w:lang w:val="en-IE"/>
              </w:rPr>
              <w:t xml:space="preserve">uropean </w:t>
            </w:r>
            <w:r w:rsidRPr="007047B5">
              <w:rPr>
                <w:b/>
                <w:i/>
                <w:lang w:val="en-IE"/>
              </w:rPr>
              <w:t>S</w:t>
            </w:r>
            <w:r w:rsidR="00872C20" w:rsidRPr="007047B5">
              <w:rPr>
                <w:b/>
                <w:i/>
                <w:lang w:val="en-IE"/>
              </w:rPr>
              <w:t xml:space="preserve">ecurities and </w:t>
            </w:r>
            <w:r w:rsidRPr="007047B5">
              <w:rPr>
                <w:b/>
                <w:i/>
                <w:lang w:val="en-IE"/>
              </w:rPr>
              <w:t>M</w:t>
            </w:r>
            <w:r w:rsidR="00872C20" w:rsidRPr="007047B5">
              <w:rPr>
                <w:b/>
                <w:i/>
                <w:lang w:val="en-IE"/>
              </w:rPr>
              <w:t xml:space="preserve">arkets </w:t>
            </w:r>
            <w:r w:rsidRPr="007047B5">
              <w:rPr>
                <w:b/>
                <w:i/>
                <w:lang w:val="en-IE"/>
              </w:rPr>
              <w:t>A</w:t>
            </w:r>
            <w:r w:rsidR="00872C20" w:rsidRPr="007047B5">
              <w:rPr>
                <w:b/>
                <w:i/>
                <w:lang w:val="en-IE"/>
              </w:rPr>
              <w:t>uthority</w:t>
            </w:r>
            <w:r w:rsidRPr="007047B5">
              <w:rPr>
                <w:b/>
                <w:i/>
                <w:lang w:val="en-IE"/>
              </w:rPr>
              <w:t xml:space="preserve">, concludes that a specific credit </w:t>
            </w:r>
            <w:r w:rsidR="00D524E8" w:rsidRPr="007047B5">
              <w:rPr>
                <w:b/>
                <w:i/>
                <w:lang w:val="en-IE"/>
              </w:rPr>
              <w:t xml:space="preserve">institution </w:t>
            </w:r>
            <w:r w:rsidRPr="007047B5">
              <w:rPr>
                <w:b/>
                <w:i/>
                <w:lang w:val="en-IE"/>
              </w:rPr>
              <w:t xml:space="preserve">or </w:t>
            </w:r>
            <w:r w:rsidRPr="007047B5">
              <w:rPr>
                <w:b/>
                <w:i/>
                <w:lang w:val="en-GB"/>
              </w:rPr>
              <w:t xml:space="preserve">financial institution </w:t>
            </w:r>
            <w:r w:rsidRPr="007047B5">
              <w:rPr>
                <w:b/>
                <w:i/>
                <w:lang w:val="en-IE"/>
              </w:rPr>
              <w:t xml:space="preserve">or crypto-asset service provider </w:t>
            </w:r>
            <w:r w:rsidR="008D168E" w:rsidRPr="007047B5">
              <w:rPr>
                <w:b/>
                <w:i/>
                <w:lang w:val="en-IE"/>
              </w:rPr>
              <w:t xml:space="preserve">not </w:t>
            </w:r>
            <w:r w:rsidRPr="007047B5">
              <w:rPr>
                <w:b/>
                <w:i/>
                <w:lang w:val="en-IE"/>
              </w:rPr>
              <w:t xml:space="preserve">established </w:t>
            </w:r>
            <w:r w:rsidR="008D168E" w:rsidRPr="007047B5">
              <w:rPr>
                <w:b/>
                <w:i/>
                <w:lang w:val="en-IE"/>
              </w:rPr>
              <w:t xml:space="preserve">in </w:t>
            </w:r>
            <w:r w:rsidRPr="007047B5">
              <w:rPr>
                <w:b/>
                <w:i/>
                <w:lang w:val="en-IE"/>
              </w:rPr>
              <w:t xml:space="preserve">the Union poses a specific and serious threat to the financial system of the Union, </w:t>
            </w:r>
            <w:r w:rsidR="00872C20" w:rsidRPr="007047B5">
              <w:rPr>
                <w:b/>
                <w:i/>
                <w:lang w:val="en-IE"/>
              </w:rPr>
              <w:t>it</w:t>
            </w:r>
            <w:r w:rsidRPr="007047B5">
              <w:rPr>
                <w:b/>
                <w:i/>
                <w:lang w:val="en-IE"/>
              </w:rPr>
              <w:t xml:space="preserve"> shall adopt a delegated act in accordance with Article 60.</w:t>
            </w:r>
          </w:p>
        </w:tc>
      </w:tr>
      <w:tr w:rsidR="00CB2077" w:rsidRPr="007047B5" w14:paraId="55073F88" w14:textId="77777777" w:rsidTr="00CB2077">
        <w:trPr>
          <w:jc w:val="center"/>
        </w:trPr>
        <w:tc>
          <w:tcPr>
            <w:tcW w:w="4876" w:type="dxa"/>
          </w:tcPr>
          <w:p w14:paraId="14FF8A81" w14:textId="77777777" w:rsidR="00CB2077" w:rsidRPr="007047B5" w:rsidRDefault="00CB2077">
            <w:pPr>
              <w:pStyle w:val="Normal6"/>
              <w:rPr>
                <w:lang w:val="en-IE"/>
              </w:rPr>
            </w:pPr>
          </w:p>
        </w:tc>
        <w:tc>
          <w:tcPr>
            <w:tcW w:w="4876" w:type="dxa"/>
            <w:hideMark/>
          </w:tcPr>
          <w:p w14:paraId="2A713B93" w14:textId="21B0F4F9" w:rsidR="00CB2077" w:rsidRPr="007047B5" w:rsidRDefault="00CB2077" w:rsidP="006F5456">
            <w:pPr>
              <w:pStyle w:val="Normal6"/>
              <w:rPr>
                <w:szCs w:val="24"/>
                <w:lang w:val="en-IE"/>
              </w:rPr>
            </w:pPr>
            <w:r w:rsidRPr="007047B5">
              <w:rPr>
                <w:b/>
                <w:i/>
                <w:lang w:val="en-IE"/>
              </w:rPr>
              <w:t xml:space="preserve">4. </w:t>
            </w:r>
            <w:r w:rsidR="00111A6C" w:rsidRPr="007047B5">
              <w:rPr>
                <w:b/>
                <w:i/>
                <w:lang w:val="en-IE"/>
              </w:rPr>
              <w:tab/>
            </w:r>
            <w:r w:rsidRPr="007047B5">
              <w:rPr>
                <w:b/>
                <w:i/>
                <w:lang w:val="en-IE"/>
              </w:rPr>
              <w:t xml:space="preserve">The delegated act referred to in paragraph 3 shall include </w:t>
            </w:r>
            <w:r w:rsidR="00872C20" w:rsidRPr="007047B5">
              <w:rPr>
                <w:b/>
                <w:i/>
                <w:lang w:val="en-IE"/>
              </w:rPr>
              <w:t xml:space="preserve">one or more of </w:t>
            </w:r>
            <w:r w:rsidRPr="007047B5">
              <w:rPr>
                <w:b/>
                <w:i/>
                <w:lang w:val="en-IE"/>
              </w:rPr>
              <w:t xml:space="preserve">the </w:t>
            </w:r>
            <w:r w:rsidR="00872C20" w:rsidRPr="007047B5">
              <w:rPr>
                <w:b/>
                <w:i/>
                <w:lang w:val="en-IE"/>
              </w:rPr>
              <w:t xml:space="preserve">following </w:t>
            </w:r>
            <w:r w:rsidRPr="007047B5">
              <w:rPr>
                <w:b/>
                <w:i/>
                <w:lang w:val="en-IE"/>
              </w:rPr>
              <w:t>measures</w:t>
            </w:r>
            <w:r w:rsidR="00872C20" w:rsidRPr="007047B5">
              <w:rPr>
                <w:b/>
                <w:i/>
                <w:lang w:val="en-IE"/>
              </w:rPr>
              <w:t>, which</w:t>
            </w:r>
            <w:r w:rsidRPr="007047B5">
              <w:rPr>
                <w:b/>
                <w:i/>
                <w:lang w:val="en-IE"/>
              </w:rPr>
              <w:t xml:space="preserve"> obliged entities </w:t>
            </w:r>
            <w:r w:rsidR="00872C20" w:rsidRPr="007047B5">
              <w:rPr>
                <w:b/>
                <w:i/>
                <w:lang w:val="en-IE"/>
              </w:rPr>
              <w:t xml:space="preserve">are to </w:t>
            </w:r>
            <w:r w:rsidRPr="007047B5">
              <w:rPr>
                <w:b/>
                <w:i/>
                <w:lang w:val="en-IE"/>
              </w:rPr>
              <w:t>apply to mitigate risks related to business relationships or occasional transactions involving that specific credit</w:t>
            </w:r>
            <w:r w:rsidR="00D524E8" w:rsidRPr="007047B5">
              <w:rPr>
                <w:b/>
                <w:i/>
                <w:lang w:val="en-IE"/>
              </w:rPr>
              <w:t xml:space="preserve"> institution</w:t>
            </w:r>
            <w:r w:rsidRPr="007047B5">
              <w:rPr>
                <w:b/>
                <w:i/>
                <w:lang w:val="en-IE"/>
              </w:rPr>
              <w:t xml:space="preserve"> or financial institution or crypto-asset service provider:</w:t>
            </w:r>
          </w:p>
        </w:tc>
      </w:tr>
      <w:tr w:rsidR="00CB2077" w:rsidRPr="007047B5" w14:paraId="61A25F98" w14:textId="77777777" w:rsidTr="00CB2077">
        <w:trPr>
          <w:jc w:val="center"/>
        </w:trPr>
        <w:tc>
          <w:tcPr>
            <w:tcW w:w="4876" w:type="dxa"/>
          </w:tcPr>
          <w:p w14:paraId="121D290A" w14:textId="77777777" w:rsidR="00CB2077" w:rsidRPr="007047B5" w:rsidRDefault="00CB2077">
            <w:pPr>
              <w:pStyle w:val="Normal6"/>
              <w:rPr>
                <w:lang w:val="en-IE"/>
              </w:rPr>
            </w:pPr>
          </w:p>
        </w:tc>
        <w:tc>
          <w:tcPr>
            <w:tcW w:w="4876" w:type="dxa"/>
            <w:hideMark/>
          </w:tcPr>
          <w:p w14:paraId="03BC15F1" w14:textId="77777777" w:rsidR="00CB2077" w:rsidRPr="007047B5" w:rsidRDefault="00CB2077">
            <w:pPr>
              <w:pStyle w:val="Normal6"/>
              <w:rPr>
                <w:szCs w:val="24"/>
                <w:lang w:val="en-IE"/>
              </w:rPr>
            </w:pPr>
            <w:r w:rsidRPr="007047B5">
              <w:rPr>
                <w:b/>
                <w:i/>
                <w:lang w:val="en-IE"/>
              </w:rPr>
              <w:t xml:space="preserve">(a) </w:t>
            </w:r>
            <w:r w:rsidR="00111A6C" w:rsidRPr="007047B5">
              <w:rPr>
                <w:b/>
                <w:i/>
                <w:lang w:val="en-IE"/>
              </w:rPr>
              <w:tab/>
            </w:r>
            <w:r w:rsidRPr="007047B5">
              <w:rPr>
                <w:b/>
                <w:i/>
                <w:lang w:val="en-IE"/>
              </w:rPr>
              <w:t>the application of elements of enhanced due diligence;</w:t>
            </w:r>
          </w:p>
        </w:tc>
      </w:tr>
      <w:tr w:rsidR="00CB2077" w:rsidRPr="007047B5" w14:paraId="4BDEDBDB" w14:textId="77777777" w:rsidTr="00CB2077">
        <w:trPr>
          <w:jc w:val="center"/>
        </w:trPr>
        <w:tc>
          <w:tcPr>
            <w:tcW w:w="4876" w:type="dxa"/>
          </w:tcPr>
          <w:p w14:paraId="2D3A2808" w14:textId="77777777" w:rsidR="00CB2077" w:rsidRPr="007047B5" w:rsidRDefault="00CB2077">
            <w:pPr>
              <w:pStyle w:val="Normal6"/>
              <w:rPr>
                <w:lang w:val="en-IE"/>
              </w:rPr>
            </w:pPr>
          </w:p>
        </w:tc>
        <w:tc>
          <w:tcPr>
            <w:tcW w:w="4876" w:type="dxa"/>
            <w:hideMark/>
          </w:tcPr>
          <w:p w14:paraId="2B1E7E45" w14:textId="77777777" w:rsidR="00CB2077" w:rsidRPr="007047B5" w:rsidRDefault="00CB2077">
            <w:pPr>
              <w:pStyle w:val="Normal6"/>
              <w:rPr>
                <w:szCs w:val="24"/>
                <w:lang w:val="en-IE"/>
              </w:rPr>
            </w:pPr>
            <w:r w:rsidRPr="007047B5">
              <w:rPr>
                <w:b/>
                <w:i/>
                <w:lang w:val="en-IE"/>
              </w:rPr>
              <w:t xml:space="preserve">(b) </w:t>
            </w:r>
            <w:r w:rsidR="00111A6C" w:rsidRPr="007047B5">
              <w:rPr>
                <w:b/>
                <w:i/>
                <w:lang w:val="en-IE"/>
              </w:rPr>
              <w:tab/>
            </w:r>
            <w:r w:rsidR="00872C20" w:rsidRPr="007047B5">
              <w:rPr>
                <w:b/>
                <w:i/>
                <w:lang w:val="en-IE"/>
              </w:rPr>
              <w:t xml:space="preserve">the </w:t>
            </w:r>
            <w:r w:rsidRPr="007047B5">
              <w:rPr>
                <w:b/>
                <w:i/>
                <w:lang w:val="en-IE"/>
              </w:rPr>
              <w:t>introduction of enhanced relevant reporting mechanisms or systematic reporting of financial transactions;</w:t>
            </w:r>
          </w:p>
        </w:tc>
      </w:tr>
      <w:tr w:rsidR="00CB2077" w:rsidRPr="007047B5" w14:paraId="3D0834EF" w14:textId="77777777" w:rsidTr="00CB2077">
        <w:trPr>
          <w:jc w:val="center"/>
        </w:trPr>
        <w:tc>
          <w:tcPr>
            <w:tcW w:w="4876" w:type="dxa"/>
          </w:tcPr>
          <w:p w14:paraId="3FA542A4" w14:textId="77777777" w:rsidR="00CB2077" w:rsidRPr="007047B5" w:rsidRDefault="00CB2077">
            <w:pPr>
              <w:pStyle w:val="Normal6"/>
              <w:rPr>
                <w:lang w:val="en-IE"/>
              </w:rPr>
            </w:pPr>
          </w:p>
        </w:tc>
        <w:tc>
          <w:tcPr>
            <w:tcW w:w="4876" w:type="dxa"/>
            <w:hideMark/>
          </w:tcPr>
          <w:p w14:paraId="41FA5E80" w14:textId="77777777" w:rsidR="00CB2077" w:rsidRPr="007047B5" w:rsidRDefault="00CB2077">
            <w:pPr>
              <w:pStyle w:val="Normal6"/>
              <w:rPr>
                <w:szCs w:val="24"/>
                <w:lang w:val="en-IE"/>
              </w:rPr>
            </w:pPr>
            <w:r w:rsidRPr="007047B5">
              <w:rPr>
                <w:b/>
                <w:i/>
                <w:lang w:val="en-IE"/>
              </w:rPr>
              <w:t xml:space="preserve">(c) </w:t>
            </w:r>
            <w:r w:rsidR="00111A6C" w:rsidRPr="007047B5">
              <w:rPr>
                <w:b/>
                <w:i/>
                <w:lang w:val="en-IE"/>
              </w:rPr>
              <w:tab/>
            </w:r>
            <w:r w:rsidRPr="007047B5">
              <w:rPr>
                <w:b/>
                <w:i/>
                <w:lang w:val="en-IE"/>
              </w:rPr>
              <w:t>conducting enhanced monitoring of the business relationship by increasing the number and timing of controls applied, and selecting patterns of transactions that need further examination;</w:t>
            </w:r>
          </w:p>
        </w:tc>
      </w:tr>
      <w:tr w:rsidR="00CB2077" w:rsidRPr="007047B5" w14:paraId="537AAD38" w14:textId="77777777" w:rsidTr="00CB2077">
        <w:trPr>
          <w:jc w:val="center"/>
        </w:trPr>
        <w:tc>
          <w:tcPr>
            <w:tcW w:w="4876" w:type="dxa"/>
          </w:tcPr>
          <w:p w14:paraId="7EE385E5" w14:textId="77777777" w:rsidR="00CB2077" w:rsidRPr="007047B5" w:rsidRDefault="00CB2077">
            <w:pPr>
              <w:pStyle w:val="Normal6"/>
              <w:rPr>
                <w:lang w:val="en-IE"/>
              </w:rPr>
            </w:pPr>
          </w:p>
        </w:tc>
        <w:tc>
          <w:tcPr>
            <w:tcW w:w="4876" w:type="dxa"/>
            <w:hideMark/>
          </w:tcPr>
          <w:p w14:paraId="7994908F" w14:textId="1CB2CAED" w:rsidR="00CB2077" w:rsidRPr="007047B5" w:rsidRDefault="00CB2077" w:rsidP="006F5456">
            <w:pPr>
              <w:pStyle w:val="Normal6"/>
              <w:rPr>
                <w:szCs w:val="24"/>
                <w:lang w:val="en-IE"/>
              </w:rPr>
            </w:pPr>
            <w:r w:rsidRPr="007047B5">
              <w:rPr>
                <w:b/>
                <w:i/>
                <w:lang w:val="en-IE"/>
              </w:rPr>
              <w:t xml:space="preserve">(d) </w:t>
            </w:r>
            <w:r w:rsidR="00111A6C" w:rsidRPr="007047B5">
              <w:rPr>
                <w:b/>
                <w:i/>
                <w:lang w:val="en-IE"/>
              </w:rPr>
              <w:tab/>
            </w:r>
            <w:r w:rsidR="00872C20" w:rsidRPr="007047B5">
              <w:rPr>
                <w:b/>
                <w:i/>
                <w:lang w:val="en-IE"/>
              </w:rPr>
              <w:t>limiting</w:t>
            </w:r>
            <w:r w:rsidRPr="007047B5">
              <w:rPr>
                <w:b/>
                <w:i/>
                <w:lang w:val="en-IE"/>
              </w:rPr>
              <w:t xml:space="preserve"> business relationships or transactions with that credit </w:t>
            </w:r>
            <w:r w:rsidR="00D524E8" w:rsidRPr="007047B5">
              <w:rPr>
                <w:b/>
                <w:i/>
                <w:lang w:val="en-IE"/>
              </w:rPr>
              <w:t xml:space="preserve">institution </w:t>
            </w:r>
            <w:r w:rsidRPr="007047B5">
              <w:rPr>
                <w:b/>
                <w:i/>
                <w:lang w:val="en-IE"/>
              </w:rPr>
              <w:t>or financial institution.</w:t>
            </w:r>
          </w:p>
        </w:tc>
      </w:tr>
      <w:tr w:rsidR="00CB2077" w:rsidRPr="007047B5" w14:paraId="6F2E066D" w14:textId="77777777" w:rsidTr="00CB2077">
        <w:trPr>
          <w:jc w:val="center"/>
        </w:trPr>
        <w:tc>
          <w:tcPr>
            <w:tcW w:w="4876" w:type="dxa"/>
          </w:tcPr>
          <w:p w14:paraId="24540D25" w14:textId="77777777" w:rsidR="00CB2077" w:rsidRPr="007047B5" w:rsidRDefault="00CB2077">
            <w:pPr>
              <w:pStyle w:val="Normal6"/>
              <w:rPr>
                <w:lang w:val="en-IE"/>
              </w:rPr>
            </w:pPr>
          </w:p>
        </w:tc>
        <w:tc>
          <w:tcPr>
            <w:tcW w:w="4876" w:type="dxa"/>
            <w:hideMark/>
          </w:tcPr>
          <w:p w14:paraId="47890913" w14:textId="48E57DBC" w:rsidR="00CB2077" w:rsidRPr="007047B5" w:rsidRDefault="00CB2077">
            <w:pPr>
              <w:pStyle w:val="Normal6"/>
              <w:rPr>
                <w:szCs w:val="24"/>
                <w:lang w:val="en-IE"/>
              </w:rPr>
            </w:pPr>
            <w:r w:rsidRPr="007047B5">
              <w:rPr>
                <w:b/>
                <w:i/>
                <w:lang w:val="en-IE"/>
              </w:rPr>
              <w:t xml:space="preserve">5. </w:t>
            </w:r>
            <w:r w:rsidR="00111A6C" w:rsidRPr="007047B5">
              <w:rPr>
                <w:b/>
                <w:i/>
                <w:lang w:val="en-IE"/>
              </w:rPr>
              <w:tab/>
            </w:r>
            <w:r w:rsidR="00872C20" w:rsidRPr="007047B5">
              <w:rPr>
                <w:b/>
                <w:i/>
                <w:lang w:val="en-IE"/>
              </w:rPr>
              <w:t>W</w:t>
            </w:r>
            <w:r w:rsidRPr="007047B5">
              <w:rPr>
                <w:b/>
                <w:i/>
                <w:lang w:val="en-IE"/>
              </w:rPr>
              <w:t xml:space="preserve">here the analysis referred to in paragraph 1 is requested by the European Parliament, </w:t>
            </w:r>
            <w:r w:rsidR="00872C20" w:rsidRPr="007047B5">
              <w:rPr>
                <w:b/>
                <w:i/>
                <w:lang w:val="en-IE"/>
              </w:rPr>
              <w:t xml:space="preserve">by </w:t>
            </w:r>
            <w:r w:rsidRPr="007047B5">
              <w:rPr>
                <w:b/>
                <w:i/>
                <w:lang w:val="en-IE"/>
              </w:rPr>
              <w:t xml:space="preserve">the Council, </w:t>
            </w:r>
            <w:r w:rsidR="00872C20" w:rsidRPr="007047B5">
              <w:rPr>
                <w:b/>
                <w:i/>
                <w:lang w:val="en-IE"/>
              </w:rPr>
              <w:t xml:space="preserve">by </w:t>
            </w:r>
            <w:r w:rsidRPr="007047B5">
              <w:rPr>
                <w:b/>
                <w:i/>
                <w:lang w:val="en-IE"/>
              </w:rPr>
              <w:t xml:space="preserve">AMLA or by a supervisor, and the Commission </w:t>
            </w:r>
            <w:r w:rsidRPr="007047B5">
              <w:rPr>
                <w:b/>
                <w:i/>
                <w:lang w:val="en-IE"/>
              </w:rPr>
              <w:lastRenderedPageBreak/>
              <w:t xml:space="preserve">concludes that a specific credit </w:t>
            </w:r>
            <w:r w:rsidR="00D524E8" w:rsidRPr="007047B5">
              <w:rPr>
                <w:b/>
                <w:i/>
                <w:lang w:val="en-IE"/>
              </w:rPr>
              <w:t xml:space="preserve">institution </w:t>
            </w:r>
            <w:r w:rsidRPr="007047B5">
              <w:rPr>
                <w:b/>
                <w:i/>
                <w:lang w:val="en-IE"/>
              </w:rPr>
              <w:t xml:space="preserve">or financial </w:t>
            </w:r>
            <w:r w:rsidRPr="007047B5">
              <w:rPr>
                <w:b/>
                <w:i/>
                <w:lang w:val="en-GB"/>
              </w:rPr>
              <w:t>institution or crypto</w:t>
            </w:r>
            <w:r w:rsidR="00023B8F" w:rsidRPr="007047B5">
              <w:rPr>
                <w:b/>
                <w:i/>
                <w:lang w:val="en-GB"/>
              </w:rPr>
              <w:t>-</w:t>
            </w:r>
            <w:r w:rsidRPr="007047B5">
              <w:rPr>
                <w:b/>
                <w:i/>
                <w:lang w:val="en-GB"/>
              </w:rPr>
              <w:t>asset service provider</w:t>
            </w:r>
            <w:r w:rsidR="008D168E" w:rsidRPr="007047B5">
              <w:rPr>
                <w:b/>
                <w:i/>
                <w:lang w:val="en-GB"/>
              </w:rPr>
              <w:t xml:space="preserve"> not</w:t>
            </w:r>
            <w:r w:rsidRPr="007047B5">
              <w:rPr>
                <w:b/>
                <w:i/>
                <w:lang w:val="en-GB"/>
              </w:rPr>
              <w:t xml:space="preserve"> established </w:t>
            </w:r>
            <w:r w:rsidR="008D168E" w:rsidRPr="007047B5">
              <w:rPr>
                <w:b/>
                <w:i/>
                <w:lang w:val="en-GB"/>
              </w:rPr>
              <w:t>in</w:t>
            </w:r>
            <w:r w:rsidRPr="007047B5">
              <w:rPr>
                <w:b/>
                <w:i/>
                <w:lang w:val="en-GB"/>
              </w:rPr>
              <w:t xml:space="preserve"> the Union does not po</w:t>
            </w:r>
            <w:r w:rsidRPr="007047B5">
              <w:rPr>
                <w:b/>
                <w:i/>
                <w:lang w:val="en-IE"/>
              </w:rPr>
              <w:t>se a specific and serious threat to the financial system of the Union justif</w:t>
            </w:r>
            <w:r w:rsidR="00872C20" w:rsidRPr="007047B5">
              <w:rPr>
                <w:b/>
                <w:i/>
                <w:lang w:val="en-IE"/>
              </w:rPr>
              <w:t>ying</w:t>
            </w:r>
            <w:r w:rsidRPr="007047B5">
              <w:rPr>
                <w:b/>
                <w:i/>
                <w:lang w:val="en-IE"/>
              </w:rPr>
              <w:t xml:space="preserve"> the adoption of a delegated act, it shall provide a reasoned justification to the request</w:t>
            </w:r>
            <w:r w:rsidR="00872C20" w:rsidRPr="007047B5">
              <w:rPr>
                <w:b/>
                <w:i/>
                <w:lang w:val="en-IE"/>
              </w:rPr>
              <w:t>or</w:t>
            </w:r>
            <w:r w:rsidRPr="007047B5">
              <w:rPr>
                <w:b/>
                <w:i/>
                <w:lang w:val="en-IE"/>
              </w:rPr>
              <w:t xml:space="preserve"> within 30 days.</w:t>
            </w:r>
          </w:p>
        </w:tc>
      </w:tr>
    </w:tbl>
    <w:p w14:paraId="53B96C59"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B7E69C7" w14:textId="77777777" w:rsidR="00CB2077" w:rsidRPr="007047B5" w:rsidRDefault="00CB2077" w:rsidP="00CB2077">
      <w:pPr>
        <w:rPr>
          <w:lang w:val="en-IE"/>
        </w:rPr>
      </w:pPr>
      <w:r w:rsidRPr="007047B5">
        <w:rPr>
          <w:rStyle w:val="HideTWBExt"/>
          <w:noProof w:val="0"/>
          <w:lang w:val="en-IE"/>
        </w:rPr>
        <w:t>&lt;/Amend&gt;</w:t>
      </w:r>
    </w:p>
    <w:p w14:paraId="0BACA9CC"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71</w:t>
      </w:r>
      <w:r w:rsidRPr="007047B5">
        <w:rPr>
          <w:rStyle w:val="HideTWBExt"/>
          <w:b w:val="0"/>
          <w:noProof w:val="0"/>
          <w:lang w:val="en-IE"/>
        </w:rPr>
        <w:t>&lt;/NumAm&gt;</w:t>
      </w:r>
    </w:p>
    <w:p w14:paraId="79FABAEB"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2E1B1F9"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27 – paragraph 5 – point d 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DF60CBB" w14:textId="77777777" w:rsidTr="00CB2077">
        <w:trPr>
          <w:jc w:val="center"/>
        </w:trPr>
        <w:tc>
          <w:tcPr>
            <w:tcW w:w="9752" w:type="dxa"/>
            <w:gridSpan w:val="2"/>
          </w:tcPr>
          <w:p w14:paraId="477566D0" w14:textId="77777777" w:rsidR="00CB2077" w:rsidRPr="007047B5" w:rsidRDefault="00CB2077">
            <w:pPr>
              <w:keepNext/>
              <w:rPr>
                <w:lang w:val="fr-FR"/>
              </w:rPr>
            </w:pPr>
          </w:p>
        </w:tc>
      </w:tr>
      <w:tr w:rsidR="00CB2077" w:rsidRPr="007047B5" w14:paraId="37841270" w14:textId="77777777" w:rsidTr="00CB2077">
        <w:trPr>
          <w:jc w:val="center"/>
        </w:trPr>
        <w:tc>
          <w:tcPr>
            <w:tcW w:w="4876" w:type="dxa"/>
            <w:hideMark/>
          </w:tcPr>
          <w:p w14:paraId="63535399"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EBB038E" w14:textId="77777777" w:rsidR="00CB2077" w:rsidRPr="007047B5" w:rsidRDefault="00CB2077">
            <w:pPr>
              <w:pStyle w:val="ColumnHeading"/>
              <w:keepNext/>
              <w:rPr>
                <w:lang w:val="en-IE"/>
              </w:rPr>
            </w:pPr>
            <w:r w:rsidRPr="007047B5">
              <w:rPr>
                <w:lang w:val="en-IE"/>
              </w:rPr>
              <w:t>Amendment</w:t>
            </w:r>
          </w:p>
        </w:tc>
      </w:tr>
      <w:tr w:rsidR="00CB2077" w:rsidRPr="007047B5" w14:paraId="4D8BA6ED" w14:textId="77777777" w:rsidTr="00CB2077">
        <w:trPr>
          <w:jc w:val="center"/>
        </w:trPr>
        <w:tc>
          <w:tcPr>
            <w:tcW w:w="4876" w:type="dxa"/>
          </w:tcPr>
          <w:p w14:paraId="60C420D6" w14:textId="77777777" w:rsidR="00CB2077" w:rsidRPr="007047B5" w:rsidRDefault="00CB2077">
            <w:pPr>
              <w:pStyle w:val="Normal6"/>
              <w:rPr>
                <w:lang w:val="en-IE"/>
              </w:rPr>
            </w:pPr>
          </w:p>
        </w:tc>
        <w:tc>
          <w:tcPr>
            <w:tcW w:w="4876" w:type="dxa"/>
            <w:hideMark/>
          </w:tcPr>
          <w:p w14:paraId="5F2C9CE3" w14:textId="2802C01D" w:rsidR="00CB2077" w:rsidRPr="007047B5" w:rsidRDefault="00CB2077">
            <w:pPr>
              <w:pStyle w:val="Normal6"/>
              <w:rPr>
                <w:szCs w:val="24"/>
                <w:lang w:val="en-IE"/>
              </w:rPr>
            </w:pPr>
            <w:r w:rsidRPr="007047B5">
              <w:rPr>
                <w:b/>
                <w:i/>
                <w:lang w:val="en-IE"/>
              </w:rPr>
              <w:t>(da)</w:t>
            </w:r>
            <w:r w:rsidRPr="007047B5">
              <w:rPr>
                <w:b/>
                <w:i/>
                <w:lang w:val="en-IE"/>
              </w:rPr>
              <w:tab/>
              <w:t xml:space="preserve">any of the circumstances </w:t>
            </w:r>
            <w:r w:rsidR="00872C20" w:rsidRPr="007047B5">
              <w:rPr>
                <w:b/>
                <w:i/>
                <w:lang w:val="en-IE"/>
              </w:rPr>
              <w:t xml:space="preserve">set out </w:t>
            </w:r>
            <w:r w:rsidRPr="007047B5">
              <w:rPr>
                <w:b/>
                <w:i/>
                <w:lang w:val="en-IE"/>
              </w:rPr>
              <w:t>in Articles 28, 31b, 32</w:t>
            </w:r>
            <w:r w:rsidR="00D524E8" w:rsidRPr="007047B5">
              <w:rPr>
                <w:b/>
                <w:i/>
                <w:lang w:val="en-IE"/>
              </w:rPr>
              <w:t xml:space="preserve">, </w:t>
            </w:r>
            <w:r w:rsidRPr="007047B5">
              <w:rPr>
                <w:b/>
                <w:i/>
                <w:lang w:val="en-IE"/>
              </w:rPr>
              <w:t>36</w:t>
            </w:r>
            <w:r w:rsidR="00D524E8" w:rsidRPr="007047B5">
              <w:rPr>
                <w:b/>
                <w:i/>
                <w:lang w:val="en-IE"/>
              </w:rPr>
              <w:t xml:space="preserve"> and</w:t>
            </w:r>
            <w:r w:rsidRPr="007047B5">
              <w:rPr>
                <w:b/>
                <w:i/>
                <w:lang w:val="en-IE"/>
              </w:rPr>
              <w:t xml:space="preserve"> 36a apply.</w:t>
            </w:r>
          </w:p>
        </w:tc>
      </w:tr>
    </w:tbl>
    <w:p w14:paraId="018FB29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0C3BC5B" w14:textId="77777777" w:rsidR="00CB2077" w:rsidRPr="007047B5" w:rsidRDefault="00CB2077" w:rsidP="00CB2077">
      <w:pPr>
        <w:rPr>
          <w:lang w:val="en-IE"/>
        </w:rPr>
      </w:pPr>
      <w:r w:rsidRPr="007047B5">
        <w:rPr>
          <w:rStyle w:val="HideTWBExt"/>
          <w:noProof w:val="0"/>
          <w:lang w:val="en-IE"/>
        </w:rPr>
        <w:t>&lt;/Amend&gt;</w:t>
      </w:r>
    </w:p>
    <w:p w14:paraId="701D8C94"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72</w:t>
      </w:r>
      <w:r w:rsidRPr="007047B5">
        <w:rPr>
          <w:rStyle w:val="HideTWBExt"/>
          <w:b w:val="0"/>
          <w:noProof w:val="0"/>
          <w:lang w:val="en-IE"/>
        </w:rPr>
        <w:t>&lt;/NumAm&gt;</w:t>
      </w:r>
    </w:p>
    <w:p w14:paraId="38A704D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A7142A8"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28 – paragraph 4 – introductory part</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F68F012" w14:textId="77777777" w:rsidTr="00CB2077">
        <w:trPr>
          <w:jc w:val="center"/>
        </w:trPr>
        <w:tc>
          <w:tcPr>
            <w:tcW w:w="9752" w:type="dxa"/>
            <w:gridSpan w:val="2"/>
          </w:tcPr>
          <w:p w14:paraId="66171AB8" w14:textId="77777777" w:rsidR="00CB2077" w:rsidRPr="007047B5" w:rsidRDefault="00CB2077">
            <w:pPr>
              <w:keepNext/>
              <w:rPr>
                <w:lang w:val="en-IE"/>
              </w:rPr>
            </w:pPr>
          </w:p>
        </w:tc>
      </w:tr>
      <w:tr w:rsidR="00CB2077" w:rsidRPr="007047B5" w14:paraId="1C97FC10" w14:textId="77777777" w:rsidTr="00CB2077">
        <w:trPr>
          <w:jc w:val="center"/>
        </w:trPr>
        <w:tc>
          <w:tcPr>
            <w:tcW w:w="4876" w:type="dxa"/>
            <w:hideMark/>
          </w:tcPr>
          <w:p w14:paraId="17CE933F"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AF38DE8" w14:textId="77777777" w:rsidR="00CB2077" w:rsidRPr="007047B5" w:rsidRDefault="00CB2077">
            <w:pPr>
              <w:pStyle w:val="ColumnHeading"/>
              <w:keepNext/>
              <w:rPr>
                <w:lang w:val="en-IE"/>
              </w:rPr>
            </w:pPr>
            <w:r w:rsidRPr="007047B5">
              <w:rPr>
                <w:lang w:val="en-IE"/>
              </w:rPr>
              <w:t>Amendment</w:t>
            </w:r>
          </w:p>
        </w:tc>
      </w:tr>
      <w:tr w:rsidR="00CB2077" w:rsidRPr="007047B5" w14:paraId="21B81B2C" w14:textId="77777777" w:rsidTr="00CB2077">
        <w:trPr>
          <w:jc w:val="center"/>
        </w:trPr>
        <w:tc>
          <w:tcPr>
            <w:tcW w:w="4876" w:type="dxa"/>
            <w:hideMark/>
          </w:tcPr>
          <w:p w14:paraId="0DADB22E" w14:textId="77777777" w:rsidR="00CB2077" w:rsidRPr="007047B5" w:rsidRDefault="00CB2077">
            <w:pPr>
              <w:pStyle w:val="Normal6"/>
              <w:rPr>
                <w:lang w:val="en-IE"/>
              </w:rPr>
            </w:pPr>
            <w:r w:rsidRPr="007047B5">
              <w:rPr>
                <w:lang w:val="en-IE"/>
              </w:rPr>
              <w:t>4.</w:t>
            </w:r>
            <w:r w:rsidRPr="007047B5">
              <w:rPr>
                <w:lang w:val="en-IE"/>
              </w:rPr>
              <w:tab/>
              <w:t xml:space="preserve">With the exception of the cases covered by Section 2 of this Chapter, in cases of higher risk, obliged entities </w:t>
            </w:r>
            <w:r w:rsidRPr="007047B5">
              <w:rPr>
                <w:b/>
                <w:i/>
                <w:lang w:val="en-IE"/>
              </w:rPr>
              <w:t>may</w:t>
            </w:r>
            <w:r w:rsidRPr="007047B5">
              <w:rPr>
                <w:lang w:val="en-IE"/>
              </w:rPr>
              <w:t xml:space="preserve"> apply any of the following enhanced customer due diligence measures, proportionate to the higher risks identified:</w:t>
            </w:r>
          </w:p>
        </w:tc>
        <w:tc>
          <w:tcPr>
            <w:tcW w:w="4876" w:type="dxa"/>
            <w:hideMark/>
          </w:tcPr>
          <w:p w14:paraId="5B99434F" w14:textId="2FC33DA5" w:rsidR="00CB2077" w:rsidRPr="007047B5" w:rsidRDefault="00CB2077" w:rsidP="006F5456">
            <w:pPr>
              <w:pStyle w:val="Normal6"/>
              <w:rPr>
                <w:szCs w:val="24"/>
                <w:lang w:val="en-IE"/>
              </w:rPr>
            </w:pPr>
            <w:r w:rsidRPr="007047B5">
              <w:rPr>
                <w:lang w:val="en-IE"/>
              </w:rPr>
              <w:t>4.</w:t>
            </w:r>
            <w:r w:rsidRPr="007047B5">
              <w:rPr>
                <w:lang w:val="en-IE"/>
              </w:rPr>
              <w:tab/>
              <w:t xml:space="preserve">With the exception of the cases covered by Section 2 of this Chapter, in cases of higher risk, obliged entities </w:t>
            </w:r>
            <w:r w:rsidRPr="007047B5">
              <w:rPr>
                <w:b/>
                <w:i/>
                <w:lang w:val="en-IE"/>
              </w:rPr>
              <w:t>shall</w:t>
            </w:r>
            <w:r w:rsidRPr="007047B5">
              <w:rPr>
                <w:lang w:val="en-IE"/>
              </w:rPr>
              <w:t xml:space="preserve"> apply </w:t>
            </w:r>
            <w:r w:rsidR="00872C20" w:rsidRPr="007047B5">
              <w:rPr>
                <w:b/>
                <w:i/>
                <w:lang w:val="en-IE"/>
              </w:rPr>
              <w:t>one or more</w:t>
            </w:r>
            <w:r w:rsidR="00872C20" w:rsidRPr="007047B5">
              <w:rPr>
                <w:lang w:val="en-IE"/>
              </w:rPr>
              <w:t xml:space="preserve"> </w:t>
            </w:r>
            <w:r w:rsidRPr="007047B5">
              <w:rPr>
                <w:lang w:val="en-IE"/>
              </w:rPr>
              <w:t>of the following enhanced customer due diligence measures, proportionate to the higher risks identified:</w:t>
            </w:r>
          </w:p>
        </w:tc>
      </w:tr>
    </w:tbl>
    <w:p w14:paraId="2EF728E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AE9B994" w14:textId="77777777" w:rsidR="00CB2077" w:rsidRPr="007047B5" w:rsidRDefault="00CB2077" w:rsidP="00CB2077">
      <w:pPr>
        <w:rPr>
          <w:lang w:val="en-IE"/>
        </w:rPr>
      </w:pPr>
      <w:r w:rsidRPr="007047B5">
        <w:rPr>
          <w:rStyle w:val="HideTWBExt"/>
          <w:noProof w:val="0"/>
          <w:lang w:val="en-IE"/>
        </w:rPr>
        <w:t>&lt;/Amend&gt;</w:t>
      </w:r>
    </w:p>
    <w:p w14:paraId="5381466B"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73</w:t>
      </w:r>
      <w:r w:rsidRPr="007047B5">
        <w:rPr>
          <w:rStyle w:val="HideTWBExt"/>
          <w:b w:val="0"/>
          <w:noProof w:val="0"/>
          <w:lang w:val="en-IE"/>
        </w:rPr>
        <w:t>&lt;/NumAm&gt;</w:t>
      </w:r>
    </w:p>
    <w:p w14:paraId="2177670A"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CB8C13F"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28 – paragraph 6</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9675BA8" w14:textId="77777777" w:rsidTr="00CB2077">
        <w:trPr>
          <w:jc w:val="center"/>
        </w:trPr>
        <w:tc>
          <w:tcPr>
            <w:tcW w:w="9752" w:type="dxa"/>
            <w:gridSpan w:val="2"/>
          </w:tcPr>
          <w:p w14:paraId="56DA8D30" w14:textId="77777777" w:rsidR="00CB2077" w:rsidRPr="007047B5" w:rsidRDefault="00CB2077">
            <w:pPr>
              <w:keepNext/>
              <w:rPr>
                <w:lang w:val="en-IE"/>
              </w:rPr>
            </w:pPr>
          </w:p>
        </w:tc>
      </w:tr>
      <w:tr w:rsidR="00CB2077" w:rsidRPr="007047B5" w14:paraId="220FC841" w14:textId="77777777" w:rsidTr="00CB2077">
        <w:trPr>
          <w:jc w:val="center"/>
        </w:trPr>
        <w:tc>
          <w:tcPr>
            <w:tcW w:w="4876" w:type="dxa"/>
            <w:hideMark/>
          </w:tcPr>
          <w:p w14:paraId="2D34011E"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F1BA182" w14:textId="77777777" w:rsidR="00CB2077" w:rsidRPr="007047B5" w:rsidRDefault="00CB2077">
            <w:pPr>
              <w:pStyle w:val="ColumnHeading"/>
              <w:keepNext/>
              <w:rPr>
                <w:lang w:val="en-IE"/>
              </w:rPr>
            </w:pPr>
            <w:r w:rsidRPr="007047B5">
              <w:rPr>
                <w:lang w:val="en-IE"/>
              </w:rPr>
              <w:t>Amendment</w:t>
            </w:r>
          </w:p>
        </w:tc>
      </w:tr>
      <w:tr w:rsidR="00CB2077" w:rsidRPr="007047B5" w14:paraId="1C8F935F" w14:textId="77777777" w:rsidTr="00CB2077">
        <w:trPr>
          <w:jc w:val="center"/>
        </w:trPr>
        <w:tc>
          <w:tcPr>
            <w:tcW w:w="4876" w:type="dxa"/>
            <w:hideMark/>
          </w:tcPr>
          <w:p w14:paraId="528218CA" w14:textId="77777777" w:rsidR="00CB2077" w:rsidRPr="007047B5" w:rsidRDefault="00CB2077">
            <w:pPr>
              <w:pStyle w:val="Normal6"/>
              <w:rPr>
                <w:lang w:val="en-IE"/>
              </w:rPr>
            </w:pPr>
            <w:r w:rsidRPr="007047B5">
              <w:rPr>
                <w:b/>
                <w:i/>
                <w:lang w:val="en-IE"/>
              </w:rPr>
              <w:t>6.</w:t>
            </w:r>
            <w:r w:rsidRPr="007047B5">
              <w:rPr>
                <w:b/>
                <w:i/>
                <w:lang w:val="en-IE"/>
              </w:rPr>
              <w:tab/>
              <w:t>Enhanced customer due diligence measures shall not be invoked automatically with respect to branches or subsidiaries of obliged entities established in the Union which are located third countries referred to in Articles 23, 24 and 25 where those branches or subsidiaries fully comply with the group-wide policies, controls and procedures in accordance with Article 14.</w:t>
            </w:r>
          </w:p>
        </w:tc>
        <w:tc>
          <w:tcPr>
            <w:tcW w:w="4876" w:type="dxa"/>
            <w:hideMark/>
          </w:tcPr>
          <w:p w14:paraId="63FDD98B" w14:textId="77777777" w:rsidR="00CB2077" w:rsidRPr="007047B5" w:rsidRDefault="00CB2077">
            <w:pPr>
              <w:pStyle w:val="Normal6"/>
              <w:rPr>
                <w:szCs w:val="24"/>
                <w:lang w:val="en-IE"/>
              </w:rPr>
            </w:pPr>
            <w:r w:rsidRPr="007047B5">
              <w:rPr>
                <w:b/>
                <w:i/>
                <w:lang w:val="en-IE"/>
              </w:rPr>
              <w:t>deleted</w:t>
            </w:r>
          </w:p>
        </w:tc>
      </w:tr>
    </w:tbl>
    <w:p w14:paraId="4B15703D"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107FAE01" w14:textId="77777777" w:rsidR="00CB2077" w:rsidRPr="007047B5" w:rsidRDefault="00CB2077" w:rsidP="00CB2077">
      <w:pPr>
        <w:rPr>
          <w:lang w:val="en-IE"/>
        </w:rPr>
      </w:pPr>
      <w:r w:rsidRPr="007047B5">
        <w:rPr>
          <w:rStyle w:val="HideTWBExt"/>
          <w:noProof w:val="0"/>
          <w:lang w:val="en-IE"/>
        </w:rPr>
        <w:t>&lt;/Amend&gt;</w:t>
      </w:r>
    </w:p>
    <w:p w14:paraId="0D4307AD"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74</w:t>
      </w:r>
      <w:r w:rsidRPr="007047B5">
        <w:rPr>
          <w:rStyle w:val="HideTWBExt"/>
          <w:b w:val="0"/>
          <w:noProof w:val="0"/>
          <w:lang w:val="en-IE"/>
        </w:rPr>
        <w:t>&lt;/NumAm&gt;</w:t>
      </w:r>
    </w:p>
    <w:p w14:paraId="5F8A2ADF"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29BA199"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29 – paragraph 1 – introductory part</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5A0D9F" w14:paraId="2B580B02" w14:textId="77777777" w:rsidTr="00CB2077">
        <w:trPr>
          <w:jc w:val="center"/>
        </w:trPr>
        <w:tc>
          <w:tcPr>
            <w:tcW w:w="9752" w:type="dxa"/>
            <w:gridSpan w:val="2"/>
          </w:tcPr>
          <w:p w14:paraId="37935CB3" w14:textId="77777777" w:rsidR="00CB2077" w:rsidRPr="007047B5" w:rsidRDefault="00CB2077">
            <w:pPr>
              <w:keepNext/>
              <w:rPr>
                <w:lang w:val="fr-FR"/>
              </w:rPr>
            </w:pPr>
          </w:p>
        </w:tc>
      </w:tr>
      <w:tr w:rsidR="00CB2077" w:rsidRPr="007047B5" w14:paraId="0727326E" w14:textId="77777777" w:rsidTr="00CB2077">
        <w:trPr>
          <w:jc w:val="center"/>
        </w:trPr>
        <w:tc>
          <w:tcPr>
            <w:tcW w:w="4876" w:type="dxa"/>
            <w:hideMark/>
          </w:tcPr>
          <w:p w14:paraId="6BAB063E"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B1B7369" w14:textId="77777777" w:rsidR="00CB2077" w:rsidRPr="007047B5" w:rsidRDefault="00CB2077">
            <w:pPr>
              <w:pStyle w:val="ColumnHeading"/>
              <w:keepNext/>
              <w:rPr>
                <w:lang w:val="en-IE"/>
              </w:rPr>
            </w:pPr>
            <w:r w:rsidRPr="007047B5">
              <w:rPr>
                <w:lang w:val="en-IE"/>
              </w:rPr>
              <w:t>Amendment</w:t>
            </w:r>
          </w:p>
        </w:tc>
      </w:tr>
      <w:tr w:rsidR="00CB2077" w:rsidRPr="007047B5" w14:paraId="5CF8F959" w14:textId="77777777" w:rsidTr="00CB2077">
        <w:trPr>
          <w:jc w:val="center"/>
        </w:trPr>
        <w:tc>
          <w:tcPr>
            <w:tcW w:w="4876" w:type="dxa"/>
            <w:hideMark/>
          </w:tcPr>
          <w:p w14:paraId="05C64AAE" w14:textId="77777777" w:rsidR="00CB2077" w:rsidRPr="007047B5" w:rsidRDefault="00CB2077">
            <w:pPr>
              <w:pStyle w:val="Normal6"/>
              <w:rPr>
                <w:lang w:val="en-IE"/>
              </w:rPr>
            </w:pPr>
            <w:r w:rsidRPr="007047B5">
              <w:rPr>
                <w:lang w:val="en-IE"/>
              </w:rPr>
              <w:t xml:space="preserve">For the purposes of Articles 23 and 25, the Commission </w:t>
            </w:r>
            <w:r w:rsidRPr="007047B5">
              <w:rPr>
                <w:b/>
                <w:i/>
                <w:lang w:val="en-IE"/>
              </w:rPr>
              <w:t>may</w:t>
            </w:r>
            <w:r w:rsidRPr="007047B5">
              <w:rPr>
                <w:lang w:val="en-IE"/>
              </w:rPr>
              <w:t xml:space="preserve"> choose from among the following countermeasures:</w:t>
            </w:r>
          </w:p>
        </w:tc>
        <w:tc>
          <w:tcPr>
            <w:tcW w:w="4876" w:type="dxa"/>
            <w:hideMark/>
          </w:tcPr>
          <w:p w14:paraId="232BA8D7" w14:textId="77777777" w:rsidR="00CB2077" w:rsidRPr="007047B5" w:rsidRDefault="00CB2077">
            <w:pPr>
              <w:pStyle w:val="Normal6"/>
              <w:rPr>
                <w:szCs w:val="24"/>
                <w:lang w:val="en-IE"/>
              </w:rPr>
            </w:pPr>
            <w:r w:rsidRPr="007047B5">
              <w:rPr>
                <w:lang w:val="en-IE"/>
              </w:rPr>
              <w:t xml:space="preserve">For the purposes of Articles 23 and 25, the Commission </w:t>
            </w:r>
            <w:r w:rsidRPr="007047B5">
              <w:rPr>
                <w:b/>
                <w:i/>
                <w:lang w:val="en-IE"/>
              </w:rPr>
              <w:t>shall</w:t>
            </w:r>
            <w:r w:rsidRPr="007047B5">
              <w:rPr>
                <w:lang w:val="en-IE"/>
              </w:rPr>
              <w:t xml:space="preserve"> choose from among the following countermeasures:</w:t>
            </w:r>
          </w:p>
        </w:tc>
      </w:tr>
    </w:tbl>
    <w:p w14:paraId="5682C2D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179A771" w14:textId="77777777" w:rsidR="00CB2077" w:rsidRPr="007047B5" w:rsidRDefault="00CB2077" w:rsidP="00CB2077">
      <w:pPr>
        <w:rPr>
          <w:lang w:val="en-IE"/>
        </w:rPr>
      </w:pPr>
      <w:r w:rsidRPr="007047B5">
        <w:rPr>
          <w:rStyle w:val="HideTWBExt"/>
          <w:noProof w:val="0"/>
          <w:lang w:val="en-IE"/>
        </w:rPr>
        <w:t>&lt;/Amend&gt;</w:t>
      </w:r>
    </w:p>
    <w:p w14:paraId="6319851F"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75</w:t>
      </w:r>
      <w:r w:rsidRPr="007047B5">
        <w:rPr>
          <w:rStyle w:val="HideTWBExt"/>
          <w:b w:val="0"/>
          <w:noProof w:val="0"/>
          <w:lang w:val="en-IE"/>
        </w:rPr>
        <w:t>&lt;/NumAm&gt;</w:t>
      </w:r>
    </w:p>
    <w:p w14:paraId="6514E5D4"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DC1E19C"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29 – paragraph 1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C0A76FD" w14:textId="77777777" w:rsidTr="00CB2077">
        <w:trPr>
          <w:jc w:val="center"/>
        </w:trPr>
        <w:tc>
          <w:tcPr>
            <w:tcW w:w="9752" w:type="dxa"/>
            <w:gridSpan w:val="2"/>
          </w:tcPr>
          <w:p w14:paraId="41F91795" w14:textId="77777777" w:rsidR="00CB2077" w:rsidRPr="007047B5" w:rsidRDefault="00CB2077">
            <w:pPr>
              <w:keepNext/>
              <w:rPr>
                <w:lang w:val="en-IE"/>
              </w:rPr>
            </w:pPr>
          </w:p>
        </w:tc>
      </w:tr>
      <w:tr w:rsidR="00CB2077" w:rsidRPr="007047B5" w14:paraId="3A4077C8" w14:textId="77777777" w:rsidTr="00CB2077">
        <w:trPr>
          <w:jc w:val="center"/>
        </w:trPr>
        <w:tc>
          <w:tcPr>
            <w:tcW w:w="4876" w:type="dxa"/>
            <w:hideMark/>
          </w:tcPr>
          <w:p w14:paraId="088382CF"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83DE9D6" w14:textId="77777777" w:rsidR="00CB2077" w:rsidRPr="007047B5" w:rsidRDefault="00CB2077">
            <w:pPr>
              <w:pStyle w:val="ColumnHeading"/>
              <w:keepNext/>
              <w:rPr>
                <w:lang w:val="en-IE"/>
              </w:rPr>
            </w:pPr>
            <w:r w:rsidRPr="007047B5">
              <w:rPr>
                <w:lang w:val="en-IE"/>
              </w:rPr>
              <w:t>Amendment</w:t>
            </w:r>
          </w:p>
        </w:tc>
      </w:tr>
      <w:tr w:rsidR="00CB2077" w:rsidRPr="007047B5" w14:paraId="6C5FD447" w14:textId="77777777" w:rsidTr="00CB2077">
        <w:trPr>
          <w:jc w:val="center"/>
        </w:trPr>
        <w:tc>
          <w:tcPr>
            <w:tcW w:w="4876" w:type="dxa"/>
          </w:tcPr>
          <w:p w14:paraId="5640009B" w14:textId="77777777" w:rsidR="00CB2077" w:rsidRPr="007047B5" w:rsidRDefault="00CB2077">
            <w:pPr>
              <w:pStyle w:val="Normal6"/>
              <w:rPr>
                <w:lang w:val="en-IE"/>
              </w:rPr>
            </w:pPr>
          </w:p>
        </w:tc>
        <w:tc>
          <w:tcPr>
            <w:tcW w:w="4876" w:type="dxa"/>
            <w:hideMark/>
          </w:tcPr>
          <w:p w14:paraId="4D87C365" w14:textId="3583ED18" w:rsidR="00047885" w:rsidRPr="007047B5" w:rsidRDefault="00047885" w:rsidP="00023B8F">
            <w:pPr>
              <w:pStyle w:val="Normal6"/>
              <w:rPr>
                <w:szCs w:val="24"/>
                <w:lang w:val="en-GB"/>
              </w:rPr>
            </w:pPr>
            <w:r w:rsidRPr="007047B5">
              <w:rPr>
                <w:b/>
                <w:i/>
                <w:lang w:val="en-IE"/>
              </w:rPr>
              <w:t xml:space="preserve">In addition to the countermeasures chosen </w:t>
            </w:r>
            <w:r w:rsidR="00C05327" w:rsidRPr="007047B5">
              <w:rPr>
                <w:b/>
                <w:i/>
                <w:lang w:val="en-IE"/>
              </w:rPr>
              <w:t xml:space="preserve">under this Article for the purposes of Articles 23 and 25, Member States shall not grant citizenship or residence status to nationals of countries designated under </w:t>
            </w:r>
            <w:r w:rsidR="00C05327" w:rsidRPr="007047B5">
              <w:rPr>
                <w:b/>
                <w:i/>
                <w:lang w:val="en-IE"/>
              </w:rPr>
              <w:lastRenderedPageBreak/>
              <w:t xml:space="preserve">Article 23, 24 or 25 on the basis of national schemes which grant citizenship or residence in exchange </w:t>
            </w:r>
            <w:r w:rsidR="00023B8F" w:rsidRPr="007047B5">
              <w:rPr>
                <w:b/>
                <w:i/>
                <w:lang w:val="en-IE"/>
              </w:rPr>
              <w:t>for</w:t>
            </w:r>
            <w:r w:rsidR="00C05327" w:rsidRPr="007047B5">
              <w:rPr>
                <w:b/>
                <w:i/>
                <w:lang w:val="en-IE"/>
              </w:rPr>
              <w:t xml:space="preserve"> any kind of investments, including capital transfers, purchase or renting of property, investment in government bonds, investment in corporate entities, donation or endowment of an activity contributing to the public good and contributions to the state budget.</w:t>
            </w:r>
          </w:p>
        </w:tc>
      </w:tr>
    </w:tbl>
    <w:p w14:paraId="335F98C9"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5752D8F" w14:textId="77777777" w:rsidR="00CB2077" w:rsidRPr="007047B5" w:rsidRDefault="00CB2077" w:rsidP="00CB2077">
      <w:pPr>
        <w:rPr>
          <w:lang w:val="en-IE"/>
        </w:rPr>
      </w:pPr>
      <w:r w:rsidRPr="007047B5">
        <w:rPr>
          <w:rStyle w:val="HideTWBExt"/>
          <w:noProof w:val="0"/>
          <w:lang w:val="en-IE"/>
        </w:rPr>
        <w:t>&lt;/Amend&gt;</w:t>
      </w:r>
    </w:p>
    <w:p w14:paraId="2B61BF49"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76</w:t>
      </w:r>
      <w:r w:rsidRPr="007047B5">
        <w:rPr>
          <w:rStyle w:val="HideTWBExt"/>
          <w:b w:val="0"/>
          <w:noProof w:val="0"/>
          <w:lang w:val="en-IE"/>
        </w:rPr>
        <w:t>&lt;/NumAm&gt;</w:t>
      </w:r>
    </w:p>
    <w:p w14:paraId="5FF4229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3DF06B8"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30 – paragraph 1 – introductory part</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148E133" w14:textId="77777777" w:rsidTr="00CB2077">
        <w:trPr>
          <w:jc w:val="center"/>
        </w:trPr>
        <w:tc>
          <w:tcPr>
            <w:tcW w:w="9752" w:type="dxa"/>
            <w:gridSpan w:val="2"/>
          </w:tcPr>
          <w:p w14:paraId="0E1185DB" w14:textId="77777777" w:rsidR="00CB2077" w:rsidRPr="007047B5" w:rsidRDefault="00CB2077">
            <w:pPr>
              <w:keepNext/>
              <w:rPr>
                <w:lang w:val="en-IE"/>
              </w:rPr>
            </w:pPr>
          </w:p>
        </w:tc>
      </w:tr>
      <w:tr w:rsidR="00CB2077" w:rsidRPr="007047B5" w14:paraId="14A62024" w14:textId="77777777" w:rsidTr="00CB2077">
        <w:trPr>
          <w:jc w:val="center"/>
        </w:trPr>
        <w:tc>
          <w:tcPr>
            <w:tcW w:w="4876" w:type="dxa"/>
            <w:hideMark/>
          </w:tcPr>
          <w:p w14:paraId="73F435A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ABBE0A5" w14:textId="77777777" w:rsidR="00CB2077" w:rsidRPr="007047B5" w:rsidRDefault="00CB2077">
            <w:pPr>
              <w:pStyle w:val="ColumnHeading"/>
              <w:keepNext/>
              <w:rPr>
                <w:lang w:val="en-IE"/>
              </w:rPr>
            </w:pPr>
            <w:r w:rsidRPr="007047B5">
              <w:rPr>
                <w:lang w:val="en-IE"/>
              </w:rPr>
              <w:t>Amendment</w:t>
            </w:r>
          </w:p>
        </w:tc>
      </w:tr>
      <w:tr w:rsidR="00CB2077" w:rsidRPr="007047B5" w14:paraId="4077206F" w14:textId="77777777" w:rsidTr="00CB2077">
        <w:trPr>
          <w:jc w:val="center"/>
        </w:trPr>
        <w:tc>
          <w:tcPr>
            <w:tcW w:w="4876" w:type="dxa"/>
            <w:hideMark/>
          </w:tcPr>
          <w:p w14:paraId="442BC4D8" w14:textId="77777777" w:rsidR="00CB2077" w:rsidRPr="007047B5" w:rsidRDefault="00CB2077">
            <w:pPr>
              <w:pStyle w:val="Normal6"/>
              <w:rPr>
                <w:lang w:val="en-IE"/>
              </w:rPr>
            </w:pPr>
            <w:r w:rsidRPr="007047B5">
              <w:rPr>
                <w:lang w:val="en-IE"/>
              </w:rPr>
              <w:t>With respect to cross-border correspondent relationships, including relationships established for securities transactions or fund transfers, involving the execution of payments with a third-country respondent institution, in addition to the customer due diligence measures laid down in Article 16, credit institutions and financial institutions shall be required, when entering into a business relationship, to:</w:t>
            </w:r>
          </w:p>
        </w:tc>
        <w:tc>
          <w:tcPr>
            <w:tcW w:w="4876" w:type="dxa"/>
            <w:hideMark/>
          </w:tcPr>
          <w:p w14:paraId="5E2B5C0C" w14:textId="77777777" w:rsidR="00CB2077" w:rsidRPr="007047B5" w:rsidRDefault="00CB2077">
            <w:pPr>
              <w:pStyle w:val="Normal6"/>
              <w:rPr>
                <w:szCs w:val="24"/>
                <w:lang w:val="en-IE"/>
              </w:rPr>
            </w:pPr>
            <w:r w:rsidRPr="007047B5">
              <w:rPr>
                <w:lang w:val="en-IE"/>
              </w:rPr>
              <w:t xml:space="preserve">With respect to cross-border correspondent relationships, including relationships established for securities transactions or fund transfers </w:t>
            </w:r>
            <w:r w:rsidRPr="007047B5">
              <w:rPr>
                <w:b/>
                <w:i/>
                <w:lang w:val="en-IE"/>
              </w:rPr>
              <w:t>or crypto-assets transactions</w:t>
            </w:r>
            <w:r w:rsidRPr="007047B5">
              <w:rPr>
                <w:lang w:val="en-IE"/>
              </w:rPr>
              <w:t xml:space="preserve">, involving the execution of payments with a third-country respondent </w:t>
            </w:r>
            <w:r w:rsidRPr="007047B5">
              <w:rPr>
                <w:b/>
                <w:i/>
                <w:lang w:val="en-IE"/>
              </w:rPr>
              <w:t>institution, or the provision of crypto-asset services to a crypto-asset service provider or other financial</w:t>
            </w:r>
            <w:r w:rsidRPr="007047B5">
              <w:rPr>
                <w:lang w:val="en-IE"/>
              </w:rPr>
              <w:t xml:space="preserve"> institution, in addition to the customer due diligence measures laid down in Article 16, credit institutions and financial institutions shall be required, when entering into a business relationship, to:</w:t>
            </w:r>
          </w:p>
        </w:tc>
      </w:tr>
    </w:tbl>
    <w:p w14:paraId="352427A1"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7111525" w14:textId="77777777" w:rsidR="00CB2077" w:rsidRPr="007047B5" w:rsidRDefault="00CB2077" w:rsidP="00CB2077">
      <w:pPr>
        <w:rPr>
          <w:lang w:val="en-IE"/>
        </w:rPr>
      </w:pPr>
      <w:r w:rsidRPr="007047B5">
        <w:rPr>
          <w:rStyle w:val="HideTWBExt"/>
          <w:noProof w:val="0"/>
          <w:lang w:val="en-IE"/>
        </w:rPr>
        <w:t>&lt;/Amend&gt;</w:t>
      </w:r>
    </w:p>
    <w:p w14:paraId="7564F51E"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77</w:t>
      </w:r>
      <w:r w:rsidRPr="007047B5">
        <w:rPr>
          <w:rStyle w:val="HideTWBExt"/>
          <w:b w:val="0"/>
          <w:noProof w:val="0"/>
          <w:lang w:val="en-IE"/>
        </w:rPr>
        <w:t>&lt;/NumAm&gt;</w:t>
      </w:r>
    </w:p>
    <w:p w14:paraId="3D1C8772"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A84EA86"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30 – paragraph 1 – point e 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ABB29DF" w14:textId="77777777" w:rsidTr="00CB2077">
        <w:trPr>
          <w:jc w:val="center"/>
        </w:trPr>
        <w:tc>
          <w:tcPr>
            <w:tcW w:w="9752" w:type="dxa"/>
            <w:gridSpan w:val="2"/>
          </w:tcPr>
          <w:p w14:paraId="2825BC72" w14:textId="77777777" w:rsidR="00CB2077" w:rsidRPr="007047B5" w:rsidRDefault="00CB2077">
            <w:pPr>
              <w:keepNext/>
              <w:rPr>
                <w:lang w:val="fr-FR"/>
              </w:rPr>
            </w:pPr>
          </w:p>
        </w:tc>
      </w:tr>
      <w:tr w:rsidR="00CB2077" w:rsidRPr="007047B5" w14:paraId="778A7CD3" w14:textId="77777777" w:rsidTr="00CB2077">
        <w:trPr>
          <w:jc w:val="center"/>
        </w:trPr>
        <w:tc>
          <w:tcPr>
            <w:tcW w:w="4876" w:type="dxa"/>
            <w:hideMark/>
          </w:tcPr>
          <w:p w14:paraId="09421C4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8441946" w14:textId="77777777" w:rsidR="00CB2077" w:rsidRPr="007047B5" w:rsidRDefault="00CB2077">
            <w:pPr>
              <w:pStyle w:val="ColumnHeading"/>
              <w:keepNext/>
              <w:rPr>
                <w:lang w:val="en-IE"/>
              </w:rPr>
            </w:pPr>
            <w:r w:rsidRPr="007047B5">
              <w:rPr>
                <w:lang w:val="en-IE"/>
              </w:rPr>
              <w:t>Amendment</w:t>
            </w:r>
          </w:p>
        </w:tc>
      </w:tr>
      <w:tr w:rsidR="00CB2077" w:rsidRPr="007047B5" w14:paraId="223A5DA2" w14:textId="77777777" w:rsidTr="00CB2077">
        <w:trPr>
          <w:jc w:val="center"/>
        </w:trPr>
        <w:tc>
          <w:tcPr>
            <w:tcW w:w="4876" w:type="dxa"/>
          </w:tcPr>
          <w:p w14:paraId="16E3A829" w14:textId="77777777" w:rsidR="00CB2077" w:rsidRPr="007047B5" w:rsidRDefault="00CB2077">
            <w:pPr>
              <w:pStyle w:val="Normal6"/>
              <w:rPr>
                <w:lang w:val="en-IE"/>
              </w:rPr>
            </w:pPr>
          </w:p>
        </w:tc>
        <w:tc>
          <w:tcPr>
            <w:tcW w:w="4876" w:type="dxa"/>
            <w:hideMark/>
          </w:tcPr>
          <w:p w14:paraId="36B6E9F6" w14:textId="04CC0C40" w:rsidR="00CB2077" w:rsidRPr="007047B5" w:rsidRDefault="00CB2077">
            <w:pPr>
              <w:pStyle w:val="Normal6"/>
              <w:rPr>
                <w:szCs w:val="24"/>
                <w:lang w:val="en-IE"/>
              </w:rPr>
            </w:pPr>
            <w:r w:rsidRPr="007047B5">
              <w:rPr>
                <w:b/>
                <w:i/>
                <w:lang w:val="en-IE"/>
              </w:rPr>
              <w:t>(ea)</w:t>
            </w:r>
            <w:r w:rsidRPr="007047B5">
              <w:rPr>
                <w:b/>
                <w:i/>
                <w:lang w:val="en-IE"/>
              </w:rPr>
              <w:tab/>
            </w:r>
            <w:r w:rsidR="0004335D" w:rsidRPr="007047B5">
              <w:rPr>
                <w:b/>
                <w:i/>
                <w:lang w:val="en-IE"/>
              </w:rPr>
              <w:t xml:space="preserve">satisfy itself, </w:t>
            </w:r>
            <w:r w:rsidRPr="007047B5">
              <w:rPr>
                <w:b/>
                <w:i/>
                <w:lang w:val="en-IE"/>
              </w:rPr>
              <w:t>with respect to accounts or crypto-assets wallets that can be directly accessed by the customer of the respondent institution on the customer</w:t>
            </w:r>
            <w:r w:rsidR="0004335D" w:rsidRPr="007047B5">
              <w:rPr>
                <w:b/>
                <w:i/>
                <w:lang w:val="en-IE"/>
              </w:rPr>
              <w:t>’s</w:t>
            </w:r>
            <w:r w:rsidRPr="007047B5">
              <w:rPr>
                <w:b/>
                <w:i/>
                <w:lang w:val="en-IE"/>
              </w:rPr>
              <w:t xml:space="preserve"> own behalf, that the respondent institution has verified the identity of, and </w:t>
            </w:r>
            <w:r w:rsidR="00C05327" w:rsidRPr="007047B5">
              <w:rPr>
                <w:b/>
                <w:i/>
                <w:lang w:val="en-IE"/>
              </w:rPr>
              <w:t xml:space="preserve">performs </w:t>
            </w:r>
            <w:r w:rsidRPr="007047B5">
              <w:rPr>
                <w:b/>
                <w:i/>
                <w:lang w:val="en-IE"/>
              </w:rPr>
              <w:t>ongoing due diligence on, such customers and that is able to provide relevant customer due diligence data on request, without prejudice to the applicable rules concerning the confidentiality and protection of personal data</w:t>
            </w:r>
            <w:r w:rsidR="00983609" w:rsidRPr="007047B5">
              <w:rPr>
                <w:b/>
                <w:i/>
                <w:lang w:val="en-IE"/>
              </w:rPr>
              <w:t>.</w:t>
            </w:r>
          </w:p>
        </w:tc>
      </w:tr>
    </w:tbl>
    <w:p w14:paraId="3426CC78"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F7EEF69" w14:textId="77777777" w:rsidR="00CB2077" w:rsidRPr="007047B5" w:rsidRDefault="00CB2077" w:rsidP="00CB2077">
      <w:pPr>
        <w:rPr>
          <w:lang w:val="en-IE"/>
        </w:rPr>
      </w:pPr>
      <w:r w:rsidRPr="007047B5">
        <w:rPr>
          <w:rStyle w:val="HideTWBExt"/>
          <w:noProof w:val="0"/>
          <w:lang w:val="en-IE"/>
        </w:rPr>
        <w:t>&lt;/Amend&gt;</w:t>
      </w:r>
    </w:p>
    <w:p w14:paraId="53B3647D"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78</w:t>
      </w:r>
      <w:r w:rsidRPr="007047B5">
        <w:rPr>
          <w:rStyle w:val="HideTWBExt"/>
          <w:b w:val="0"/>
          <w:noProof w:val="0"/>
          <w:lang w:val="en-IE"/>
        </w:rPr>
        <w:t>&lt;/NumAm&gt;</w:t>
      </w:r>
    </w:p>
    <w:p w14:paraId="2422E4FB"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9B7354B"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30 – paragraph 1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4D7EE4B" w14:textId="77777777" w:rsidTr="00CB2077">
        <w:trPr>
          <w:jc w:val="center"/>
        </w:trPr>
        <w:tc>
          <w:tcPr>
            <w:tcW w:w="9752" w:type="dxa"/>
            <w:gridSpan w:val="2"/>
          </w:tcPr>
          <w:p w14:paraId="34845C5B" w14:textId="77777777" w:rsidR="00CB2077" w:rsidRPr="007047B5" w:rsidRDefault="00CB2077">
            <w:pPr>
              <w:keepNext/>
              <w:rPr>
                <w:lang w:val="en-IE"/>
              </w:rPr>
            </w:pPr>
          </w:p>
        </w:tc>
      </w:tr>
      <w:tr w:rsidR="00CB2077" w:rsidRPr="007047B5" w14:paraId="576106C4" w14:textId="77777777" w:rsidTr="00CB2077">
        <w:trPr>
          <w:jc w:val="center"/>
        </w:trPr>
        <w:tc>
          <w:tcPr>
            <w:tcW w:w="4876" w:type="dxa"/>
            <w:hideMark/>
          </w:tcPr>
          <w:p w14:paraId="7ADD87E9"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FB3FF97" w14:textId="77777777" w:rsidR="00CB2077" w:rsidRPr="007047B5" w:rsidRDefault="00CB2077">
            <w:pPr>
              <w:pStyle w:val="ColumnHeading"/>
              <w:keepNext/>
              <w:rPr>
                <w:lang w:val="en-IE"/>
              </w:rPr>
            </w:pPr>
            <w:r w:rsidRPr="007047B5">
              <w:rPr>
                <w:lang w:val="en-IE"/>
              </w:rPr>
              <w:t>Amendment</w:t>
            </w:r>
          </w:p>
        </w:tc>
      </w:tr>
      <w:tr w:rsidR="00CB2077" w:rsidRPr="007047B5" w14:paraId="4AC40208" w14:textId="77777777" w:rsidTr="00CB2077">
        <w:trPr>
          <w:jc w:val="center"/>
        </w:trPr>
        <w:tc>
          <w:tcPr>
            <w:tcW w:w="4876" w:type="dxa"/>
          </w:tcPr>
          <w:p w14:paraId="404D6EE9" w14:textId="77777777" w:rsidR="00CB2077" w:rsidRPr="007047B5" w:rsidRDefault="00CB2077">
            <w:pPr>
              <w:pStyle w:val="Normal6"/>
              <w:rPr>
                <w:lang w:val="en-IE"/>
              </w:rPr>
            </w:pPr>
          </w:p>
        </w:tc>
        <w:tc>
          <w:tcPr>
            <w:tcW w:w="4876" w:type="dxa"/>
            <w:hideMark/>
          </w:tcPr>
          <w:p w14:paraId="75A4B516" w14:textId="77777777" w:rsidR="00CB2077" w:rsidRPr="007047B5" w:rsidRDefault="00CB2077">
            <w:pPr>
              <w:pStyle w:val="Normal6"/>
              <w:rPr>
                <w:szCs w:val="24"/>
                <w:lang w:val="en-IE"/>
              </w:rPr>
            </w:pPr>
            <w:r w:rsidRPr="007047B5">
              <w:rPr>
                <w:b/>
                <w:i/>
                <w:lang w:val="en-IE"/>
              </w:rPr>
              <w:t>Credit institutions, financial institutions and crypto-asset service providers shall update the due diligence information for the correspondent relationship on a regular basis or when new risks emerge in relation to the respondent institution.</w:t>
            </w:r>
          </w:p>
        </w:tc>
      </w:tr>
    </w:tbl>
    <w:p w14:paraId="5C8EBC41"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AD8F129" w14:textId="77777777" w:rsidR="00CB2077" w:rsidRPr="007047B5" w:rsidRDefault="00CB2077" w:rsidP="00CB2077">
      <w:pPr>
        <w:rPr>
          <w:lang w:val="en-IE"/>
        </w:rPr>
      </w:pPr>
      <w:r w:rsidRPr="007047B5">
        <w:rPr>
          <w:rStyle w:val="HideTWBExt"/>
          <w:noProof w:val="0"/>
          <w:lang w:val="en-IE"/>
        </w:rPr>
        <w:t>&lt;/Amend&gt;</w:t>
      </w:r>
    </w:p>
    <w:p w14:paraId="1FA8B326"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79</w:t>
      </w:r>
      <w:r w:rsidRPr="007047B5">
        <w:rPr>
          <w:rStyle w:val="HideTWBExt"/>
          <w:b w:val="0"/>
          <w:noProof w:val="0"/>
          <w:lang w:val="en-IE"/>
        </w:rPr>
        <w:t>&lt;/NumAm&gt;</w:t>
      </w:r>
    </w:p>
    <w:p w14:paraId="25ED790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24881D8"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31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606DDB7A" w14:textId="77777777" w:rsidTr="00CB2077">
        <w:trPr>
          <w:jc w:val="center"/>
        </w:trPr>
        <w:tc>
          <w:tcPr>
            <w:tcW w:w="9752" w:type="dxa"/>
            <w:gridSpan w:val="2"/>
          </w:tcPr>
          <w:p w14:paraId="52AA0AD1" w14:textId="77777777" w:rsidR="00CB2077" w:rsidRPr="007047B5" w:rsidRDefault="00CB2077">
            <w:pPr>
              <w:keepNext/>
              <w:rPr>
                <w:lang w:val="en-IE"/>
              </w:rPr>
            </w:pPr>
          </w:p>
        </w:tc>
      </w:tr>
      <w:tr w:rsidR="00CB2077" w:rsidRPr="007047B5" w14:paraId="252CB589" w14:textId="77777777" w:rsidTr="00CB2077">
        <w:trPr>
          <w:jc w:val="center"/>
        </w:trPr>
        <w:tc>
          <w:tcPr>
            <w:tcW w:w="4876" w:type="dxa"/>
            <w:hideMark/>
          </w:tcPr>
          <w:p w14:paraId="7189B235"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A8681C1" w14:textId="77777777" w:rsidR="00CB2077" w:rsidRPr="007047B5" w:rsidRDefault="00CB2077">
            <w:pPr>
              <w:pStyle w:val="ColumnHeading"/>
              <w:keepNext/>
              <w:rPr>
                <w:lang w:val="en-IE"/>
              </w:rPr>
            </w:pPr>
            <w:r w:rsidRPr="007047B5">
              <w:rPr>
                <w:lang w:val="en-IE"/>
              </w:rPr>
              <w:t>Amendment</w:t>
            </w:r>
          </w:p>
        </w:tc>
      </w:tr>
      <w:tr w:rsidR="00CB2077" w:rsidRPr="007047B5" w14:paraId="6064BCA6" w14:textId="77777777" w:rsidTr="00CB2077">
        <w:trPr>
          <w:jc w:val="center"/>
        </w:trPr>
        <w:tc>
          <w:tcPr>
            <w:tcW w:w="4876" w:type="dxa"/>
          </w:tcPr>
          <w:p w14:paraId="3F3D1C3D" w14:textId="77777777" w:rsidR="00CB2077" w:rsidRPr="007047B5" w:rsidRDefault="00CB2077">
            <w:pPr>
              <w:pStyle w:val="Normal6"/>
              <w:rPr>
                <w:lang w:val="en-IE"/>
              </w:rPr>
            </w:pPr>
          </w:p>
        </w:tc>
        <w:tc>
          <w:tcPr>
            <w:tcW w:w="4876" w:type="dxa"/>
            <w:hideMark/>
          </w:tcPr>
          <w:p w14:paraId="26713757" w14:textId="22FE9E09" w:rsidR="00CB2077" w:rsidRPr="007047B5" w:rsidRDefault="00CB2077">
            <w:pPr>
              <w:pStyle w:val="Normal6"/>
              <w:jc w:val="center"/>
              <w:rPr>
                <w:szCs w:val="24"/>
                <w:lang w:val="en-IE"/>
              </w:rPr>
            </w:pPr>
            <w:r w:rsidRPr="007047B5">
              <w:rPr>
                <w:b/>
                <w:i/>
                <w:lang w:val="en-IE"/>
              </w:rPr>
              <w:t>Article 31a</w:t>
            </w:r>
          </w:p>
        </w:tc>
      </w:tr>
      <w:tr w:rsidR="00CB2077" w:rsidRPr="007047B5" w14:paraId="66735861" w14:textId="77777777" w:rsidTr="00CB2077">
        <w:trPr>
          <w:jc w:val="center"/>
        </w:trPr>
        <w:tc>
          <w:tcPr>
            <w:tcW w:w="4876" w:type="dxa"/>
          </w:tcPr>
          <w:p w14:paraId="13A6276A" w14:textId="77777777" w:rsidR="00CB2077" w:rsidRPr="007047B5" w:rsidRDefault="00CB2077">
            <w:pPr>
              <w:pStyle w:val="Normal6"/>
              <w:rPr>
                <w:lang w:val="en-IE"/>
              </w:rPr>
            </w:pPr>
          </w:p>
        </w:tc>
        <w:tc>
          <w:tcPr>
            <w:tcW w:w="4876" w:type="dxa"/>
            <w:hideMark/>
          </w:tcPr>
          <w:p w14:paraId="6842D1B1" w14:textId="77777777" w:rsidR="00CB2077" w:rsidRPr="007047B5" w:rsidRDefault="00CB2077">
            <w:pPr>
              <w:pStyle w:val="Normal6"/>
              <w:rPr>
                <w:szCs w:val="24"/>
                <w:lang w:val="en-IE"/>
              </w:rPr>
            </w:pPr>
            <w:r w:rsidRPr="007047B5">
              <w:rPr>
                <w:b/>
                <w:i/>
                <w:lang w:val="en-IE"/>
              </w:rPr>
              <w:t xml:space="preserve">Prohibition of correspondent </w:t>
            </w:r>
            <w:r w:rsidRPr="007047B5">
              <w:rPr>
                <w:b/>
                <w:i/>
                <w:lang w:val="en-IE"/>
              </w:rPr>
              <w:lastRenderedPageBreak/>
              <w:t>relationships with non-compliant crypto-asset service providers</w:t>
            </w:r>
          </w:p>
        </w:tc>
      </w:tr>
      <w:tr w:rsidR="00CB2077" w:rsidRPr="007047B5" w14:paraId="1E14DBCC" w14:textId="77777777" w:rsidTr="00CB2077">
        <w:trPr>
          <w:jc w:val="center"/>
        </w:trPr>
        <w:tc>
          <w:tcPr>
            <w:tcW w:w="4876" w:type="dxa"/>
          </w:tcPr>
          <w:p w14:paraId="72125C59" w14:textId="77777777" w:rsidR="00CB2077" w:rsidRPr="007047B5" w:rsidRDefault="00CB2077">
            <w:pPr>
              <w:pStyle w:val="Normal6"/>
              <w:rPr>
                <w:lang w:val="en-IE"/>
              </w:rPr>
            </w:pPr>
          </w:p>
        </w:tc>
        <w:tc>
          <w:tcPr>
            <w:tcW w:w="4876" w:type="dxa"/>
            <w:hideMark/>
          </w:tcPr>
          <w:p w14:paraId="456DBDBD" w14:textId="1E024023" w:rsidR="00CB2077" w:rsidRPr="007047B5" w:rsidRDefault="00871272" w:rsidP="004B579D">
            <w:pPr>
              <w:pStyle w:val="Normal6"/>
              <w:rPr>
                <w:szCs w:val="24"/>
                <w:lang w:val="en-IE"/>
              </w:rPr>
            </w:pPr>
            <w:r w:rsidRPr="007047B5">
              <w:rPr>
                <w:b/>
                <w:i/>
                <w:lang w:val="en-IE"/>
              </w:rPr>
              <w:t>Credit institutions, financial institutions and crypto-asset service providers</w:t>
            </w:r>
            <w:r w:rsidR="00CB2077" w:rsidRPr="007047B5">
              <w:rPr>
                <w:b/>
                <w:i/>
                <w:lang w:val="en-IE"/>
              </w:rPr>
              <w:t xml:space="preserve"> shall not enter into or continue a correspondent relationship with non-compliant crypto-asset service provider</w:t>
            </w:r>
            <w:r w:rsidR="0004335D" w:rsidRPr="007047B5">
              <w:rPr>
                <w:b/>
                <w:i/>
                <w:lang w:val="en-IE"/>
              </w:rPr>
              <w:t>s</w:t>
            </w:r>
            <w:r w:rsidR="00CB2077" w:rsidRPr="007047B5">
              <w:rPr>
                <w:b/>
                <w:i/>
                <w:lang w:val="en-IE"/>
              </w:rPr>
              <w:t xml:space="preserve">. </w:t>
            </w:r>
            <w:r w:rsidRPr="007047B5">
              <w:rPr>
                <w:b/>
                <w:i/>
                <w:lang w:val="en-IE"/>
              </w:rPr>
              <w:t>Credit institutions, financial institutions and crypto-asset service providers</w:t>
            </w:r>
            <w:r w:rsidR="00CB2077" w:rsidRPr="007047B5">
              <w:rPr>
                <w:b/>
                <w:i/>
                <w:lang w:val="en-IE"/>
              </w:rPr>
              <w:t xml:space="preserve"> shall take appropriate measures to ensure that they do not engage in or continue correspondent relationships with a crypto-asset service provider that is known to allow its accounts to be used by a non-compliant crypto-asset service provider.</w:t>
            </w:r>
          </w:p>
        </w:tc>
      </w:tr>
    </w:tbl>
    <w:p w14:paraId="2140D650"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F6A6D30" w14:textId="77777777" w:rsidR="00CB2077" w:rsidRPr="007047B5" w:rsidRDefault="00CB2077" w:rsidP="00CB2077">
      <w:pPr>
        <w:rPr>
          <w:lang w:val="en-IE"/>
        </w:rPr>
      </w:pPr>
      <w:r w:rsidRPr="007047B5">
        <w:rPr>
          <w:rStyle w:val="HideTWBExt"/>
          <w:noProof w:val="0"/>
          <w:lang w:val="en-IE"/>
        </w:rPr>
        <w:t>&lt;/Amend&gt;</w:t>
      </w:r>
    </w:p>
    <w:p w14:paraId="40EBB822"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80</w:t>
      </w:r>
      <w:r w:rsidRPr="007047B5">
        <w:rPr>
          <w:rStyle w:val="HideTWBExt"/>
          <w:b w:val="0"/>
          <w:noProof w:val="0"/>
          <w:lang w:val="en-IE"/>
        </w:rPr>
        <w:t>&lt;/NumAm&gt;</w:t>
      </w:r>
    </w:p>
    <w:p w14:paraId="2E03C732"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1FD90A5"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31 b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0ACEE73" w14:textId="77777777" w:rsidTr="00CB2077">
        <w:trPr>
          <w:jc w:val="center"/>
        </w:trPr>
        <w:tc>
          <w:tcPr>
            <w:tcW w:w="9752" w:type="dxa"/>
            <w:gridSpan w:val="2"/>
          </w:tcPr>
          <w:p w14:paraId="57A2EEB8" w14:textId="77777777" w:rsidR="00CB2077" w:rsidRPr="007047B5" w:rsidRDefault="00CB2077">
            <w:pPr>
              <w:keepNext/>
              <w:rPr>
                <w:lang w:val="en-IE"/>
              </w:rPr>
            </w:pPr>
          </w:p>
        </w:tc>
      </w:tr>
      <w:tr w:rsidR="00CB2077" w:rsidRPr="007047B5" w14:paraId="1AB090DB" w14:textId="77777777" w:rsidTr="00CB2077">
        <w:trPr>
          <w:jc w:val="center"/>
        </w:trPr>
        <w:tc>
          <w:tcPr>
            <w:tcW w:w="4876" w:type="dxa"/>
            <w:hideMark/>
          </w:tcPr>
          <w:p w14:paraId="254470F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DADAC1C" w14:textId="77777777" w:rsidR="00CB2077" w:rsidRPr="007047B5" w:rsidRDefault="00CB2077">
            <w:pPr>
              <w:pStyle w:val="ColumnHeading"/>
              <w:keepNext/>
              <w:rPr>
                <w:lang w:val="en-IE"/>
              </w:rPr>
            </w:pPr>
            <w:r w:rsidRPr="007047B5">
              <w:rPr>
                <w:lang w:val="en-IE"/>
              </w:rPr>
              <w:t>Amendment</w:t>
            </w:r>
          </w:p>
        </w:tc>
      </w:tr>
      <w:tr w:rsidR="00CB2077" w:rsidRPr="007047B5" w14:paraId="09883397" w14:textId="77777777" w:rsidTr="00CB2077">
        <w:trPr>
          <w:jc w:val="center"/>
        </w:trPr>
        <w:tc>
          <w:tcPr>
            <w:tcW w:w="4876" w:type="dxa"/>
          </w:tcPr>
          <w:p w14:paraId="02B1DD81" w14:textId="77777777" w:rsidR="00CB2077" w:rsidRPr="007047B5" w:rsidRDefault="00CB2077">
            <w:pPr>
              <w:pStyle w:val="Normal6"/>
              <w:rPr>
                <w:lang w:val="en-IE"/>
              </w:rPr>
            </w:pPr>
          </w:p>
        </w:tc>
        <w:tc>
          <w:tcPr>
            <w:tcW w:w="4876" w:type="dxa"/>
            <w:hideMark/>
          </w:tcPr>
          <w:p w14:paraId="7C8B5D53" w14:textId="5763321D" w:rsidR="00CB2077" w:rsidRPr="007047B5" w:rsidRDefault="00CB2077">
            <w:pPr>
              <w:pStyle w:val="Normal6"/>
              <w:jc w:val="center"/>
              <w:rPr>
                <w:szCs w:val="24"/>
                <w:lang w:val="en-IE"/>
              </w:rPr>
            </w:pPr>
            <w:r w:rsidRPr="007047B5">
              <w:rPr>
                <w:b/>
                <w:i/>
                <w:lang w:val="en-IE"/>
              </w:rPr>
              <w:t>Article 31b</w:t>
            </w:r>
          </w:p>
        </w:tc>
      </w:tr>
      <w:tr w:rsidR="00CB2077" w:rsidRPr="007047B5" w14:paraId="2B69B917" w14:textId="77777777" w:rsidTr="00CB2077">
        <w:trPr>
          <w:jc w:val="center"/>
        </w:trPr>
        <w:tc>
          <w:tcPr>
            <w:tcW w:w="4876" w:type="dxa"/>
          </w:tcPr>
          <w:p w14:paraId="492FEAC4" w14:textId="77777777" w:rsidR="00CB2077" w:rsidRPr="007047B5" w:rsidRDefault="00CB2077">
            <w:pPr>
              <w:pStyle w:val="Normal6"/>
              <w:rPr>
                <w:lang w:val="en-IE"/>
              </w:rPr>
            </w:pPr>
          </w:p>
        </w:tc>
        <w:tc>
          <w:tcPr>
            <w:tcW w:w="4876" w:type="dxa"/>
            <w:hideMark/>
          </w:tcPr>
          <w:p w14:paraId="4E4E42E9" w14:textId="1386739B" w:rsidR="00CB2077" w:rsidRPr="007047B5" w:rsidRDefault="00CB2077">
            <w:pPr>
              <w:pStyle w:val="Normal6"/>
              <w:rPr>
                <w:szCs w:val="24"/>
                <w:lang w:val="en-IE"/>
              </w:rPr>
            </w:pPr>
            <w:r w:rsidRPr="007047B5">
              <w:rPr>
                <w:b/>
                <w:i/>
                <w:lang w:val="en-IE"/>
              </w:rPr>
              <w:t>Public register on shell banks and non-compliant crypto</w:t>
            </w:r>
            <w:r w:rsidR="00023B8F" w:rsidRPr="007047B5">
              <w:rPr>
                <w:b/>
                <w:i/>
                <w:lang w:val="en-IE"/>
              </w:rPr>
              <w:t>-</w:t>
            </w:r>
            <w:r w:rsidRPr="007047B5">
              <w:rPr>
                <w:b/>
                <w:i/>
                <w:lang w:val="en-IE"/>
              </w:rPr>
              <w:t>asset service providers</w:t>
            </w:r>
          </w:p>
        </w:tc>
      </w:tr>
      <w:tr w:rsidR="00CB2077" w:rsidRPr="007047B5" w14:paraId="2ECC456D" w14:textId="77777777" w:rsidTr="00CB2077">
        <w:trPr>
          <w:jc w:val="center"/>
        </w:trPr>
        <w:tc>
          <w:tcPr>
            <w:tcW w:w="4876" w:type="dxa"/>
          </w:tcPr>
          <w:p w14:paraId="11EE7609" w14:textId="77777777" w:rsidR="00CB2077" w:rsidRPr="007047B5" w:rsidRDefault="00CB2077">
            <w:pPr>
              <w:pStyle w:val="Normal6"/>
              <w:rPr>
                <w:lang w:val="en-IE"/>
              </w:rPr>
            </w:pPr>
          </w:p>
        </w:tc>
        <w:tc>
          <w:tcPr>
            <w:tcW w:w="4876" w:type="dxa"/>
            <w:hideMark/>
          </w:tcPr>
          <w:p w14:paraId="0432E01C" w14:textId="280DB875" w:rsidR="00CB2077" w:rsidRPr="007047B5" w:rsidRDefault="00CB2077" w:rsidP="006F5456">
            <w:pPr>
              <w:pStyle w:val="Normal6"/>
              <w:rPr>
                <w:szCs w:val="24"/>
                <w:lang w:val="en-IE"/>
              </w:rPr>
            </w:pPr>
            <w:r w:rsidRPr="007047B5">
              <w:rPr>
                <w:b/>
                <w:i/>
                <w:lang w:val="en-IE"/>
              </w:rPr>
              <w:t xml:space="preserve">1. </w:t>
            </w:r>
            <w:r w:rsidR="00111A6C" w:rsidRPr="007047B5">
              <w:rPr>
                <w:b/>
                <w:i/>
                <w:lang w:val="en-IE"/>
              </w:rPr>
              <w:tab/>
            </w:r>
            <w:r w:rsidRPr="007047B5">
              <w:rPr>
                <w:b/>
                <w:i/>
                <w:lang w:val="en-IE"/>
              </w:rPr>
              <w:t>Whe</w:t>
            </w:r>
            <w:r w:rsidR="0004335D" w:rsidRPr="007047B5">
              <w:rPr>
                <w:b/>
                <w:i/>
                <w:lang w:val="en-IE"/>
              </w:rPr>
              <w:t>re</w:t>
            </w:r>
            <w:r w:rsidRPr="007047B5">
              <w:rPr>
                <w:b/>
                <w:i/>
                <w:lang w:val="en-IE"/>
              </w:rPr>
              <w:t xml:space="preserve"> competent authorities or supervisors become aware of shell banks and non-compliant crypto-asset service providers operating within or outside the Union, they shall inform AMLA.</w:t>
            </w:r>
          </w:p>
        </w:tc>
      </w:tr>
      <w:tr w:rsidR="00CB2077" w:rsidRPr="007047B5" w14:paraId="7C815761" w14:textId="77777777" w:rsidTr="00CB2077">
        <w:trPr>
          <w:jc w:val="center"/>
        </w:trPr>
        <w:tc>
          <w:tcPr>
            <w:tcW w:w="4876" w:type="dxa"/>
          </w:tcPr>
          <w:p w14:paraId="6D90235D" w14:textId="77777777" w:rsidR="00CB2077" w:rsidRPr="007047B5" w:rsidRDefault="00CB2077">
            <w:pPr>
              <w:pStyle w:val="Normal6"/>
              <w:rPr>
                <w:lang w:val="en-IE"/>
              </w:rPr>
            </w:pPr>
          </w:p>
        </w:tc>
        <w:tc>
          <w:tcPr>
            <w:tcW w:w="4876" w:type="dxa"/>
            <w:hideMark/>
          </w:tcPr>
          <w:p w14:paraId="4DA98C8A" w14:textId="51812855" w:rsidR="00CB2077" w:rsidRPr="007047B5" w:rsidRDefault="00CB2077" w:rsidP="006F5456">
            <w:pPr>
              <w:pStyle w:val="Normal6"/>
              <w:rPr>
                <w:szCs w:val="24"/>
                <w:lang w:val="en-IE"/>
              </w:rPr>
            </w:pPr>
            <w:r w:rsidRPr="007047B5">
              <w:rPr>
                <w:b/>
                <w:i/>
                <w:lang w:val="en-IE"/>
              </w:rPr>
              <w:t xml:space="preserve">2. </w:t>
            </w:r>
            <w:r w:rsidR="00111A6C" w:rsidRPr="007047B5">
              <w:rPr>
                <w:b/>
                <w:i/>
                <w:lang w:val="en-IE"/>
              </w:rPr>
              <w:tab/>
            </w:r>
            <w:r w:rsidRPr="007047B5">
              <w:rPr>
                <w:b/>
                <w:i/>
                <w:lang w:val="en-IE"/>
              </w:rPr>
              <w:t xml:space="preserve">AMLA shall set up and maintain an indicative and non-exhaustive public register of shell banks and non-compliant crypto-asset service providers operating within and outside the Union </w:t>
            </w:r>
            <w:r w:rsidR="0004335D" w:rsidRPr="007047B5">
              <w:rPr>
                <w:b/>
                <w:i/>
                <w:lang w:val="en-IE"/>
              </w:rPr>
              <w:t>based on</w:t>
            </w:r>
            <w:r w:rsidRPr="007047B5">
              <w:rPr>
                <w:b/>
                <w:i/>
                <w:lang w:val="en-IE"/>
              </w:rPr>
              <w:t xml:space="preserve"> information provided by competent authorities, supervisors, the Commission or obliged entities.</w:t>
            </w:r>
          </w:p>
        </w:tc>
      </w:tr>
      <w:tr w:rsidR="00CB2077" w:rsidRPr="007047B5" w14:paraId="42FAD524" w14:textId="77777777" w:rsidTr="00CB2077">
        <w:trPr>
          <w:jc w:val="center"/>
        </w:trPr>
        <w:tc>
          <w:tcPr>
            <w:tcW w:w="4876" w:type="dxa"/>
          </w:tcPr>
          <w:p w14:paraId="09022EDC" w14:textId="77777777" w:rsidR="00CB2077" w:rsidRPr="007047B5" w:rsidRDefault="00CB2077">
            <w:pPr>
              <w:pStyle w:val="Normal6"/>
              <w:rPr>
                <w:lang w:val="en-IE"/>
              </w:rPr>
            </w:pPr>
          </w:p>
        </w:tc>
        <w:tc>
          <w:tcPr>
            <w:tcW w:w="4876" w:type="dxa"/>
            <w:hideMark/>
          </w:tcPr>
          <w:p w14:paraId="33CC62E6" w14:textId="62F52576" w:rsidR="00CB2077" w:rsidRPr="007047B5" w:rsidRDefault="00CB2077" w:rsidP="006F5456">
            <w:pPr>
              <w:pStyle w:val="Normal6"/>
              <w:rPr>
                <w:szCs w:val="24"/>
                <w:lang w:val="en-IE"/>
              </w:rPr>
            </w:pPr>
            <w:r w:rsidRPr="007047B5">
              <w:rPr>
                <w:b/>
                <w:i/>
                <w:lang w:val="en-IE"/>
              </w:rPr>
              <w:t xml:space="preserve">3. </w:t>
            </w:r>
            <w:r w:rsidR="00111A6C" w:rsidRPr="007047B5">
              <w:rPr>
                <w:b/>
                <w:i/>
                <w:lang w:val="en-IE"/>
              </w:rPr>
              <w:tab/>
            </w:r>
            <w:r w:rsidRPr="007047B5">
              <w:rPr>
                <w:b/>
                <w:i/>
                <w:lang w:val="en-IE"/>
              </w:rPr>
              <w:t xml:space="preserve">AMLA shall review the public register referred to in paragraph 2, taking into account any changes </w:t>
            </w:r>
            <w:r w:rsidR="0004335D" w:rsidRPr="007047B5">
              <w:rPr>
                <w:b/>
                <w:i/>
                <w:lang w:val="en-IE"/>
              </w:rPr>
              <w:t xml:space="preserve">in </w:t>
            </w:r>
            <w:r w:rsidRPr="007047B5">
              <w:rPr>
                <w:b/>
                <w:i/>
                <w:lang w:val="en-IE"/>
              </w:rPr>
              <w:lastRenderedPageBreak/>
              <w:t>circumstances concerning the entities included in the list or any information brought to its attention.</w:t>
            </w:r>
          </w:p>
        </w:tc>
      </w:tr>
    </w:tbl>
    <w:p w14:paraId="2BCF99C6"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64B16A6" w14:textId="77777777" w:rsidR="00CB2077" w:rsidRPr="007047B5" w:rsidRDefault="00CB2077" w:rsidP="00CB2077">
      <w:pPr>
        <w:rPr>
          <w:lang w:val="en-IE"/>
        </w:rPr>
      </w:pPr>
      <w:r w:rsidRPr="007047B5">
        <w:rPr>
          <w:rStyle w:val="HideTWBExt"/>
          <w:noProof w:val="0"/>
          <w:lang w:val="en-IE"/>
        </w:rPr>
        <w:t>&lt;/Amend&gt;</w:t>
      </w:r>
    </w:p>
    <w:p w14:paraId="19B0B05B"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81</w:t>
      </w:r>
      <w:r w:rsidRPr="007047B5">
        <w:rPr>
          <w:rStyle w:val="HideTWBExt"/>
          <w:b w:val="0"/>
          <w:noProof w:val="0"/>
          <w:lang w:val="en-IE"/>
        </w:rPr>
        <w:t>&lt;/NumAm&gt;</w:t>
      </w:r>
    </w:p>
    <w:p w14:paraId="2A6A429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9886E4C"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31 c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17A0988" w14:textId="77777777" w:rsidTr="00CB2077">
        <w:trPr>
          <w:jc w:val="center"/>
        </w:trPr>
        <w:tc>
          <w:tcPr>
            <w:tcW w:w="9752" w:type="dxa"/>
            <w:gridSpan w:val="2"/>
          </w:tcPr>
          <w:p w14:paraId="11FC273D" w14:textId="77777777" w:rsidR="00CB2077" w:rsidRPr="007047B5" w:rsidRDefault="00CB2077">
            <w:pPr>
              <w:keepNext/>
              <w:rPr>
                <w:lang w:val="en-IE"/>
              </w:rPr>
            </w:pPr>
          </w:p>
        </w:tc>
      </w:tr>
      <w:tr w:rsidR="00CB2077" w:rsidRPr="007047B5" w14:paraId="7F64736F" w14:textId="77777777" w:rsidTr="00CB2077">
        <w:trPr>
          <w:jc w:val="center"/>
        </w:trPr>
        <w:tc>
          <w:tcPr>
            <w:tcW w:w="4876" w:type="dxa"/>
            <w:hideMark/>
          </w:tcPr>
          <w:p w14:paraId="11CC6CFE"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A7E03CB" w14:textId="77777777" w:rsidR="00CB2077" w:rsidRPr="007047B5" w:rsidRDefault="00CB2077">
            <w:pPr>
              <w:pStyle w:val="ColumnHeading"/>
              <w:keepNext/>
              <w:rPr>
                <w:lang w:val="en-IE"/>
              </w:rPr>
            </w:pPr>
            <w:r w:rsidRPr="007047B5">
              <w:rPr>
                <w:lang w:val="en-IE"/>
              </w:rPr>
              <w:t>Amendment</w:t>
            </w:r>
          </w:p>
        </w:tc>
      </w:tr>
      <w:tr w:rsidR="00CB2077" w:rsidRPr="007047B5" w14:paraId="0108A840" w14:textId="77777777" w:rsidTr="00CB2077">
        <w:trPr>
          <w:jc w:val="center"/>
        </w:trPr>
        <w:tc>
          <w:tcPr>
            <w:tcW w:w="4876" w:type="dxa"/>
          </w:tcPr>
          <w:p w14:paraId="4BAD70B8" w14:textId="77777777" w:rsidR="00CB2077" w:rsidRPr="007047B5" w:rsidRDefault="00CB2077">
            <w:pPr>
              <w:pStyle w:val="Normal6"/>
              <w:rPr>
                <w:lang w:val="en-IE"/>
              </w:rPr>
            </w:pPr>
          </w:p>
        </w:tc>
        <w:tc>
          <w:tcPr>
            <w:tcW w:w="4876" w:type="dxa"/>
            <w:hideMark/>
          </w:tcPr>
          <w:p w14:paraId="57CA2560" w14:textId="71AAFEE0" w:rsidR="00CB2077" w:rsidRPr="007047B5" w:rsidRDefault="00CB2077">
            <w:pPr>
              <w:pStyle w:val="Normal6"/>
              <w:jc w:val="center"/>
              <w:rPr>
                <w:szCs w:val="24"/>
                <w:lang w:val="en-IE"/>
              </w:rPr>
            </w:pPr>
            <w:r w:rsidRPr="007047B5">
              <w:rPr>
                <w:b/>
                <w:i/>
                <w:lang w:val="en-IE"/>
              </w:rPr>
              <w:t>Article 31c</w:t>
            </w:r>
          </w:p>
        </w:tc>
      </w:tr>
      <w:tr w:rsidR="00CB2077" w:rsidRPr="007047B5" w14:paraId="7421C4D5" w14:textId="77777777" w:rsidTr="00CB2077">
        <w:trPr>
          <w:jc w:val="center"/>
        </w:trPr>
        <w:tc>
          <w:tcPr>
            <w:tcW w:w="4876" w:type="dxa"/>
          </w:tcPr>
          <w:p w14:paraId="442B4098" w14:textId="77777777" w:rsidR="00CB2077" w:rsidRPr="007047B5" w:rsidRDefault="00CB2077">
            <w:pPr>
              <w:pStyle w:val="Normal6"/>
              <w:rPr>
                <w:lang w:val="en-IE"/>
              </w:rPr>
            </w:pPr>
          </w:p>
        </w:tc>
        <w:tc>
          <w:tcPr>
            <w:tcW w:w="4876" w:type="dxa"/>
            <w:hideMark/>
          </w:tcPr>
          <w:p w14:paraId="4A59DA8A" w14:textId="77777777" w:rsidR="00CB2077" w:rsidRPr="007047B5" w:rsidRDefault="00CB2077">
            <w:pPr>
              <w:pStyle w:val="Normal6"/>
              <w:rPr>
                <w:szCs w:val="24"/>
                <w:lang w:val="en-IE"/>
              </w:rPr>
            </w:pPr>
            <w:r w:rsidRPr="007047B5">
              <w:rPr>
                <w:b/>
                <w:i/>
                <w:lang w:val="en-IE"/>
              </w:rPr>
              <w:t>Specific provisions regarding applicants for citizenship and residence by investment schemes</w:t>
            </w:r>
          </w:p>
        </w:tc>
      </w:tr>
      <w:tr w:rsidR="00CB2077" w:rsidRPr="007047B5" w14:paraId="4697B2BC" w14:textId="77777777" w:rsidTr="00CB2077">
        <w:trPr>
          <w:jc w:val="center"/>
        </w:trPr>
        <w:tc>
          <w:tcPr>
            <w:tcW w:w="4876" w:type="dxa"/>
          </w:tcPr>
          <w:p w14:paraId="4E892460" w14:textId="77777777" w:rsidR="00CB2077" w:rsidRPr="007047B5" w:rsidRDefault="00CB2077">
            <w:pPr>
              <w:pStyle w:val="Normal6"/>
              <w:rPr>
                <w:lang w:val="en-IE"/>
              </w:rPr>
            </w:pPr>
          </w:p>
        </w:tc>
        <w:tc>
          <w:tcPr>
            <w:tcW w:w="4876" w:type="dxa"/>
            <w:hideMark/>
          </w:tcPr>
          <w:p w14:paraId="7E456098" w14:textId="744E3775" w:rsidR="00CB2077" w:rsidRPr="007047B5" w:rsidRDefault="00CB2077" w:rsidP="00FC46AF">
            <w:pPr>
              <w:pStyle w:val="Normal6"/>
              <w:rPr>
                <w:szCs w:val="24"/>
                <w:lang w:val="en-IE"/>
              </w:rPr>
            </w:pPr>
            <w:r w:rsidRPr="007047B5">
              <w:rPr>
                <w:b/>
                <w:i/>
                <w:lang w:val="en-IE"/>
              </w:rPr>
              <w:t>In addition to the customer due diligence measures laid down in Article 16, with respect to customers who are third</w:t>
            </w:r>
            <w:r w:rsidR="0004335D" w:rsidRPr="007047B5">
              <w:rPr>
                <w:b/>
                <w:i/>
                <w:lang w:val="en-IE"/>
              </w:rPr>
              <w:t>-</w:t>
            </w:r>
            <w:r w:rsidRPr="007047B5">
              <w:rPr>
                <w:b/>
                <w:i/>
                <w:lang w:val="en-IE"/>
              </w:rPr>
              <w:t xml:space="preserve">country nationals who apply for citizenship </w:t>
            </w:r>
            <w:r w:rsidR="006F5456" w:rsidRPr="007047B5">
              <w:rPr>
                <w:b/>
                <w:i/>
                <w:lang w:val="en-IE"/>
              </w:rPr>
              <w:t xml:space="preserve">of </w:t>
            </w:r>
            <w:r w:rsidRPr="007047B5">
              <w:rPr>
                <w:b/>
                <w:i/>
                <w:lang w:val="en-IE"/>
              </w:rPr>
              <w:t xml:space="preserve">or residence rights in a Member State in exchange </w:t>
            </w:r>
            <w:r w:rsidR="00FC46AF" w:rsidRPr="007047B5">
              <w:rPr>
                <w:b/>
                <w:i/>
                <w:lang w:val="en-IE"/>
              </w:rPr>
              <w:t xml:space="preserve">for </w:t>
            </w:r>
            <w:r w:rsidRPr="007047B5">
              <w:rPr>
                <w:b/>
                <w:i/>
                <w:lang w:val="en-IE"/>
              </w:rPr>
              <w:t xml:space="preserve">any kind of investment, including transfers, purchase or renting of property, investment in government bonds, investment in corporate entities, donation or endowment of an activity contributing to the public good and contributions to the state budget, obliged entities shall, </w:t>
            </w:r>
            <w:r w:rsidR="0004335D" w:rsidRPr="007047B5">
              <w:rPr>
                <w:b/>
                <w:i/>
                <w:lang w:val="en-IE"/>
              </w:rPr>
              <w:t>as a minimum</w:t>
            </w:r>
            <w:r w:rsidRPr="007047B5">
              <w:rPr>
                <w:b/>
                <w:i/>
                <w:lang w:val="en-IE"/>
              </w:rPr>
              <w:t xml:space="preserve">, carry out enhanced customer due diligence measures </w:t>
            </w:r>
            <w:r w:rsidR="0004335D" w:rsidRPr="007047B5">
              <w:rPr>
                <w:b/>
                <w:i/>
                <w:lang w:val="en-IE"/>
              </w:rPr>
              <w:t xml:space="preserve">as set out </w:t>
            </w:r>
            <w:r w:rsidRPr="007047B5">
              <w:rPr>
                <w:b/>
                <w:i/>
                <w:lang w:val="en-IE"/>
              </w:rPr>
              <w:t>in Article 28(4)</w:t>
            </w:r>
            <w:r w:rsidR="0004335D" w:rsidRPr="007047B5">
              <w:rPr>
                <w:b/>
                <w:i/>
                <w:lang w:val="en-IE"/>
              </w:rPr>
              <w:t>, points </w:t>
            </w:r>
            <w:r w:rsidRPr="007047B5">
              <w:rPr>
                <w:b/>
                <w:i/>
                <w:lang w:val="en-IE"/>
              </w:rPr>
              <w:t>(a) and (e).</w:t>
            </w:r>
          </w:p>
        </w:tc>
      </w:tr>
    </w:tbl>
    <w:p w14:paraId="44B0B88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AA3F1E7" w14:textId="77777777" w:rsidR="00CB2077" w:rsidRPr="007047B5" w:rsidRDefault="00CB2077" w:rsidP="00CB2077">
      <w:pPr>
        <w:rPr>
          <w:lang w:val="en-IE"/>
        </w:rPr>
      </w:pPr>
      <w:r w:rsidRPr="007047B5">
        <w:rPr>
          <w:rStyle w:val="HideTWBExt"/>
          <w:noProof w:val="0"/>
          <w:lang w:val="en-IE"/>
        </w:rPr>
        <w:t>&lt;/Amend&gt;</w:t>
      </w:r>
    </w:p>
    <w:p w14:paraId="0E84031D"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82</w:t>
      </w:r>
      <w:r w:rsidRPr="007047B5">
        <w:rPr>
          <w:rStyle w:val="HideTWBExt"/>
          <w:b w:val="0"/>
          <w:noProof w:val="0"/>
          <w:lang w:val="en-IE"/>
        </w:rPr>
        <w:t>&lt;/NumAm&gt;</w:t>
      </w:r>
    </w:p>
    <w:p w14:paraId="79781AFE"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FB0699A"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32 – paragraph 3 – introductory part</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F769CD6" w14:textId="77777777" w:rsidTr="00CB2077">
        <w:trPr>
          <w:jc w:val="center"/>
        </w:trPr>
        <w:tc>
          <w:tcPr>
            <w:tcW w:w="9752" w:type="dxa"/>
            <w:gridSpan w:val="2"/>
          </w:tcPr>
          <w:p w14:paraId="7DCFFF00" w14:textId="77777777" w:rsidR="00CB2077" w:rsidRPr="007047B5" w:rsidRDefault="00CB2077">
            <w:pPr>
              <w:keepNext/>
              <w:rPr>
                <w:lang w:val="en-IE"/>
              </w:rPr>
            </w:pPr>
          </w:p>
        </w:tc>
      </w:tr>
      <w:tr w:rsidR="00CB2077" w:rsidRPr="007047B5" w14:paraId="2B113E50" w14:textId="77777777" w:rsidTr="00CB2077">
        <w:trPr>
          <w:jc w:val="center"/>
        </w:trPr>
        <w:tc>
          <w:tcPr>
            <w:tcW w:w="4876" w:type="dxa"/>
            <w:hideMark/>
          </w:tcPr>
          <w:p w14:paraId="746B7EB4"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AE8ABBC" w14:textId="77777777" w:rsidR="00CB2077" w:rsidRPr="007047B5" w:rsidRDefault="00CB2077">
            <w:pPr>
              <w:pStyle w:val="ColumnHeading"/>
              <w:keepNext/>
              <w:rPr>
                <w:lang w:val="en-IE"/>
              </w:rPr>
            </w:pPr>
            <w:r w:rsidRPr="007047B5">
              <w:rPr>
                <w:lang w:val="en-IE"/>
              </w:rPr>
              <w:t>Amendment</w:t>
            </w:r>
          </w:p>
        </w:tc>
      </w:tr>
      <w:tr w:rsidR="00CB2077" w:rsidRPr="007047B5" w14:paraId="2688916A" w14:textId="77777777" w:rsidTr="00CB2077">
        <w:trPr>
          <w:jc w:val="center"/>
        </w:trPr>
        <w:tc>
          <w:tcPr>
            <w:tcW w:w="4876" w:type="dxa"/>
            <w:hideMark/>
          </w:tcPr>
          <w:p w14:paraId="4F9055EF" w14:textId="77777777" w:rsidR="00CB2077" w:rsidRPr="007047B5" w:rsidRDefault="00CB2077">
            <w:pPr>
              <w:pStyle w:val="Normal6"/>
              <w:rPr>
                <w:lang w:val="en-IE"/>
              </w:rPr>
            </w:pPr>
            <w:r w:rsidRPr="007047B5">
              <w:rPr>
                <w:lang w:val="en-IE"/>
              </w:rPr>
              <w:t>3.</w:t>
            </w:r>
            <w:r w:rsidRPr="007047B5">
              <w:rPr>
                <w:lang w:val="en-IE"/>
              </w:rPr>
              <w:tab/>
              <w:t>By [</w:t>
            </w:r>
            <w:r w:rsidRPr="007047B5">
              <w:rPr>
                <w:b/>
                <w:i/>
                <w:lang w:val="en-IE"/>
              </w:rPr>
              <w:t>3</w:t>
            </w:r>
            <w:r w:rsidRPr="007047B5">
              <w:rPr>
                <w:lang w:val="en-IE"/>
              </w:rPr>
              <w:t xml:space="preserve"> years from the date of entry </w:t>
            </w:r>
            <w:r w:rsidRPr="007047B5">
              <w:rPr>
                <w:lang w:val="en-IE"/>
              </w:rPr>
              <w:lastRenderedPageBreak/>
              <w:t>into force of this Regulation], AMLA shall issue guidelines on the following matters:</w:t>
            </w:r>
          </w:p>
        </w:tc>
        <w:tc>
          <w:tcPr>
            <w:tcW w:w="4876" w:type="dxa"/>
            <w:hideMark/>
          </w:tcPr>
          <w:p w14:paraId="6F3D879D" w14:textId="77777777" w:rsidR="00CB2077" w:rsidRPr="007047B5" w:rsidRDefault="00CB2077">
            <w:pPr>
              <w:pStyle w:val="Normal6"/>
              <w:rPr>
                <w:szCs w:val="24"/>
                <w:lang w:val="en-IE"/>
              </w:rPr>
            </w:pPr>
            <w:r w:rsidRPr="007047B5">
              <w:rPr>
                <w:lang w:val="en-IE"/>
              </w:rPr>
              <w:lastRenderedPageBreak/>
              <w:t>3.</w:t>
            </w:r>
            <w:r w:rsidRPr="007047B5">
              <w:rPr>
                <w:lang w:val="en-IE"/>
              </w:rPr>
              <w:tab/>
              <w:t xml:space="preserve">By </w:t>
            </w:r>
            <w:r w:rsidR="000107CF" w:rsidRPr="007047B5">
              <w:rPr>
                <w:lang w:val="en-IE"/>
              </w:rPr>
              <w:t>...</w:t>
            </w:r>
            <w:r w:rsidRPr="007047B5">
              <w:rPr>
                <w:lang w:val="en-IE"/>
              </w:rPr>
              <w:t>[</w:t>
            </w:r>
            <w:r w:rsidRPr="007047B5">
              <w:rPr>
                <w:b/>
                <w:i/>
                <w:lang w:val="en-IE"/>
              </w:rPr>
              <w:t>2</w:t>
            </w:r>
            <w:r w:rsidRPr="007047B5">
              <w:rPr>
                <w:lang w:val="en-IE"/>
              </w:rPr>
              <w:t xml:space="preserve"> years from the date of entry </w:t>
            </w:r>
            <w:r w:rsidRPr="007047B5">
              <w:rPr>
                <w:lang w:val="en-IE"/>
              </w:rPr>
              <w:lastRenderedPageBreak/>
              <w:t>into force of this Regulation], AMLA shall issue guidelines on the following matters:</w:t>
            </w:r>
          </w:p>
        </w:tc>
      </w:tr>
    </w:tbl>
    <w:p w14:paraId="603F6141"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A82DAF8" w14:textId="77777777" w:rsidR="00CB2077" w:rsidRPr="007047B5" w:rsidRDefault="00CB2077" w:rsidP="00CB2077">
      <w:pPr>
        <w:rPr>
          <w:lang w:val="en-IE"/>
        </w:rPr>
      </w:pPr>
      <w:r w:rsidRPr="007047B5">
        <w:rPr>
          <w:rStyle w:val="HideTWBExt"/>
          <w:noProof w:val="0"/>
          <w:lang w:val="en-IE"/>
        </w:rPr>
        <w:t>&lt;/Amend&gt;</w:t>
      </w:r>
    </w:p>
    <w:p w14:paraId="09174C91"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83</w:t>
      </w:r>
      <w:r w:rsidRPr="007047B5">
        <w:rPr>
          <w:rStyle w:val="HideTWBExt"/>
          <w:b w:val="0"/>
          <w:noProof w:val="0"/>
          <w:lang w:val="en-IE"/>
        </w:rPr>
        <w:t>&lt;/NumAm&gt;</w:t>
      </w:r>
    </w:p>
    <w:p w14:paraId="5DE0FC83"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B442361"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36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564E175" w14:textId="77777777" w:rsidTr="00CB2077">
        <w:trPr>
          <w:jc w:val="center"/>
        </w:trPr>
        <w:tc>
          <w:tcPr>
            <w:tcW w:w="9752" w:type="dxa"/>
            <w:gridSpan w:val="2"/>
          </w:tcPr>
          <w:p w14:paraId="200E0866" w14:textId="77777777" w:rsidR="00CB2077" w:rsidRPr="007047B5" w:rsidRDefault="00CB2077">
            <w:pPr>
              <w:keepNext/>
              <w:rPr>
                <w:lang w:val="en-IE"/>
              </w:rPr>
            </w:pPr>
          </w:p>
        </w:tc>
      </w:tr>
      <w:tr w:rsidR="00CB2077" w:rsidRPr="007047B5" w14:paraId="088F19F2" w14:textId="77777777" w:rsidTr="00CB2077">
        <w:trPr>
          <w:jc w:val="center"/>
        </w:trPr>
        <w:tc>
          <w:tcPr>
            <w:tcW w:w="4876" w:type="dxa"/>
            <w:hideMark/>
          </w:tcPr>
          <w:p w14:paraId="1A2A2C6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EF56E23" w14:textId="77777777" w:rsidR="00CB2077" w:rsidRPr="007047B5" w:rsidRDefault="00CB2077">
            <w:pPr>
              <w:pStyle w:val="ColumnHeading"/>
              <w:keepNext/>
              <w:rPr>
                <w:lang w:val="en-IE"/>
              </w:rPr>
            </w:pPr>
            <w:r w:rsidRPr="007047B5">
              <w:rPr>
                <w:lang w:val="en-IE"/>
              </w:rPr>
              <w:t>Amendment</w:t>
            </w:r>
          </w:p>
        </w:tc>
      </w:tr>
      <w:tr w:rsidR="00CB2077" w:rsidRPr="007047B5" w14:paraId="60B11344" w14:textId="77777777" w:rsidTr="00CB2077">
        <w:trPr>
          <w:jc w:val="center"/>
        </w:trPr>
        <w:tc>
          <w:tcPr>
            <w:tcW w:w="4876" w:type="dxa"/>
          </w:tcPr>
          <w:p w14:paraId="74E31B99" w14:textId="77777777" w:rsidR="00CB2077" w:rsidRPr="007047B5" w:rsidRDefault="00CB2077">
            <w:pPr>
              <w:pStyle w:val="Normal6"/>
              <w:rPr>
                <w:lang w:val="en-IE"/>
              </w:rPr>
            </w:pPr>
          </w:p>
        </w:tc>
        <w:tc>
          <w:tcPr>
            <w:tcW w:w="4876" w:type="dxa"/>
            <w:hideMark/>
          </w:tcPr>
          <w:p w14:paraId="47A6AFBF" w14:textId="77B283C7" w:rsidR="00CB2077" w:rsidRPr="007047B5" w:rsidRDefault="00CB2077">
            <w:pPr>
              <w:pStyle w:val="Normal6"/>
              <w:jc w:val="center"/>
              <w:rPr>
                <w:szCs w:val="24"/>
                <w:lang w:val="en-IE"/>
              </w:rPr>
            </w:pPr>
            <w:r w:rsidRPr="007047B5">
              <w:rPr>
                <w:b/>
                <w:i/>
                <w:lang w:val="en-IE"/>
              </w:rPr>
              <w:t>Article 36a</w:t>
            </w:r>
          </w:p>
        </w:tc>
      </w:tr>
      <w:tr w:rsidR="00CB2077" w:rsidRPr="007047B5" w14:paraId="0D033BCC" w14:textId="77777777" w:rsidTr="00CB2077">
        <w:trPr>
          <w:jc w:val="center"/>
        </w:trPr>
        <w:tc>
          <w:tcPr>
            <w:tcW w:w="4876" w:type="dxa"/>
          </w:tcPr>
          <w:p w14:paraId="043D1297" w14:textId="77777777" w:rsidR="00CB2077" w:rsidRPr="007047B5" w:rsidRDefault="00CB2077">
            <w:pPr>
              <w:pStyle w:val="Normal6"/>
              <w:rPr>
                <w:lang w:val="en-IE"/>
              </w:rPr>
            </w:pPr>
          </w:p>
        </w:tc>
        <w:tc>
          <w:tcPr>
            <w:tcW w:w="4876" w:type="dxa"/>
            <w:hideMark/>
          </w:tcPr>
          <w:p w14:paraId="35FEDA23" w14:textId="578C00F4" w:rsidR="00CB2077" w:rsidRPr="007047B5" w:rsidRDefault="00CB2077">
            <w:pPr>
              <w:pStyle w:val="Normal6"/>
              <w:rPr>
                <w:szCs w:val="24"/>
                <w:lang w:val="en-IE"/>
              </w:rPr>
            </w:pPr>
            <w:r w:rsidRPr="007047B5">
              <w:rPr>
                <w:b/>
                <w:i/>
                <w:lang w:val="en-IE"/>
              </w:rPr>
              <w:t>Specific provisions regarding certain high</w:t>
            </w:r>
            <w:r w:rsidR="005127A2" w:rsidRPr="007047B5">
              <w:rPr>
                <w:b/>
                <w:i/>
                <w:lang w:val="en-IE"/>
              </w:rPr>
              <w:t>-</w:t>
            </w:r>
            <w:r w:rsidRPr="007047B5">
              <w:rPr>
                <w:b/>
                <w:i/>
                <w:lang w:val="en-IE"/>
              </w:rPr>
              <w:t>net</w:t>
            </w:r>
            <w:r w:rsidR="005127A2" w:rsidRPr="007047B5">
              <w:rPr>
                <w:b/>
                <w:i/>
                <w:lang w:val="en-IE"/>
              </w:rPr>
              <w:t>-</w:t>
            </w:r>
            <w:r w:rsidRPr="007047B5">
              <w:rPr>
                <w:b/>
                <w:i/>
                <w:lang w:val="en-IE"/>
              </w:rPr>
              <w:t>worth individuals</w:t>
            </w:r>
          </w:p>
        </w:tc>
      </w:tr>
      <w:tr w:rsidR="00CB2077" w:rsidRPr="007047B5" w14:paraId="3ACCE86E" w14:textId="77777777" w:rsidTr="00CB2077">
        <w:trPr>
          <w:jc w:val="center"/>
        </w:trPr>
        <w:tc>
          <w:tcPr>
            <w:tcW w:w="4876" w:type="dxa"/>
          </w:tcPr>
          <w:p w14:paraId="5019B4BC" w14:textId="77777777" w:rsidR="00CB2077" w:rsidRPr="007047B5" w:rsidRDefault="00CB2077">
            <w:pPr>
              <w:pStyle w:val="Normal6"/>
              <w:rPr>
                <w:lang w:val="en-IE"/>
              </w:rPr>
            </w:pPr>
          </w:p>
        </w:tc>
        <w:tc>
          <w:tcPr>
            <w:tcW w:w="4876" w:type="dxa"/>
            <w:hideMark/>
          </w:tcPr>
          <w:p w14:paraId="05376FE9" w14:textId="12038C73" w:rsidR="00CB2077" w:rsidRPr="007047B5" w:rsidRDefault="00CB2077" w:rsidP="006F5456">
            <w:pPr>
              <w:pStyle w:val="Normal6"/>
              <w:rPr>
                <w:szCs w:val="24"/>
                <w:lang w:val="en-IE"/>
              </w:rPr>
            </w:pPr>
            <w:r w:rsidRPr="007047B5">
              <w:rPr>
                <w:b/>
                <w:i/>
                <w:lang w:val="en-IE"/>
              </w:rPr>
              <w:t xml:space="preserve">1. </w:t>
            </w:r>
            <w:r w:rsidR="00111A6C" w:rsidRPr="007047B5">
              <w:rPr>
                <w:b/>
                <w:i/>
                <w:lang w:val="en-IE"/>
              </w:rPr>
              <w:tab/>
            </w:r>
            <w:r w:rsidRPr="007047B5">
              <w:rPr>
                <w:b/>
                <w:i/>
                <w:lang w:val="en-IE"/>
              </w:rPr>
              <w:t xml:space="preserve">In addition to the customer due diligence measures laid down in Article 16, obliged entities shall have in place appropriate risk management systems, including risk-based procedures, to determine whether </w:t>
            </w:r>
            <w:r w:rsidR="0004335D" w:rsidRPr="007047B5">
              <w:rPr>
                <w:b/>
                <w:i/>
                <w:lang w:val="en-IE"/>
              </w:rPr>
              <w:t xml:space="preserve">a </w:t>
            </w:r>
            <w:r w:rsidRPr="007047B5">
              <w:rPr>
                <w:b/>
                <w:i/>
                <w:lang w:val="en-IE"/>
              </w:rPr>
              <w:t xml:space="preserve">customer or the beneficial owner of </w:t>
            </w:r>
            <w:r w:rsidR="0004335D" w:rsidRPr="007047B5">
              <w:rPr>
                <w:b/>
                <w:i/>
                <w:lang w:val="en-IE"/>
              </w:rPr>
              <w:t xml:space="preserve">a </w:t>
            </w:r>
            <w:r w:rsidRPr="007047B5">
              <w:rPr>
                <w:b/>
                <w:i/>
                <w:lang w:val="en-IE"/>
              </w:rPr>
              <w:t>customer is a high</w:t>
            </w:r>
            <w:r w:rsidR="005127A2" w:rsidRPr="007047B5">
              <w:rPr>
                <w:b/>
                <w:i/>
                <w:lang w:val="en-IE"/>
              </w:rPr>
              <w:t>-</w:t>
            </w:r>
            <w:r w:rsidRPr="007047B5">
              <w:rPr>
                <w:b/>
                <w:i/>
                <w:lang w:val="en-IE"/>
              </w:rPr>
              <w:t>net</w:t>
            </w:r>
            <w:r w:rsidR="005127A2" w:rsidRPr="007047B5">
              <w:rPr>
                <w:b/>
                <w:i/>
                <w:lang w:val="en-IE"/>
              </w:rPr>
              <w:t>-</w:t>
            </w:r>
            <w:r w:rsidRPr="007047B5">
              <w:rPr>
                <w:b/>
                <w:i/>
                <w:lang w:val="en-IE"/>
              </w:rPr>
              <w:t>worth individual who also presents any of the higher risk factors set out in Annex III.</w:t>
            </w:r>
          </w:p>
        </w:tc>
      </w:tr>
      <w:tr w:rsidR="00CB2077" w:rsidRPr="007047B5" w14:paraId="4A86D1AF" w14:textId="77777777" w:rsidTr="00CB2077">
        <w:trPr>
          <w:jc w:val="center"/>
        </w:trPr>
        <w:tc>
          <w:tcPr>
            <w:tcW w:w="4876" w:type="dxa"/>
          </w:tcPr>
          <w:p w14:paraId="61FD92EF" w14:textId="77777777" w:rsidR="00CB2077" w:rsidRPr="007047B5" w:rsidRDefault="00CB2077">
            <w:pPr>
              <w:pStyle w:val="Normal6"/>
              <w:rPr>
                <w:lang w:val="en-IE"/>
              </w:rPr>
            </w:pPr>
          </w:p>
        </w:tc>
        <w:tc>
          <w:tcPr>
            <w:tcW w:w="4876" w:type="dxa"/>
            <w:hideMark/>
          </w:tcPr>
          <w:p w14:paraId="57FAC5E5" w14:textId="1CCEF736" w:rsidR="00CB2077" w:rsidRPr="007047B5" w:rsidRDefault="00CB2077" w:rsidP="006F5456">
            <w:pPr>
              <w:pStyle w:val="Normal6"/>
              <w:rPr>
                <w:szCs w:val="24"/>
                <w:lang w:val="en-IE"/>
              </w:rPr>
            </w:pPr>
            <w:r w:rsidRPr="007047B5">
              <w:rPr>
                <w:b/>
                <w:i/>
                <w:lang w:val="en-IE"/>
              </w:rPr>
              <w:t xml:space="preserve">2. </w:t>
            </w:r>
            <w:r w:rsidR="00111A6C" w:rsidRPr="007047B5">
              <w:rPr>
                <w:b/>
                <w:i/>
                <w:lang w:val="en-IE"/>
              </w:rPr>
              <w:tab/>
            </w:r>
            <w:r w:rsidRPr="007047B5">
              <w:rPr>
                <w:b/>
                <w:i/>
                <w:lang w:val="en-IE"/>
              </w:rPr>
              <w:t>With respect to transactions or business relationships with high</w:t>
            </w:r>
            <w:r w:rsidR="005127A2" w:rsidRPr="007047B5">
              <w:rPr>
                <w:b/>
                <w:i/>
                <w:lang w:val="en-IE"/>
              </w:rPr>
              <w:t>-</w:t>
            </w:r>
            <w:r w:rsidRPr="007047B5">
              <w:rPr>
                <w:b/>
                <w:i/>
                <w:lang w:val="en-IE"/>
              </w:rPr>
              <w:t>net</w:t>
            </w:r>
            <w:r w:rsidR="005127A2" w:rsidRPr="007047B5">
              <w:rPr>
                <w:b/>
                <w:i/>
                <w:lang w:val="en-IE"/>
              </w:rPr>
              <w:t>-</w:t>
            </w:r>
            <w:r w:rsidRPr="007047B5">
              <w:rPr>
                <w:b/>
                <w:i/>
                <w:lang w:val="en-IE"/>
              </w:rPr>
              <w:t xml:space="preserve">worth individuals </w:t>
            </w:r>
            <w:r w:rsidR="00023B8F" w:rsidRPr="007047B5">
              <w:rPr>
                <w:b/>
                <w:i/>
                <w:lang w:val="en-IE"/>
              </w:rPr>
              <w:t xml:space="preserve">as </w:t>
            </w:r>
            <w:r w:rsidRPr="007047B5">
              <w:rPr>
                <w:b/>
                <w:i/>
                <w:lang w:val="en-IE"/>
              </w:rPr>
              <w:t>referred to in paragraph 1, obliged entities shall apply the following measures:</w:t>
            </w:r>
          </w:p>
        </w:tc>
      </w:tr>
      <w:tr w:rsidR="00CB2077" w:rsidRPr="007047B5" w14:paraId="2173B25C" w14:textId="77777777" w:rsidTr="00CB2077">
        <w:trPr>
          <w:jc w:val="center"/>
        </w:trPr>
        <w:tc>
          <w:tcPr>
            <w:tcW w:w="4876" w:type="dxa"/>
          </w:tcPr>
          <w:p w14:paraId="31270B34" w14:textId="77777777" w:rsidR="00CB2077" w:rsidRPr="007047B5" w:rsidRDefault="00CB2077">
            <w:pPr>
              <w:pStyle w:val="Normal6"/>
              <w:rPr>
                <w:lang w:val="en-IE"/>
              </w:rPr>
            </w:pPr>
          </w:p>
        </w:tc>
        <w:tc>
          <w:tcPr>
            <w:tcW w:w="4876" w:type="dxa"/>
            <w:hideMark/>
          </w:tcPr>
          <w:p w14:paraId="41E5A18F" w14:textId="3DE85DE1" w:rsidR="00CB2077" w:rsidRPr="007047B5" w:rsidRDefault="00CB2077">
            <w:pPr>
              <w:pStyle w:val="Normal6"/>
              <w:rPr>
                <w:szCs w:val="24"/>
                <w:lang w:val="en-IE"/>
              </w:rPr>
            </w:pPr>
            <w:r w:rsidRPr="007047B5">
              <w:rPr>
                <w:b/>
                <w:i/>
                <w:lang w:val="en-IE"/>
              </w:rPr>
              <w:t xml:space="preserve">(a) </w:t>
            </w:r>
            <w:r w:rsidR="00111A6C" w:rsidRPr="007047B5">
              <w:rPr>
                <w:b/>
                <w:i/>
                <w:lang w:val="en-IE"/>
              </w:rPr>
              <w:tab/>
            </w:r>
            <w:r w:rsidRPr="007047B5">
              <w:rPr>
                <w:b/>
                <w:i/>
                <w:lang w:val="en-IE"/>
              </w:rPr>
              <w:t>consider refraining from carrying out transactions or establishing a business relationship or terminate the business relationship and consider filing a suspicious transaction report to the FIU in relation to the customer in accordance with Article 50;</w:t>
            </w:r>
          </w:p>
        </w:tc>
      </w:tr>
      <w:tr w:rsidR="00CB2077" w:rsidRPr="007047B5" w14:paraId="6E56D1BD" w14:textId="77777777" w:rsidTr="00CB2077">
        <w:trPr>
          <w:jc w:val="center"/>
        </w:trPr>
        <w:tc>
          <w:tcPr>
            <w:tcW w:w="4876" w:type="dxa"/>
          </w:tcPr>
          <w:p w14:paraId="6E8E2ADE" w14:textId="77777777" w:rsidR="00CB2077" w:rsidRPr="007047B5" w:rsidRDefault="00CB2077">
            <w:pPr>
              <w:pStyle w:val="Normal6"/>
              <w:rPr>
                <w:lang w:val="en-IE"/>
              </w:rPr>
            </w:pPr>
          </w:p>
        </w:tc>
        <w:tc>
          <w:tcPr>
            <w:tcW w:w="4876" w:type="dxa"/>
            <w:hideMark/>
          </w:tcPr>
          <w:p w14:paraId="5F0F705F" w14:textId="22CFE6F0" w:rsidR="00CB2077" w:rsidRPr="007047B5" w:rsidRDefault="00CB2077">
            <w:pPr>
              <w:pStyle w:val="Normal6"/>
              <w:rPr>
                <w:szCs w:val="24"/>
                <w:lang w:val="en-IE"/>
              </w:rPr>
            </w:pPr>
            <w:r w:rsidRPr="007047B5">
              <w:rPr>
                <w:b/>
                <w:i/>
                <w:lang w:val="en-IE"/>
              </w:rPr>
              <w:t xml:space="preserve">(b) </w:t>
            </w:r>
            <w:r w:rsidR="00111A6C" w:rsidRPr="007047B5">
              <w:rPr>
                <w:b/>
                <w:i/>
                <w:lang w:val="en-IE"/>
              </w:rPr>
              <w:tab/>
            </w:r>
            <w:r w:rsidRPr="007047B5">
              <w:rPr>
                <w:b/>
                <w:i/>
                <w:lang w:val="en-IE"/>
              </w:rPr>
              <w:t>obtain senior management approval for establishing or continuing business relationships with those</w:t>
            </w:r>
            <w:r w:rsidR="00023B8F" w:rsidRPr="007047B5">
              <w:rPr>
                <w:b/>
                <w:i/>
                <w:lang w:val="en-IE"/>
              </w:rPr>
              <w:t xml:space="preserve"> </w:t>
            </w:r>
            <w:r w:rsidR="00217624" w:rsidRPr="007047B5">
              <w:rPr>
                <w:b/>
                <w:i/>
                <w:lang w:val="en-IE"/>
              </w:rPr>
              <w:t xml:space="preserve">customers </w:t>
            </w:r>
            <w:r w:rsidRPr="007047B5">
              <w:rPr>
                <w:b/>
                <w:i/>
                <w:lang w:val="en-IE"/>
              </w:rPr>
              <w:t>;</w:t>
            </w:r>
          </w:p>
        </w:tc>
      </w:tr>
      <w:tr w:rsidR="00CB2077" w:rsidRPr="007047B5" w14:paraId="7258C9EB" w14:textId="77777777" w:rsidTr="00CB2077">
        <w:trPr>
          <w:jc w:val="center"/>
        </w:trPr>
        <w:tc>
          <w:tcPr>
            <w:tcW w:w="4876" w:type="dxa"/>
          </w:tcPr>
          <w:p w14:paraId="13B928B6" w14:textId="77777777" w:rsidR="00CB2077" w:rsidRPr="007047B5" w:rsidRDefault="00CB2077">
            <w:pPr>
              <w:pStyle w:val="Normal6"/>
              <w:rPr>
                <w:lang w:val="en-IE"/>
              </w:rPr>
            </w:pPr>
          </w:p>
        </w:tc>
        <w:tc>
          <w:tcPr>
            <w:tcW w:w="4876" w:type="dxa"/>
            <w:hideMark/>
          </w:tcPr>
          <w:p w14:paraId="415B9B12" w14:textId="1A700E9D" w:rsidR="00CB2077" w:rsidRPr="007047B5" w:rsidRDefault="00CB2077">
            <w:pPr>
              <w:pStyle w:val="Normal6"/>
              <w:rPr>
                <w:szCs w:val="24"/>
                <w:lang w:val="en-IE"/>
              </w:rPr>
            </w:pPr>
            <w:r w:rsidRPr="007047B5">
              <w:rPr>
                <w:b/>
                <w:i/>
                <w:lang w:val="en-IE"/>
              </w:rPr>
              <w:t xml:space="preserve">(c) </w:t>
            </w:r>
            <w:r w:rsidR="00111A6C" w:rsidRPr="007047B5">
              <w:rPr>
                <w:b/>
                <w:i/>
                <w:lang w:val="en-IE"/>
              </w:rPr>
              <w:tab/>
            </w:r>
            <w:r w:rsidRPr="007047B5">
              <w:rPr>
                <w:b/>
                <w:i/>
                <w:lang w:val="en-IE"/>
              </w:rPr>
              <w:t xml:space="preserve">take adequate measures to establish the source of wealth and source of funds that are involved in business </w:t>
            </w:r>
            <w:r w:rsidRPr="007047B5">
              <w:rPr>
                <w:b/>
                <w:i/>
                <w:lang w:val="en-IE"/>
              </w:rPr>
              <w:lastRenderedPageBreak/>
              <w:t>relationships or transactions with those</w:t>
            </w:r>
            <w:r w:rsidR="00023B8F" w:rsidRPr="007047B5">
              <w:rPr>
                <w:b/>
                <w:i/>
                <w:lang w:val="en-IE"/>
              </w:rPr>
              <w:t xml:space="preserve"> </w:t>
            </w:r>
            <w:r w:rsidR="00217624" w:rsidRPr="007047B5">
              <w:rPr>
                <w:b/>
                <w:i/>
                <w:lang w:val="en-IE"/>
              </w:rPr>
              <w:t xml:space="preserve">customers </w:t>
            </w:r>
            <w:r w:rsidRPr="007047B5">
              <w:rPr>
                <w:b/>
                <w:i/>
                <w:lang w:val="en-IE"/>
              </w:rPr>
              <w:t>;</w:t>
            </w:r>
          </w:p>
        </w:tc>
      </w:tr>
      <w:tr w:rsidR="00CB2077" w:rsidRPr="007047B5" w14:paraId="59CE2D1F" w14:textId="77777777" w:rsidTr="00CB2077">
        <w:trPr>
          <w:jc w:val="center"/>
        </w:trPr>
        <w:tc>
          <w:tcPr>
            <w:tcW w:w="4876" w:type="dxa"/>
          </w:tcPr>
          <w:p w14:paraId="5347280B" w14:textId="77777777" w:rsidR="00CB2077" w:rsidRPr="007047B5" w:rsidRDefault="00CB2077">
            <w:pPr>
              <w:pStyle w:val="Normal6"/>
              <w:rPr>
                <w:lang w:val="en-IE"/>
              </w:rPr>
            </w:pPr>
          </w:p>
        </w:tc>
        <w:tc>
          <w:tcPr>
            <w:tcW w:w="4876" w:type="dxa"/>
            <w:hideMark/>
          </w:tcPr>
          <w:p w14:paraId="6BD80895" w14:textId="483ECBDB" w:rsidR="00CB2077" w:rsidRPr="007047B5" w:rsidRDefault="00CB2077">
            <w:pPr>
              <w:pStyle w:val="Normal6"/>
              <w:rPr>
                <w:szCs w:val="24"/>
                <w:lang w:val="en-IE"/>
              </w:rPr>
            </w:pPr>
            <w:r w:rsidRPr="007047B5">
              <w:rPr>
                <w:b/>
                <w:i/>
                <w:lang w:val="en-IE"/>
              </w:rPr>
              <w:t xml:space="preserve">(d) </w:t>
            </w:r>
            <w:r w:rsidR="00111A6C" w:rsidRPr="007047B5">
              <w:rPr>
                <w:b/>
                <w:i/>
                <w:lang w:val="en-IE"/>
              </w:rPr>
              <w:tab/>
            </w:r>
            <w:r w:rsidRPr="007047B5">
              <w:rPr>
                <w:b/>
                <w:i/>
                <w:lang w:val="en-IE"/>
              </w:rPr>
              <w:t>conduct enhanced, ongoing monitoring of business relationships</w:t>
            </w:r>
            <w:r w:rsidR="0004335D" w:rsidRPr="007047B5">
              <w:rPr>
                <w:b/>
                <w:i/>
                <w:lang w:val="en-IE"/>
              </w:rPr>
              <w:t xml:space="preserve"> with those </w:t>
            </w:r>
            <w:r w:rsidR="00217624" w:rsidRPr="007047B5">
              <w:rPr>
                <w:b/>
                <w:i/>
                <w:lang w:val="en-IE"/>
              </w:rPr>
              <w:t>customers</w:t>
            </w:r>
            <w:r w:rsidRPr="007047B5">
              <w:rPr>
                <w:b/>
                <w:i/>
                <w:lang w:val="en-IE"/>
              </w:rPr>
              <w:t>.</w:t>
            </w:r>
          </w:p>
        </w:tc>
      </w:tr>
    </w:tbl>
    <w:p w14:paraId="55A5D4CE"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5E1B4CE" w14:textId="77777777" w:rsidR="00CB2077" w:rsidRPr="007047B5" w:rsidRDefault="00CB2077" w:rsidP="00CB2077">
      <w:pPr>
        <w:rPr>
          <w:lang w:val="en-IE"/>
        </w:rPr>
      </w:pPr>
      <w:r w:rsidRPr="007047B5">
        <w:rPr>
          <w:rStyle w:val="HideTWBExt"/>
          <w:noProof w:val="0"/>
          <w:lang w:val="en-IE"/>
        </w:rPr>
        <w:t>&lt;/Amend&gt;</w:t>
      </w:r>
    </w:p>
    <w:p w14:paraId="4EE23819"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84</w:t>
      </w:r>
      <w:r w:rsidRPr="007047B5">
        <w:rPr>
          <w:rStyle w:val="HideTWBExt"/>
          <w:b w:val="0"/>
          <w:noProof w:val="0"/>
          <w:lang w:val="en-IE"/>
        </w:rPr>
        <w:t>&lt;/NumAm&gt;</w:t>
      </w:r>
    </w:p>
    <w:p w14:paraId="578EFB2F"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3472DB1"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38 – paragraph 4</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E8B3BFE" w14:textId="77777777" w:rsidTr="00CB2077">
        <w:trPr>
          <w:jc w:val="center"/>
        </w:trPr>
        <w:tc>
          <w:tcPr>
            <w:tcW w:w="9752" w:type="dxa"/>
            <w:gridSpan w:val="2"/>
          </w:tcPr>
          <w:p w14:paraId="7CB09D30" w14:textId="77777777" w:rsidR="00CB2077" w:rsidRPr="007047B5" w:rsidRDefault="00CB2077">
            <w:pPr>
              <w:keepNext/>
              <w:rPr>
                <w:lang w:val="en-IE"/>
              </w:rPr>
            </w:pPr>
          </w:p>
        </w:tc>
      </w:tr>
      <w:tr w:rsidR="00CB2077" w:rsidRPr="007047B5" w14:paraId="63858E58" w14:textId="77777777" w:rsidTr="00CB2077">
        <w:trPr>
          <w:jc w:val="center"/>
        </w:trPr>
        <w:tc>
          <w:tcPr>
            <w:tcW w:w="4876" w:type="dxa"/>
            <w:hideMark/>
          </w:tcPr>
          <w:p w14:paraId="5E8934FF"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0C2FD8B" w14:textId="77777777" w:rsidR="00CB2077" w:rsidRPr="007047B5" w:rsidRDefault="00CB2077">
            <w:pPr>
              <w:pStyle w:val="ColumnHeading"/>
              <w:keepNext/>
              <w:rPr>
                <w:lang w:val="en-IE"/>
              </w:rPr>
            </w:pPr>
            <w:r w:rsidRPr="007047B5">
              <w:rPr>
                <w:lang w:val="en-IE"/>
              </w:rPr>
              <w:t>Amendment</w:t>
            </w:r>
          </w:p>
        </w:tc>
      </w:tr>
      <w:tr w:rsidR="00CB2077" w:rsidRPr="007047B5" w14:paraId="5E20C7F2" w14:textId="77777777" w:rsidTr="00CB2077">
        <w:trPr>
          <w:jc w:val="center"/>
        </w:trPr>
        <w:tc>
          <w:tcPr>
            <w:tcW w:w="4876" w:type="dxa"/>
            <w:hideMark/>
          </w:tcPr>
          <w:p w14:paraId="15B29F70" w14:textId="77777777" w:rsidR="00CB2077" w:rsidRPr="007047B5" w:rsidRDefault="00CB2077">
            <w:pPr>
              <w:pStyle w:val="Normal6"/>
              <w:rPr>
                <w:lang w:val="en-IE"/>
              </w:rPr>
            </w:pPr>
            <w:r w:rsidRPr="007047B5">
              <w:rPr>
                <w:lang w:val="en-IE"/>
              </w:rPr>
              <w:t>4.</w:t>
            </w:r>
            <w:r w:rsidRPr="007047B5">
              <w:rPr>
                <w:lang w:val="en-IE"/>
              </w:rPr>
              <w:tab/>
              <w:t xml:space="preserve">Obliged entities shall not rely on obliged entities established in third countries identified pursuant to Section 2 of this Chapter. </w:t>
            </w:r>
            <w:r w:rsidRPr="007047B5">
              <w:rPr>
                <w:b/>
                <w:i/>
                <w:lang w:val="en-IE"/>
              </w:rPr>
              <w:t>However, obliged entities established in the Union whose branches and subsidiaries are established in those third countries may rely on those branches and subsidiaries, where all the conditions set out in paragraph 3, points (a) to (c), are met.</w:t>
            </w:r>
          </w:p>
        </w:tc>
        <w:tc>
          <w:tcPr>
            <w:tcW w:w="4876" w:type="dxa"/>
            <w:hideMark/>
          </w:tcPr>
          <w:p w14:paraId="009B3A86" w14:textId="77777777" w:rsidR="00CB2077" w:rsidRPr="007047B5" w:rsidRDefault="00CB2077">
            <w:pPr>
              <w:pStyle w:val="Normal6"/>
              <w:rPr>
                <w:szCs w:val="24"/>
                <w:lang w:val="en-IE"/>
              </w:rPr>
            </w:pPr>
            <w:r w:rsidRPr="007047B5">
              <w:rPr>
                <w:lang w:val="en-IE"/>
              </w:rPr>
              <w:t>4.</w:t>
            </w:r>
            <w:r w:rsidRPr="007047B5">
              <w:rPr>
                <w:lang w:val="en-IE"/>
              </w:rPr>
              <w:tab/>
              <w:t>Obliged entities shall not rely on obliged entities established in third countries identified pursuant to Section 2 of this Chapter.</w:t>
            </w:r>
          </w:p>
        </w:tc>
      </w:tr>
    </w:tbl>
    <w:p w14:paraId="2AA381A2"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DB0E650" w14:textId="77777777" w:rsidR="00CB2077" w:rsidRPr="007047B5" w:rsidRDefault="00CB2077" w:rsidP="00CB2077">
      <w:pPr>
        <w:rPr>
          <w:lang w:val="en-IE"/>
        </w:rPr>
      </w:pPr>
      <w:r w:rsidRPr="007047B5">
        <w:rPr>
          <w:rStyle w:val="HideTWBExt"/>
          <w:noProof w:val="0"/>
          <w:lang w:val="en-IE"/>
        </w:rPr>
        <w:t>&lt;/Amend&gt;</w:t>
      </w:r>
    </w:p>
    <w:p w14:paraId="66806952"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85</w:t>
      </w:r>
      <w:r w:rsidRPr="007047B5">
        <w:rPr>
          <w:rStyle w:val="HideTWBExt"/>
          <w:b w:val="0"/>
          <w:noProof w:val="0"/>
          <w:lang w:val="en-IE"/>
        </w:rPr>
        <w:t>&lt;/NumAm&gt;</w:t>
      </w:r>
    </w:p>
    <w:p w14:paraId="67555BF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0B5B8CB"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40 – paragraph 2 – point c</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731430F" w14:textId="77777777" w:rsidTr="00CB2077">
        <w:trPr>
          <w:jc w:val="center"/>
        </w:trPr>
        <w:tc>
          <w:tcPr>
            <w:tcW w:w="9752" w:type="dxa"/>
            <w:gridSpan w:val="2"/>
          </w:tcPr>
          <w:p w14:paraId="667F2813" w14:textId="77777777" w:rsidR="00CB2077" w:rsidRPr="007047B5" w:rsidRDefault="00CB2077">
            <w:pPr>
              <w:keepNext/>
              <w:rPr>
                <w:lang w:val="en-IE"/>
              </w:rPr>
            </w:pPr>
          </w:p>
        </w:tc>
      </w:tr>
      <w:tr w:rsidR="00CB2077" w:rsidRPr="007047B5" w14:paraId="20B897D2" w14:textId="77777777" w:rsidTr="00CB2077">
        <w:trPr>
          <w:jc w:val="center"/>
        </w:trPr>
        <w:tc>
          <w:tcPr>
            <w:tcW w:w="4876" w:type="dxa"/>
            <w:hideMark/>
          </w:tcPr>
          <w:p w14:paraId="77E66E56"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E23DBEA" w14:textId="77777777" w:rsidR="00CB2077" w:rsidRPr="007047B5" w:rsidRDefault="00CB2077">
            <w:pPr>
              <w:pStyle w:val="ColumnHeading"/>
              <w:keepNext/>
              <w:rPr>
                <w:lang w:val="en-IE"/>
              </w:rPr>
            </w:pPr>
            <w:r w:rsidRPr="007047B5">
              <w:rPr>
                <w:lang w:val="en-IE"/>
              </w:rPr>
              <w:t>Amendment</w:t>
            </w:r>
          </w:p>
        </w:tc>
      </w:tr>
      <w:tr w:rsidR="00CB2077" w:rsidRPr="007047B5" w14:paraId="5A1175F2" w14:textId="77777777" w:rsidTr="00CB2077">
        <w:trPr>
          <w:jc w:val="center"/>
        </w:trPr>
        <w:tc>
          <w:tcPr>
            <w:tcW w:w="4876" w:type="dxa"/>
            <w:hideMark/>
          </w:tcPr>
          <w:p w14:paraId="64A517C6" w14:textId="77777777" w:rsidR="00CB2077" w:rsidRPr="007047B5" w:rsidRDefault="00CB2077">
            <w:pPr>
              <w:pStyle w:val="Normal6"/>
              <w:rPr>
                <w:lang w:val="en-IE"/>
              </w:rPr>
            </w:pPr>
            <w:r w:rsidRPr="007047B5">
              <w:rPr>
                <w:lang w:val="en-IE"/>
              </w:rPr>
              <w:t>(c)</w:t>
            </w:r>
            <w:r w:rsidRPr="007047B5">
              <w:rPr>
                <w:lang w:val="en-IE"/>
              </w:rPr>
              <w:tab/>
              <w:t xml:space="preserve">the </w:t>
            </w:r>
            <w:r w:rsidRPr="007047B5">
              <w:rPr>
                <w:b/>
                <w:i/>
                <w:lang w:val="en-IE"/>
              </w:rPr>
              <w:t>drawing up and</w:t>
            </w:r>
            <w:r w:rsidRPr="007047B5">
              <w:rPr>
                <w:lang w:val="en-IE"/>
              </w:rPr>
              <w:t xml:space="preserve"> approval of the obliged entity’s policies, controls and procedures to comply with the requirements of this Regulation;</w:t>
            </w:r>
          </w:p>
        </w:tc>
        <w:tc>
          <w:tcPr>
            <w:tcW w:w="4876" w:type="dxa"/>
            <w:hideMark/>
          </w:tcPr>
          <w:p w14:paraId="2C8DE185" w14:textId="77777777" w:rsidR="00CB2077" w:rsidRPr="007047B5" w:rsidRDefault="00CB2077">
            <w:pPr>
              <w:pStyle w:val="Normal6"/>
              <w:rPr>
                <w:szCs w:val="24"/>
                <w:lang w:val="en-IE"/>
              </w:rPr>
            </w:pPr>
            <w:r w:rsidRPr="007047B5">
              <w:rPr>
                <w:lang w:val="en-IE"/>
              </w:rPr>
              <w:t>(c)</w:t>
            </w:r>
            <w:r w:rsidRPr="007047B5">
              <w:rPr>
                <w:lang w:val="en-IE"/>
              </w:rPr>
              <w:tab/>
              <w:t>the approval of the obliged entity’s policies, controls and procedures to comply with the requirements of this Regulation;</w:t>
            </w:r>
          </w:p>
        </w:tc>
      </w:tr>
    </w:tbl>
    <w:p w14:paraId="6AE69B7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BE6A97A" w14:textId="77777777" w:rsidR="00CB2077" w:rsidRPr="007047B5" w:rsidRDefault="00CB2077" w:rsidP="00CB2077">
      <w:pPr>
        <w:rPr>
          <w:lang w:val="en-IE"/>
        </w:rPr>
      </w:pPr>
      <w:r w:rsidRPr="007047B5">
        <w:rPr>
          <w:rStyle w:val="HideTWBExt"/>
          <w:noProof w:val="0"/>
          <w:lang w:val="en-IE"/>
        </w:rPr>
        <w:t>&lt;/Amend&gt;</w:t>
      </w:r>
    </w:p>
    <w:p w14:paraId="4B007C5F"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86</w:t>
      </w:r>
      <w:r w:rsidRPr="007047B5">
        <w:rPr>
          <w:rStyle w:val="HideTWBExt"/>
          <w:b w:val="0"/>
          <w:noProof w:val="0"/>
          <w:lang w:val="en-IE"/>
        </w:rPr>
        <w:t>&lt;/NumAm&gt;</w:t>
      </w:r>
    </w:p>
    <w:p w14:paraId="6CB01430"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A0360CF"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40 – paragraph 2 – point d</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94DE0E8" w14:textId="77777777" w:rsidTr="00CB2077">
        <w:trPr>
          <w:jc w:val="center"/>
        </w:trPr>
        <w:tc>
          <w:tcPr>
            <w:tcW w:w="9752" w:type="dxa"/>
            <w:gridSpan w:val="2"/>
          </w:tcPr>
          <w:p w14:paraId="2EA5CA47" w14:textId="77777777" w:rsidR="00CB2077" w:rsidRPr="007047B5" w:rsidRDefault="00CB2077">
            <w:pPr>
              <w:keepNext/>
              <w:rPr>
                <w:lang w:val="en-IE"/>
              </w:rPr>
            </w:pPr>
          </w:p>
        </w:tc>
      </w:tr>
      <w:tr w:rsidR="00CB2077" w:rsidRPr="007047B5" w14:paraId="1E007D37" w14:textId="77777777" w:rsidTr="00CB2077">
        <w:trPr>
          <w:jc w:val="center"/>
        </w:trPr>
        <w:tc>
          <w:tcPr>
            <w:tcW w:w="4876" w:type="dxa"/>
            <w:hideMark/>
          </w:tcPr>
          <w:p w14:paraId="2BB9F954"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89EC537" w14:textId="77777777" w:rsidR="00CB2077" w:rsidRPr="007047B5" w:rsidRDefault="00CB2077">
            <w:pPr>
              <w:pStyle w:val="ColumnHeading"/>
              <w:keepNext/>
              <w:rPr>
                <w:lang w:val="en-IE"/>
              </w:rPr>
            </w:pPr>
            <w:r w:rsidRPr="007047B5">
              <w:rPr>
                <w:lang w:val="en-IE"/>
              </w:rPr>
              <w:t>Amendment</w:t>
            </w:r>
          </w:p>
        </w:tc>
      </w:tr>
      <w:tr w:rsidR="00CB2077" w:rsidRPr="007047B5" w14:paraId="6DAC41B0" w14:textId="77777777" w:rsidTr="00CB2077">
        <w:trPr>
          <w:jc w:val="center"/>
        </w:trPr>
        <w:tc>
          <w:tcPr>
            <w:tcW w:w="4876" w:type="dxa"/>
            <w:hideMark/>
          </w:tcPr>
          <w:p w14:paraId="13D05D3B" w14:textId="77777777" w:rsidR="00CB2077" w:rsidRPr="007047B5" w:rsidRDefault="00CB2077">
            <w:pPr>
              <w:pStyle w:val="Normal6"/>
              <w:rPr>
                <w:lang w:val="en-IE"/>
              </w:rPr>
            </w:pPr>
            <w:r w:rsidRPr="007047B5">
              <w:rPr>
                <w:lang w:val="en-IE"/>
              </w:rPr>
              <w:t>(d)</w:t>
            </w:r>
            <w:r w:rsidRPr="007047B5">
              <w:rPr>
                <w:lang w:val="en-IE"/>
              </w:rPr>
              <w:tab/>
              <w:t xml:space="preserve">the </w:t>
            </w:r>
            <w:r w:rsidRPr="007047B5">
              <w:rPr>
                <w:b/>
                <w:i/>
                <w:lang w:val="en-IE"/>
              </w:rPr>
              <w:t>attribution of a risk profile to a prospective client and the entering</w:t>
            </w:r>
            <w:r w:rsidRPr="007047B5">
              <w:rPr>
                <w:lang w:val="en-IE"/>
              </w:rPr>
              <w:t xml:space="preserve"> into a business relationship with </w:t>
            </w:r>
            <w:r w:rsidRPr="007047B5">
              <w:rPr>
                <w:b/>
                <w:i/>
                <w:lang w:val="en-IE"/>
              </w:rPr>
              <w:t>that</w:t>
            </w:r>
            <w:r w:rsidRPr="007047B5">
              <w:rPr>
                <w:lang w:val="en-IE"/>
              </w:rPr>
              <w:t xml:space="preserve"> client;</w:t>
            </w:r>
          </w:p>
        </w:tc>
        <w:tc>
          <w:tcPr>
            <w:tcW w:w="4876" w:type="dxa"/>
            <w:hideMark/>
          </w:tcPr>
          <w:p w14:paraId="3B956764" w14:textId="77777777" w:rsidR="00CB2077" w:rsidRPr="007047B5" w:rsidRDefault="00CB2077">
            <w:pPr>
              <w:pStyle w:val="Normal6"/>
              <w:rPr>
                <w:szCs w:val="24"/>
                <w:lang w:val="en-IE"/>
              </w:rPr>
            </w:pPr>
            <w:r w:rsidRPr="007047B5">
              <w:rPr>
                <w:lang w:val="en-IE"/>
              </w:rPr>
              <w:t>(d)</w:t>
            </w:r>
            <w:r w:rsidRPr="007047B5">
              <w:rPr>
                <w:lang w:val="en-IE"/>
              </w:rPr>
              <w:tab/>
              <w:t xml:space="preserve">the </w:t>
            </w:r>
            <w:r w:rsidRPr="007047B5">
              <w:rPr>
                <w:b/>
                <w:i/>
                <w:lang w:val="en-IE"/>
              </w:rPr>
              <w:t>decision to enter</w:t>
            </w:r>
            <w:r w:rsidRPr="007047B5">
              <w:rPr>
                <w:lang w:val="en-IE"/>
              </w:rPr>
              <w:t xml:space="preserve"> into a business relationship with </w:t>
            </w:r>
            <w:r w:rsidRPr="007047B5">
              <w:rPr>
                <w:b/>
                <w:i/>
                <w:lang w:val="en-IE"/>
              </w:rPr>
              <w:t>a</w:t>
            </w:r>
            <w:r w:rsidRPr="007047B5">
              <w:rPr>
                <w:lang w:val="en-IE"/>
              </w:rPr>
              <w:t xml:space="preserve"> client </w:t>
            </w:r>
            <w:r w:rsidRPr="007047B5">
              <w:rPr>
                <w:b/>
                <w:i/>
                <w:lang w:val="en-IE"/>
              </w:rPr>
              <w:t>based on the attribution of a risk profile</w:t>
            </w:r>
            <w:r w:rsidRPr="007047B5">
              <w:rPr>
                <w:lang w:val="en-IE"/>
              </w:rPr>
              <w:t>;</w:t>
            </w:r>
          </w:p>
        </w:tc>
      </w:tr>
    </w:tbl>
    <w:p w14:paraId="0460FF6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18325BF3" w14:textId="77777777" w:rsidR="00CB2077" w:rsidRPr="007047B5" w:rsidRDefault="00CB2077" w:rsidP="00CB2077">
      <w:pPr>
        <w:rPr>
          <w:lang w:val="en-IE"/>
        </w:rPr>
      </w:pPr>
      <w:r w:rsidRPr="007047B5">
        <w:rPr>
          <w:rStyle w:val="HideTWBExt"/>
          <w:noProof w:val="0"/>
          <w:lang w:val="en-IE"/>
        </w:rPr>
        <w:t>&lt;/Amend&gt;</w:t>
      </w:r>
    </w:p>
    <w:p w14:paraId="5EFE2ABA"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87</w:t>
      </w:r>
      <w:r w:rsidRPr="007047B5">
        <w:rPr>
          <w:rStyle w:val="HideTWBExt"/>
          <w:b w:val="0"/>
          <w:noProof w:val="0"/>
          <w:lang w:val="en-IE"/>
        </w:rPr>
        <w:t>&lt;/NumAm&gt;</w:t>
      </w:r>
    </w:p>
    <w:p w14:paraId="57BA1D47"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A02025D"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40 – paragraph 2 – point e</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F81C84D" w14:textId="77777777" w:rsidTr="00CB2077">
        <w:trPr>
          <w:jc w:val="center"/>
        </w:trPr>
        <w:tc>
          <w:tcPr>
            <w:tcW w:w="9752" w:type="dxa"/>
            <w:gridSpan w:val="2"/>
          </w:tcPr>
          <w:p w14:paraId="5A216DE5" w14:textId="77777777" w:rsidR="00CB2077" w:rsidRPr="007047B5" w:rsidRDefault="00CB2077">
            <w:pPr>
              <w:keepNext/>
              <w:rPr>
                <w:lang w:val="en-IE"/>
              </w:rPr>
            </w:pPr>
          </w:p>
        </w:tc>
      </w:tr>
      <w:tr w:rsidR="00CB2077" w:rsidRPr="007047B5" w14:paraId="73722B50" w14:textId="77777777" w:rsidTr="00CB2077">
        <w:trPr>
          <w:jc w:val="center"/>
        </w:trPr>
        <w:tc>
          <w:tcPr>
            <w:tcW w:w="4876" w:type="dxa"/>
            <w:hideMark/>
          </w:tcPr>
          <w:p w14:paraId="40EE1135"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0816F2ED" w14:textId="77777777" w:rsidR="00CB2077" w:rsidRPr="007047B5" w:rsidRDefault="00CB2077">
            <w:pPr>
              <w:pStyle w:val="ColumnHeading"/>
              <w:keepNext/>
              <w:rPr>
                <w:lang w:val="en-IE"/>
              </w:rPr>
            </w:pPr>
            <w:r w:rsidRPr="007047B5">
              <w:rPr>
                <w:lang w:val="en-IE"/>
              </w:rPr>
              <w:t>Amendment</w:t>
            </w:r>
          </w:p>
        </w:tc>
      </w:tr>
      <w:tr w:rsidR="00CB2077" w:rsidRPr="007047B5" w14:paraId="7E8C75E7" w14:textId="77777777" w:rsidTr="00CB2077">
        <w:trPr>
          <w:jc w:val="center"/>
        </w:trPr>
        <w:tc>
          <w:tcPr>
            <w:tcW w:w="4876" w:type="dxa"/>
            <w:hideMark/>
          </w:tcPr>
          <w:p w14:paraId="7DF48542" w14:textId="77777777" w:rsidR="00CB2077" w:rsidRPr="007047B5" w:rsidRDefault="00CB2077">
            <w:pPr>
              <w:pStyle w:val="Normal6"/>
              <w:rPr>
                <w:lang w:val="en-IE"/>
              </w:rPr>
            </w:pPr>
            <w:r w:rsidRPr="007047B5">
              <w:rPr>
                <w:lang w:val="en-IE"/>
              </w:rPr>
              <w:t>(e)</w:t>
            </w:r>
            <w:r w:rsidRPr="007047B5">
              <w:rPr>
                <w:lang w:val="en-IE"/>
              </w:rPr>
              <w:tab/>
              <w:t xml:space="preserve">the </w:t>
            </w:r>
            <w:r w:rsidRPr="007047B5">
              <w:rPr>
                <w:b/>
                <w:i/>
                <w:lang w:val="en-IE"/>
              </w:rPr>
              <w:t>identification</w:t>
            </w:r>
            <w:r w:rsidRPr="007047B5">
              <w:rPr>
                <w:lang w:val="en-IE"/>
              </w:rPr>
              <w:t xml:space="preserve"> of criteria for the detection of suspicious or unusual transactions and activities;</w:t>
            </w:r>
          </w:p>
        </w:tc>
        <w:tc>
          <w:tcPr>
            <w:tcW w:w="4876" w:type="dxa"/>
            <w:hideMark/>
          </w:tcPr>
          <w:p w14:paraId="28A93614" w14:textId="77777777" w:rsidR="00CB2077" w:rsidRPr="007047B5" w:rsidRDefault="00CB2077">
            <w:pPr>
              <w:pStyle w:val="Normal6"/>
              <w:rPr>
                <w:szCs w:val="24"/>
                <w:lang w:val="en-IE"/>
              </w:rPr>
            </w:pPr>
            <w:r w:rsidRPr="007047B5">
              <w:rPr>
                <w:lang w:val="en-IE"/>
              </w:rPr>
              <w:t>(e)</w:t>
            </w:r>
            <w:r w:rsidRPr="007047B5">
              <w:rPr>
                <w:lang w:val="en-IE"/>
              </w:rPr>
              <w:tab/>
              <w:t xml:space="preserve">the </w:t>
            </w:r>
            <w:r w:rsidRPr="007047B5">
              <w:rPr>
                <w:b/>
                <w:i/>
                <w:lang w:val="en-IE"/>
              </w:rPr>
              <w:t>approval</w:t>
            </w:r>
            <w:r w:rsidRPr="007047B5">
              <w:rPr>
                <w:lang w:val="en-IE"/>
              </w:rPr>
              <w:t xml:space="preserve"> of criteria for the detection of suspicious or unusual transactions and activities;</w:t>
            </w:r>
          </w:p>
        </w:tc>
      </w:tr>
    </w:tbl>
    <w:p w14:paraId="6D941A8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5CB61F8" w14:textId="77777777" w:rsidR="00CB2077" w:rsidRPr="007047B5" w:rsidRDefault="00CB2077" w:rsidP="00CB2077">
      <w:pPr>
        <w:rPr>
          <w:lang w:val="en-IE"/>
        </w:rPr>
      </w:pPr>
      <w:r w:rsidRPr="007047B5">
        <w:rPr>
          <w:rStyle w:val="HideTWBExt"/>
          <w:noProof w:val="0"/>
          <w:lang w:val="en-IE"/>
        </w:rPr>
        <w:t>&lt;/Amend&gt;</w:t>
      </w:r>
    </w:p>
    <w:p w14:paraId="467A63B3"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88</w:t>
      </w:r>
      <w:r w:rsidRPr="007047B5">
        <w:rPr>
          <w:rStyle w:val="HideTWBExt"/>
          <w:b w:val="0"/>
          <w:noProof w:val="0"/>
          <w:lang w:val="en-IE"/>
        </w:rPr>
        <w:t>&lt;/NumAm&gt;</w:t>
      </w:r>
    </w:p>
    <w:p w14:paraId="604FA67D"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AB2E8CB"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41 – paragraph 1 – introductory part</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B29D608" w14:textId="77777777" w:rsidTr="00CB2077">
        <w:trPr>
          <w:jc w:val="center"/>
        </w:trPr>
        <w:tc>
          <w:tcPr>
            <w:tcW w:w="9752" w:type="dxa"/>
            <w:gridSpan w:val="2"/>
          </w:tcPr>
          <w:p w14:paraId="6C999659" w14:textId="77777777" w:rsidR="00CB2077" w:rsidRPr="007047B5" w:rsidRDefault="00CB2077">
            <w:pPr>
              <w:keepNext/>
              <w:rPr>
                <w:lang w:val="en-IE"/>
              </w:rPr>
            </w:pPr>
          </w:p>
        </w:tc>
      </w:tr>
      <w:tr w:rsidR="00CB2077" w:rsidRPr="007047B5" w14:paraId="15311860" w14:textId="77777777" w:rsidTr="00CB2077">
        <w:trPr>
          <w:jc w:val="center"/>
        </w:trPr>
        <w:tc>
          <w:tcPr>
            <w:tcW w:w="4876" w:type="dxa"/>
            <w:hideMark/>
          </w:tcPr>
          <w:p w14:paraId="6F04DAED"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84FB720" w14:textId="77777777" w:rsidR="00CB2077" w:rsidRPr="007047B5" w:rsidRDefault="00CB2077">
            <w:pPr>
              <w:pStyle w:val="ColumnHeading"/>
              <w:keepNext/>
              <w:rPr>
                <w:lang w:val="en-IE"/>
              </w:rPr>
            </w:pPr>
            <w:r w:rsidRPr="007047B5">
              <w:rPr>
                <w:lang w:val="en-IE"/>
              </w:rPr>
              <w:t>Amendment</w:t>
            </w:r>
          </w:p>
        </w:tc>
      </w:tr>
      <w:tr w:rsidR="00CB2077" w:rsidRPr="007047B5" w14:paraId="13630007" w14:textId="77777777" w:rsidTr="00CB2077">
        <w:trPr>
          <w:jc w:val="center"/>
        </w:trPr>
        <w:tc>
          <w:tcPr>
            <w:tcW w:w="4876" w:type="dxa"/>
            <w:hideMark/>
          </w:tcPr>
          <w:p w14:paraId="1780D4DF" w14:textId="77777777" w:rsidR="00CB2077" w:rsidRPr="007047B5" w:rsidRDefault="00CB2077">
            <w:pPr>
              <w:pStyle w:val="Normal6"/>
              <w:rPr>
                <w:lang w:val="en-IE"/>
              </w:rPr>
            </w:pPr>
            <w:r w:rsidRPr="007047B5">
              <w:rPr>
                <w:lang w:val="en-IE"/>
              </w:rPr>
              <w:t>By [</w:t>
            </w:r>
            <w:r w:rsidRPr="007047B5">
              <w:rPr>
                <w:b/>
                <w:i/>
                <w:lang w:val="en-IE"/>
              </w:rPr>
              <w:t>3</w:t>
            </w:r>
            <w:r w:rsidRPr="007047B5">
              <w:rPr>
                <w:lang w:val="en-IE"/>
              </w:rPr>
              <w:t xml:space="preserve"> years after the entry into force of this Regulation], AMLA shall issue guidelines addressed to obliged entities on:</w:t>
            </w:r>
          </w:p>
        </w:tc>
        <w:tc>
          <w:tcPr>
            <w:tcW w:w="4876" w:type="dxa"/>
            <w:hideMark/>
          </w:tcPr>
          <w:p w14:paraId="4473391E" w14:textId="49A3DADC" w:rsidR="00CB2077" w:rsidRPr="007047B5" w:rsidRDefault="00CB2077" w:rsidP="006F5456">
            <w:pPr>
              <w:pStyle w:val="Normal6"/>
              <w:rPr>
                <w:szCs w:val="24"/>
                <w:lang w:val="en-IE"/>
              </w:rPr>
            </w:pPr>
            <w:r w:rsidRPr="007047B5">
              <w:rPr>
                <w:lang w:val="en-IE"/>
              </w:rPr>
              <w:t xml:space="preserve">By </w:t>
            </w:r>
            <w:r w:rsidR="000107CF" w:rsidRPr="007047B5">
              <w:rPr>
                <w:lang w:val="en-IE"/>
              </w:rPr>
              <w:t>...</w:t>
            </w:r>
            <w:r w:rsidRPr="007047B5">
              <w:rPr>
                <w:lang w:val="en-IE"/>
              </w:rPr>
              <w:t>[</w:t>
            </w:r>
            <w:r w:rsidRPr="007047B5">
              <w:rPr>
                <w:b/>
                <w:i/>
                <w:lang w:val="en-IE"/>
              </w:rPr>
              <w:t>2</w:t>
            </w:r>
            <w:r w:rsidRPr="007047B5">
              <w:rPr>
                <w:lang w:val="en-IE"/>
              </w:rPr>
              <w:t xml:space="preserve"> years after the entry into force of this Regulation], AMLA</w:t>
            </w:r>
            <w:r w:rsidRPr="007047B5">
              <w:rPr>
                <w:b/>
                <w:i/>
                <w:lang w:val="en-IE"/>
              </w:rPr>
              <w:t xml:space="preserve">, in cooperation with the European </w:t>
            </w:r>
            <w:r w:rsidR="0004335D" w:rsidRPr="007047B5">
              <w:rPr>
                <w:b/>
                <w:i/>
                <w:lang w:val="en-IE"/>
              </w:rPr>
              <w:t>s</w:t>
            </w:r>
            <w:r w:rsidRPr="007047B5">
              <w:rPr>
                <w:b/>
                <w:i/>
                <w:lang w:val="en-IE"/>
              </w:rPr>
              <w:t xml:space="preserve">upervisory </w:t>
            </w:r>
            <w:r w:rsidR="0004335D" w:rsidRPr="007047B5">
              <w:rPr>
                <w:b/>
                <w:i/>
                <w:lang w:val="en-IE"/>
              </w:rPr>
              <w:t>a</w:t>
            </w:r>
            <w:r w:rsidRPr="007047B5">
              <w:rPr>
                <w:b/>
                <w:i/>
                <w:lang w:val="en-IE"/>
              </w:rPr>
              <w:t>uthorities,</w:t>
            </w:r>
            <w:r w:rsidRPr="007047B5">
              <w:rPr>
                <w:lang w:val="en-IE"/>
              </w:rPr>
              <w:t xml:space="preserve"> shall issue guidelines addressed to obliged entities on:</w:t>
            </w:r>
          </w:p>
        </w:tc>
      </w:tr>
    </w:tbl>
    <w:p w14:paraId="5804D4FF"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C6C2D47" w14:textId="77777777" w:rsidR="00CB2077" w:rsidRPr="007047B5" w:rsidRDefault="00CB2077" w:rsidP="00CB2077">
      <w:pPr>
        <w:rPr>
          <w:lang w:val="en-IE"/>
        </w:rPr>
      </w:pPr>
      <w:r w:rsidRPr="007047B5">
        <w:rPr>
          <w:rStyle w:val="HideTWBExt"/>
          <w:noProof w:val="0"/>
          <w:lang w:val="en-IE"/>
        </w:rPr>
        <w:t>&lt;/Amend&gt;</w:t>
      </w:r>
    </w:p>
    <w:p w14:paraId="6D11D32F"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89</w:t>
      </w:r>
      <w:r w:rsidRPr="007047B5">
        <w:rPr>
          <w:rStyle w:val="HideTWBExt"/>
          <w:b w:val="0"/>
          <w:noProof w:val="0"/>
          <w:lang w:val="en-IE"/>
        </w:rPr>
        <w:t>&lt;/NumAm&gt;</w:t>
      </w:r>
    </w:p>
    <w:p w14:paraId="5FDF9C79"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082A51A"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41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D9903FA" w14:textId="77777777" w:rsidTr="00CB2077">
        <w:trPr>
          <w:jc w:val="center"/>
        </w:trPr>
        <w:tc>
          <w:tcPr>
            <w:tcW w:w="9752" w:type="dxa"/>
            <w:gridSpan w:val="2"/>
          </w:tcPr>
          <w:p w14:paraId="4F049370" w14:textId="77777777" w:rsidR="00CB2077" w:rsidRPr="007047B5" w:rsidRDefault="00CB2077">
            <w:pPr>
              <w:keepNext/>
              <w:rPr>
                <w:lang w:val="en-IE"/>
              </w:rPr>
            </w:pPr>
          </w:p>
        </w:tc>
      </w:tr>
      <w:tr w:rsidR="00CB2077" w:rsidRPr="007047B5" w14:paraId="13D1B44F" w14:textId="77777777" w:rsidTr="00CB2077">
        <w:trPr>
          <w:jc w:val="center"/>
        </w:trPr>
        <w:tc>
          <w:tcPr>
            <w:tcW w:w="4876" w:type="dxa"/>
            <w:hideMark/>
          </w:tcPr>
          <w:p w14:paraId="723A9B48"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D6416F6" w14:textId="77777777" w:rsidR="00CB2077" w:rsidRPr="007047B5" w:rsidRDefault="00CB2077">
            <w:pPr>
              <w:pStyle w:val="ColumnHeading"/>
              <w:keepNext/>
              <w:rPr>
                <w:lang w:val="en-IE"/>
              </w:rPr>
            </w:pPr>
            <w:r w:rsidRPr="007047B5">
              <w:rPr>
                <w:lang w:val="en-IE"/>
              </w:rPr>
              <w:t>Amendment</w:t>
            </w:r>
          </w:p>
        </w:tc>
      </w:tr>
      <w:tr w:rsidR="00CB2077" w:rsidRPr="007047B5" w14:paraId="3DF26B47" w14:textId="77777777" w:rsidTr="00CB2077">
        <w:trPr>
          <w:jc w:val="center"/>
        </w:trPr>
        <w:tc>
          <w:tcPr>
            <w:tcW w:w="4876" w:type="dxa"/>
          </w:tcPr>
          <w:p w14:paraId="6EFF057A" w14:textId="77777777" w:rsidR="00CB2077" w:rsidRPr="007047B5" w:rsidRDefault="00CB2077">
            <w:pPr>
              <w:pStyle w:val="Normal6"/>
              <w:rPr>
                <w:lang w:val="en-IE"/>
              </w:rPr>
            </w:pPr>
          </w:p>
        </w:tc>
        <w:tc>
          <w:tcPr>
            <w:tcW w:w="4876" w:type="dxa"/>
            <w:hideMark/>
          </w:tcPr>
          <w:p w14:paraId="4881FDCD" w14:textId="2E100470" w:rsidR="00CB2077" w:rsidRPr="007047B5" w:rsidRDefault="00CB2077">
            <w:pPr>
              <w:pStyle w:val="Normal6"/>
              <w:jc w:val="center"/>
              <w:rPr>
                <w:szCs w:val="24"/>
                <w:lang w:val="en-IE"/>
              </w:rPr>
            </w:pPr>
            <w:r w:rsidRPr="007047B5">
              <w:rPr>
                <w:b/>
                <w:i/>
                <w:lang w:val="en-IE"/>
              </w:rPr>
              <w:t>Article 41a</w:t>
            </w:r>
          </w:p>
        </w:tc>
      </w:tr>
      <w:tr w:rsidR="00CB2077" w:rsidRPr="007047B5" w14:paraId="1D6518C6" w14:textId="77777777" w:rsidTr="00CB2077">
        <w:trPr>
          <w:jc w:val="center"/>
        </w:trPr>
        <w:tc>
          <w:tcPr>
            <w:tcW w:w="4876" w:type="dxa"/>
          </w:tcPr>
          <w:p w14:paraId="180A596A" w14:textId="77777777" w:rsidR="00CB2077" w:rsidRPr="007047B5" w:rsidRDefault="00CB2077">
            <w:pPr>
              <w:pStyle w:val="Normal6"/>
              <w:rPr>
                <w:lang w:val="en-IE"/>
              </w:rPr>
            </w:pPr>
          </w:p>
        </w:tc>
        <w:tc>
          <w:tcPr>
            <w:tcW w:w="4876" w:type="dxa"/>
            <w:hideMark/>
          </w:tcPr>
          <w:p w14:paraId="6014EA15" w14:textId="77777777" w:rsidR="00CB2077" w:rsidRPr="007047B5" w:rsidRDefault="00CB2077">
            <w:pPr>
              <w:pStyle w:val="Normal6"/>
              <w:rPr>
                <w:szCs w:val="24"/>
                <w:lang w:val="en-IE"/>
              </w:rPr>
            </w:pPr>
            <w:r w:rsidRPr="007047B5">
              <w:rPr>
                <w:b/>
                <w:i/>
                <w:lang w:val="en-IE"/>
              </w:rPr>
              <w:t>Unwarranted de-risking and financial inclusion</w:t>
            </w:r>
          </w:p>
        </w:tc>
      </w:tr>
      <w:tr w:rsidR="00CB2077" w:rsidRPr="007047B5" w14:paraId="29E97202" w14:textId="77777777" w:rsidTr="00CB2077">
        <w:trPr>
          <w:jc w:val="center"/>
        </w:trPr>
        <w:tc>
          <w:tcPr>
            <w:tcW w:w="4876" w:type="dxa"/>
          </w:tcPr>
          <w:p w14:paraId="4A74220C" w14:textId="77777777" w:rsidR="00CB2077" w:rsidRPr="007047B5" w:rsidRDefault="00CB2077">
            <w:pPr>
              <w:pStyle w:val="Normal6"/>
              <w:rPr>
                <w:lang w:val="en-IE"/>
              </w:rPr>
            </w:pPr>
          </w:p>
        </w:tc>
        <w:tc>
          <w:tcPr>
            <w:tcW w:w="4876" w:type="dxa"/>
            <w:hideMark/>
          </w:tcPr>
          <w:p w14:paraId="644AF016" w14:textId="58C0ABD8" w:rsidR="00CB2077" w:rsidRPr="007047B5" w:rsidRDefault="00CB2077">
            <w:pPr>
              <w:pStyle w:val="Normal6"/>
              <w:rPr>
                <w:szCs w:val="24"/>
                <w:lang w:val="en-IE"/>
              </w:rPr>
            </w:pPr>
            <w:r w:rsidRPr="007047B5">
              <w:rPr>
                <w:b/>
                <w:i/>
                <w:lang w:val="en-IE"/>
              </w:rPr>
              <w:t>By</w:t>
            </w:r>
            <w:r w:rsidR="0004335D" w:rsidRPr="007047B5">
              <w:rPr>
                <w:b/>
                <w:i/>
                <w:lang w:val="en-IE"/>
              </w:rPr>
              <w:t xml:space="preserve"> ...</w:t>
            </w:r>
            <w:r w:rsidRPr="007047B5">
              <w:rPr>
                <w:b/>
                <w:i/>
                <w:lang w:val="en-IE"/>
              </w:rPr>
              <w:t xml:space="preserve"> [2 years after the entry into force of this Regulation], AMLA and the European Banking Authority shall jointly issue guidelines on the clarification of the relationship between requirements in this Chapter and Directive (EU) 2014/92 and Directive (EU) 2015/2366. Th</w:t>
            </w:r>
            <w:r w:rsidR="0004335D" w:rsidRPr="007047B5">
              <w:rPr>
                <w:b/>
                <w:i/>
                <w:lang w:val="en-IE"/>
              </w:rPr>
              <w:t>o</w:t>
            </w:r>
            <w:r w:rsidRPr="007047B5">
              <w:rPr>
                <w:b/>
                <w:i/>
                <w:lang w:val="en-IE"/>
              </w:rPr>
              <w:t xml:space="preserve">se guidelines shall include guidance on how to maintain a balance between financial inclusion of certain categories of customers, such as those deemed high risk, and AML/CFT requirements, </w:t>
            </w:r>
            <w:r w:rsidR="0004335D" w:rsidRPr="007047B5">
              <w:rPr>
                <w:b/>
                <w:i/>
                <w:lang w:val="en-IE"/>
              </w:rPr>
              <w:t xml:space="preserve">in particular </w:t>
            </w:r>
            <w:r w:rsidRPr="007047B5">
              <w:rPr>
                <w:b/>
                <w:i/>
                <w:lang w:val="en-IE"/>
              </w:rPr>
              <w:t xml:space="preserve">ways to mitigate risk and ensure </w:t>
            </w:r>
            <w:r w:rsidR="0004335D" w:rsidRPr="007047B5">
              <w:rPr>
                <w:b/>
                <w:i/>
                <w:lang w:val="en-IE"/>
              </w:rPr>
              <w:t>that</w:t>
            </w:r>
            <w:r w:rsidRPr="007047B5">
              <w:rPr>
                <w:b/>
                <w:i/>
                <w:lang w:val="en-IE"/>
              </w:rPr>
              <w:t xml:space="preserve"> basic financial products and services</w:t>
            </w:r>
            <w:r w:rsidR="0004335D" w:rsidRPr="007047B5">
              <w:rPr>
                <w:b/>
                <w:i/>
                <w:lang w:val="en-IE"/>
              </w:rPr>
              <w:t xml:space="preserve"> can be offered</w:t>
            </w:r>
            <w:r w:rsidRPr="007047B5">
              <w:rPr>
                <w:b/>
                <w:i/>
                <w:lang w:val="en-IE"/>
              </w:rPr>
              <w:t>, in addition to practices to ensure transparent and fair processes for customers.</w:t>
            </w:r>
          </w:p>
        </w:tc>
      </w:tr>
    </w:tbl>
    <w:p w14:paraId="7BC76D6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CBDB901" w14:textId="77777777" w:rsidR="00CB2077" w:rsidRPr="007047B5" w:rsidRDefault="00CB2077" w:rsidP="00CB2077">
      <w:pPr>
        <w:rPr>
          <w:lang w:val="en-IE"/>
        </w:rPr>
      </w:pPr>
      <w:r w:rsidRPr="007047B5">
        <w:rPr>
          <w:rStyle w:val="HideTWBExt"/>
          <w:noProof w:val="0"/>
          <w:lang w:val="en-IE"/>
        </w:rPr>
        <w:t>&lt;/Amend&gt;</w:t>
      </w:r>
    </w:p>
    <w:p w14:paraId="056F1D14"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90</w:t>
      </w:r>
      <w:r w:rsidRPr="007047B5">
        <w:rPr>
          <w:rStyle w:val="HideTWBExt"/>
          <w:b w:val="0"/>
          <w:noProof w:val="0"/>
          <w:lang w:val="en-IE"/>
        </w:rPr>
        <w:t>&lt;/NumAm&gt;</w:t>
      </w:r>
    </w:p>
    <w:p w14:paraId="12BB473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5A785E9" w14:textId="728D669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42 – paragraph 1 – subparagraph </w:t>
      </w:r>
      <w:r w:rsidR="00111A6C" w:rsidRPr="007047B5">
        <w:rPr>
          <w:lang w:val="en-IE"/>
        </w:rPr>
        <w:t>2</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8B7C556" w14:textId="77777777" w:rsidTr="00CB2077">
        <w:trPr>
          <w:jc w:val="center"/>
        </w:trPr>
        <w:tc>
          <w:tcPr>
            <w:tcW w:w="9752" w:type="dxa"/>
            <w:gridSpan w:val="2"/>
          </w:tcPr>
          <w:p w14:paraId="76C90452" w14:textId="77777777" w:rsidR="00CB2077" w:rsidRPr="007047B5" w:rsidRDefault="00CB2077">
            <w:pPr>
              <w:keepNext/>
              <w:rPr>
                <w:lang w:val="en-IE"/>
              </w:rPr>
            </w:pPr>
          </w:p>
        </w:tc>
      </w:tr>
      <w:tr w:rsidR="00CB2077" w:rsidRPr="007047B5" w14:paraId="10097F53" w14:textId="77777777" w:rsidTr="00CB2077">
        <w:trPr>
          <w:jc w:val="center"/>
        </w:trPr>
        <w:tc>
          <w:tcPr>
            <w:tcW w:w="4876" w:type="dxa"/>
            <w:hideMark/>
          </w:tcPr>
          <w:p w14:paraId="5D1A3E58"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2D6A875" w14:textId="77777777" w:rsidR="00CB2077" w:rsidRPr="007047B5" w:rsidRDefault="00CB2077">
            <w:pPr>
              <w:pStyle w:val="ColumnHeading"/>
              <w:keepNext/>
              <w:rPr>
                <w:lang w:val="en-IE"/>
              </w:rPr>
            </w:pPr>
            <w:r w:rsidRPr="007047B5">
              <w:rPr>
                <w:lang w:val="en-IE"/>
              </w:rPr>
              <w:t>Amendment</w:t>
            </w:r>
          </w:p>
        </w:tc>
      </w:tr>
      <w:tr w:rsidR="00CB2077" w:rsidRPr="007047B5" w14:paraId="6370C817" w14:textId="77777777" w:rsidTr="00CB2077">
        <w:trPr>
          <w:jc w:val="center"/>
        </w:trPr>
        <w:tc>
          <w:tcPr>
            <w:tcW w:w="4876" w:type="dxa"/>
            <w:hideMark/>
          </w:tcPr>
          <w:p w14:paraId="57665F6E" w14:textId="77777777" w:rsidR="00CB2077" w:rsidRPr="007047B5" w:rsidRDefault="00CB2077">
            <w:pPr>
              <w:pStyle w:val="Normal6"/>
              <w:rPr>
                <w:lang w:val="en-IE"/>
              </w:rPr>
            </w:pPr>
            <w:r w:rsidRPr="007047B5">
              <w:rPr>
                <w:lang w:val="en-IE"/>
              </w:rPr>
              <w:t xml:space="preserve">For the purpose of this Article, ‘control through an ownership interest’ shall </w:t>
            </w:r>
            <w:r w:rsidRPr="007047B5">
              <w:rPr>
                <w:b/>
                <w:i/>
                <w:lang w:val="en-IE"/>
              </w:rPr>
              <w:t>mean an</w:t>
            </w:r>
            <w:r w:rsidRPr="007047B5">
              <w:rPr>
                <w:lang w:val="en-IE"/>
              </w:rPr>
              <w:t xml:space="preserve"> ownership of </w:t>
            </w:r>
            <w:r w:rsidRPr="007047B5">
              <w:rPr>
                <w:b/>
                <w:i/>
                <w:lang w:val="en-IE"/>
              </w:rPr>
              <w:t>25%</w:t>
            </w:r>
            <w:r w:rsidRPr="007047B5">
              <w:rPr>
                <w:lang w:val="en-IE"/>
              </w:rPr>
              <w:t xml:space="preserve"> plus one of the shares or voting rights or other ownership interest in the corporate entity, including through bearer shareholdings, on every level of ownership.</w:t>
            </w:r>
          </w:p>
        </w:tc>
        <w:tc>
          <w:tcPr>
            <w:tcW w:w="4876" w:type="dxa"/>
            <w:hideMark/>
          </w:tcPr>
          <w:p w14:paraId="0D67D55B" w14:textId="4A185140" w:rsidR="00CB2077" w:rsidRPr="007047B5" w:rsidRDefault="00CB2077" w:rsidP="006F5456">
            <w:pPr>
              <w:pStyle w:val="Normal6"/>
              <w:rPr>
                <w:szCs w:val="24"/>
                <w:lang w:val="en-IE"/>
              </w:rPr>
            </w:pPr>
            <w:r w:rsidRPr="007047B5">
              <w:rPr>
                <w:lang w:val="en-IE"/>
              </w:rPr>
              <w:t xml:space="preserve">For the purpose of this Article, </w:t>
            </w:r>
            <w:r w:rsidRPr="007047B5">
              <w:rPr>
                <w:b/>
                <w:i/>
                <w:lang w:val="en-IE"/>
              </w:rPr>
              <w:t>whe</w:t>
            </w:r>
            <w:r w:rsidR="0004335D" w:rsidRPr="007047B5">
              <w:rPr>
                <w:b/>
                <w:i/>
                <w:lang w:val="en-IE"/>
              </w:rPr>
              <w:t>re</w:t>
            </w:r>
            <w:r w:rsidRPr="007047B5">
              <w:rPr>
                <w:lang w:val="en-IE"/>
              </w:rPr>
              <w:t xml:space="preserve"> ‘control through an ownership interest’ </w:t>
            </w:r>
            <w:r w:rsidRPr="007047B5">
              <w:rPr>
                <w:b/>
                <w:i/>
                <w:lang w:val="en-IE"/>
              </w:rPr>
              <w:t>is based on a threshold</w:t>
            </w:r>
            <w:r w:rsidR="0004335D" w:rsidRPr="007047B5">
              <w:rPr>
                <w:b/>
                <w:i/>
                <w:lang w:val="en-IE"/>
              </w:rPr>
              <w:t>,</w:t>
            </w:r>
            <w:r w:rsidRPr="007047B5">
              <w:rPr>
                <w:b/>
                <w:i/>
                <w:lang w:val="en-IE"/>
              </w:rPr>
              <w:t xml:space="preserve"> it</w:t>
            </w:r>
            <w:r w:rsidRPr="007047B5">
              <w:rPr>
                <w:lang w:val="en-IE"/>
              </w:rPr>
              <w:t xml:space="preserve"> shall </w:t>
            </w:r>
            <w:r w:rsidRPr="007047B5">
              <w:rPr>
                <w:b/>
                <w:i/>
                <w:lang w:val="en-IE"/>
              </w:rPr>
              <w:t xml:space="preserve">be determined based on a maximum </w:t>
            </w:r>
            <w:r w:rsidRPr="007047B5">
              <w:rPr>
                <w:lang w:val="en-IE"/>
              </w:rPr>
              <w:t xml:space="preserve">ownership of </w:t>
            </w:r>
            <w:r w:rsidRPr="007047B5">
              <w:rPr>
                <w:b/>
                <w:i/>
                <w:lang w:val="en-IE"/>
              </w:rPr>
              <w:t>5%</w:t>
            </w:r>
            <w:r w:rsidRPr="007047B5">
              <w:rPr>
                <w:lang w:val="en-IE"/>
              </w:rPr>
              <w:t xml:space="preserve"> plus one of the shares or voting rights or other ownership interest in the corporate entity, including through bearer shareholdings, on every level of </w:t>
            </w:r>
            <w:r w:rsidRPr="007047B5">
              <w:rPr>
                <w:lang w:val="en-IE"/>
              </w:rPr>
              <w:lastRenderedPageBreak/>
              <w:t>ownership.</w:t>
            </w:r>
          </w:p>
        </w:tc>
      </w:tr>
    </w:tbl>
    <w:p w14:paraId="78B917DB"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FD53646" w14:textId="77777777" w:rsidR="00CB2077" w:rsidRPr="007047B5" w:rsidRDefault="00CB2077" w:rsidP="00CB2077">
      <w:pPr>
        <w:rPr>
          <w:lang w:val="en-IE"/>
        </w:rPr>
      </w:pPr>
      <w:r w:rsidRPr="007047B5">
        <w:rPr>
          <w:rStyle w:val="HideTWBExt"/>
          <w:noProof w:val="0"/>
          <w:lang w:val="en-IE"/>
        </w:rPr>
        <w:t>&lt;/Amend&gt;</w:t>
      </w:r>
    </w:p>
    <w:p w14:paraId="6190163C"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91</w:t>
      </w:r>
      <w:r w:rsidRPr="007047B5">
        <w:rPr>
          <w:rStyle w:val="HideTWBExt"/>
          <w:b w:val="0"/>
          <w:noProof w:val="0"/>
          <w:lang w:val="en-IE"/>
        </w:rPr>
        <w:t>&lt;/NumAm&gt;</w:t>
      </w:r>
    </w:p>
    <w:p w14:paraId="6FB1F0E8"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873F0D1"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42 – paragraph 4</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D6E8955" w14:textId="77777777" w:rsidTr="00CB2077">
        <w:trPr>
          <w:jc w:val="center"/>
        </w:trPr>
        <w:tc>
          <w:tcPr>
            <w:tcW w:w="9752" w:type="dxa"/>
            <w:gridSpan w:val="2"/>
          </w:tcPr>
          <w:p w14:paraId="32EA3135" w14:textId="77777777" w:rsidR="00CB2077" w:rsidRPr="007047B5" w:rsidRDefault="00CB2077">
            <w:pPr>
              <w:keepNext/>
              <w:rPr>
                <w:lang w:val="en-IE"/>
              </w:rPr>
            </w:pPr>
          </w:p>
        </w:tc>
      </w:tr>
      <w:tr w:rsidR="00CB2077" w:rsidRPr="007047B5" w14:paraId="02373C21" w14:textId="77777777" w:rsidTr="00CB2077">
        <w:trPr>
          <w:jc w:val="center"/>
        </w:trPr>
        <w:tc>
          <w:tcPr>
            <w:tcW w:w="4876" w:type="dxa"/>
            <w:hideMark/>
          </w:tcPr>
          <w:p w14:paraId="74975BDD"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DAC3341" w14:textId="77777777" w:rsidR="00CB2077" w:rsidRPr="007047B5" w:rsidRDefault="00CB2077">
            <w:pPr>
              <w:pStyle w:val="ColumnHeading"/>
              <w:keepNext/>
              <w:rPr>
                <w:lang w:val="en-IE"/>
              </w:rPr>
            </w:pPr>
            <w:r w:rsidRPr="007047B5">
              <w:rPr>
                <w:lang w:val="en-IE"/>
              </w:rPr>
              <w:t>Amendment</w:t>
            </w:r>
          </w:p>
        </w:tc>
      </w:tr>
      <w:tr w:rsidR="00CB2077" w:rsidRPr="007047B5" w14:paraId="02FA050F" w14:textId="77777777" w:rsidTr="00CB2077">
        <w:trPr>
          <w:jc w:val="center"/>
        </w:trPr>
        <w:tc>
          <w:tcPr>
            <w:tcW w:w="4876" w:type="dxa"/>
            <w:hideMark/>
          </w:tcPr>
          <w:p w14:paraId="1C0A66AD" w14:textId="77777777" w:rsidR="00CB2077" w:rsidRPr="007047B5" w:rsidRDefault="00CB2077">
            <w:pPr>
              <w:pStyle w:val="Normal6"/>
              <w:rPr>
                <w:lang w:val="en-IE"/>
              </w:rPr>
            </w:pPr>
            <w:r w:rsidRPr="007047B5">
              <w:rPr>
                <w:lang w:val="en-IE"/>
              </w:rPr>
              <w:t>4.</w:t>
            </w:r>
            <w:r w:rsidRPr="007047B5">
              <w:rPr>
                <w:lang w:val="en-IE"/>
              </w:rPr>
              <w:tab/>
              <w:t xml:space="preserve">The Commission shall make recommendations to Member States on the specific rules and criteria to </w:t>
            </w:r>
            <w:r w:rsidRPr="007047B5">
              <w:rPr>
                <w:b/>
                <w:i/>
                <w:lang w:val="en-IE"/>
              </w:rPr>
              <w:t>identity</w:t>
            </w:r>
            <w:r w:rsidRPr="007047B5">
              <w:rPr>
                <w:lang w:val="en-IE"/>
              </w:rPr>
              <w:t xml:space="preserve"> the beneficial owner(s) of legal entities other than corporate entities by [1 year from the date of application of this Regulation]. In the event that Member States decide not to apply any of the recommendations, they shall notify the Commission thereof and provide a justification for such a decision.</w:t>
            </w:r>
          </w:p>
        </w:tc>
        <w:tc>
          <w:tcPr>
            <w:tcW w:w="4876" w:type="dxa"/>
            <w:hideMark/>
          </w:tcPr>
          <w:p w14:paraId="5611C687" w14:textId="77777777" w:rsidR="00CB2077" w:rsidRPr="007047B5" w:rsidRDefault="00CB2077">
            <w:pPr>
              <w:pStyle w:val="Normal6"/>
              <w:rPr>
                <w:szCs w:val="24"/>
                <w:lang w:val="en-IE"/>
              </w:rPr>
            </w:pPr>
            <w:r w:rsidRPr="007047B5">
              <w:rPr>
                <w:lang w:val="en-IE"/>
              </w:rPr>
              <w:t>4.</w:t>
            </w:r>
            <w:r w:rsidRPr="007047B5">
              <w:rPr>
                <w:lang w:val="en-IE"/>
              </w:rPr>
              <w:tab/>
              <w:t xml:space="preserve">The Commission shall make recommendations to Member States on the specific rules and criteria to </w:t>
            </w:r>
            <w:r w:rsidRPr="007047B5">
              <w:rPr>
                <w:b/>
                <w:i/>
                <w:lang w:val="en-IE"/>
              </w:rPr>
              <w:t>identify</w:t>
            </w:r>
            <w:r w:rsidRPr="007047B5">
              <w:rPr>
                <w:lang w:val="en-IE"/>
              </w:rPr>
              <w:t xml:space="preserve"> the beneficial owner(s) of legal entities other than corporate entities by [1 year from the date of application of this Regulation]. In the event that Member States decide not to apply any of the recommendations, they shall notify the Commission thereof and provide a justification for such a decision.</w:t>
            </w:r>
          </w:p>
        </w:tc>
      </w:tr>
    </w:tbl>
    <w:p w14:paraId="4CA0C606"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ED9A926" w14:textId="77777777" w:rsidR="00CB2077" w:rsidRPr="007047B5" w:rsidRDefault="00CB2077" w:rsidP="00CB2077">
      <w:pPr>
        <w:rPr>
          <w:lang w:val="en-IE"/>
        </w:rPr>
      </w:pPr>
      <w:r w:rsidRPr="007047B5">
        <w:rPr>
          <w:rStyle w:val="HideTWBExt"/>
          <w:noProof w:val="0"/>
          <w:lang w:val="en-IE"/>
        </w:rPr>
        <w:t>&lt;/Amend&gt;</w:t>
      </w:r>
    </w:p>
    <w:p w14:paraId="0F3B06E7"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92</w:t>
      </w:r>
      <w:r w:rsidRPr="007047B5">
        <w:rPr>
          <w:rStyle w:val="HideTWBExt"/>
          <w:b w:val="0"/>
          <w:noProof w:val="0"/>
          <w:lang w:val="en-IE"/>
        </w:rPr>
        <w:t>&lt;/NumAm&gt;</w:t>
      </w:r>
    </w:p>
    <w:p w14:paraId="66847534"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29128F5"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44 – paragraph 2</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5FF04FF" w14:textId="77777777" w:rsidTr="00CB2077">
        <w:trPr>
          <w:jc w:val="center"/>
        </w:trPr>
        <w:tc>
          <w:tcPr>
            <w:tcW w:w="9752" w:type="dxa"/>
            <w:gridSpan w:val="2"/>
          </w:tcPr>
          <w:p w14:paraId="15DCE30C" w14:textId="77777777" w:rsidR="00CB2077" w:rsidRPr="007047B5" w:rsidRDefault="00CB2077">
            <w:pPr>
              <w:keepNext/>
              <w:rPr>
                <w:lang w:val="en-IE"/>
              </w:rPr>
            </w:pPr>
          </w:p>
        </w:tc>
      </w:tr>
      <w:tr w:rsidR="00CB2077" w:rsidRPr="007047B5" w14:paraId="5D297089" w14:textId="77777777" w:rsidTr="00CB2077">
        <w:trPr>
          <w:jc w:val="center"/>
        </w:trPr>
        <w:tc>
          <w:tcPr>
            <w:tcW w:w="4876" w:type="dxa"/>
            <w:hideMark/>
          </w:tcPr>
          <w:p w14:paraId="336F9FFA"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C58FE87" w14:textId="77777777" w:rsidR="00CB2077" w:rsidRPr="007047B5" w:rsidRDefault="00CB2077">
            <w:pPr>
              <w:pStyle w:val="ColumnHeading"/>
              <w:keepNext/>
              <w:rPr>
                <w:lang w:val="en-IE"/>
              </w:rPr>
            </w:pPr>
            <w:r w:rsidRPr="007047B5">
              <w:rPr>
                <w:lang w:val="en-IE"/>
              </w:rPr>
              <w:t>Amendment</w:t>
            </w:r>
          </w:p>
        </w:tc>
      </w:tr>
      <w:tr w:rsidR="00CB2077" w:rsidRPr="007047B5" w14:paraId="30691C9D" w14:textId="77777777" w:rsidTr="00CB2077">
        <w:trPr>
          <w:jc w:val="center"/>
        </w:trPr>
        <w:tc>
          <w:tcPr>
            <w:tcW w:w="4876" w:type="dxa"/>
            <w:hideMark/>
          </w:tcPr>
          <w:p w14:paraId="19CF1C67" w14:textId="77777777" w:rsidR="00CB2077" w:rsidRPr="007047B5" w:rsidRDefault="00CB2077">
            <w:pPr>
              <w:pStyle w:val="Normal6"/>
              <w:rPr>
                <w:lang w:val="en-IE"/>
              </w:rPr>
            </w:pPr>
            <w:r w:rsidRPr="007047B5">
              <w:rPr>
                <w:lang w:val="en-IE"/>
              </w:rPr>
              <w:t>2.</w:t>
            </w:r>
            <w:r w:rsidRPr="007047B5">
              <w:rPr>
                <w:lang w:val="en-IE"/>
              </w:rPr>
              <w:tab/>
              <w:t xml:space="preserve">Beneficial ownership information </w:t>
            </w:r>
            <w:r w:rsidRPr="007047B5">
              <w:rPr>
                <w:b/>
                <w:i/>
                <w:lang w:val="en-IE"/>
              </w:rPr>
              <w:t>shall be obtained</w:t>
            </w:r>
            <w:r w:rsidRPr="007047B5">
              <w:rPr>
                <w:lang w:val="en-IE"/>
              </w:rPr>
              <w:t xml:space="preserve"> within 14 calendar days from </w:t>
            </w:r>
            <w:r w:rsidRPr="007047B5">
              <w:rPr>
                <w:b/>
                <w:i/>
                <w:lang w:val="en-IE"/>
              </w:rPr>
              <w:t>the</w:t>
            </w:r>
            <w:r w:rsidRPr="007047B5">
              <w:rPr>
                <w:lang w:val="en-IE"/>
              </w:rPr>
              <w:t xml:space="preserve"> creation </w:t>
            </w:r>
            <w:r w:rsidRPr="007047B5">
              <w:rPr>
                <w:b/>
                <w:i/>
                <w:lang w:val="en-IE"/>
              </w:rPr>
              <w:t>of legal entities or legal arrangements</w:t>
            </w:r>
            <w:r w:rsidRPr="007047B5">
              <w:rPr>
                <w:lang w:val="en-IE"/>
              </w:rPr>
              <w:t>. It shall be updated promptly, and in any case no later than 14 calendar days following any change of the beneficial owner(s), and on an annual basis.</w:t>
            </w:r>
          </w:p>
        </w:tc>
        <w:tc>
          <w:tcPr>
            <w:tcW w:w="4876" w:type="dxa"/>
            <w:hideMark/>
          </w:tcPr>
          <w:p w14:paraId="39814CB9" w14:textId="551BBE76" w:rsidR="00CB2077" w:rsidRPr="007047B5" w:rsidRDefault="00CB2077" w:rsidP="006F5456">
            <w:pPr>
              <w:pStyle w:val="Normal6"/>
              <w:rPr>
                <w:szCs w:val="24"/>
                <w:lang w:val="en-IE"/>
              </w:rPr>
            </w:pPr>
            <w:r w:rsidRPr="007047B5">
              <w:rPr>
                <w:lang w:val="en-IE"/>
              </w:rPr>
              <w:t>2.</w:t>
            </w:r>
            <w:r w:rsidRPr="007047B5">
              <w:rPr>
                <w:lang w:val="en-IE"/>
              </w:rPr>
              <w:tab/>
            </w:r>
            <w:r w:rsidR="0004335D" w:rsidRPr="007047B5">
              <w:rPr>
                <w:b/>
                <w:i/>
                <w:lang w:val="en-IE"/>
              </w:rPr>
              <w:t>I</w:t>
            </w:r>
            <w:r w:rsidRPr="007047B5">
              <w:rPr>
                <w:b/>
                <w:i/>
                <w:lang w:val="en-IE"/>
              </w:rPr>
              <w:t>n addition to express trusts and other legal arrangements</w:t>
            </w:r>
            <w:r w:rsidR="0004335D" w:rsidRPr="007047B5">
              <w:rPr>
                <w:b/>
                <w:i/>
                <w:lang w:val="en-IE"/>
              </w:rPr>
              <w:t xml:space="preserve">, corporate and other legal entities </w:t>
            </w:r>
            <w:r w:rsidRPr="007047B5">
              <w:rPr>
                <w:b/>
                <w:i/>
                <w:lang w:val="en-IE"/>
              </w:rPr>
              <w:t>shall obtain</w:t>
            </w:r>
            <w:r w:rsidRPr="007047B5">
              <w:rPr>
                <w:lang w:val="en-IE"/>
              </w:rPr>
              <w:t xml:space="preserve"> beneficial ownership information within 14 calendar days from </w:t>
            </w:r>
            <w:r w:rsidRPr="007047B5">
              <w:rPr>
                <w:b/>
                <w:i/>
                <w:lang w:val="en-IE"/>
              </w:rPr>
              <w:t>their</w:t>
            </w:r>
            <w:r w:rsidRPr="007047B5">
              <w:rPr>
                <w:lang w:val="en-IE"/>
              </w:rPr>
              <w:t xml:space="preserve"> creation. It shall be updated promptly, and in any case no later than 14 calendar days following any change of the beneficial owner(s), and on an annual basis.</w:t>
            </w:r>
          </w:p>
        </w:tc>
      </w:tr>
    </w:tbl>
    <w:p w14:paraId="4B7B90D8"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E709831" w14:textId="77777777" w:rsidR="00CB2077" w:rsidRPr="007047B5" w:rsidRDefault="00CB2077" w:rsidP="00CB2077">
      <w:pPr>
        <w:rPr>
          <w:lang w:val="en-IE"/>
        </w:rPr>
      </w:pPr>
      <w:r w:rsidRPr="007047B5">
        <w:rPr>
          <w:rStyle w:val="HideTWBExt"/>
          <w:noProof w:val="0"/>
          <w:lang w:val="en-IE"/>
        </w:rPr>
        <w:t>&lt;/Amend&gt;</w:t>
      </w:r>
    </w:p>
    <w:p w14:paraId="208B74F5"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93</w:t>
      </w:r>
      <w:r w:rsidRPr="007047B5">
        <w:rPr>
          <w:rStyle w:val="HideTWBExt"/>
          <w:b w:val="0"/>
          <w:noProof w:val="0"/>
          <w:lang w:val="en-IE"/>
        </w:rPr>
        <w:t>&lt;/NumAm&gt;</w:t>
      </w:r>
    </w:p>
    <w:p w14:paraId="211296B9"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12D0821"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45 – paragraph 2</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905924F" w14:textId="77777777" w:rsidTr="00CB2077">
        <w:trPr>
          <w:jc w:val="center"/>
        </w:trPr>
        <w:tc>
          <w:tcPr>
            <w:tcW w:w="9752" w:type="dxa"/>
            <w:gridSpan w:val="2"/>
          </w:tcPr>
          <w:p w14:paraId="179DBA6C" w14:textId="77777777" w:rsidR="00CB2077" w:rsidRPr="007047B5" w:rsidRDefault="00CB2077">
            <w:pPr>
              <w:keepNext/>
              <w:rPr>
                <w:lang w:val="en-IE"/>
              </w:rPr>
            </w:pPr>
          </w:p>
        </w:tc>
      </w:tr>
      <w:tr w:rsidR="00CB2077" w:rsidRPr="007047B5" w14:paraId="6738733F" w14:textId="77777777" w:rsidTr="00CB2077">
        <w:trPr>
          <w:jc w:val="center"/>
        </w:trPr>
        <w:tc>
          <w:tcPr>
            <w:tcW w:w="4876" w:type="dxa"/>
            <w:hideMark/>
          </w:tcPr>
          <w:p w14:paraId="05CAA8B6"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AB6F095" w14:textId="77777777" w:rsidR="00CB2077" w:rsidRPr="007047B5" w:rsidRDefault="00CB2077">
            <w:pPr>
              <w:pStyle w:val="ColumnHeading"/>
              <w:keepNext/>
              <w:rPr>
                <w:lang w:val="en-IE"/>
              </w:rPr>
            </w:pPr>
            <w:r w:rsidRPr="007047B5">
              <w:rPr>
                <w:lang w:val="en-IE"/>
              </w:rPr>
              <w:t>Amendment</w:t>
            </w:r>
          </w:p>
        </w:tc>
      </w:tr>
      <w:tr w:rsidR="00CB2077" w:rsidRPr="007047B5" w14:paraId="1FC1CB1B" w14:textId="77777777" w:rsidTr="00CB2077">
        <w:trPr>
          <w:jc w:val="center"/>
        </w:trPr>
        <w:tc>
          <w:tcPr>
            <w:tcW w:w="4876" w:type="dxa"/>
            <w:hideMark/>
          </w:tcPr>
          <w:p w14:paraId="7BAA2009" w14:textId="77777777" w:rsidR="00CB2077" w:rsidRPr="007047B5" w:rsidRDefault="00CB2077">
            <w:pPr>
              <w:pStyle w:val="Normal6"/>
              <w:rPr>
                <w:lang w:val="en-IE"/>
              </w:rPr>
            </w:pPr>
            <w:r w:rsidRPr="007047B5">
              <w:rPr>
                <w:lang w:val="en-IE"/>
              </w:rPr>
              <w:t>2.</w:t>
            </w:r>
            <w:r w:rsidRPr="007047B5">
              <w:rPr>
                <w:lang w:val="en-IE"/>
              </w:rPr>
              <w:tab/>
              <w:t>Where, after having exhausted all possible means of identification pursuant to Articles 42 and 43, no person is identified as beneficial owner, or where there is any doubt that the person(s) identified is the beneficial owner(s), the corporate or other legal entities shall keep records of the actions taken in order to identify their beneficial owner(s).</w:t>
            </w:r>
          </w:p>
        </w:tc>
        <w:tc>
          <w:tcPr>
            <w:tcW w:w="4876" w:type="dxa"/>
            <w:hideMark/>
          </w:tcPr>
          <w:p w14:paraId="489BE58A" w14:textId="77777777" w:rsidR="00CB2077" w:rsidRPr="007047B5" w:rsidRDefault="00CB2077">
            <w:pPr>
              <w:pStyle w:val="Normal6"/>
              <w:rPr>
                <w:szCs w:val="24"/>
                <w:lang w:val="en-IE"/>
              </w:rPr>
            </w:pPr>
            <w:r w:rsidRPr="007047B5">
              <w:rPr>
                <w:lang w:val="en-IE"/>
              </w:rPr>
              <w:t>2.</w:t>
            </w:r>
            <w:r w:rsidRPr="007047B5">
              <w:rPr>
                <w:lang w:val="en-IE"/>
              </w:rPr>
              <w:tab/>
              <w:t>Where, after having exhausted all possible means of identification pursuant to Articles 42 and 43, no person is identified as beneficial owner, or where there is any doubt that the person(s) identified is the beneficial owner(s), the corporate or other legal entities shall keep records of the actions taken in order to identify their beneficial owner(s)</w:t>
            </w:r>
            <w:r w:rsidRPr="007047B5">
              <w:rPr>
                <w:b/>
                <w:i/>
                <w:lang w:val="en-IE"/>
              </w:rPr>
              <w:t>, and provide additional information on a risk-sensitive basis, including resolutions of the board of directors and minutes of their meetings, partnership agreements, trust deeds, power</w:t>
            </w:r>
            <w:r w:rsidR="0004335D" w:rsidRPr="007047B5">
              <w:rPr>
                <w:b/>
                <w:i/>
                <w:lang w:val="en-IE"/>
              </w:rPr>
              <w:t>s</w:t>
            </w:r>
            <w:r w:rsidRPr="007047B5">
              <w:rPr>
                <w:b/>
                <w:i/>
                <w:lang w:val="en-IE"/>
              </w:rPr>
              <w:t xml:space="preserve"> of attorney or other contractual agreements and documentation</w:t>
            </w:r>
            <w:r w:rsidRPr="007047B5">
              <w:rPr>
                <w:lang w:val="en-IE"/>
              </w:rPr>
              <w:t>.</w:t>
            </w:r>
          </w:p>
        </w:tc>
      </w:tr>
    </w:tbl>
    <w:p w14:paraId="68999AD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7D5B6EB" w14:textId="77777777" w:rsidR="00CB2077" w:rsidRPr="007047B5" w:rsidRDefault="00CB2077" w:rsidP="00CB2077">
      <w:pPr>
        <w:rPr>
          <w:lang w:val="en-IE"/>
        </w:rPr>
      </w:pPr>
      <w:r w:rsidRPr="007047B5">
        <w:rPr>
          <w:rStyle w:val="HideTWBExt"/>
          <w:noProof w:val="0"/>
          <w:lang w:val="en-IE"/>
        </w:rPr>
        <w:t>&lt;/Amend&gt;</w:t>
      </w:r>
    </w:p>
    <w:p w14:paraId="0CD73189"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94</w:t>
      </w:r>
      <w:r w:rsidRPr="007047B5">
        <w:rPr>
          <w:rStyle w:val="HideTWBExt"/>
          <w:b w:val="0"/>
          <w:noProof w:val="0"/>
          <w:lang w:val="en-IE"/>
        </w:rPr>
        <w:t>&lt;/NumAm&gt;</w:t>
      </w:r>
    </w:p>
    <w:p w14:paraId="36941848"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A744EE1"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45 – paragraph 3 – introductory part</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F3AA83A" w14:textId="77777777" w:rsidTr="00CB2077">
        <w:trPr>
          <w:jc w:val="center"/>
        </w:trPr>
        <w:tc>
          <w:tcPr>
            <w:tcW w:w="9752" w:type="dxa"/>
            <w:gridSpan w:val="2"/>
          </w:tcPr>
          <w:p w14:paraId="0B030DF2" w14:textId="77777777" w:rsidR="00CB2077" w:rsidRPr="007047B5" w:rsidRDefault="00CB2077">
            <w:pPr>
              <w:keepNext/>
              <w:rPr>
                <w:lang w:val="en-IE"/>
              </w:rPr>
            </w:pPr>
          </w:p>
        </w:tc>
      </w:tr>
      <w:tr w:rsidR="00CB2077" w:rsidRPr="007047B5" w14:paraId="270EA774" w14:textId="77777777" w:rsidTr="00CB2077">
        <w:trPr>
          <w:jc w:val="center"/>
        </w:trPr>
        <w:tc>
          <w:tcPr>
            <w:tcW w:w="4876" w:type="dxa"/>
            <w:hideMark/>
          </w:tcPr>
          <w:p w14:paraId="58546C18"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9C3C94F" w14:textId="77777777" w:rsidR="00CB2077" w:rsidRPr="007047B5" w:rsidRDefault="00CB2077">
            <w:pPr>
              <w:pStyle w:val="ColumnHeading"/>
              <w:keepNext/>
              <w:rPr>
                <w:lang w:val="en-IE"/>
              </w:rPr>
            </w:pPr>
            <w:r w:rsidRPr="007047B5">
              <w:rPr>
                <w:lang w:val="en-IE"/>
              </w:rPr>
              <w:t>Amendment</w:t>
            </w:r>
          </w:p>
        </w:tc>
      </w:tr>
      <w:tr w:rsidR="00CB2077" w:rsidRPr="007047B5" w14:paraId="43FDB140" w14:textId="77777777" w:rsidTr="00CB2077">
        <w:trPr>
          <w:jc w:val="center"/>
        </w:trPr>
        <w:tc>
          <w:tcPr>
            <w:tcW w:w="4876" w:type="dxa"/>
            <w:hideMark/>
          </w:tcPr>
          <w:p w14:paraId="783AD91D" w14:textId="77777777" w:rsidR="00CB2077" w:rsidRPr="007047B5" w:rsidRDefault="00CB2077">
            <w:pPr>
              <w:pStyle w:val="Normal6"/>
              <w:rPr>
                <w:lang w:val="en-IE"/>
              </w:rPr>
            </w:pPr>
            <w:r w:rsidRPr="007047B5">
              <w:rPr>
                <w:lang w:val="en-IE"/>
              </w:rPr>
              <w:t>3.</w:t>
            </w:r>
            <w:r w:rsidRPr="007047B5">
              <w:rPr>
                <w:lang w:val="en-IE"/>
              </w:rPr>
              <w:tab/>
              <w:t xml:space="preserve">In the cases referred to in paragraph 2, when providing beneficial ownership information in accordance with Article 16 of this Regulation and Article 10 of Directive [please insert reference – proposal for </w:t>
            </w:r>
            <w:r w:rsidRPr="007047B5">
              <w:rPr>
                <w:b/>
                <w:i/>
                <w:lang w:val="en-IE"/>
              </w:rPr>
              <w:t>6</w:t>
            </w:r>
            <w:r w:rsidRPr="007047B5">
              <w:rPr>
                <w:b/>
                <w:i/>
                <w:vertAlign w:val="superscript"/>
                <w:lang w:val="en-IE"/>
              </w:rPr>
              <w:t>th</w:t>
            </w:r>
            <w:r w:rsidRPr="007047B5">
              <w:rPr>
                <w:lang w:val="en-IE"/>
              </w:rPr>
              <w:t xml:space="preserve"> Anti-Money Laundering Directive - COM/2021/423 final], corporate or other legal entities shall provide the following:</w:t>
            </w:r>
          </w:p>
        </w:tc>
        <w:tc>
          <w:tcPr>
            <w:tcW w:w="4876" w:type="dxa"/>
            <w:hideMark/>
          </w:tcPr>
          <w:p w14:paraId="04A834C9" w14:textId="77777777" w:rsidR="00CB2077" w:rsidRPr="007047B5" w:rsidRDefault="00CB2077">
            <w:pPr>
              <w:pStyle w:val="Normal6"/>
              <w:rPr>
                <w:szCs w:val="24"/>
                <w:lang w:val="en-IE"/>
              </w:rPr>
            </w:pPr>
            <w:r w:rsidRPr="007047B5">
              <w:rPr>
                <w:lang w:val="en-IE"/>
              </w:rPr>
              <w:t>3.</w:t>
            </w:r>
            <w:r w:rsidRPr="007047B5">
              <w:rPr>
                <w:lang w:val="en-IE"/>
              </w:rPr>
              <w:tab/>
              <w:t xml:space="preserve">In the cases referred to in paragraph 2, when providing beneficial ownership information in accordance with Article 16 of this Regulation and Article 10 of Directive [please insert reference – proposal for </w:t>
            </w:r>
            <w:r w:rsidRPr="007047B5">
              <w:rPr>
                <w:b/>
                <w:i/>
                <w:lang w:val="en-IE"/>
              </w:rPr>
              <w:t>6th</w:t>
            </w:r>
            <w:r w:rsidRPr="007047B5">
              <w:rPr>
                <w:lang w:val="en-IE"/>
              </w:rPr>
              <w:t xml:space="preserve"> Anti-Money Laundering Directive - COM/2021/423 final], corporate or other legal entities shall provide the following </w:t>
            </w:r>
            <w:r w:rsidRPr="007047B5">
              <w:rPr>
                <w:b/>
                <w:i/>
                <w:lang w:val="en-IE"/>
              </w:rPr>
              <w:t>information, which shall be clearly stated in the register referred to in Article 10 of Directive [please insert reference – proposal for 6th Anti-Money Laundering Directive - COM/2021/423 final]</w:t>
            </w:r>
            <w:r w:rsidRPr="007047B5">
              <w:rPr>
                <w:lang w:val="en-IE"/>
              </w:rPr>
              <w:t>:</w:t>
            </w:r>
          </w:p>
        </w:tc>
      </w:tr>
    </w:tbl>
    <w:p w14:paraId="7685C0DC"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444A53F" w14:textId="77777777" w:rsidR="00CB2077" w:rsidRPr="007047B5" w:rsidRDefault="00CB2077" w:rsidP="00CB2077">
      <w:pPr>
        <w:rPr>
          <w:lang w:val="en-IE"/>
        </w:rPr>
      </w:pPr>
      <w:r w:rsidRPr="007047B5">
        <w:rPr>
          <w:rStyle w:val="HideTWBExt"/>
          <w:noProof w:val="0"/>
          <w:lang w:val="en-IE"/>
        </w:rPr>
        <w:t>&lt;/Amend&gt;</w:t>
      </w:r>
    </w:p>
    <w:p w14:paraId="588415F6"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95</w:t>
      </w:r>
      <w:r w:rsidRPr="007047B5">
        <w:rPr>
          <w:rStyle w:val="HideTWBExt"/>
          <w:b w:val="0"/>
          <w:noProof w:val="0"/>
          <w:lang w:val="en-IE"/>
        </w:rPr>
        <w:t>&lt;/NumAm&gt;</w:t>
      </w:r>
    </w:p>
    <w:p w14:paraId="5E4B616C"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CE54B06"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48 – paragraph 1 – point a</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FE8E593" w14:textId="77777777" w:rsidTr="00CB2077">
        <w:trPr>
          <w:jc w:val="center"/>
        </w:trPr>
        <w:tc>
          <w:tcPr>
            <w:tcW w:w="9752" w:type="dxa"/>
            <w:gridSpan w:val="2"/>
          </w:tcPr>
          <w:p w14:paraId="537BD00A" w14:textId="77777777" w:rsidR="00CB2077" w:rsidRPr="007047B5" w:rsidRDefault="00CB2077">
            <w:pPr>
              <w:keepNext/>
              <w:rPr>
                <w:lang w:val="en-IE"/>
              </w:rPr>
            </w:pPr>
          </w:p>
        </w:tc>
      </w:tr>
      <w:tr w:rsidR="00CB2077" w:rsidRPr="007047B5" w14:paraId="4B5B086B" w14:textId="77777777" w:rsidTr="00CB2077">
        <w:trPr>
          <w:jc w:val="center"/>
        </w:trPr>
        <w:tc>
          <w:tcPr>
            <w:tcW w:w="4876" w:type="dxa"/>
            <w:hideMark/>
          </w:tcPr>
          <w:p w14:paraId="34BC1F5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00BAF91" w14:textId="77777777" w:rsidR="00CB2077" w:rsidRPr="007047B5" w:rsidRDefault="00CB2077">
            <w:pPr>
              <w:pStyle w:val="ColumnHeading"/>
              <w:keepNext/>
              <w:rPr>
                <w:lang w:val="en-IE"/>
              </w:rPr>
            </w:pPr>
            <w:r w:rsidRPr="007047B5">
              <w:rPr>
                <w:lang w:val="en-IE"/>
              </w:rPr>
              <w:t>Amendment</w:t>
            </w:r>
          </w:p>
        </w:tc>
      </w:tr>
      <w:tr w:rsidR="00CB2077" w:rsidRPr="007047B5" w14:paraId="6EEA1D2D" w14:textId="77777777" w:rsidTr="00CB2077">
        <w:trPr>
          <w:jc w:val="center"/>
        </w:trPr>
        <w:tc>
          <w:tcPr>
            <w:tcW w:w="4876" w:type="dxa"/>
            <w:hideMark/>
          </w:tcPr>
          <w:p w14:paraId="7E5EDA4B" w14:textId="77777777" w:rsidR="00CB2077" w:rsidRPr="007047B5" w:rsidRDefault="00CB2077">
            <w:pPr>
              <w:pStyle w:val="Normal6"/>
              <w:rPr>
                <w:lang w:val="en-IE"/>
              </w:rPr>
            </w:pPr>
            <w:r w:rsidRPr="007047B5">
              <w:rPr>
                <w:lang w:val="en-IE"/>
              </w:rPr>
              <w:t>(a)</w:t>
            </w:r>
            <w:r w:rsidRPr="007047B5">
              <w:rPr>
                <w:lang w:val="en-IE"/>
              </w:rPr>
              <w:tab/>
              <w:t>enter into a business relationship with an obliged entity;</w:t>
            </w:r>
          </w:p>
        </w:tc>
        <w:tc>
          <w:tcPr>
            <w:tcW w:w="4876" w:type="dxa"/>
            <w:hideMark/>
          </w:tcPr>
          <w:p w14:paraId="17E95EE4" w14:textId="77777777" w:rsidR="00CB2077" w:rsidRPr="007047B5" w:rsidRDefault="00CB2077">
            <w:pPr>
              <w:pStyle w:val="Normal6"/>
              <w:rPr>
                <w:szCs w:val="24"/>
                <w:lang w:val="en-IE"/>
              </w:rPr>
            </w:pPr>
            <w:r w:rsidRPr="007047B5">
              <w:rPr>
                <w:lang w:val="en-IE"/>
              </w:rPr>
              <w:t>(a)</w:t>
            </w:r>
            <w:r w:rsidRPr="007047B5">
              <w:rPr>
                <w:lang w:val="en-IE"/>
              </w:rPr>
              <w:tab/>
            </w:r>
            <w:r w:rsidRPr="007047B5">
              <w:rPr>
                <w:b/>
                <w:i/>
                <w:lang w:val="en-IE"/>
              </w:rPr>
              <w:t xml:space="preserve">have </w:t>
            </w:r>
            <w:r w:rsidR="0004335D" w:rsidRPr="007047B5">
              <w:rPr>
                <w:b/>
                <w:i/>
                <w:lang w:val="en-IE"/>
              </w:rPr>
              <w:t xml:space="preserve">entered into </w:t>
            </w:r>
            <w:r w:rsidRPr="007047B5">
              <w:rPr>
                <w:b/>
                <w:i/>
                <w:lang w:val="en-IE"/>
              </w:rPr>
              <w:t>or</w:t>
            </w:r>
            <w:r w:rsidRPr="007047B5">
              <w:rPr>
                <w:lang w:val="en-IE"/>
              </w:rPr>
              <w:t xml:space="preserve"> enter into a business relationship with an obliged entity;</w:t>
            </w:r>
          </w:p>
        </w:tc>
      </w:tr>
    </w:tbl>
    <w:p w14:paraId="266E4B13"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042D7F7" w14:textId="77777777" w:rsidR="00CB2077" w:rsidRPr="007047B5" w:rsidRDefault="00CB2077" w:rsidP="00CB2077">
      <w:pPr>
        <w:rPr>
          <w:lang w:val="en-IE"/>
        </w:rPr>
      </w:pPr>
      <w:r w:rsidRPr="007047B5">
        <w:rPr>
          <w:rStyle w:val="HideTWBExt"/>
          <w:noProof w:val="0"/>
          <w:lang w:val="en-IE"/>
        </w:rPr>
        <w:t>&lt;/Amend&gt;</w:t>
      </w:r>
    </w:p>
    <w:p w14:paraId="4F64042F"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96</w:t>
      </w:r>
      <w:r w:rsidRPr="007047B5">
        <w:rPr>
          <w:rStyle w:val="HideTWBExt"/>
          <w:b w:val="0"/>
          <w:noProof w:val="0"/>
          <w:lang w:val="en-IE"/>
        </w:rPr>
        <w:t>&lt;/NumAm&gt;</w:t>
      </w:r>
    </w:p>
    <w:p w14:paraId="4B0156D1"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D6C5E4E"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48 – paragraph 1 – point b</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F30027E" w14:textId="77777777" w:rsidTr="00CB2077">
        <w:trPr>
          <w:jc w:val="center"/>
        </w:trPr>
        <w:tc>
          <w:tcPr>
            <w:tcW w:w="9752" w:type="dxa"/>
            <w:gridSpan w:val="2"/>
          </w:tcPr>
          <w:p w14:paraId="116A89AA" w14:textId="77777777" w:rsidR="00CB2077" w:rsidRPr="007047B5" w:rsidRDefault="00CB2077">
            <w:pPr>
              <w:keepNext/>
              <w:rPr>
                <w:lang w:val="en-IE"/>
              </w:rPr>
            </w:pPr>
          </w:p>
        </w:tc>
      </w:tr>
      <w:tr w:rsidR="00CB2077" w:rsidRPr="007047B5" w14:paraId="4A7FD2C6" w14:textId="77777777" w:rsidTr="00CB2077">
        <w:trPr>
          <w:jc w:val="center"/>
        </w:trPr>
        <w:tc>
          <w:tcPr>
            <w:tcW w:w="4876" w:type="dxa"/>
            <w:hideMark/>
          </w:tcPr>
          <w:p w14:paraId="2FDC7D68"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8C3CC42" w14:textId="77777777" w:rsidR="00CB2077" w:rsidRPr="007047B5" w:rsidRDefault="00CB2077">
            <w:pPr>
              <w:pStyle w:val="ColumnHeading"/>
              <w:keepNext/>
              <w:rPr>
                <w:lang w:val="en-IE"/>
              </w:rPr>
            </w:pPr>
            <w:r w:rsidRPr="007047B5">
              <w:rPr>
                <w:lang w:val="en-IE"/>
              </w:rPr>
              <w:t>Amendment</w:t>
            </w:r>
          </w:p>
        </w:tc>
      </w:tr>
      <w:tr w:rsidR="00CB2077" w:rsidRPr="007047B5" w14:paraId="4A15519F" w14:textId="77777777" w:rsidTr="00CB2077">
        <w:trPr>
          <w:jc w:val="center"/>
        </w:trPr>
        <w:tc>
          <w:tcPr>
            <w:tcW w:w="4876" w:type="dxa"/>
            <w:hideMark/>
          </w:tcPr>
          <w:p w14:paraId="24C5C4C2" w14:textId="77777777" w:rsidR="00CB2077" w:rsidRPr="007047B5" w:rsidRDefault="00CB2077">
            <w:pPr>
              <w:pStyle w:val="Normal6"/>
              <w:rPr>
                <w:lang w:val="en-IE"/>
              </w:rPr>
            </w:pPr>
            <w:r w:rsidRPr="007047B5">
              <w:rPr>
                <w:lang w:val="en-IE"/>
              </w:rPr>
              <w:t>(b)</w:t>
            </w:r>
            <w:r w:rsidRPr="007047B5">
              <w:rPr>
                <w:lang w:val="en-IE"/>
              </w:rPr>
              <w:tab/>
              <w:t>acquire real estate in their territory.</w:t>
            </w:r>
          </w:p>
        </w:tc>
        <w:tc>
          <w:tcPr>
            <w:tcW w:w="4876" w:type="dxa"/>
            <w:hideMark/>
          </w:tcPr>
          <w:p w14:paraId="5219FD40" w14:textId="77777777" w:rsidR="00CB2077" w:rsidRPr="007047B5" w:rsidRDefault="00CB2077">
            <w:pPr>
              <w:pStyle w:val="Normal6"/>
              <w:rPr>
                <w:szCs w:val="24"/>
                <w:lang w:val="en-IE"/>
              </w:rPr>
            </w:pPr>
            <w:r w:rsidRPr="007047B5">
              <w:rPr>
                <w:lang w:val="en-IE"/>
              </w:rPr>
              <w:t>(b)</w:t>
            </w:r>
            <w:r w:rsidRPr="007047B5">
              <w:rPr>
                <w:lang w:val="en-IE"/>
              </w:rPr>
              <w:tab/>
            </w:r>
            <w:r w:rsidRPr="007047B5">
              <w:rPr>
                <w:b/>
                <w:i/>
                <w:lang w:val="en-IE"/>
              </w:rPr>
              <w:t>own or</w:t>
            </w:r>
            <w:r w:rsidRPr="007047B5">
              <w:rPr>
                <w:lang w:val="en-IE"/>
              </w:rPr>
              <w:t xml:space="preserve"> acquire real estate in their territory</w:t>
            </w:r>
            <w:r w:rsidRPr="007047B5">
              <w:rPr>
                <w:b/>
                <w:i/>
                <w:lang w:val="en-IE"/>
              </w:rPr>
              <w:t>;</w:t>
            </w:r>
            <w:r w:rsidRPr="007047B5">
              <w:rPr>
                <w:lang w:val="en-IE"/>
              </w:rPr>
              <w:t>.</w:t>
            </w:r>
          </w:p>
        </w:tc>
      </w:tr>
    </w:tbl>
    <w:p w14:paraId="2EE924A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12F864A" w14:textId="77777777" w:rsidR="00CB2077" w:rsidRPr="007047B5" w:rsidRDefault="00CB2077" w:rsidP="00CB2077">
      <w:pPr>
        <w:rPr>
          <w:lang w:val="en-IE"/>
        </w:rPr>
      </w:pPr>
      <w:r w:rsidRPr="007047B5">
        <w:rPr>
          <w:rStyle w:val="HideTWBExt"/>
          <w:noProof w:val="0"/>
          <w:lang w:val="en-IE"/>
        </w:rPr>
        <w:t>&lt;/Amend&gt;</w:t>
      </w:r>
    </w:p>
    <w:p w14:paraId="573F8F23"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97</w:t>
      </w:r>
      <w:r w:rsidRPr="007047B5">
        <w:rPr>
          <w:rStyle w:val="HideTWBExt"/>
          <w:b w:val="0"/>
          <w:noProof w:val="0"/>
          <w:lang w:val="en-IE"/>
        </w:rPr>
        <w:t>&lt;/NumAm&gt;</w:t>
      </w:r>
    </w:p>
    <w:p w14:paraId="3C630BC7"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EC7B7DF"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48 – paragraph 2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D1255FC" w14:textId="77777777" w:rsidTr="00CB2077">
        <w:trPr>
          <w:jc w:val="center"/>
        </w:trPr>
        <w:tc>
          <w:tcPr>
            <w:tcW w:w="9752" w:type="dxa"/>
            <w:gridSpan w:val="2"/>
          </w:tcPr>
          <w:p w14:paraId="0EE5B30B" w14:textId="77777777" w:rsidR="00CB2077" w:rsidRPr="007047B5" w:rsidRDefault="00CB2077">
            <w:pPr>
              <w:keepNext/>
              <w:rPr>
                <w:lang w:val="en-IE"/>
              </w:rPr>
            </w:pPr>
          </w:p>
        </w:tc>
      </w:tr>
      <w:tr w:rsidR="00CB2077" w:rsidRPr="007047B5" w14:paraId="24E6C994" w14:textId="77777777" w:rsidTr="00CB2077">
        <w:trPr>
          <w:jc w:val="center"/>
        </w:trPr>
        <w:tc>
          <w:tcPr>
            <w:tcW w:w="4876" w:type="dxa"/>
            <w:hideMark/>
          </w:tcPr>
          <w:p w14:paraId="637965BC"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340B82F" w14:textId="77777777" w:rsidR="00CB2077" w:rsidRPr="007047B5" w:rsidRDefault="00CB2077">
            <w:pPr>
              <w:pStyle w:val="ColumnHeading"/>
              <w:keepNext/>
              <w:rPr>
                <w:lang w:val="en-IE"/>
              </w:rPr>
            </w:pPr>
            <w:r w:rsidRPr="007047B5">
              <w:rPr>
                <w:lang w:val="en-IE"/>
              </w:rPr>
              <w:t>Amendment</w:t>
            </w:r>
          </w:p>
        </w:tc>
      </w:tr>
      <w:tr w:rsidR="00CB2077" w:rsidRPr="007047B5" w14:paraId="2C84AE71" w14:textId="77777777" w:rsidTr="00CB2077">
        <w:trPr>
          <w:jc w:val="center"/>
        </w:trPr>
        <w:tc>
          <w:tcPr>
            <w:tcW w:w="4876" w:type="dxa"/>
          </w:tcPr>
          <w:p w14:paraId="44CFF8D3" w14:textId="77777777" w:rsidR="00CB2077" w:rsidRPr="007047B5" w:rsidRDefault="00CB2077">
            <w:pPr>
              <w:pStyle w:val="Normal6"/>
              <w:rPr>
                <w:lang w:val="en-IE"/>
              </w:rPr>
            </w:pPr>
          </w:p>
        </w:tc>
        <w:tc>
          <w:tcPr>
            <w:tcW w:w="4876" w:type="dxa"/>
            <w:hideMark/>
          </w:tcPr>
          <w:p w14:paraId="79898A1F" w14:textId="04E42915" w:rsidR="00CB2077" w:rsidRPr="007047B5" w:rsidRDefault="00CB2077" w:rsidP="006F5456">
            <w:pPr>
              <w:pStyle w:val="Normal6"/>
              <w:rPr>
                <w:szCs w:val="24"/>
                <w:lang w:val="en-IE"/>
              </w:rPr>
            </w:pPr>
            <w:r w:rsidRPr="007047B5">
              <w:rPr>
                <w:b/>
                <w:i/>
                <w:lang w:val="en-IE"/>
              </w:rPr>
              <w:t>2a.</w:t>
            </w:r>
            <w:r w:rsidRPr="007047B5">
              <w:rPr>
                <w:b/>
                <w:i/>
                <w:lang w:val="en-IE"/>
              </w:rPr>
              <w:tab/>
              <w:t xml:space="preserve">With regard to existing business relationships with an obliged entity or real estate owned </w:t>
            </w:r>
            <w:r w:rsidR="0004335D" w:rsidRPr="007047B5">
              <w:rPr>
                <w:b/>
                <w:i/>
                <w:lang w:val="en-IE"/>
              </w:rPr>
              <w:t>as of ... [</w:t>
            </w:r>
            <w:r w:rsidRPr="007047B5">
              <w:rPr>
                <w:b/>
                <w:i/>
                <w:lang w:val="en-IE"/>
              </w:rPr>
              <w:t>the date of application of this Regulation</w:t>
            </w:r>
            <w:r w:rsidR="0004335D" w:rsidRPr="007047B5">
              <w:rPr>
                <w:b/>
                <w:i/>
                <w:lang w:val="en-IE"/>
              </w:rPr>
              <w:t>]</w:t>
            </w:r>
            <w:r w:rsidRPr="007047B5">
              <w:rPr>
                <w:b/>
                <w:i/>
                <w:lang w:val="en-IE"/>
              </w:rPr>
              <w:t>, obliged entities and legal entities</w:t>
            </w:r>
            <w:r w:rsidR="0004335D" w:rsidRPr="007047B5">
              <w:rPr>
                <w:b/>
                <w:i/>
                <w:lang w:val="en-IE"/>
              </w:rPr>
              <w:t xml:space="preserve"> as</w:t>
            </w:r>
            <w:r w:rsidRPr="007047B5">
              <w:rPr>
                <w:b/>
                <w:i/>
                <w:lang w:val="en-IE"/>
              </w:rPr>
              <w:t xml:space="preserve"> referred to in paragraph 1 shall comply with </w:t>
            </w:r>
            <w:r w:rsidR="006F5456" w:rsidRPr="007047B5">
              <w:rPr>
                <w:b/>
                <w:i/>
                <w:lang w:val="en-IE"/>
              </w:rPr>
              <w:t xml:space="preserve">the </w:t>
            </w:r>
            <w:r w:rsidRPr="007047B5">
              <w:rPr>
                <w:b/>
                <w:i/>
                <w:lang w:val="en-IE"/>
              </w:rPr>
              <w:t xml:space="preserve">requirements set out in paragraphs 1 and 2 </w:t>
            </w:r>
            <w:r w:rsidR="006F5456" w:rsidRPr="007047B5">
              <w:rPr>
                <w:b/>
                <w:i/>
                <w:lang w:val="en-IE"/>
              </w:rPr>
              <w:t xml:space="preserve">by ... </w:t>
            </w:r>
            <w:r w:rsidRPr="007047B5">
              <w:rPr>
                <w:b/>
                <w:i/>
                <w:lang w:val="en-IE"/>
              </w:rPr>
              <w:t xml:space="preserve">[six months </w:t>
            </w:r>
            <w:r w:rsidR="006F5456" w:rsidRPr="007047B5">
              <w:rPr>
                <w:b/>
                <w:i/>
                <w:lang w:val="en-IE"/>
              </w:rPr>
              <w:t xml:space="preserve">after </w:t>
            </w:r>
            <w:r w:rsidRPr="007047B5">
              <w:rPr>
                <w:b/>
                <w:i/>
                <w:lang w:val="en-IE"/>
              </w:rPr>
              <w:t>the date of application of this Regulation].</w:t>
            </w:r>
          </w:p>
        </w:tc>
      </w:tr>
    </w:tbl>
    <w:p w14:paraId="7924DD2B"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1645BCB3" w14:textId="77777777" w:rsidR="00CB2077" w:rsidRPr="007047B5" w:rsidRDefault="00CB2077" w:rsidP="00CB2077">
      <w:pPr>
        <w:rPr>
          <w:lang w:val="en-IE"/>
        </w:rPr>
      </w:pPr>
      <w:r w:rsidRPr="007047B5">
        <w:rPr>
          <w:rStyle w:val="HideTWBExt"/>
          <w:noProof w:val="0"/>
          <w:lang w:val="en-IE"/>
        </w:rPr>
        <w:t>&lt;/Amend&gt;</w:t>
      </w:r>
    </w:p>
    <w:p w14:paraId="0C64DF18"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98</w:t>
      </w:r>
      <w:r w:rsidRPr="007047B5">
        <w:rPr>
          <w:rStyle w:val="HideTWBExt"/>
          <w:b w:val="0"/>
          <w:noProof w:val="0"/>
          <w:lang w:val="en-IE"/>
        </w:rPr>
        <w:t>&lt;/NumAm&gt;</w:t>
      </w:r>
    </w:p>
    <w:p w14:paraId="14CF5AD0"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1DB8ECA"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51 – paragraph 2</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1836701" w14:textId="77777777" w:rsidTr="00CB2077">
        <w:trPr>
          <w:jc w:val="center"/>
        </w:trPr>
        <w:tc>
          <w:tcPr>
            <w:tcW w:w="9752" w:type="dxa"/>
            <w:gridSpan w:val="2"/>
          </w:tcPr>
          <w:p w14:paraId="0F01C230" w14:textId="77777777" w:rsidR="00CB2077" w:rsidRPr="007047B5" w:rsidRDefault="00CB2077">
            <w:pPr>
              <w:keepNext/>
              <w:rPr>
                <w:lang w:val="en-IE"/>
              </w:rPr>
            </w:pPr>
          </w:p>
        </w:tc>
      </w:tr>
      <w:tr w:rsidR="00CB2077" w:rsidRPr="007047B5" w14:paraId="26F4BC12" w14:textId="77777777" w:rsidTr="00CB2077">
        <w:trPr>
          <w:jc w:val="center"/>
        </w:trPr>
        <w:tc>
          <w:tcPr>
            <w:tcW w:w="4876" w:type="dxa"/>
            <w:hideMark/>
          </w:tcPr>
          <w:p w14:paraId="39137AB7"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B5780CB" w14:textId="77777777" w:rsidR="00CB2077" w:rsidRPr="007047B5" w:rsidRDefault="00CB2077">
            <w:pPr>
              <w:pStyle w:val="ColumnHeading"/>
              <w:keepNext/>
              <w:rPr>
                <w:lang w:val="en-IE"/>
              </w:rPr>
            </w:pPr>
            <w:r w:rsidRPr="007047B5">
              <w:rPr>
                <w:lang w:val="en-IE"/>
              </w:rPr>
              <w:t>Amendment</w:t>
            </w:r>
          </w:p>
        </w:tc>
      </w:tr>
      <w:tr w:rsidR="00CB2077" w:rsidRPr="007047B5" w14:paraId="13187DC8" w14:textId="77777777" w:rsidTr="00CB2077">
        <w:trPr>
          <w:jc w:val="center"/>
        </w:trPr>
        <w:tc>
          <w:tcPr>
            <w:tcW w:w="4876" w:type="dxa"/>
            <w:hideMark/>
          </w:tcPr>
          <w:p w14:paraId="15DFCD97" w14:textId="77777777" w:rsidR="00CB2077" w:rsidRPr="007047B5" w:rsidRDefault="00CB2077">
            <w:pPr>
              <w:pStyle w:val="Normal6"/>
              <w:rPr>
                <w:lang w:val="en-IE"/>
              </w:rPr>
            </w:pPr>
            <w:r w:rsidRPr="007047B5">
              <w:rPr>
                <w:lang w:val="en-IE"/>
              </w:rPr>
              <w:t>2.</w:t>
            </w:r>
            <w:r w:rsidRPr="007047B5">
              <w:rPr>
                <w:lang w:val="en-IE"/>
              </w:rPr>
              <w:tab/>
              <w:t xml:space="preserve">Notaries, lawyers and other independent legal professionals, auditors, external accountants and tax advisors shall be exempted from the requirements laid down in Article 50(1) to the extent that such exemption relates to information that they receive from, or obtain on, one of their clients, in the course of ascertaining the legal position of their client, </w:t>
            </w:r>
            <w:r w:rsidRPr="007047B5">
              <w:rPr>
                <w:b/>
                <w:i/>
                <w:lang w:val="en-IE"/>
              </w:rPr>
              <w:t>or performing their task of defending or representing that client in, or concerning, judicial proceedings, including providing advice on instituting or avoiding such proceedings, whether such information is received or obtained before, during or after such proceedings.</w:t>
            </w:r>
          </w:p>
        </w:tc>
        <w:tc>
          <w:tcPr>
            <w:tcW w:w="4876" w:type="dxa"/>
            <w:hideMark/>
          </w:tcPr>
          <w:p w14:paraId="45DEE588" w14:textId="77777777" w:rsidR="00CB2077" w:rsidRPr="007047B5" w:rsidRDefault="00CB2077">
            <w:pPr>
              <w:pStyle w:val="Normal6"/>
              <w:rPr>
                <w:szCs w:val="24"/>
                <w:lang w:val="en-IE"/>
              </w:rPr>
            </w:pPr>
            <w:r w:rsidRPr="007047B5">
              <w:rPr>
                <w:lang w:val="en-IE"/>
              </w:rPr>
              <w:t>2.</w:t>
            </w:r>
            <w:r w:rsidRPr="007047B5">
              <w:rPr>
                <w:lang w:val="en-IE"/>
              </w:rPr>
              <w:tab/>
              <w:t xml:space="preserve">Notaries, lawyers and other independent legal professionals, auditors, external accountants and tax advisors shall be exempted from the requirements laid down in Article 50(1) to the extent that such exemption relates to information that they receive from, or obtain on, one of their clients, in the course of ascertaining the legal position of their client, </w:t>
            </w:r>
            <w:r w:rsidRPr="007047B5">
              <w:rPr>
                <w:b/>
                <w:i/>
                <w:lang w:val="en-IE"/>
              </w:rPr>
              <w:t>except where:</w:t>
            </w:r>
          </w:p>
        </w:tc>
      </w:tr>
    </w:tbl>
    <w:p w14:paraId="2D9E204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649D7C1" w14:textId="77777777" w:rsidR="00CB2077" w:rsidRPr="007047B5" w:rsidRDefault="00CB2077" w:rsidP="00CB2077">
      <w:pPr>
        <w:rPr>
          <w:lang w:val="en-IE"/>
        </w:rPr>
      </w:pPr>
      <w:r w:rsidRPr="007047B5">
        <w:rPr>
          <w:rStyle w:val="HideTWBExt"/>
          <w:noProof w:val="0"/>
          <w:lang w:val="en-IE"/>
        </w:rPr>
        <w:t>&lt;/Amend&gt;</w:t>
      </w:r>
    </w:p>
    <w:p w14:paraId="79E6E046"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99</w:t>
      </w:r>
      <w:r w:rsidRPr="007047B5">
        <w:rPr>
          <w:rStyle w:val="HideTWBExt"/>
          <w:b w:val="0"/>
          <w:noProof w:val="0"/>
          <w:lang w:val="en-IE"/>
        </w:rPr>
        <w:t>&lt;/NumAm&gt;</w:t>
      </w:r>
    </w:p>
    <w:p w14:paraId="2936E37A"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9C19783"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51 – paragraph 2 – point 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572F979" w14:textId="77777777" w:rsidTr="00CB2077">
        <w:trPr>
          <w:jc w:val="center"/>
        </w:trPr>
        <w:tc>
          <w:tcPr>
            <w:tcW w:w="9752" w:type="dxa"/>
            <w:gridSpan w:val="2"/>
          </w:tcPr>
          <w:p w14:paraId="52DE4E69" w14:textId="77777777" w:rsidR="00CB2077" w:rsidRPr="007047B5" w:rsidRDefault="00CB2077">
            <w:pPr>
              <w:keepNext/>
              <w:rPr>
                <w:lang w:val="fr-FR"/>
              </w:rPr>
            </w:pPr>
          </w:p>
        </w:tc>
      </w:tr>
      <w:tr w:rsidR="00CB2077" w:rsidRPr="007047B5" w14:paraId="4C251C05" w14:textId="77777777" w:rsidTr="00CB2077">
        <w:trPr>
          <w:jc w:val="center"/>
        </w:trPr>
        <w:tc>
          <w:tcPr>
            <w:tcW w:w="4876" w:type="dxa"/>
            <w:hideMark/>
          </w:tcPr>
          <w:p w14:paraId="16D95CF1"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BCF560E" w14:textId="77777777" w:rsidR="00CB2077" w:rsidRPr="007047B5" w:rsidRDefault="00CB2077">
            <w:pPr>
              <w:pStyle w:val="ColumnHeading"/>
              <w:keepNext/>
              <w:rPr>
                <w:lang w:val="en-IE"/>
              </w:rPr>
            </w:pPr>
            <w:r w:rsidRPr="007047B5">
              <w:rPr>
                <w:lang w:val="en-IE"/>
              </w:rPr>
              <w:t>Amendment</w:t>
            </w:r>
          </w:p>
        </w:tc>
      </w:tr>
      <w:tr w:rsidR="00CB2077" w:rsidRPr="007047B5" w14:paraId="384BEFA8" w14:textId="77777777" w:rsidTr="00CB2077">
        <w:trPr>
          <w:jc w:val="center"/>
        </w:trPr>
        <w:tc>
          <w:tcPr>
            <w:tcW w:w="4876" w:type="dxa"/>
          </w:tcPr>
          <w:p w14:paraId="46B0C9DA" w14:textId="77777777" w:rsidR="00CB2077" w:rsidRPr="007047B5" w:rsidRDefault="00CB2077">
            <w:pPr>
              <w:pStyle w:val="Normal6"/>
              <w:rPr>
                <w:lang w:val="en-IE"/>
              </w:rPr>
            </w:pPr>
          </w:p>
        </w:tc>
        <w:tc>
          <w:tcPr>
            <w:tcW w:w="4876" w:type="dxa"/>
            <w:hideMark/>
          </w:tcPr>
          <w:p w14:paraId="073C8877" w14:textId="4008D016" w:rsidR="00CB2077" w:rsidRPr="007047B5" w:rsidRDefault="00CB2077">
            <w:pPr>
              <w:pStyle w:val="Normal6"/>
              <w:rPr>
                <w:szCs w:val="24"/>
                <w:lang w:val="en-IE"/>
              </w:rPr>
            </w:pPr>
            <w:r w:rsidRPr="007047B5">
              <w:rPr>
                <w:b/>
                <w:i/>
                <w:lang w:val="en-IE"/>
              </w:rPr>
              <w:t>(a)</w:t>
            </w:r>
            <w:r w:rsidRPr="007047B5">
              <w:rPr>
                <w:b/>
                <w:i/>
                <w:lang w:val="en-IE"/>
              </w:rPr>
              <w:tab/>
              <w:t>the ascertainment is inconsistent with applicable law and</w:t>
            </w:r>
            <w:r w:rsidR="00643565" w:rsidRPr="007047B5">
              <w:rPr>
                <w:b/>
                <w:i/>
                <w:lang w:val="en-IE"/>
              </w:rPr>
              <w:t xml:space="preserve"> the legal position is</w:t>
            </w:r>
            <w:r w:rsidRPr="007047B5">
              <w:rPr>
                <w:b/>
                <w:i/>
                <w:lang w:val="en-IE"/>
              </w:rPr>
              <w:t xml:space="preserve"> sought in bad faith; or</w:t>
            </w:r>
          </w:p>
        </w:tc>
      </w:tr>
    </w:tbl>
    <w:p w14:paraId="5435E33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325B6185" w14:textId="77777777" w:rsidR="00CB2077" w:rsidRPr="007047B5" w:rsidRDefault="00CB2077" w:rsidP="00CB2077">
      <w:pPr>
        <w:rPr>
          <w:lang w:val="en-IE"/>
        </w:rPr>
      </w:pPr>
      <w:r w:rsidRPr="007047B5">
        <w:rPr>
          <w:rStyle w:val="HideTWBExt"/>
          <w:noProof w:val="0"/>
          <w:lang w:val="en-IE"/>
        </w:rPr>
        <w:t>&lt;/Amend&gt;</w:t>
      </w:r>
    </w:p>
    <w:p w14:paraId="76B8F44B"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100</w:t>
      </w:r>
      <w:r w:rsidRPr="007047B5">
        <w:rPr>
          <w:rStyle w:val="HideTWBExt"/>
          <w:b w:val="0"/>
          <w:noProof w:val="0"/>
          <w:lang w:val="en-IE"/>
        </w:rPr>
        <w:t>&lt;/NumAm&gt;</w:t>
      </w:r>
    </w:p>
    <w:p w14:paraId="3080DE4D"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ADD0FF4"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51 – paragraph 2 – point b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25DBC39" w14:textId="77777777" w:rsidTr="00CB2077">
        <w:trPr>
          <w:jc w:val="center"/>
        </w:trPr>
        <w:tc>
          <w:tcPr>
            <w:tcW w:w="9752" w:type="dxa"/>
            <w:gridSpan w:val="2"/>
          </w:tcPr>
          <w:p w14:paraId="6DB9F7A1" w14:textId="77777777" w:rsidR="00CB2077" w:rsidRPr="007047B5" w:rsidRDefault="00CB2077">
            <w:pPr>
              <w:keepNext/>
              <w:rPr>
                <w:lang w:val="fr-FR"/>
              </w:rPr>
            </w:pPr>
          </w:p>
        </w:tc>
      </w:tr>
      <w:tr w:rsidR="00CB2077" w:rsidRPr="007047B5" w14:paraId="699AA2C9" w14:textId="77777777" w:rsidTr="00CB2077">
        <w:trPr>
          <w:jc w:val="center"/>
        </w:trPr>
        <w:tc>
          <w:tcPr>
            <w:tcW w:w="4876" w:type="dxa"/>
            <w:hideMark/>
          </w:tcPr>
          <w:p w14:paraId="310A9D5E"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F43DDA3" w14:textId="77777777" w:rsidR="00CB2077" w:rsidRPr="007047B5" w:rsidRDefault="00CB2077">
            <w:pPr>
              <w:pStyle w:val="ColumnHeading"/>
              <w:keepNext/>
              <w:rPr>
                <w:lang w:val="en-IE"/>
              </w:rPr>
            </w:pPr>
            <w:r w:rsidRPr="007047B5">
              <w:rPr>
                <w:lang w:val="en-IE"/>
              </w:rPr>
              <w:t>Amendment</w:t>
            </w:r>
          </w:p>
        </w:tc>
      </w:tr>
      <w:tr w:rsidR="00CB2077" w:rsidRPr="007047B5" w14:paraId="3113B875" w14:textId="77777777" w:rsidTr="00CB2077">
        <w:trPr>
          <w:jc w:val="center"/>
        </w:trPr>
        <w:tc>
          <w:tcPr>
            <w:tcW w:w="4876" w:type="dxa"/>
          </w:tcPr>
          <w:p w14:paraId="6C63DA80" w14:textId="77777777" w:rsidR="00CB2077" w:rsidRPr="007047B5" w:rsidRDefault="00CB2077">
            <w:pPr>
              <w:pStyle w:val="Normal6"/>
              <w:rPr>
                <w:lang w:val="en-IE"/>
              </w:rPr>
            </w:pPr>
          </w:p>
        </w:tc>
        <w:tc>
          <w:tcPr>
            <w:tcW w:w="4876" w:type="dxa"/>
            <w:hideMark/>
          </w:tcPr>
          <w:p w14:paraId="4DC24667" w14:textId="2D23C472" w:rsidR="00CB2077" w:rsidRPr="007047B5" w:rsidRDefault="00CB2077" w:rsidP="006F5456">
            <w:pPr>
              <w:pStyle w:val="Normal6"/>
              <w:rPr>
                <w:szCs w:val="24"/>
                <w:lang w:val="en-IE"/>
              </w:rPr>
            </w:pPr>
            <w:r w:rsidRPr="007047B5">
              <w:rPr>
                <w:b/>
                <w:i/>
                <w:lang w:val="en-IE"/>
              </w:rPr>
              <w:t>(b)</w:t>
            </w:r>
            <w:r w:rsidRPr="007047B5">
              <w:rPr>
                <w:b/>
                <w:i/>
                <w:lang w:val="en-IE"/>
              </w:rPr>
              <w:tab/>
              <w:t xml:space="preserve">the ascertainment clearly exceeds legal matters pertaining to the </w:t>
            </w:r>
            <w:r w:rsidR="00643565" w:rsidRPr="007047B5">
              <w:rPr>
                <w:b/>
                <w:i/>
                <w:lang w:val="en-IE"/>
              </w:rPr>
              <w:t xml:space="preserve">client’s legal </w:t>
            </w:r>
            <w:r w:rsidRPr="007047B5">
              <w:rPr>
                <w:b/>
                <w:i/>
                <w:lang w:val="en-IE"/>
              </w:rPr>
              <w:t>position;</w:t>
            </w:r>
          </w:p>
        </w:tc>
      </w:tr>
    </w:tbl>
    <w:p w14:paraId="5C982E9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53FC7F2" w14:textId="77777777" w:rsidR="00CB2077" w:rsidRPr="007047B5" w:rsidRDefault="00CB2077" w:rsidP="00CB2077">
      <w:pPr>
        <w:rPr>
          <w:lang w:val="en-IE"/>
        </w:rPr>
      </w:pPr>
      <w:r w:rsidRPr="007047B5">
        <w:rPr>
          <w:rStyle w:val="HideTWBExt"/>
          <w:noProof w:val="0"/>
          <w:lang w:val="en-IE"/>
        </w:rPr>
        <w:t>&lt;/Amend&gt;</w:t>
      </w:r>
    </w:p>
    <w:p w14:paraId="0AE66323"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101</w:t>
      </w:r>
      <w:r w:rsidRPr="007047B5">
        <w:rPr>
          <w:rStyle w:val="HideTWBExt"/>
          <w:b w:val="0"/>
          <w:noProof w:val="0"/>
          <w:lang w:val="en-IE"/>
        </w:rPr>
        <w:t>&lt;/NumAm&gt;</w:t>
      </w:r>
    </w:p>
    <w:p w14:paraId="4375EF7C"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E71439D"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51 – paragraph 2 – point c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A166297" w14:textId="77777777" w:rsidTr="00CB2077">
        <w:trPr>
          <w:jc w:val="center"/>
        </w:trPr>
        <w:tc>
          <w:tcPr>
            <w:tcW w:w="9752" w:type="dxa"/>
            <w:gridSpan w:val="2"/>
          </w:tcPr>
          <w:p w14:paraId="7A3B9029" w14:textId="77777777" w:rsidR="00CB2077" w:rsidRPr="007047B5" w:rsidRDefault="00CB2077">
            <w:pPr>
              <w:keepNext/>
              <w:rPr>
                <w:lang w:val="fr-FR"/>
              </w:rPr>
            </w:pPr>
          </w:p>
        </w:tc>
      </w:tr>
      <w:tr w:rsidR="00CB2077" w:rsidRPr="007047B5" w14:paraId="2512AB02" w14:textId="77777777" w:rsidTr="00CB2077">
        <w:trPr>
          <w:jc w:val="center"/>
        </w:trPr>
        <w:tc>
          <w:tcPr>
            <w:tcW w:w="4876" w:type="dxa"/>
            <w:hideMark/>
          </w:tcPr>
          <w:p w14:paraId="27D111B3"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1AA0C783" w14:textId="77777777" w:rsidR="00CB2077" w:rsidRPr="007047B5" w:rsidRDefault="00CB2077">
            <w:pPr>
              <w:pStyle w:val="ColumnHeading"/>
              <w:keepNext/>
              <w:rPr>
                <w:lang w:val="en-IE"/>
              </w:rPr>
            </w:pPr>
            <w:r w:rsidRPr="007047B5">
              <w:rPr>
                <w:lang w:val="en-IE"/>
              </w:rPr>
              <w:t>Amendment</w:t>
            </w:r>
          </w:p>
        </w:tc>
      </w:tr>
      <w:tr w:rsidR="00CB2077" w:rsidRPr="007047B5" w14:paraId="38206189" w14:textId="77777777" w:rsidTr="00CB2077">
        <w:trPr>
          <w:jc w:val="center"/>
        </w:trPr>
        <w:tc>
          <w:tcPr>
            <w:tcW w:w="4876" w:type="dxa"/>
          </w:tcPr>
          <w:p w14:paraId="58372AF7" w14:textId="77777777" w:rsidR="00CB2077" w:rsidRPr="007047B5" w:rsidRDefault="00CB2077">
            <w:pPr>
              <w:pStyle w:val="Normal6"/>
              <w:rPr>
                <w:lang w:val="en-IE"/>
              </w:rPr>
            </w:pPr>
          </w:p>
        </w:tc>
        <w:tc>
          <w:tcPr>
            <w:tcW w:w="4876" w:type="dxa"/>
            <w:hideMark/>
          </w:tcPr>
          <w:p w14:paraId="57782B42" w14:textId="7ACD81ED" w:rsidR="00CB2077" w:rsidRPr="007047B5" w:rsidRDefault="00CB2077" w:rsidP="006F5456">
            <w:pPr>
              <w:pStyle w:val="Normal6"/>
              <w:rPr>
                <w:szCs w:val="24"/>
                <w:lang w:val="en-IE"/>
              </w:rPr>
            </w:pPr>
            <w:r w:rsidRPr="007047B5">
              <w:rPr>
                <w:b/>
                <w:i/>
                <w:lang w:val="en-IE"/>
              </w:rPr>
              <w:t>(c)</w:t>
            </w:r>
            <w:r w:rsidRPr="007047B5">
              <w:rPr>
                <w:b/>
                <w:i/>
                <w:lang w:val="en-IE"/>
              </w:rPr>
              <w:tab/>
              <w:t xml:space="preserve">the </w:t>
            </w:r>
            <w:r w:rsidR="00643565" w:rsidRPr="007047B5">
              <w:rPr>
                <w:b/>
                <w:i/>
                <w:lang w:val="en-IE"/>
              </w:rPr>
              <w:t>notary, lawyer, other independent legal professional, auditor, external accountant or tax advisor provide</w:t>
            </w:r>
            <w:r w:rsidR="00643565" w:rsidRPr="007047B5">
              <w:rPr>
                <w:lang w:val="en-IE"/>
              </w:rPr>
              <w:t xml:space="preserve"> </w:t>
            </w:r>
            <w:r w:rsidRPr="007047B5">
              <w:rPr>
                <w:b/>
                <w:i/>
                <w:lang w:val="en-IE"/>
              </w:rPr>
              <w:t xml:space="preserve">information </w:t>
            </w:r>
            <w:r w:rsidR="00A058E3" w:rsidRPr="007047B5">
              <w:rPr>
                <w:b/>
                <w:i/>
                <w:lang w:val="en-IE"/>
              </w:rPr>
              <w:t xml:space="preserve">to the client </w:t>
            </w:r>
            <w:r w:rsidRPr="007047B5">
              <w:rPr>
                <w:b/>
                <w:i/>
                <w:lang w:val="en-IE"/>
              </w:rPr>
              <w:t>for the purpose of money laundering, or its predicate offences</w:t>
            </w:r>
            <w:r w:rsidR="00643565" w:rsidRPr="007047B5">
              <w:rPr>
                <w:b/>
                <w:i/>
                <w:lang w:val="en-IE"/>
              </w:rPr>
              <w:t>,</w:t>
            </w:r>
            <w:r w:rsidRPr="007047B5">
              <w:rPr>
                <w:b/>
                <w:i/>
                <w:lang w:val="en-IE"/>
              </w:rPr>
              <w:t xml:space="preserve"> or terrorist financing </w:t>
            </w:r>
            <w:r w:rsidR="00643565" w:rsidRPr="007047B5">
              <w:rPr>
                <w:b/>
                <w:i/>
                <w:lang w:val="en-IE"/>
              </w:rPr>
              <w:t xml:space="preserve">and </w:t>
            </w:r>
            <w:r w:rsidRPr="007047B5">
              <w:rPr>
                <w:b/>
                <w:i/>
                <w:lang w:val="en-IE"/>
              </w:rPr>
              <w:t xml:space="preserve">has the knowledge </w:t>
            </w:r>
            <w:r w:rsidR="00D75AC5" w:rsidRPr="007047B5">
              <w:rPr>
                <w:b/>
                <w:i/>
                <w:lang w:val="en-IE"/>
              </w:rPr>
              <w:t xml:space="preserve">or </w:t>
            </w:r>
            <w:r w:rsidR="00BE0E57" w:rsidRPr="007047B5">
              <w:rPr>
                <w:b/>
                <w:i/>
                <w:lang w:val="en-IE"/>
              </w:rPr>
              <w:t>a well-</w:t>
            </w:r>
            <w:r w:rsidR="00D75AC5" w:rsidRPr="007047B5">
              <w:rPr>
                <w:b/>
                <w:i/>
                <w:lang w:val="en-IE"/>
              </w:rPr>
              <w:t xml:space="preserve">grounded suspicion </w:t>
            </w:r>
            <w:r w:rsidRPr="007047B5">
              <w:rPr>
                <w:b/>
                <w:i/>
                <w:lang w:val="en-IE"/>
              </w:rPr>
              <w:t>that the client requested it for th</w:t>
            </w:r>
            <w:r w:rsidR="00643565" w:rsidRPr="007047B5">
              <w:rPr>
                <w:b/>
                <w:i/>
                <w:lang w:val="en-IE"/>
              </w:rPr>
              <w:t>at</w:t>
            </w:r>
            <w:r w:rsidRPr="007047B5">
              <w:rPr>
                <w:b/>
                <w:i/>
                <w:lang w:val="en-IE"/>
              </w:rPr>
              <w:t xml:space="preserve"> purpose.</w:t>
            </w:r>
          </w:p>
        </w:tc>
      </w:tr>
    </w:tbl>
    <w:p w14:paraId="4D4AA773"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406C915" w14:textId="77777777" w:rsidR="00CB2077" w:rsidRPr="007047B5" w:rsidRDefault="00CB2077" w:rsidP="00CB2077">
      <w:pPr>
        <w:rPr>
          <w:lang w:val="en-IE"/>
        </w:rPr>
      </w:pPr>
      <w:r w:rsidRPr="007047B5">
        <w:rPr>
          <w:rStyle w:val="HideTWBExt"/>
          <w:noProof w:val="0"/>
          <w:lang w:val="en-IE"/>
        </w:rPr>
        <w:t>&lt;/Amend&gt;</w:t>
      </w:r>
    </w:p>
    <w:p w14:paraId="535D1075"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102</w:t>
      </w:r>
      <w:r w:rsidRPr="007047B5">
        <w:rPr>
          <w:rStyle w:val="HideTWBExt"/>
          <w:b w:val="0"/>
          <w:noProof w:val="0"/>
          <w:lang w:val="en-IE"/>
        </w:rPr>
        <w:t>&lt;/NumAm&gt;</w:t>
      </w:r>
    </w:p>
    <w:p w14:paraId="344D2C93"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FB3D59A"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51 – paragraph 2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B97D7B5" w14:textId="77777777" w:rsidTr="00CB2077">
        <w:trPr>
          <w:jc w:val="center"/>
        </w:trPr>
        <w:tc>
          <w:tcPr>
            <w:tcW w:w="9752" w:type="dxa"/>
            <w:gridSpan w:val="2"/>
          </w:tcPr>
          <w:p w14:paraId="01163264" w14:textId="77777777" w:rsidR="00CB2077" w:rsidRPr="007047B5" w:rsidRDefault="00CB2077">
            <w:pPr>
              <w:keepNext/>
              <w:rPr>
                <w:lang w:val="en-IE"/>
              </w:rPr>
            </w:pPr>
          </w:p>
        </w:tc>
      </w:tr>
      <w:tr w:rsidR="00CB2077" w:rsidRPr="007047B5" w14:paraId="44767329" w14:textId="77777777" w:rsidTr="00CB2077">
        <w:trPr>
          <w:jc w:val="center"/>
        </w:trPr>
        <w:tc>
          <w:tcPr>
            <w:tcW w:w="4876" w:type="dxa"/>
            <w:hideMark/>
          </w:tcPr>
          <w:p w14:paraId="1B3B092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2DA1C24" w14:textId="77777777" w:rsidR="00CB2077" w:rsidRPr="007047B5" w:rsidRDefault="00CB2077">
            <w:pPr>
              <w:pStyle w:val="ColumnHeading"/>
              <w:keepNext/>
              <w:rPr>
                <w:lang w:val="en-IE"/>
              </w:rPr>
            </w:pPr>
            <w:r w:rsidRPr="007047B5">
              <w:rPr>
                <w:lang w:val="en-IE"/>
              </w:rPr>
              <w:t>Amendment</w:t>
            </w:r>
          </w:p>
        </w:tc>
      </w:tr>
      <w:tr w:rsidR="00CB2077" w:rsidRPr="007047B5" w14:paraId="3E80607F" w14:textId="77777777" w:rsidTr="00CB2077">
        <w:trPr>
          <w:jc w:val="center"/>
        </w:trPr>
        <w:tc>
          <w:tcPr>
            <w:tcW w:w="4876" w:type="dxa"/>
          </w:tcPr>
          <w:p w14:paraId="0F2CBCD2" w14:textId="77777777" w:rsidR="00CB2077" w:rsidRPr="007047B5" w:rsidRDefault="00CB2077">
            <w:pPr>
              <w:pStyle w:val="Normal6"/>
              <w:rPr>
                <w:lang w:val="en-IE"/>
              </w:rPr>
            </w:pPr>
          </w:p>
        </w:tc>
        <w:tc>
          <w:tcPr>
            <w:tcW w:w="4876" w:type="dxa"/>
            <w:hideMark/>
          </w:tcPr>
          <w:p w14:paraId="42547E5C" w14:textId="31F8CDCD" w:rsidR="00CB2077" w:rsidRPr="007047B5" w:rsidRDefault="00CB2077" w:rsidP="006F5456">
            <w:pPr>
              <w:pStyle w:val="Normal6"/>
              <w:rPr>
                <w:szCs w:val="24"/>
                <w:lang w:val="en-IE"/>
              </w:rPr>
            </w:pPr>
            <w:r w:rsidRPr="007047B5">
              <w:rPr>
                <w:b/>
                <w:i/>
                <w:lang w:val="en-IE"/>
              </w:rPr>
              <w:t>2a.</w:t>
            </w:r>
            <w:r w:rsidRPr="007047B5">
              <w:rPr>
                <w:b/>
                <w:i/>
                <w:lang w:val="en-IE"/>
              </w:rPr>
              <w:tab/>
              <w:t xml:space="preserve">Persons referred to in paragraph 2 shall be exempted from the requirements laid down in Article 50(1) when performing their task of defending or representing </w:t>
            </w:r>
            <w:r w:rsidR="006F5456" w:rsidRPr="007047B5">
              <w:rPr>
                <w:b/>
                <w:i/>
                <w:lang w:val="en-IE"/>
              </w:rPr>
              <w:t xml:space="preserve">a </w:t>
            </w:r>
            <w:r w:rsidRPr="007047B5">
              <w:rPr>
                <w:b/>
                <w:i/>
                <w:lang w:val="en-IE"/>
              </w:rPr>
              <w:t xml:space="preserve">client in, or concerning, judicial proceedings, including providing </w:t>
            </w:r>
            <w:r w:rsidRPr="007047B5">
              <w:rPr>
                <w:b/>
                <w:i/>
                <w:lang w:val="en-IE"/>
              </w:rPr>
              <w:lastRenderedPageBreak/>
              <w:t xml:space="preserve">advice on instituting or avoiding </w:t>
            </w:r>
            <w:r w:rsidR="006F5456" w:rsidRPr="007047B5">
              <w:rPr>
                <w:b/>
                <w:i/>
                <w:lang w:val="en-IE"/>
              </w:rPr>
              <w:t xml:space="preserve">judicial </w:t>
            </w:r>
            <w:r w:rsidRPr="007047B5">
              <w:rPr>
                <w:b/>
                <w:i/>
                <w:lang w:val="en-IE"/>
              </w:rPr>
              <w:t xml:space="preserve">proceedings, </w:t>
            </w:r>
            <w:r w:rsidR="006F5456" w:rsidRPr="007047B5">
              <w:rPr>
                <w:b/>
                <w:i/>
                <w:lang w:val="en-IE"/>
              </w:rPr>
              <w:t xml:space="preserve">regardless of </w:t>
            </w:r>
            <w:r w:rsidRPr="007047B5">
              <w:rPr>
                <w:b/>
                <w:i/>
                <w:lang w:val="en-IE"/>
              </w:rPr>
              <w:t xml:space="preserve">whether such </w:t>
            </w:r>
            <w:r w:rsidR="006F5456" w:rsidRPr="007047B5">
              <w:rPr>
                <w:b/>
                <w:i/>
                <w:lang w:val="en-IE"/>
              </w:rPr>
              <w:t xml:space="preserve">advice </w:t>
            </w:r>
            <w:r w:rsidRPr="007047B5">
              <w:rPr>
                <w:b/>
                <w:i/>
                <w:lang w:val="en-IE"/>
              </w:rPr>
              <w:t xml:space="preserve">is received or obtained before, during or after </w:t>
            </w:r>
            <w:r w:rsidR="006F5456" w:rsidRPr="007047B5">
              <w:rPr>
                <w:b/>
                <w:i/>
                <w:lang w:val="en-IE"/>
              </w:rPr>
              <w:t xml:space="preserve">judicial </w:t>
            </w:r>
            <w:r w:rsidRPr="007047B5">
              <w:rPr>
                <w:b/>
                <w:i/>
                <w:lang w:val="en-IE"/>
              </w:rPr>
              <w:t>proceedings.</w:t>
            </w:r>
          </w:p>
        </w:tc>
      </w:tr>
    </w:tbl>
    <w:p w14:paraId="5E02B024"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82C4446" w14:textId="77777777" w:rsidR="00CB2077" w:rsidRPr="007047B5" w:rsidRDefault="00CB2077" w:rsidP="00CB2077">
      <w:pPr>
        <w:rPr>
          <w:lang w:val="en-IE"/>
        </w:rPr>
      </w:pPr>
      <w:r w:rsidRPr="007047B5">
        <w:rPr>
          <w:rStyle w:val="HideTWBExt"/>
          <w:noProof w:val="0"/>
          <w:lang w:val="en-IE"/>
        </w:rPr>
        <w:t>&lt;/Amend&gt;</w:t>
      </w:r>
    </w:p>
    <w:p w14:paraId="4543FA2F"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103</w:t>
      </w:r>
      <w:r w:rsidRPr="007047B5">
        <w:rPr>
          <w:rStyle w:val="HideTWBExt"/>
          <w:b w:val="0"/>
          <w:noProof w:val="0"/>
          <w:lang w:val="en-IE"/>
        </w:rPr>
        <w:t>&lt;/NumAm&gt;</w:t>
      </w:r>
    </w:p>
    <w:p w14:paraId="5BE1C539"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F5807FA"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54 – paragraph 5</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94A74E7" w14:textId="77777777" w:rsidTr="00CB2077">
        <w:trPr>
          <w:jc w:val="center"/>
        </w:trPr>
        <w:tc>
          <w:tcPr>
            <w:tcW w:w="9752" w:type="dxa"/>
            <w:gridSpan w:val="2"/>
          </w:tcPr>
          <w:p w14:paraId="6F36EDB7" w14:textId="77777777" w:rsidR="00CB2077" w:rsidRPr="007047B5" w:rsidRDefault="00CB2077">
            <w:pPr>
              <w:keepNext/>
              <w:rPr>
                <w:lang w:val="en-IE"/>
              </w:rPr>
            </w:pPr>
          </w:p>
        </w:tc>
      </w:tr>
      <w:tr w:rsidR="00CB2077" w:rsidRPr="007047B5" w14:paraId="4BCFCC7D" w14:textId="77777777" w:rsidTr="00CB2077">
        <w:trPr>
          <w:jc w:val="center"/>
        </w:trPr>
        <w:tc>
          <w:tcPr>
            <w:tcW w:w="4876" w:type="dxa"/>
            <w:hideMark/>
          </w:tcPr>
          <w:p w14:paraId="2873794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100EEA3" w14:textId="77777777" w:rsidR="00CB2077" w:rsidRPr="007047B5" w:rsidRDefault="00CB2077">
            <w:pPr>
              <w:pStyle w:val="ColumnHeading"/>
              <w:keepNext/>
              <w:rPr>
                <w:lang w:val="en-IE"/>
              </w:rPr>
            </w:pPr>
            <w:r w:rsidRPr="007047B5">
              <w:rPr>
                <w:lang w:val="en-IE"/>
              </w:rPr>
              <w:t>Amendment</w:t>
            </w:r>
          </w:p>
        </w:tc>
      </w:tr>
      <w:tr w:rsidR="00CB2077" w:rsidRPr="007047B5" w14:paraId="2D27D089" w14:textId="77777777" w:rsidTr="00CB2077">
        <w:trPr>
          <w:jc w:val="center"/>
        </w:trPr>
        <w:tc>
          <w:tcPr>
            <w:tcW w:w="4876" w:type="dxa"/>
            <w:hideMark/>
          </w:tcPr>
          <w:p w14:paraId="7DE4B930" w14:textId="77777777" w:rsidR="00CB2077" w:rsidRPr="007047B5" w:rsidRDefault="00CB2077">
            <w:pPr>
              <w:pStyle w:val="Normal6"/>
              <w:rPr>
                <w:lang w:val="en-IE"/>
              </w:rPr>
            </w:pPr>
            <w:r w:rsidRPr="007047B5">
              <w:rPr>
                <w:lang w:val="en-IE"/>
              </w:rPr>
              <w:t>5.</w:t>
            </w:r>
            <w:r w:rsidRPr="007047B5">
              <w:rPr>
                <w:lang w:val="en-IE"/>
              </w:rPr>
              <w:tab/>
              <w:t>For obliged entities referred to in Article 3, points (1), (2), (3)(a) and (b), in cases relating to the same customer and the same transaction involving two or more obliged entities, and by way of derogation from paragraph 1, disclosure may take place between the relevant obliged entities provided that they are located in the Union, or with entities in a third country which imposes requirements equivalent to those laid down in this Regulation, and that they are from the same category of obliged entities and are subject to professional secrecy and personal data protection requirements.</w:t>
            </w:r>
          </w:p>
        </w:tc>
        <w:tc>
          <w:tcPr>
            <w:tcW w:w="4876" w:type="dxa"/>
            <w:hideMark/>
          </w:tcPr>
          <w:p w14:paraId="4AA16837" w14:textId="77777777" w:rsidR="00CB2077" w:rsidRPr="007047B5" w:rsidRDefault="00CB2077">
            <w:pPr>
              <w:pStyle w:val="Normal6"/>
              <w:rPr>
                <w:szCs w:val="24"/>
                <w:lang w:val="en-IE"/>
              </w:rPr>
            </w:pPr>
            <w:r w:rsidRPr="007047B5">
              <w:rPr>
                <w:lang w:val="en-IE"/>
              </w:rPr>
              <w:t>5.</w:t>
            </w:r>
            <w:r w:rsidRPr="007047B5">
              <w:rPr>
                <w:lang w:val="en-IE"/>
              </w:rPr>
              <w:tab/>
              <w:t xml:space="preserve">For obliged entities referred to in Article 3, points (1), (2), (3)(a) and (b), in cases relating to the same customer and the same transaction involving two or more obliged entities, and by way of derogation from paragraph 1, disclosure may take place between the relevant obliged entities provided that they are located in the Union, or with entities in a third country which imposes requirements equivalent to those laid down in this Regulation, and that they are from the same category of obliged entities and are subject to professional secrecy and personal data protection requirements </w:t>
            </w:r>
            <w:r w:rsidRPr="007047B5">
              <w:rPr>
                <w:b/>
                <w:i/>
                <w:lang w:val="en-IE"/>
              </w:rPr>
              <w:t>comparable to those laid down in Regulation (EU) 2016/679</w:t>
            </w:r>
            <w:r w:rsidRPr="007047B5">
              <w:rPr>
                <w:lang w:val="en-IE"/>
              </w:rPr>
              <w:t>.</w:t>
            </w:r>
          </w:p>
        </w:tc>
      </w:tr>
    </w:tbl>
    <w:p w14:paraId="6B77E75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1F2F10F" w14:textId="77777777" w:rsidR="00CB2077" w:rsidRPr="007047B5" w:rsidRDefault="00CB2077" w:rsidP="00CB2077">
      <w:pPr>
        <w:rPr>
          <w:lang w:val="en-IE"/>
        </w:rPr>
      </w:pPr>
      <w:r w:rsidRPr="007047B5">
        <w:rPr>
          <w:rStyle w:val="HideTWBExt"/>
          <w:noProof w:val="0"/>
          <w:lang w:val="en-IE"/>
        </w:rPr>
        <w:t>&lt;/Amend&gt;</w:t>
      </w:r>
    </w:p>
    <w:p w14:paraId="1016C16A"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104</w:t>
      </w:r>
      <w:r w:rsidRPr="007047B5">
        <w:rPr>
          <w:rStyle w:val="HideTWBExt"/>
          <w:b w:val="0"/>
          <w:noProof w:val="0"/>
          <w:lang w:val="en-IE"/>
        </w:rPr>
        <w:t>&lt;/NumAm&gt;</w:t>
      </w:r>
    </w:p>
    <w:p w14:paraId="5406C7D0"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32C5B45"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55 – paragraph 1</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0B6B2E5" w14:textId="77777777" w:rsidTr="00CB2077">
        <w:trPr>
          <w:jc w:val="center"/>
        </w:trPr>
        <w:tc>
          <w:tcPr>
            <w:tcW w:w="9752" w:type="dxa"/>
            <w:gridSpan w:val="2"/>
          </w:tcPr>
          <w:p w14:paraId="77B61E56" w14:textId="77777777" w:rsidR="00CB2077" w:rsidRPr="007047B5" w:rsidRDefault="00CB2077">
            <w:pPr>
              <w:keepNext/>
              <w:rPr>
                <w:lang w:val="en-IE"/>
              </w:rPr>
            </w:pPr>
          </w:p>
        </w:tc>
      </w:tr>
      <w:tr w:rsidR="00CB2077" w:rsidRPr="007047B5" w14:paraId="23E8C194" w14:textId="77777777" w:rsidTr="00CB2077">
        <w:trPr>
          <w:jc w:val="center"/>
        </w:trPr>
        <w:tc>
          <w:tcPr>
            <w:tcW w:w="4876" w:type="dxa"/>
            <w:hideMark/>
          </w:tcPr>
          <w:p w14:paraId="1BF9B32A"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55B2008" w14:textId="77777777" w:rsidR="00CB2077" w:rsidRPr="007047B5" w:rsidRDefault="00CB2077">
            <w:pPr>
              <w:pStyle w:val="ColumnHeading"/>
              <w:keepNext/>
              <w:rPr>
                <w:lang w:val="en-IE"/>
              </w:rPr>
            </w:pPr>
            <w:r w:rsidRPr="007047B5">
              <w:rPr>
                <w:lang w:val="en-IE"/>
              </w:rPr>
              <w:t>Amendment</w:t>
            </w:r>
          </w:p>
        </w:tc>
      </w:tr>
      <w:tr w:rsidR="00CB2077" w:rsidRPr="007047B5" w14:paraId="3AF9EBB3" w14:textId="77777777" w:rsidTr="00CB2077">
        <w:trPr>
          <w:jc w:val="center"/>
        </w:trPr>
        <w:tc>
          <w:tcPr>
            <w:tcW w:w="4876" w:type="dxa"/>
            <w:hideMark/>
          </w:tcPr>
          <w:p w14:paraId="3357091B" w14:textId="77777777" w:rsidR="00CB2077" w:rsidRPr="007047B5" w:rsidRDefault="00CB2077">
            <w:pPr>
              <w:pStyle w:val="Normal6"/>
              <w:rPr>
                <w:lang w:val="en-IE"/>
              </w:rPr>
            </w:pPr>
            <w:r w:rsidRPr="007047B5">
              <w:rPr>
                <w:lang w:val="en-IE"/>
              </w:rPr>
              <w:t>1.</w:t>
            </w:r>
            <w:r w:rsidRPr="007047B5">
              <w:rPr>
                <w:lang w:val="en-IE"/>
              </w:rPr>
              <w:tab/>
              <w:t xml:space="preserve">To the extent that it is strictly necessary for the purposes of preventing money laundering and terrorist financing, obliged entities may process special categories of personal data referred to in </w:t>
            </w:r>
            <w:r w:rsidRPr="007047B5">
              <w:rPr>
                <w:lang w:val="en-IE"/>
              </w:rPr>
              <w:lastRenderedPageBreak/>
              <w:t>Article 9(1) of Regulation (EU) 2016/679 and personal data relating to criminal convictions and offences referred to in Article 10 of that Regulation subject to the safeguards provided for in paragraphs 2 and 3.</w:t>
            </w:r>
          </w:p>
        </w:tc>
        <w:tc>
          <w:tcPr>
            <w:tcW w:w="4876" w:type="dxa"/>
            <w:hideMark/>
          </w:tcPr>
          <w:p w14:paraId="2D052F72" w14:textId="0EBB7A74" w:rsidR="00CB2077" w:rsidRPr="007047B5" w:rsidRDefault="00CB2077" w:rsidP="006F5456">
            <w:pPr>
              <w:pStyle w:val="Normal6"/>
              <w:rPr>
                <w:szCs w:val="24"/>
                <w:lang w:val="en-IE"/>
              </w:rPr>
            </w:pPr>
            <w:r w:rsidRPr="007047B5">
              <w:rPr>
                <w:lang w:val="en-IE"/>
              </w:rPr>
              <w:lastRenderedPageBreak/>
              <w:t>1.</w:t>
            </w:r>
            <w:r w:rsidRPr="007047B5">
              <w:rPr>
                <w:lang w:val="en-IE"/>
              </w:rPr>
              <w:tab/>
              <w:t xml:space="preserve">To the extent that it is strictly necessary for the purposes of preventing money laundering and terrorist financing, obliged entities may process special categories of personal data </w:t>
            </w:r>
            <w:r w:rsidRPr="007047B5">
              <w:rPr>
                <w:b/>
                <w:i/>
                <w:lang w:val="en-IE"/>
              </w:rPr>
              <w:t>on a case-by-</w:t>
            </w:r>
            <w:r w:rsidRPr="007047B5">
              <w:rPr>
                <w:b/>
                <w:i/>
                <w:lang w:val="en-IE"/>
              </w:rPr>
              <w:lastRenderedPageBreak/>
              <w:t>case basis relat</w:t>
            </w:r>
            <w:r w:rsidR="006F5456" w:rsidRPr="007047B5">
              <w:rPr>
                <w:b/>
                <w:i/>
                <w:lang w:val="en-IE"/>
              </w:rPr>
              <w:t>ing</w:t>
            </w:r>
            <w:r w:rsidRPr="007047B5">
              <w:rPr>
                <w:b/>
                <w:i/>
                <w:lang w:val="en-IE"/>
              </w:rPr>
              <w:t xml:space="preserve"> to racial or ethnic origin, political opinions, religious or philosophical beliefs, or trade union membership and genetic data, biometric data for the purpose of uniquely identifying a natural person, data concerning health or data concerning a natural person's sex life or sexual orientation</w:t>
            </w:r>
            <w:r w:rsidRPr="007047B5">
              <w:rPr>
                <w:lang w:val="en-IE"/>
              </w:rPr>
              <w:t xml:space="preserve"> referred to in Article 9(1) of Regulation (EU) 2016/679 and personal data relating to criminal convictions and offences referred to in Article 10 of that Regulation subject to the safeguards provided for in paragraphs 2 and 3.</w:t>
            </w:r>
          </w:p>
        </w:tc>
      </w:tr>
    </w:tbl>
    <w:p w14:paraId="20D41037"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27ECDD3" w14:textId="77777777" w:rsidR="00CB2077" w:rsidRPr="007047B5" w:rsidRDefault="00CB2077" w:rsidP="00CB2077">
      <w:pPr>
        <w:rPr>
          <w:lang w:val="en-IE"/>
        </w:rPr>
      </w:pPr>
      <w:r w:rsidRPr="007047B5">
        <w:rPr>
          <w:rStyle w:val="HideTWBExt"/>
          <w:noProof w:val="0"/>
          <w:lang w:val="en-IE"/>
        </w:rPr>
        <w:t>&lt;/Amend&gt;</w:t>
      </w:r>
    </w:p>
    <w:p w14:paraId="55AAC1D6"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105</w:t>
      </w:r>
      <w:r w:rsidRPr="007047B5">
        <w:rPr>
          <w:rStyle w:val="HideTWBExt"/>
          <w:b w:val="0"/>
          <w:noProof w:val="0"/>
          <w:lang w:val="en-IE"/>
        </w:rPr>
        <w:t>&lt;/NumAm&gt;</w:t>
      </w:r>
    </w:p>
    <w:p w14:paraId="12DB12B4"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9693357"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55 – paragraph 2 – point b</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DA71664" w14:textId="77777777" w:rsidTr="00CB2077">
        <w:trPr>
          <w:jc w:val="center"/>
        </w:trPr>
        <w:tc>
          <w:tcPr>
            <w:tcW w:w="9752" w:type="dxa"/>
            <w:gridSpan w:val="2"/>
          </w:tcPr>
          <w:p w14:paraId="53E39A66" w14:textId="77777777" w:rsidR="00CB2077" w:rsidRPr="007047B5" w:rsidRDefault="00CB2077">
            <w:pPr>
              <w:keepNext/>
              <w:rPr>
                <w:lang w:val="en-IE"/>
              </w:rPr>
            </w:pPr>
          </w:p>
        </w:tc>
      </w:tr>
      <w:tr w:rsidR="00CB2077" w:rsidRPr="007047B5" w14:paraId="6978D033" w14:textId="77777777" w:rsidTr="00CB2077">
        <w:trPr>
          <w:jc w:val="center"/>
        </w:trPr>
        <w:tc>
          <w:tcPr>
            <w:tcW w:w="4876" w:type="dxa"/>
            <w:hideMark/>
          </w:tcPr>
          <w:p w14:paraId="6E12E446"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5CC4B7C" w14:textId="77777777" w:rsidR="00CB2077" w:rsidRPr="007047B5" w:rsidRDefault="00CB2077">
            <w:pPr>
              <w:pStyle w:val="ColumnHeading"/>
              <w:keepNext/>
              <w:rPr>
                <w:lang w:val="en-IE"/>
              </w:rPr>
            </w:pPr>
            <w:r w:rsidRPr="007047B5">
              <w:rPr>
                <w:lang w:val="en-IE"/>
              </w:rPr>
              <w:t>Amendment</w:t>
            </w:r>
          </w:p>
        </w:tc>
      </w:tr>
      <w:tr w:rsidR="00CB2077" w:rsidRPr="007047B5" w14:paraId="0A0275E8" w14:textId="77777777" w:rsidTr="00CB2077">
        <w:trPr>
          <w:jc w:val="center"/>
        </w:trPr>
        <w:tc>
          <w:tcPr>
            <w:tcW w:w="4876" w:type="dxa"/>
            <w:hideMark/>
          </w:tcPr>
          <w:p w14:paraId="5AD833E7" w14:textId="77777777" w:rsidR="00CB2077" w:rsidRPr="007047B5" w:rsidRDefault="00CB2077">
            <w:pPr>
              <w:pStyle w:val="Normal6"/>
              <w:rPr>
                <w:lang w:val="en-IE"/>
              </w:rPr>
            </w:pPr>
            <w:r w:rsidRPr="007047B5">
              <w:rPr>
                <w:lang w:val="en-IE"/>
              </w:rPr>
              <w:t>(b)</w:t>
            </w:r>
            <w:r w:rsidRPr="007047B5">
              <w:rPr>
                <w:lang w:val="en-IE"/>
              </w:rPr>
              <w:tab/>
              <w:t>the data originate from reliable sources, are accurate and up-to-date;</w:t>
            </w:r>
          </w:p>
        </w:tc>
        <w:tc>
          <w:tcPr>
            <w:tcW w:w="4876" w:type="dxa"/>
            <w:hideMark/>
          </w:tcPr>
          <w:p w14:paraId="334C1D07" w14:textId="77777777" w:rsidR="00CB2077" w:rsidRPr="007047B5" w:rsidRDefault="00CB2077">
            <w:pPr>
              <w:pStyle w:val="Normal6"/>
              <w:rPr>
                <w:szCs w:val="24"/>
                <w:lang w:val="en-IE"/>
              </w:rPr>
            </w:pPr>
            <w:r w:rsidRPr="007047B5">
              <w:rPr>
                <w:lang w:val="en-IE"/>
              </w:rPr>
              <w:t>(b)</w:t>
            </w:r>
            <w:r w:rsidRPr="007047B5">
              <w:rPr>
                <w:lang w:val="en-IE"/>
              </w:rPr>
              <w:tab/>
              <w:t>the data originate from reliable sources, are accurate</w:t>
            </w:r>
            <w:r w:rsidRPr="007047B5">
              <w:rPr>
                <w:b/>
                <w:i/>
                <w:lang w:val="en-IE"/>
              </w:rPr>
              <w:t>, adequate, relevant</w:t>
            </w:r>
            <w:r w:rsidRPr="007047B5">
              <w:rPr>
                <w:lang w:val="en-IE"/>
              </w:rPr>
              <w:t xml:space="preserve"> and up-to-date;</w:t>
            </w:r>
          </w:p>
        </w:tc>
      </w:tr>
    </w:tbl>
    <w:p w14:paraId="1B71E906"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C05574E" w14:textId="77777777" w:rsidR="00CB2077" w:rsidRPr="007047B5" w:rsidRDefault="00CB2077" w:rsidP="00CB2077">
      <w:pPr>
        <w:rPr>
          <w:lang w:val="en-IE"/>
        </w:rPr>
      </w:pPr>
      <w:r w:rsidRPr="007047B5">
        <w:rPr>
          <w:rStyle w:val="HideTWBExt"/>
          <w:noProof w:val="0"/>
          <w:lang w:val="en-IE"/>
        </w:rPr>
        <w:t>&lt;/Amend&gt;</w:t>
      </w:r>
    </w:p>
    <w:p w14:paraId="73F33A27"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106</w:t>
      </w:r>
      <w:r w:rsidRPr="007047B5">
        <w:rPr>
          <w:rStyle w:val="HideTWBExt"/>
          <w:b w:val="0"/>
          <w:noProof w:val="0"/>
          <w:lang w:val="en-IE"/>
        </w:rPr>
        <w:t>&lt;/NumAm&gt;</w:t>
      </w:r>
    </w:p>
    <w:p w14:paraId="550ADCE2"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CC8A78A"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Article 55 – paragraph 2 – point b a (new)</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3690CD9" w14:textId="77777777" w:rsidTr="00CB2077">
        <w:trPr>
          <w:jc w:val="center"/>
        </w:trPr>
        <w:tc>
          <w:tcPr>
            <w:tcW w:w="9752" w:type="dxa"/>
            <w:gridSpan w:val="2"/>
          </w:tcPr>
          <w:p w14:paraId="58D02004" w14:textId="77777777" w:rsidR="00CB2077" w:rsidRPr="007047B5" w:rsidRDefault="00CB2077">
            <w:pPr>
              <w:keepNext/>
              <w:rPr>
                <w:lang w:val="fr-FR"/>
              </w:rPr>
            </w:pPr>
          </w:p>
        </w:tc>
      </w:tr>
      <w:tr w:rsidR="00CB2077" w:rsidRPr="007047B5" w14:paraId="0D7B42A1" w14:textId="77777777" w:rsidTr="00CB2077">
        <w:trPr>
          <w:jc w:val="center"/>
        </w:trPr>
        <w:tc>
          <w:tcPr>
            <w:tcW w:w="4876" w:type="dxa"/>
            <w:hideMark/>
          </w:tcPr>
          <w:p w14:paraId="301EC10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26E07F2A" w14:textId="77777777" w:rsidR="00CB2077" w:rsidRPr="007047B5" w:rsidRDefault="00CB2077">
            <w:pPr>
              <w:pStyle w:val="ColumnHeading"/>
              <w:keepNext/>
              <w:rPr>
                <w:lang w:val="en-IE"/>
              </w:rPr>
            </w:pPr>
            <w:r w:rsidRPr="007047B5">
              <w:rPr>
                <w:lang w:val="en-IE"/>
              </w:rPr>
              <w:t>Amendment</w:t>
            </w:r>
          </w:p>
        </w:tc>
      </w:tr>
      <w:tr w:rsidR="00CB2077" w:rsidRPr="007047B5" w14:paraId="11C14D4A" w14:textId="77777777" w:rsidTr="00CB2077">
        <w:trPr>
          <w:jc w:val="center"/>
        </w:trPr>
        <w:tc>
          <w:tcPr>
            <w:tcW w:w="4876" w:type="dxa"/>
          </w:tcPr>
          <w:p w14:paraId="4CB7E232" w14:textId="77777777" w:rsidR="00CB2077" w:rsidRPr="007047B5" w:rsidRDefault="00CB2077">
            <w:pPr>
              <w:pStyle w:val="Normal6"/>
              <w:rPr>
                <w:lang w:val="en-IE"/>
              </w:rPr>
            </w:pPr>
          </w:p>
        </w:tc>
        <w:tc>
          <w:tcPr>
            <w:tcW w:w="4876" w:type="dxa"/>
            <w:hideMark/>
          </w:tcPr>
          <w:p w14:paraId="456D6B7C" w14:textId="49557780" w:rsidR="00CB2077" w:rsidRPr="007047B5" w:rsidRDefault="00CB2077">
            <w:pPr>
              <w:pStyle w:val="Normal6"/>
              <w:rPr>
                <w:szCs w:val="24"/>
                <w:lang w:val="en-IE"/>
              </w:rPr>
            </w:pPr>
            <w:r w:rsidRPr="007047B5">
              <w:rPr>
                <w:b/>
                <w:i/>
                <w:lang w:val="en-IE"/>
              </w:rPr>
              <w:t>(ba)</w:t>
            </w:r>
            <w:r w:rsidRPr="007047B5">
              <w:rPr>
                <w:b/>
                <w:i/>
                <w:lang w:val="en-IE"/>
              </w:rPr>
              <w:tab/>
              <w:t>the processing of the data does not lead to biased and discriminatory outcomes;</w:t>
            </w:r>
          </w:p>
        </w:tc>
      </w:tr>
    </w:tbl>
    <w:p w14:paraId="3FBED02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1644FBFB" w14:textId="77777777" w:rsidR="00CB2077" w:rsidRPr="007047B5" w:rsidRDefault="00CB2077" w:rsidP="00CB2077">
      <w:pPr>
        <w:rPr>
          <w:lang w:val="en-IE"/>
        </w:rPr>
      </w:pPr>
      <w:r w:rsidRPr="007047B5">
        <w:rPr>
          <w:rStyle w:val="HideTWBExt"/>
          <w:noProof w:val="0"/>
          <w:lang w:val="en-IE"/>
        </w:rPr>
        <w:t>&lt;/Amend&gt;</w:t>
      </w:r>
    </w:p>
    <w:p w14:paraId="6F839769"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107</w:t>
      </w:r>
      <w:r w:rsidRPr="007047B5">
        <w:rPr>
          <w:rStyle w:val="HideTWBExt"/>
          <w:b w:val="0"/>
          <w:noProof w:val="0"/>
          <w:lang w:val="en-IE"/>
        </w:rPr>
        <w:t>&lt;/NumAm&gt;</w:t>
      </w:r>
    </w:p>
    <w:p w14:paraId="26547F12"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29BACFC" w14:textId="77777777" w:rsidR="00CB2077" w:rsidRPr="007047B5" w:rsidRDefault="00CB2077" w:rsidP="00CB2077">
      <w:pPr>
        <w:pStyle w:val="NormalBold"/>
      </w:pPr>
      <w:r w:rsidRPr="007047B5">
        <w:rPr>
          <w:rStyle w:val="HideTWBExt"/>
          <w:b w:val="0"/>
          <w:noProof w:val="0"/>
        </w:rPr>
        <w:t>&lt;Article&gt;</w:t>
      </w:r>
      <w:r w:rsidRPr="007047B5">
        <w:t>Article 55 – paragraph 2 – point b b (new)</w:t>
      </w:r>
      <w:r w:rsidRPr="007047B5">
        <w:rPr>
          <w:rStyle w:val="HideTWBExt"/>
          <w:b w:val="0"/>
          <w:noProof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81DA088" w14:textId="77777777" w:rsidTr="00CB2077">
        <w:trPr>
          <w:jc w:val="center"/>
        </w:trPr>
        <w:tc>
          <w:tcPr>
            <w:tcW w:w="9752" w:type="dxa"/>
            <w:gridSpan w:val="2"/>
          </w:tcPr>
          <w:p w14:paraId="7947F20C" w14:textId="77777777" w:rsidR="00CB2077" w:rsidRPr="007047B5" w:rsidRDefault="00CB2077">
            <w:pPr>
              <w:keepNext/>
            </w:pPr>
          </w:p>
        </w:tc>
      </w:tr>
      <w:tr w:rsidR="00CB2077" w:rsidRPr="007047B5" w14:paraId="22B49AB1" w14:textId="77777777" w:rsidTr="00CB2077">
        <w:trPr>
          <w:jc w:val="center"/>
        </w:trPr>
        <w:tc>
          <w:tcPr>
            <w:tcW w:w="4876" w:type="dxa"/>
            <w:hideMark/>
          </w:tcPr>
          <w:p w14:paraId="03A46A16"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58677F3" w14:textId="77777777" w:rsidR="00CB2077" w:rsidRPr="007047B5" w:rsidRDefault="00CB2077">
            <w:pPr>
              <w:pStyle w:val="ColumnHeading"/>
              <w:keepNext/>
              <w:rPr>
                <w:lang w:val="en-IE"/>
              </w:rPr>
            </w:pPr>
            <w:r w:rsidRPr="007047B5">
              <w:rPr>
                <w:lang w:val="en-IE"/>
              </w:rPr>
              <w:t>Amendment</w:t>
            </w:r>
          </w:p>
        </w:tc>
      </w:tr>
      <w:tr w:rsidR="00CB2077" w:rsidRPr="007047B5" w14:paraId="727071CD" w14:textId="77777777" w:rsidTr="00CB2077">
        <w:trPr>
          <w:jc w:val="center"/>
        </w:trPr>
        <w:tc>
          <w:tcPr>
            <w:tcW w:w="4876" w:type="dxa"/>
          </w:tcPr>
          <w:p w14:paraId="059F43FB" w14:textId="77777777" w:rsidR="00CB2077" w:rsidRPr="007047B5" w:rsidRDefault="00CB2077">
            <w:pPr>
              <w:pStyle w:val="Normal6"/>
              <w:rPr>
                <w:lang w:val="en-IE"/>
              </w:rPr>
            </w:pPr>
          </w:p>
        </w:tc>
        <w:tc>
          <w:tcPr>
            <w:tcW w:w="4876" w:type="dxa"/>
            <w:hideMark/>
          </w:tcPr>
          <w:p w14:paraId="49FFB931" w14:textId="08381CC0" w:rsidR="00CB2077" w:rsidRPr="007047B5" w:rsidRDefault="00CB2077" w:rsidP="006F5456">
            <w:pPr>
              <w:pStyle w:val="Normal6"/>
              <w:rPr>
                <w:szCs w:val="24"/>
                <w:lang w:val="en-IE"/>
              </w:rPr>
            </w:pPr>
            <w:r w:rsidRPr="007047B5">
              <w:rPr>
                <w:b/>
                <w:i/>
                <w:lang w:val="en-IE"/>
              </w:rPr>
              <w:t>(bb)</w:t>
            </w:r>
            <w:r w:rsidRPr="007047B5">
              <w:rPr>
                <w:b/>
                <w:i/>
                <w:lang w:val="en-IE"/>
              </w:rPr>
              <w:tab/>
            </w:r>
            <w:r w:rsidR="006F5456" w:rsidRPr="007047B5">
              <w:rPr>
                <w:b/>
                <w:i/>
                <w:lang w:val="en-IE"/>
              </w:rPr>
              <w:t xml:space="preserve">human intervention takes place to verify the </w:t>
            </w:r>
            <w:r w:rsidRPr="007047B5">
              <w:rPr>
                <w:b/>
                <w:i/>
                <w:lang w:val="en-IE"/>
              </w:rPr>
              <w:t>higher risk generated solely by automated decision-making on the basis of special categories of data;</w:t>
            </w:r>
          </w:p>
        </w:tc>
      </w:tr>
    </w:tbl>
    <w:p w14:paraId="5ECABFFB"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333D96D" w14:textId="77777777" w:rsidR="00CB2077" w:rsidRPr="007047B5" w:rsidRDefault="00CB2077" w:rsidP="00CB2077">
      <w:pPr>
        <w:rPr>
          <w:lang w:val="en-IE"/>
        </w:rPr>
      </w:pPr>
      <w:r w:rsidRPr="007047B5">
        <w:rPr>
          <w:rStyle w:val="HideTWBExt"/>
          <w:noProof w:val="0"/>
          <w:lang w:val="en-IE"/>
        </w:rPr>
        <w:t>&lt;/Amend&gt;</w:t>
      </w:r>
    </w:p>
    <w:p w14:paraId="1728EAE4"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108</w:t>
      </w:r>
      <w:r w:rsidRPr="007047B5">
        <w:rPr>
          <w:rStyle w:val="HideTWBExt"/>
          <w:b w:val="0"/>
          <w:noProof w:val="0"/>
          <w:lang w:val="en-IE"/>
        </w:rPr>
        <w:t>&lt;/NumAm&gt;</w:t>
      </w:r>
    </w:p>
    <w:p w14:paraId="17C7DA76"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6914AC18" w14:textId="6BB3B2C9"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58 – paragraph 1 – </w:t>
      </w:r>
      <w:r w:rsidR="00111A6C" w:rsidRPr="007047B5">
        <w:rPr>
          <w:lang w:val="en-IE"/>
        </w:rPr>
        <w:t>subparagraph 1</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B5B1D4E" w14:textId="77777777" w:rsidTr="00CB2077">
        <w:trPr>
          <w:jc w:val="center"/>
        </w:trPr>
        <w:tc>
          <w:tcPr>
            <w:tcW w:w="9752" w:type="dxa"/>
            <w:gridSpan w:val="2"/>
          </w:tcPr>
          <w:p w14:paraId="591AFCA5" w14:textId="77777777" w:rsidR="00CB2077" w:rsidRPr="007047B5" w:rsidRDefault="00CB2077">
            <w:pPr>
              <w:keepNext/>
              <w:rPr>
                <w:lang w:val="en-IE"/>
              </w:rPr>
            </w:pPr>
          </w:p>
        </w:tc>
      </w:tr>
      <w:tr w:rsidR="00CB2077" w:rsidRPr="007047B5" w14:paraId="14CDA3C3" w14:textId="77777777" w:rsidTr="00CB2077">
        <w:trPr>
          <w:jc w:val="center"/>
        </w:trPr>
        <w:tc>
          <w:tcPr>
            <w:tcW w:w="4876" w:type="dxa"/>
            <w:hideMark/>
          </w:tcPr>
          <w:p w14:paraId="71803198"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DFB8296" w14:textId="77777777" w:rsidR="00CB2077" w:rsidRPr="007047B5" w:rsidRDefault="00CB2077">
            <w:pPr>
              <w:pStyle w:val="ColumnHeading"/>
              <w:keepNext/>
              <w:rPr>
                <w:lang w:val="en-IE"/>
              </w:rPr>
            </w:pPr>
            <w:r w:rsidRPr="007047B5">
              <w:rPr>
                <w:lang w:val="en-IE"/>
              </w:rPr>
              <w:t>Amendment</w:t>
            </w:r>
          </w:p>
        </w:tc>
      </w:tr>
      <w:tr w:rsidR="00CB2077" w:rsidRPr="007047B5" w14:paraId="50B40540" w14:textId="77777777" w:rsidTr="00CB2077">
        <w:trPr>
          <w:jc w:val="center"/>
        </w:trPr>
        <w:tc>
          <w:tcPr>
            <w:tcW w:w="4876" w:type="dxa"/>
            <w:hideMark/>
          </w:tcPr>
          <w:p w14:paraId="30103F91" w14:textId="67DEBC55" w:rsidR="00CB2077" w:rsidRPr="007047B5" w:rsidRDefault="00CB2077">
            <w:pPr>
              <w:pStyle w:val="Normal6"/>
              <w:rPr>
                <w:lang w:val="en-IE"/>
              </w:rPr>
            </w:pPr>
            <w:r w:rsidRPr="007047B5">
              <w:rPr>
                <w:lang w:val="en-IE"/>
              </w:rPr>
              <w:t xml:space="preserve">Credit institutions, financial institutions and crypto-asset service providers shall be prohibited from keeping anonymous accounts, anonymous passbooks, anonymous safe-deposit boxes or </w:t>
            </w:r>
            <w:r w:rsidRPr="007047B5">
              <w:rPr>
                <w:b/>
                <w:i/>
                <w:lang w:val="en-IE"/>
              </w:rPr>
              <w:t>anonymous</w:t>
            </w:r>
            <w:r w:rsidRPr="007047B5">
              <w:rPr>
                <w:lang w:val="en-IE"/>
              </w:rPr>
              <w:t xml:space="preserve"> crypto-asset wallets as well as any account otherwise allowing for the anonymisation of the customer account holder.</w:t>
            </w:r>
          </w:p>
        </w:tc>
        <w:tc>
          <w:tcPr>
            <w:tcW w:w="4876" w:type="dxa"/>
            <w:hideMark/>
          </w:tcPr>
          <w:p w14:paraId="7A635B57" w14:textId="66EBF7B2" w:rsidR="00CB2077" w:rsidRPr="007047B5" w:rsidRDefault="00CB2077">
            <w:pPr>
              <w:pStyle w:val="Normal6"/>
              <w:rPr>
                <w:szCs w:val="24"/>
                <w:lang w:val="en-IE"/>
              </w:rPr>
            </w:pPr>
            <w:r w:rsidRPr="007047B5">
              <w:rPr>
                <w:lang w:val="en-IE"/>
              </w:rPr>
              <w:t xml:space="preserve">Credit institutions, financial institutions and crypto-asset service providers shall be prohibited from keeping anonymous accounts, anonymous passbooks, anonymous safe-deposit boxes or crypto-asset </w:t>
            </w:r>
            <w:r w:rsidRPr="007047B5">
              <w:rPr>
                <w:b/>
                <w:i/>
                <w:lang w:val="en-IE"/>
              </w:rPr>
              <w:t>privacy</w:t>
            </w:r>
            <w:r w:rsidRPr="007047B5">
              <w:rPr>
                <w:lang w:val="en-IE"/>
              </w:rPr>
              <w:t xml:space="preserve"> wallets </w:t>
            </w:r>
            <w:r w:rsidRPr="007047B5">
              <w:rPr>
                <w:b/>
                <w:i/>
                <w:lang w:val="en-IE"/>
              </w:rPr>
              <w:t>which use encryption and anonymisation tools to obfuscate crypto-assets transactions</w:t>
            </w:r>
            <w:r w:rsidRPr="007047B5">
              <w:rPr>
                <w:lang w:val="en-IE"/>
              </w:rPr>
              <w:t xml:space="preserve"> as well as any account otherwise allowing for the anonymisation of the customer account holder.</w:t>
            </w:r>
          </w:p>
        </w:tc>
      </w:tr>
    </w:tbl>
    <w:p w14:paraId="253A50C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939A4AE" w14:textId="77777777" w:rsidR="00CB2077" w:rsidRPr="007047B5" w:rsidRDefault="00CB2077" w:rsidP="00CB2077">
      <w:pPr>
        <w:rPr>
          <w:lang w:val="en-IE"/>
        </w:rPr>
      </w:pPr>
      <w:r w:rsidRPr="007047B5">
        <w:rPr>
          <w:rStyle w:val="HideTWBExt"/>
          <w:noProof w:val="0"/>
          <w:lang w:val="en-IE"/>
        </w:rPr>
        <w:t>&lt;/Amend&gt;</w:t>
      </w:r>
    </w:p>
    <w:p w14:paraId="436F7E81"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109</w:t>
      </w:r>
      <w:r w:rsidRPr="007047B5">
        <w:rPr>
          <w:rStyle w:val="HideTWBExt"/>
          <w:b w:val="0"/>
          <w:noProof w:val="0"/>
          <w:lang w:val="en-IE"/>
        </w:rPr>
        <w:t>&lt;/NumAm&gt;</w:t>
      </w:r>
    </w:p>
    <w:p w14:paraId="2754E5CB"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F0068CB" w14:textId="058A5A4F"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 xml:space="preserve">Article 58 – paragraph 3 – </w:t>
      </w:r>
      <w:r w:rsidR="002B54B7" w:rsidRPr="007047B5">
        <w:rPr>
          <w:lang w:val="en-IE"/>
        </w:rPr>
        <w:t>subparagraph 1</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A0C4AEB" w14:textId="77777777" w:rsidTr="00CB2077">
        <w:trPr>
          <w:jc w:val="center"/>
        </w:trPr>
        <w:tc>
          <w:tcPr>
            <w:tcW w:w="9752" w:type="dxa"/>
            <w:gridSpan w:val="2"/>
          </w:tcPr>
          <w:p w14:paraId="4DC141F6" w14:textId="77777777" w:rsidR="00CB2077" w:rsidRPr="007047B5" w:rsidRDefault="00CB2077">
            <w:pPr>
              <w:keepNext/>
              <w:rPr>
                <w:lang w:val="en-IE"/>
              </w:rPr>
            </w:pPr>
          </w:p>
        </w:tc>
      </w:tr>
      <w:tr w:rsidR="00CB2077" w:rsidRPr="007047B5" w14:paraId="74EC6F7D" w14:textId="77777777" w:rsidTr="00CB2077">
        <w:trPr>
          <w:jc w:val="center"/>
        </w:trPr>
        <w:tc>
          <w:tcPr>
            <w:tcW w:w="4876" w:type="dxa"/>
            <w:hideMark/>
          </w:tcPr>
          <w:p w14:paraId="14A2D6F7"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61D810B" w14:textId="77777777" w:rsidR="00CB2077" w:rsidRPr="007047B5" w:rsidRDefault="00CB2077">
            <w:pPr>
              <w:pStyle w:val="ColumnHeading"/>
              <w:keepNext/>
              <w:rPr>
                <w:lang w:val="en-IE"/>
              </w:rPr>
            </w:pPr>
            <w:r w:rsidRPr="007047B5">
              <w:rPr>
                <w:lang w:val="en-IE"/>
              </w:rPr>
              <w:t>Amendment</w:t>
            </w:r>
          </w:p>
        </w:tc>
      </w:tr>
      <w:tr w:rsidR="00CB2077" w:rsidRPr="007047B5" w14:paraId="08F11E25" w14:textId="77777777" w:rsidTr="00CB2077">
        <w:trPr>
          <w:jc w:val="center"/>
        </w:trPr>
        <w:tc>
          <w:tcPr>
            <w:tcW w:w="4876" w:type="dxa"/>
            <w:hideMark/>
          </w:tcPr>
          <w:p w14:paraId="2D7E0F37" w14:textId="77777777" w:rsidR="00CB2077" w:rsidRPr="007047B5" w:rsidRDefault="00CB2077">
            <w:pPr>
              <w:pStyle w:val="Normal6"/>
              <w:rPr>
                <w:lang w:val="en-IE"/>
              </w:rPr>
            </w:pPr>
            <w:r w:rsidRPr="007047B5">
              <w:rPr>
                <w:lang w:val="en-IE"/>
              </w:rPr>
              <w:t>3.</w:t>
            </w:r>
            <w:r w:rsidRPr="007047B5">
              <w:rPr>
                <w:lang w:val="en-IE"/>
              </w:rPr>
              <w:tab/>
              <w:t xml:space="preserve">Companies shall be prohibited from issuing bearer shares, and shall convert all existing bearer shares into registered shares </w:t>
            </w:r>
            <w:r w:rsidRPr="007047B5">
              <w:rPr>
                <w:lang w:val="en-IE"/>
              </w:rPr>
              <w:lastRenderedPageBreak/>
              <w:t xml:space="preserve">by [2 years after the date of application of this Regulation]. </w:t>
            </w:r>
            <w:r w:rsidRPr="007047B5">
              <w:rPr>
                <w:b/>
                <w:i/>
                <w:lang w:val="en-IE"/>
              </w:rPr>
              <w:t>However, companies with securities listed on a regulated market or whose shares are issued as intermediated securities shall be permitted to maintain bearer shares.</w:t>
            </w:r>
          </w:p>
        </w:tc>
        <w:tc>
          <w:tcPr>
            <w:tcW w:w="4876" w:type="dxa"/>
            <w:hideMark/>
          </w:tcPr>
          <w:p w14:paraId="581A6DBF" w14:textId="77777777" w:rsidR="00CB2077" w:rsidRPr="007047B5" w:rsidRDefault="00CB2077">
            <w:pPr>
              <w:pStyle w:val="Normal6"/>
              <w:rPr>
                <w:szCs w:val="24"/>
                <w:lang w:val="en-IE"/>
              </w:rPr>
            </w:pPr>
            <w:r w:rsidRPr="007047B5">
              <w:rPr>
                <w:lang w:val="en-IE"/>
              </w:rPr>
              <w:lastRenderedPageBreak/>
              <w:t>3.</w:t>
            </w:r>
            <w:r w:rsidRPr="007047B5">
              <w:rPr>
                <w:lang w:val="en-IE"/>
              </w:rPr>
              <w:tab/>
              <w:t xml:space="preserve">Companies shall be prohibited from issuing bearer shares, and shall convert all existing bearer shares into registered shares </w:t>
            </w:r>
            <w:r w:rsidRPr="007047B5">
              <w:rPr>
                <w:lang w:val="en-IE"/>
              </w:rPr>
              <w:lastRenderedPageBreak/>
              <w:t xml:space="preserve">by </w:t>
            </w:r>
            <w:r w:rsidR="00DA0BA1" w:rsidRPr="007047B5">
              <w:rPr>
                <w:lang w:val="en-IE"/>
              </w:rPr>
              <w:t>...</w:t>
            </w:r>
            <w:r w:rsidRPr="007047B5">
              <w:rPr>
                <w:lang w:val="en-IE"/>
              </w:rPr>
              <w:t>[2 years after the date of application of this Regulation].</w:t>
            </w:r>
          </w:p>
        </w:tc>
      </w:tr>
    </w:tbl>
    <w:p w14:paraId="251E182E"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E927308" w14:textId="77777777" w:rsidR="00CB2077" w:rsidRPr="007047B5" w:rsidRDefault="00CB2077" w:rsidP="00CB2077">
      <w:pPr>
        <w:rPr>
          <w:lang w:val="en-IE"/>
        </w:rPr>
      </w:pPr>
      <w:r w:rsidRPr="007047B5">
        <w:rPr>
          <w:rStyle w:val="HideTWBExt"/>
          <w:noProof w:val="0"/>
          <w:lang w:val="en-IE"/>
        </w:rPr>
        <w:t>&lt;/Amend&gt;</w:t>
      </w:r>
    </w:p>
    <w:p w14:paraId="2353B6FA"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110</w:t>
      </w:r>
      <w:r w:rsidRPr="007047B5">
        <w:rPr>
          <w:rStyle w:val="HideTWBExt"/>
          <w:b w:val="0"/>
          <w:noProof w:val="0"/>
          <w:lang w:val="en-IE"/>
        </w:rPr>
        <w:t>&lt;/NumAm&gt;</w:t>
      </w:r>
    </w:p>
    <w:p w14:paraId="5D9F49B8"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2DBFAD3"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59 – paragraph 1</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012F8F1" w14:textId="77777777" w:rsidTr="00CB2077">
        <w:trPr>
          <w:jc w:val="center"/>
        </w:trPr>
        <w:tc>
          <w:tcPr>
            <w:tcW w:w="9752" w:type="dxa"/>
            <w:gridSpan w:val="2"/>
          </w:tcPr>
          <w:p w14:paraId="0C324879" w14:textId="77777777" w:rsidR="00CB2077" w:rsidRPr="007047B5" w:rsidRDefault="00CB2077">
            <w:pPr>
              <w:keepNext/>
              <w:rPr>
                <w:lang w:val="en-IE"/>
              </w:rPr>
            </w:pPr>
          </w:p>
        </w:tc>
      </w:tr>
      <w:tr w:rsidR="00CB2077" w:rsidRPr="007047B5" w14:paraId="7D252850" w14:textId="77777777" w:rsidTr="00CB2077">
        <w:trPr>
          <w:jc w:val="center"/>
        </w:trPr>
        <w:tc>
          <w:tcPr>
            <w:tcW w:w="4876" w:type="dxa"/>
            <w:hideMark/>
          </w:tcPr>
          <w:p w14:paraId="72E4E4C1"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228AA96" w14:textId="77777777" w:rsidR="00CB2077" w:rsidRPr="007047B5" w:rsidRDefault="00CB2077">
            <w:pPr>
              <w:pStyle w:val="ColumnHeading"/>
              <w:keepNext/>
              <w:rPr>
                <w:lang w:val="en-IE"/>
              </w:rPr>
            </w:pPr>
            <w:r w:rsidRPr="007047B5">
              <w:rPr>
                <w:lang w:val="en-IE"/>
              </w:rPr>
              <w:t>Amendment</w:t>
            </w:r>
          </w:p>
        </w:tc>
      </w:tr>
      <w:tr w:rsidR="00CB2077" w:rsidRPr="007047B5" w14:paraId="3CF903AB" w14:textId="77777777" w:rsidTr="00CB2077">
        <w:trPr>
          <w:jc w:val="center"/>
        </w:trPr>
        <w:tc>
          <w:tcPr>
            <w:tcW w:w="4876" w:type="dxa"/>
            <w:hideMark/>
          </w:tcPr>
          <w:p w14:paraId="15886D84" w14:textId="77777777" w:rsidR="00CB2077" w:rsidRPr="007047B5" w:rsidRDefault="00CB2077">
            <w:pPr>
              <w:pStyle w:val="Normal6"/>
              <w:rPr>
                <w:lang w:val="en-IE"/>
              </w:rPr>
            </w:pPr>
            <w:r w:rsidRPr="007047B5">
              <w:rPr>
                <w:lang w:val="en-IE"/>
              </w:rPr>
              <w:t>1.</w:t>
            </w:r>
            <w:r w:rsidRPr="007047B5">
              <w:rPr>
                <w:lang w:val="en-IE"/>
              </w:rPr>
              <w:tab/>
              <w:t xml:space="preserve">Persons trading in goods or providing services may accept or make a payment in cash only up to an amount of EUR </w:t>
            </w:r>
            <w:r w:rsidRPr="007047B5">
              <w:rPr>
                <w:b/>
                <w:i/>
                <w:lang w:val="en-IE"/>
              </w:rPr>
              <w:t>10 000</w:t>
            </w:r>
            <w:r w:rsidRPr="007047B5">
              <w:rPr>
                <w:lang w:val="en-IE"/>
              </w:rPr>
              <w:t xml:space="preserve"> or equivalent amount in national or foreign currency, whether the transaction is carried out in a single operation or in several operations which appear to be linked.</w:t>
            </w:r>
          </w:p>
        </w:tc>
        <w:tc>
          <w:tcPr>
            <w:tcW w:w="4876" w:type="dxa"/>
            <w:hideMark/>
          </w:tcPr>
          <w:p w14:paraId="2DDE1C86" w14:textId="77777777" w:rsidR="00CB2077" w:rsidRPr="007047B5" w:rsidRDefault="00CB2077">
            <w:pPr>
              <w:pStyle w:val="Normal6"/>
              <w:rPr>
                <w:szCs w:val="24"/>
                <w:lang w:val="en-IE"/>
              </w:rPr>
            </w:pPr>
            <w:r w:rsidRPr="007047B5">
              <w:rPr>
                <w:lang w:val="en-IE"/>
              </w:rPr>
              <w:t>1.</w:t>
            </w:r>
            <w:r w:rsidRPr="007047B5">
              <w:rPr>
                <w:lang w:val="en-IE"/>
              </w:rPr>
              <w:tab/>
              <w:t xml:space="preserve">Persons trading in goods or providing services may accept or make a payment in cash only up to an amount of EUR </w:t>
            </w:r>
            <w:r w:rsidRPr="007047B5">
              <w:rPr>
                <w:b/>
                <w:i/>
                <w:lang w:val="en-IE"/>
              </w:rPr>
              <w:t>5 000</w:t>
            </w:r>
            <w:r w:rsidRPr="007047B5">
              <w:rPr>
                <w:lang w:val="en-IE"/>
              </w:rPr>
              <w:t xml:space="preserve"> or equivalent amount in national or foreign currency, whether the transaction is carried out in a single operation or in several operations which appear to be linked.</w:t>
            </w:r>
          </w:p>
        </w:tc>
      </w:tr>
    </w:tbl>
    <w:p w14:paraId="380E796F"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1E5567A6" w14:textId="77777777" w:rsidR="00CB2077" w:rsidRPr="007047B5" w:rsidRDefault="00CB2077" w:rsidP="00CB2077">
      <w:pPr>
        <w:rPr>
          <w:lang w:val="en-IE"/>
        </w:rPr>
      </w:pPr>
      <w:r w:rsidRPr="007047B5">
        <w:rPr>
          <w:rStyle w:val="HideTWBExt"/>
          <w:noProof w:val="0"/>
          <w:lang w:val="en-IE"/>
        </w:rPr>
        <w:t>&lt;/Amend&gt;</w:t>
      </w:r>
    </w:p>
    <w:p w14:paraId="4D761A5B"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111</w:t>
      </w:r>
      <w:r w:rsidRPr="007047B5">
        <w:rPr>
          <w:rStyle w:val="HideTWBExt"/>
          <w:b w:val="0"/>
          <w:noProof w:val="0"/>
          <w:lang w:val="en-IE"/>
        </w:rPr>
        <w:t>&lt;/NumAm&gt;</w:t>
      </w:r>
    </w:p>
    <w:p w14:paraId="46DDE0BC"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490377AB"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59 – paragraph 1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5B615FC5" w14:textId="77777777" w:rsidTr="00CB2077">
        <w:trPr>
          <w:jc w:val="center"/>
        </w:trPr>
        <w:tc>
          <w:tcPr>
            <w:tcW w:w="9752" w:type="dxa"/>
            <w:gridSpan w:val="2"/>
          </w:tcPr>
          <w:p w14:paraId="2512C020" w14:textId="77777777" w:rsidR="00CB2077" w:rsidRPr="007047B5" w:rsidRDefault="00CB2077">
            <w:pPr>
              <w:keepNext/>
              <w:rPr>
                <w:lang w:val="en-IE"/>
              </w:rPr>
            </w:pPr>
          </w:p>
        </w:tc>
      </w:tr>
      <w:tr w:rsidR="00CB2077" w:rsidRPr="007047B5" w14:paraId="70C65F83" w14:textId="77777777" w:rsidTr="00CB2077">
        <w:trPr>
          <w:jc w:val="center"/>
        </w:trPr>
        <w:tc>
          <w:tcPr>
            <w:tcW w:w="4876" w:type="dxa"/>
            <w:hideMark/>
          </w:tcPr>
          <w:p w14:paraId="41A3E1B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717A29E" w14:textId="77777777" w:rsidR="00CB2077" w:rsidRPr="007047B5" w:rsidRDefault="00CB2077">
            <w:pPr>
              <w:pStyle w:val="ColumnHeading"/>
              <w:keepNext/>
              <w:rPr>
                <w:lang w:val="en-IE"/>
              </w:rPr>
            </w:pPr>
            <w:r w:rsidRPr="007047B5">
              <w:rPr>
                <w:lang w:val="en-IE"/>
              </w:rPr>
              <w:t>Amendment</w:t>
            </w:r>
          </w:p>
        </w:tc>
      </w:tr>
      <w:tr w:rsidR="00CB2077" w:rsidRPr="007047B5" w14:paraId="3B737500" w14:textId="77777777" w:rsidTr="00CB2077">
        <w:trPr>
          <w:jc w:val="center"/>
        </w:trPr>
        <w:tc>
          <w:tcPr>
            <w:tcW w:w="4876" w:type="dxa"/>
          </w:tcPr>
          <w:p w14:paraId="054B15CF" w14:textId="77777777" w:rsidR="00CB2077" w:rsidRPr="007047B5" w:rsidRDefault="00CB2077">
            <w:pPr>
              <w:pStyle w:val="Normal6"/>
              <w:rPr>
                <w:lang w:val="en-IE"/>
              </w:rPr>
            </w:pPr>
          </w:p>
        </w:tc>
        <w:tc>
          <w:tcPr>
            <w:tcW w:w="4876" w:type="dxa"/>
            <w:hideMark/>
          </w:tcPr>
          <w:p w14:paraId="2C906B5C" w14:textId="61252726" w:rsidR="00CB2077" w:rsidRPr="007047B5" w:rsidRDefault="00CB2077" w:rsidP="006F5456">
            <w:pPr>
              <w:pStyle w:val="Normal6"/>
              <w:rPr>
                <w:szCs w:val="24"/>
                <w:lang w:val="en-IE"/>
              </w:rPr>
            </w:pPr>
            <w:r w:rsidRPr="007047B5">
              <w:rPr>
                <w:b/>
                <w:i/>
                <w:lang w:val="en-IE"/>
              </w:rPr>
              <w:t>1a.</w:t>
            </w:r>
            <w:r w:rsidRPr="007047B5">
              <w:rPr>
                <w:b/>
                <w:i/>
                <w:lang w:val="en-IE"/>
              </w:rPr>
              <w:tab/>
              <w:t>In implementing paragraph 1, Member States shall not discriminat</w:t>
            </w:r>
            <w:r w:rsidR="006F5456" w:rsidRPr="007047B5">
              <w:rPr>
                <w:b/>
                <w:i/>
                <w:lang w:val="en-IE"/>
              </w:rPr>
              <w:t>e</w:t>
            </w:r>
            <w:r w:rsidRPr="007047B5">
              <w:rPr>
                <w:b/>
                <w:i/>
                <w:lang w:val="en-IE"/>
              </w:rPr>
              <w:t xml:space="preserve"> between residents and non-residents with regard to the limits applicable for cash payments.</w:t>
            </w:r>
          </w:p>
        </w:tc>
      </w:tr>
    </w:tbl>
    <w:p w14:paraId="575C4CE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AFF13D6" w14:textId="77777777" w:rsidR="00CB2077" w:rsidRPr="007047B5" w:rsidRDefault="00CB2077" w:rsidP="00CB2077">
      <w:pPr>
        <w:rPr>
          <w:lang w:val="en-IE"/>
        </w:rPr>
      </w:pPr>
      <w:r w:rsidRPr="007047B5">
        <w:rPr>
          <w:rStyle w:val="HideTWBExt"/>
          <w:noProof w:val="0"/>
          <w:lang w:val="en-IE"/>
        </w:rPr>
        <w:t>&lt;/Amend&gt;</w:t>
      </w:r>
    </w:p>
    <w:p w14:paraId="76A8AB04" w14:textId="77777777" w:rsidR="00CB2077" w:rsidRPr="007047B5" w:rsidRDefault="00CB2077" w:rsidP="00CB2077">
      <w:pPr>
        <w:pStyle w:val="AMNumberTabs0"/>
        <w:keepNext/>
        <w:rPr>
          <w:lang w:val="en-IE"/>
        </w:rPr>
      </w:pPr>
      <w:r w:rsidRPr="007047B5">
        <w:rPr>
          <w:rStyle w:val="HideTWBExt"/>
          <w:b w:val="0"/>
          <w:noProof w:val="0"/>
          <w:lang w:val="en-IE"/>
        </w:rPr>
        <w:lastRenderedPageBreak/>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112</w:t>
      </w:r>
      <w:r w:rsidRPr="007047B5">
        <w:rPr>
          <w:rStyle w:val="HideTWBExt"/>
          <w:b w:val="0"/>
          <w:noProof w:val="0"/>
          <w:lang w:val="en-IE"/>
        </w:rPr>
        <w:t>&lt;/NumAm&gt;</w:t>
      </w:r>
    </w:p>
    <w:p w14:paraId="3FB5B416"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8CA7EBE"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60 – paragraph 2</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2D2CE4C" w14:textId="77777777" w:rsidTr="00CB2077">
        <w:trPr>
          <w:jc w:val="center"/>
        </w:trPr>
        <w:tc>
          <w:tcPr>
            <w:tcW w:w="9752" w:type="dxa"/>
            <w:gridSpan w:val="2"/>
          </w:tcPr>
          <w:p w14:paraId="4B6D1531" w14:textId="77777777" w:rsidR="00CB2077" w:rsidRPr="007047B5" w:rsidRDefault="00CB2077">
            <w:pPr>
              <w:keepNext/>
              <w:rPr>
                <w:lang w:val="en-IE"/>
              </w:rPr>
            </w:pPr>
          </w:p>
        </w:tc>
      </w:tr>
      <w:tr w:rsidR="00CB2077" w:rsidRPr="007047B5" w14:paraId="16BD4D0C" w14:textId="77777777" w:rsidTr="00CB2077">
        <w:trPr>
          <w:jc w:val="center"/>
        </w:trPr>
        <w:tc>
          <w:tcPr>
            <w:tcW w:w="4876" w:type="dxa"/>
            <w:hideMark/>
          </w:tcPr>
          <w:p w14:paraId="5C40F6C0"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34705FB" w14:textId="77777777" w:rsidR="00CB2077" w:rsidRPr="007047B5" w:rsidRDefault="00CB2077">
            <w:pPr>
              <w:pStyle w:val="ColumnHeading"/>
              <w:keepNext/>
              <w:rPr>
                <w:lang w:val="en-IE"/>
              </w:rPr>
            </w:pPr>
            <w:r w:rsidRPr="007047B5">
              <w:rPr>
                <w:lang w:val="en-IE"/>
              </w:rPr>
              <w:t>Amendment</w:t>
            </w:r>
          </w:p>
        </w:tc>
      </w:tr>
      <w:tr w:rsidR="00CB2077" w:rsidRPr="007047B5" w14:paraId="2A0F514E" w14:textId="77777777" w:rsidTr="00CB2077">
        <w:trPr>
          <w:jc w:val="center"/>
        </w:trPr>
        <w:tc>
          <w:tcPr>
            <w:tcW w:w="4876" w:type="dxa"/>
            <w:hideMark/>
          </w:tcPr>
          <w:p w14:paraId="7741772F" w14:textId="77777777" w:rsidR="00CB2077" w:rsidRPr="007047B5" w:rsidRDefault="00CB2077">
            <w:pPr>
              <w:pStyle w:val="Normal6"/>
              <w:rPr>
                <w:lang w:val="en-IE"/>
              </w:rPr>
            </w:pPr>
            <w:r w:rsidRPr="007047B5">
              <w:rPr>
                <w:lang w:val="en-IE"/>
              </w:rPr>
              <w:t>2.</w:t>
            </w:r>
            <w:r w:rsidRPr="007047B5">
              <w:rPr>
                <w:lang w:val="en-IE"/>
              </w:rPr>
              <w:tab/>
              <w:t xml:space="preserve">The power to adopt delegated acts referred to in Articles 23, 24 </w:t>
            </w:r>
            <w:r w:rsidRPr="007047B5">
              <w:rPr>
                <w:b/>
                <w:i/>
                <w:lang w:val="en-IE"/>
              </w:rPr>
              <w:t>and 25</w:t>
            </w:r>
            <w:r w:rsidRPr="007047B5">
              <w:rPr>
                <w:lang w:val="en-IE"/>
              </w:rPr>
              <w:t xml:space="preserve"> shall be conferred on the Commission for an indeterminate period of time from [date of entry into force of this Regulation].</w:t>
            </w:r>
          </w:p>
        </w:tc>
        <w:tc>
          <w:tcPr>
            <w:tcW w:w="4876" w:type="dxa"/>
            <w:hideMark/>
          </w:tcPr>
          <w:p w14:paraId="25863E43" w14:textId="77777777" w:rsidR="00CB2077" w:rsidRPr="007047B5" w:rsidRDefault="00CB2077">
            <w:pPr>
              <w:pStyle w:val="Normal6"/>
              <w:rPr>
                <w:szCs w:val="24"/>
                <w:lang w:val="en-IE"/>
              </w:rPr>
            </w:pPr>
            <w:r w:rsidRPr="007047B5">
              <w:rPr>
                <w:lang w:val="en-IE"/>
              </w:rPr>
              <w:t>2.</w:t>
            </w:r>
            <w:r w:rsidRPr="007047B5">
              <w:rPr>
                <w:lang w:val="en-IE"/>
              </w:rPr>
              <w:tab/>
              <w:t>The power to adopt delegated acts referred to in Articles 23, 24</w:t>
            </w:r>
            <w:r w:rsidRPr="007047B5">
              <w:rPr>
                <w:b/>
                <w:i/>
                <w:lang w:val="en-IE"/>
              </w:rPr>
              <w:t>, 25 and 25a</w:t>
            </w:r>
            <w:r w:rsidRPr="007047B5">
              <w:rPr>
                <w:lang w:val="en-IE"/>
              </w:rPr>
              <w:t xml:space="preserve"> shall be conferred on the Commission for an indeterminate period of time from </w:t>
            </w:r>
            <w:r w:rsidR="00B03342" w:rsidRPr="007047B5">
              <w:rPr>
                <w:lang w:val="en-IE"/>
              </w:rPr>
              <w:t>...</w:t>
            </w:r>
            <w:r w:rsidRPr="007047B5">
              <w:rPr>
                <w:lang w:val="en-IE"/>
              </w:rPr>
              <w:t>[date of entry into force of this Regulation].</w:t>
            </w:r>
          </w:p>
        </w:tc>
      </w:tr>
    </w:tbl>
    <w:p w14:paraId="28AEE352"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58538D4A" w14:textId="77777777" w:rsidR="00CB2077" w:rsidRPr="007047B5" w:rsidRDefault="00CB2077" w:rsidP="00CB2077">
      <w:pPr>
        <w:rPr>
          <w:lang w:val="en-IE"/>
        </w:rPr>
      </w:pPr>
      <w:r w:rsidRPr="007047B5">
        <w:rPr>
          <w:rStyle w:val="HideTWBExt"/>
          <w:noProof w:val="0"/>
          <w:lang w:val="en-IE"/>
        </w:rPr>
        <w:t>&lt;/Amend&gt;</w:t>
      </w:r>
    </w:p>
    <w:p w14:paraId="18603B2F"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113</w:t>
      </w:r>
      <w:r w:rsidRPr="007047B5">
        <w:rPr>
          <w:rStyle w:val="HideTWBExt"/>
          <w:b w:val="0"/>
          <w:noProof w:val="0"/>
          <w:lang w:val="en-IE"/>
        </w:rPr>
        <w:t>&lt;/NumAm&gt;</w:t>
      </w:r>
    </w:p>
    <w:p w14:paraId="3ECB31BF"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144044A8"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60 – paragraph 3</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2BA3D2B6" w14:textId="77777777" w:rsidTr="00CB2077">
        <w:trPr>
          <w:jc w:val="center"/>
        </w:trPr>
        <w:tc>
          <w:tcPr>
            <w:tcW w:w="9752" w:type="dxa"/>
            <w:gridSpan w:val="2"/>
          </w:tcPr>
          <w:p w14:paraId="00969376" w14:textId="77777777" w:rsidR="00CB2077" w:rsidRPr="007047B5" w:rsidRDefault="00CB2077">
            <w:pPr>
              <w:keepNext/>
              <w:rPr>
                <w:lang w:val="en-IE"/>
              </w:rPr>
            </w:pPr>
          </w:p>
        </w:tc>
      </w:tr>
      <w:tr w:rsidR="00CB2077" w:rsidRPr="007047B5" w14:paraId="57314FC6" w14:textId="77777777" w:rsidTr="00CB2077">
        <w:trPr>
          <w:jc w:val="center"/>
        </w:trPr>
        <w:tc>
          <w:tcPr>
            <w:tcW w:w="4876" w:type="dxa"/>
            <w:hideMark/>
          </w:tcPr>
          <w:p w14:paraId="46D7567A"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E1D5ACD" w14:textId="77777777" w:rsidR="00CB2077" w:rsidRPr="007047B5" w:rsidRDefault="00CB2077">
            <w:pPr>
              <w:pStyle w:val="ColumnHeading"/>
              <w:keepNext/>
              <w:rPr>
                <w:lang w:val="en-IE"/>
              </w:rPr>
            </w:pPr>
            <w:r w:rsidRPr="007047B5">
              <w:rPr>
                <w:lang w:val="en-IE"/>
              </w:rPr>
              <w:t>Amendment</w:t>
            </w:r>
          </w:p>
        </w:tc>
      </w:tr>
      <w:tr w:rsidR="00CB2077" w:rsidRPr="007047B5" w14:paraId="0E0E0030" w14:textId="77777777" w:rsidTr="00CB2077">
        <w:trPr>
          <w:jc w:val="center"/>
        </w:trPr>
        <w:tc>
          <w:tcPr>
            <w:tcW w:w="4876" w:type="dxa"/>
            <w:hideMark/>
          </w:tcPr>
          <w:p w14:paraId="19CE4EF3" w14:textId="77777777" w:rsidR="00CB2077" w:rsidRPr="007047B5" w:rsidRDefault="00CB2077">
            <w:pPr>
              <w:pStyle w:val="Normal6"/>
              <w:rPr>
                <w:lang w:val="en-IE"/>
              </w:rPr>
            </w:pPr>
            <w:r w:rsidRPr="007047B5">
              <w:rPr>
                <w:lang w:val="en-IE"/>
              </w:rPr>
              <w:t>3.</w:t>
            </w:r>
            <w:r w:rsidRPr="007047B5">
              <w:rPr>
                <w:lang w:val="en-IE"/>
              </w:rPr>
              <w:tab/>
              <w:t xml:space="preserve">The power to adopt delegated acts referred to in Articles 23, 24 </w:t>
            </w:r>
            <w:r w:rsidRPr="007047B5">
              <w:rPr>
                <w:b/>
                <w:i/>
                <w:lang w:val="en-IE"/>
              </w:rPr>
              <w:t>and 25</w:t>
            </w:r>
            <w:r w:rsidRPr="007047B5">
              <w:rPr>
                <w:lang w:val="en-IE"/>
              </w:rPr>
              <w:t xml:space="preserve">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tc>
        <w:tc>
          <w:tcPr>
            <w:tcW w:w="4876" w:type="dxa"/>
            <w:hideMark/>
          </w:tcPr>
          <w:p w14:paraId="1AB788F6" w14:textId="77777777" w:rsidR="00CB2077" w:rsidRPr="007047B5" w:rsidRDefault="00CB2077">
            <w:pPr>
              <w:pStyle w:val="Normal6"/>
              <w:rPr>
                <w:szCs w:val="24"/>
                <w:lang w:val="en-IE"/>
              </w:rPr>
            </w:pPr>
            <w:r w:rsidRPr="007047B5">
              <w:rPr>
                <w:lang w:val="en-IE"/>
              </w:rPr>
              <w:t>3.</w:t>
            </w:r>
            <w:r w:rsidRPr="007047B5">
              <w:rPr>
                <w:lang w:val="en-IE"/>
              </w:rPr>
              <w:tab/>
              <w:t>The power to adopt delegated acts referred to in Articles 23, 24</w:t>
            </w:r>
            <w:r w:rsidRPr="007047B5">
              <w:rPr>
                <w:b/>
                <w:i/>
                <w:lang w:val="en-IE"/>
              </w:rPr>
              <w:t>, 25 and 25a</w:t>
            </w:r>
            <w:r w:rsidRPr="007047B5">
              <w:rPr>
                <w:lang w:val="en-IE"/>
              </w:rPr>
              <w:t xml:space="preserve">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tc>
      </w:tr>
    </w:tbl>
    <w:p w14:paraId="4A29FB77"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7A0EFC1" w14:textId="77777777" w:rsidR="00CB2077" w:rsidRPr="007047B5" w:rsidRDefault="00CB2077" w:rsidP="00CB2077">
      <w:pPr>
        <w:rPr>
          <w:lang w:val="en-IE"/>
        </w:rPr>
      </w:pPr>
      <w:r w:rsidRPr="007047B5">
        <w:rPr>
          <w:rStyle w:val="HideTWBExt"/>
          <w:noProof w:val="0"/>
          <w:lang w:val="en-IE"/>
        </w:rPr>
        <w:t>&lt;/Amend&gt;</w:t>
      </w:r>
    </w:p>
    <w:p w14:paraId="041A8BB2"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114</w:t>
      </w:r>
      <w:r w:rsidRPr="007047B5">
        <w:rPr>
          <w:rStyle w:val="HideTWBExt"/>
          <w:b w:val="0"/>
          <w:noProof w:val="0"/>
          <w:lang w:val="en-IE"/>
        </w:rPr>
        <w:t>&lt;/NumAm&gt;</w:t>
      </w:r>
    </w:p>
    <w:p w14:paraId="096DD135"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4FF91CE"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60 – paragraph 6</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0E07198" w14:textId="77777777" w:rsidTr="00CB2077">
        <w:trPr>
          <w:jc w:val="center"/>
        </w:trPr>
        <w:tc>
          <w:tcPr>
            <w:tcW w:w="9752" w:type="dxa"/>
            <w:gridSpan w:val="2"/>
          </w:tcPr>
          <w:p w14:paraId="6B896479" w14:textId="77777777" w:rsidR="00CB2077" w:rsidRPr="007047B5" w:rsidRDefault="00CB2077">
            <w:pPr>
              <w:keepNext/>
              <w:rPr>
                <w:lang w:val="en-IE"/>
              </w:rPr>
            </w:pPr>
          </w:p>
        </w:tc>
      </w:tr>
      <w:tr w:rsidR="00CB2077" w:rsidRPr="007047B5" w14:paraId="6A0849D0" w14:textId="77777777" w:rsidTr="00CB2077">
        <w:trPr>
          <w:jc w:val="center"/>
        </w:trPr>
        <w:tc>
          <w:tcPr>
            <w:tcW w:w="4876" w:type="dxa"/>
            <w:hideMark/>
          </w:tcPr>
          <w:p w14:paraId="0D727C9C"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C231C79" w14:textId="77777777" w:rsidR="00CB2077" w:rsidRPr="007047B5" w:rsidRDefault="00CB2077">
            <w:pPr>
              <w:pStyle w:val="ColumnHeading"/>
              <w:keepNext/>
              <w:rPr>
                <w:lang w:val="en-IE"/>
              </w:rPr>
            </w:pPr>
            <w:r w:rsidRPr="007047B5">
              <w:rPr>
                <w:lang w:val="en-IE"/>
              </w:rPr>
              <w:t>Amendment</w:t>
            </w:r>
          </w:p>
        </w:tc>
      </w:tr>
      <w:tr w:rsidR="00CB2077" w:rsidRPr="007047B5" w14:paraId="6C2E0887" w14:textId="77777777" w:rsidTr="00CB2077">
        <w:trPr>
          <w:jc w:val="center"/>
        </w:trPr>
        <w:tc>
          <w:tcPr>
            <w:tcW w:w="4876" w:type="dxa"/>
            <w:hideMark/>
          </w:tcPr>
          <w:p w14:paraId="5B049424" w14:textId="77777777" w:rsidR="00CB2077" w:rsidRPr="007047B5" w:rsidRDefault="00CB2077">
            <w:pPr>
              <w:pStyle w:val="Normal6"/>
              <w:rPr>
                <w:lang w:val="en-IE"/>
              </w:rPr>
            </w:pPr>
            <w:r w:rsidRPr="007047B5">
              <w:rPr>
                <w:lang w:val="en-IE"/>
              </w:rPr>
              <w:t>6.</w:t>
            </w:r>
            <w:r w:rsidRPr="007047B5">
              <w:rPr>
                <w:lang w:val="en-IE"/>
              </w:rPr>
              <w:tab/>
              <w:t xml:space="preserve">A delegated act adopted pursuant to Articles 23, 24 </w:t>
            </w:r>
            <w:r w:rsidRPr="007047B5">
              <w:rPr>
                <w:b/>
                <w:i/>
                <w:lang w:val="en-IE"/>
              </w:rPr>
              <w:t>and 25</w:t>
            </w:r>
            <w:r w:rsidRPr="007047B5">
              <w:rPr>
                <w:lang w:val="en-IE"/>
              </w:rPr>
              <w:t xml:space="preserve"> shall enter into force only if no objection has been expressed either by the European Parliament or the Council within a period of one month of notification of that act to the European Parliament and the Council or if, before the expiry of that period, the European Parliament and the Council have both informed the Commission that they will not object. That period shall be extended by one month at the initiative of the European Parliament or of the Council.</w:t>
            </w:r>
          </w:p>
        </w:tc>
        <w:tc>
          <w:tcPr>
            <w:tcW w:w="4876" w:type="dxa"/>
            <w:hideMark/>
          </w:tcPr>
          <w:p w14:paraId="59B41247" w14:textId="77777777" w:rsidR="00CB2077" w:rsidRPr="007047B5" w:rsidRDefault="00CB2077">
            <w:pPr>
              <w:pStyle w:val="Normal6"/>
              <w:rPr>
                <w:szCs w:val="24"/>
                <w:lang w:val="en-IE"/>
              </w:rPr>
            </w:pPr>
            <w:r w:rsidRPr="007047B5">
              <w:rPr>
                <w:lang w:val="en-IE"/>
              </w:rPr>
              <w:t>6.</w:t>
            </w:r>
            <w:r w:rsidRPr="007047B5">
              <w:rPr>
                <w:lang w:val="en-IE"/>
              </w:rPr>
              <w:tab/>
              <w:t>A delegated act adopted pursuant to Articles 23, 24</w:t>
            </w:r>
            <w:r w:rsidRPr="007047B5">
              <w:rPr>
                <w:b/>
                <w:i/>
                <w:lang w:val="en-IE"/>
              </w:rPr>
              <w:t>, 25 and 25a</w:t>
            </w:r>
            <w:r w:rsidRPr="007047B5">
              <w:rPr>
                <w:lang w:val="en-IE"/>
              </w:rPr>
              <w:t xml:space="preserve"> shall enter into force only if no objection has been expressed either by the European Parliament or the Council within a period of one month of notification of that act to the European Parliament and the Council or if, before the expiry of that period, the European Parliament and the Council have both informed the Commission that they will not object. That period shall be extended by one month at the initiative of the European Parliament or of the Council.</w:t>
            </w:r>
          </w:p>
        </w:tc>
      </w:tr>
    </w:tbl>
    <w:p w14:paraId="3D0A21F9"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48C61BE8" w14:textId="77777777" w:rsidR="00CB2077" w:rsidRPr="007047B5" w:rsidRDefault="00CB2077" w:rsidP="00CB2077">
      <w:pPr>
        <w:rPr>
          <w:lang w:val="en-IE"/>
        </w:rPr>
      </w:pPr>
      <w:r w:rsidRPr="007047B5">
        <w:rPr>
          <w:rStyle w:val="HideTWBExt"/>
          <w:noProof w:val="0"/>
          <w:lang w:val="en-IE"/>
        </w:rPr>
        <w:t>&lt;/Amend&gt;</w:t>
      </w:r>
    </w:p>
    <w:p w14:paraId="732973F0"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115</w:t>
      </w:r>
      <w:r w:rsidRPr="007047B5">
        <w:rPr>
          <w:rStyle w:val="HideTWBExt"/>
          <w:b w:val="0"/>
          <w:noProof w:val="0"/>
          <w:lang w:val="en-IE"/>
        </w:rPr>
        <w:t>&lt;/NumAm&gt;</w:t>
      </w:r>
    </w:p>
    <w:p w14:paraId="1851A42B"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F13C158"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62 – paragraph 1</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4E0D67A" w14:textId="77777777" w:rsidTr="00CB2077">
        <w:trPr>
          <w:jc w:val="center"/>
        </w:trPr>
        <w:tc>
          <w:tcPr>
            <w:tcW w:w="9752" w:type="dxa"/>
            <w:gridSpan w:val="2"/>
          </w:tcPr>
          <w:p w14:paraId="03ECF788" w14:textId="77777777" w:rsidR="00CB2077" w:rsidRPr="007047B5" w:rsidRDefault="00CB2077">
            <w:pPr>
              <w:keepNext/>
              <w:rPr>
                <w:lang w:val="en-IE"/>
              </w:rPr>
            </w:pPr>
          </w:p>
        </w:tc>
      </w:tr>
      <w:tr w:rsidR="00CB2077" w:rsidRPr="007047B5" w14:paraId="127B6CDC" w14:textId="77777777" w:rsidTr="00CB2077">
        <w:trPr>
          <w:jc w:val="center"/>
        </w:trPr>
        <w:tc>
          <w:tcPr>
            <w:tcW w:w="4876" w:type="dxa"/>
            <w:hideMark/>
          </w:tcPr>
          <w:p w14:paraId="3090D765"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FA405B3" w14:textId="77777777" w:rsidR="00CB2077" w:rsidRPr="007047B5" w:rsidRDefault="00CB2077">
            <w:pPr>
              <w:pStyle w:val="ColumnHeading"/>
              <w:keepNext/>
              <w:rPr>
                <w:lang w:val="en-IE"/>
              </w:rPr>
            </w:pPr>
            <w:r w:rsidRPr="007047B5">
              <w:rPr>
                <w:lang w:val="en-IE"/>
              </w:rPr>
              <w:t>Amendment</w:t>
            </w:r>
          </w:p>
        </w:tc>
      </w:tr>
      <w:tr w:rsidR="00CB2077" w:rsidRPr="007047B5" w14:paraId="663B02E8" w14:textId="77777777" w:rsidTr="00CB2077">
        <w:trPr>
          <w:jc w:val="center"/>
        </w:trPr>
        <w:tc>
          <w:tcPr>
            <w:tcW w:w="4876" w:type="dxa"/>
            <w:hideMark/>
          </w:tcPr>
          <w:p w14:paraId="240BFCAE" w14:textId="77777777" w:rsidR="00CB2077" w:rsidRPr="007047B5" w:rsidRDefault="00CB2077">
            <w:pPr>
              <w:pStyle w:val="Normal6"/>
              <w:rPr>
                <w:lang w:val="en-IE"/>
              </w:rPr>
            </w:pPr>
            <w:r w:rsidRPr="007047B5">
              <w:rPr>
                <w:lang w:val="en-IE"/>
              </w:rPr>
              <w:t xml:space="preserve">By </w:t>
            </w:r>
            <w:r w:rsidRPr="007047B5">
              <w:rPr>
                <w:b/>
                <w:i/>
                <w:lang w:val="en-IE"/>
              </w:rPr>
              <w:t>[5</w:t>
            </w:r>
            <w:r w:rsidRPr="007047B5">
              <w:rPr>
                <w:lang w:val="en-IE"/>
              </w:rPr>
              <w:t xml:space="preserve"> years from the date of application of this Regulation], and every </w:t>
            </w:r>
            <w:r w:rsidRPr="007047B5">
              <w:rPr>
                <w:b/>
                <w:i/>
                <w:lang w:val="en-IE"/>
              </w:rPr>
              <w:t>three</w:t>
            </w:r>
            <w:r w:rsidRPr="007047B5">
              <w:rPr>
                <w:lang w:val="en-IE"/>
              </w:rPr>
              <w:t xml:space="preserve"> years thereafter, the Commission shall present a report to the European Parliament and to the Council on the application of this Regulation.</w:t>
            </w:r>
          </w:p>
        </w:tc>
        <w:tc>
          <w:tcPr>
            <w:tcW w:w="4876" w:type="dxa"/>
            <w:hideMark/>
          </w:tcPr>
          <w:p w14:paraId="7AE960FF" w14:textId="77777777" w:rsidR="00CB2077" w:rsidRPr="007047B5" w:rsidRDefault="00CB2077">
            <w:pPr>
              <w:pStyle w:val="Normal6"/>
              <w:rPr>
                <w:szCs w:val="24"/>
                <w:lang w:val="en-IE"/>
              </w:rPr>
            </w:pPr>
            <w:r w:rsidRPr="007047B5">
              <w:rPr>
                <w:lang w:val="en-IE"/>
              </w:rPr>
              <w:t xml:space="preserve">By </w:t>
            </w:r>
            <w:r w:rsidR="00B03342" w:rsidRPr="007047B5">
              <w:rPr>
                <w:lang w:val="en-IE"/>
              </w:rPr>
              <w:t>...</w:t>
            </w:r>
            <w:r w:rsidR="00B03342" w:rsidRPr="007047B5">
              <w:rPr>
                <w:lang w:val="en-GB"/>
              </w:rPr>
              <w:t xml:space="preserve"> </w:t>
            </w:r>
            <w:r w:rsidR="00B03342" w:rsidRPr="007047B5">
              <w:rPr>
                <w:lang w:val="en-IE"/>
              </w:rPr>
              <w:t>[</w:t>
            </w:r>
            <w:r w:rsidRPr="007047B5">
              <w:rPr>
                <w:b/>
                <w:i/>
                <w:lang w:val="en-IE"/>
              </w:rPr>
              <w:t>3</w:t>
            </w:r>
            <w:r w:rsidRPr="007047B5">
              <w:rPr>
                <w:lang w:val="en-IE"/>
              </w:rPr>
              <w:t xml:space="preserve"> years from the date of application of this Regulation], and every </w:t>
            </w:r>
            <w:r w:rsidRPr="007047B5">
              <w:rPr>
                <w:b/>
                <w:i/>
                <w:lang w:val="en-IE"/>
              </w:rPr>
              <w:t>two</w:t>
            </w:r>
            <w:r w:rsidRPr="007047B5">
              <w:rPr>
                <w:lang w:val="en-IE"/>
              </w:rPr>
              <w:t xml:space="preserve"> years thereafter, the Commission shall present a report to the European Parliament and to the Council on the application of this Regulation.</w:t>
            </w:r>
          </w:p>
        </w:tc>
      </w:tr>
    </w:tbl>
    <w:p w14:paraId="00EB6A42"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62580FA3" w14:textId="77777777" w:rsidR="00CB2077" w:rsidRPr="007047B5" w:rsidRDefault="00CB2077" w:rsidP="00CB2077">
      <w:pPr>
        <w:rPr>
          <w:lang w:val="en-IE"/>
        </w:rPr>
      </w:pPr>
      <w:r w:rsidRPr="007047B5">
        <w:rPr>
          <w:rStyle w:val="HideTWBExt"/>
          <w:noProof w:val="0"/>
          <w:lang w:val="en-IE"/>
        </w:rPr>
        <w:t>&lt;/Amend&gt;</w:t>
      </w:r>
    </w:p>
    <w:p w14:paraId="675CB9C1"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116</w:t>
      </w:r>
      <w:r w:rsidRPr="007047B5">
        <w:rPr>
          <w:rStyle w:val="HideTWBExt"/>
          <w:b w:val="0"/>
          <w:noProof w:val="0"/>
          <w:lang w:val="en-IE"/>
        </w:rPr>
        <w:t>&lt;/NumAm&gt;</w:t>
      </w:r>
    </w:p>
    <w:p w14:paraId="6B4F08BD"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520F1C84"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63 – paragraph 1 – introductory part</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8C2276A" w14:textId="77777777" w:rsidTr="00CB2077">
        <w:trPr>
          <w:jc w:val="center"/>
        </w:trPr>
        <w:tc>
          <w:tcPr>
            <w:tcW w:w="9752" w:type="dxa"/>
            <w:gridSpan w:val="2"/>
          </w:tcPr>
          <w:p w14:paraId="28C5D67C" w14:textId="77777777" w:rsidR="00CB2077" w:rsidRPr="007047B5" w:rsidRDefault="00CB2077">
            <w:pPr>
              <w:keepNext/>
              <w:rPr>
                <w:lang w:val="en-IE"/>
              </w:rPr>
            </w:pPr>
          </w:p>
        </w:tc>
      </w:tr>
      <w:tr w:rsidR="00CB2077" w:rsidRPr="007047B5" w14:paraId="275F953C" w14:textId="77777777" w:rsidTr="00CB2077">
        <w:trPr>
          <w:jc w:val="center"/>
        </w:trPr>
        <w:tc>
          <w:tcPr>
            <w:tcW w:w="4876" w:type="dxa"/>
            <w:hideMark/>
          </w:tcPr>
          <w:p w14:paraId="5B6EFB93"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BB63016" w14:textId="77777777" w:rsidR="00CB2077" w:rsidRPr="007047B5" w:rsidRDefault="00CB2077">
            <w:pPr>
              <w:pStyle w:val="ColumnHeading"/>
              <w:keepNext/>
              <w:rPr>
                <w:lang w:val="en-IE"/>
              </w:rPr>
            </w:pPr>
            <w:r w:rsidRPr="007047B5">
              <w:rPr>
                <w:lang w:val="en-IE"/>
              </w:rPr>
              <w:t>Amendment</w:t>
            </w:r>
          </w:p>
        </w:tc>
      </w:tr>
      <w:tr w:rsidR="00CB2077" w:rsidRPr="007047B5" w14:paraId="28460F24" w14:textId="77777777" w:rsidTr="00CB2077">
        <w:trPr>
          <w:jc w:val="center"/>
        </w:trPr>
        <w:tc>
          <w:tcPr>
            <w:tcW w:w="4876" w:type="dxa"/>
            <w:hideMark/>
          </w:tcPr>
          <w:p w14:paraId="18ECDF17" w14:textId="77777777" w:rsidR="00CB2077" w:rsidRPr="007047B5" w:rsidRDefault="00CB2077">
            <w:pPr>
              <w:pStyle w:val="Normal6"/>
              <w:rPr>
                <w:lang w:val="en-IE"/>
              </w:rPr>
            </w:pPr>
            <w:r w:rsidRPr="007047B5">
              <w:rPr>
                <w:lang w:val="en-IE"/>
              </w:rPr>
              <w:t>By [</w:t>
            </w:r>
            <w:r w:rsidRPr="007047B5">
              <w:rPr>
                <w:b/>
                <w:i/>
                <w:lang w:val="en-IE"/>
              </w:rPr>
              <w:t>3</w:t>
            </w:r>
            <w:r w:rsidRPr="007047B5">
              <w:rPr>
                <w:lang w:val="en-IE"/>
              </w:rPr>
              <w:t xml:space="preserve"> years from the date of application of this Regulation], the Commission shall present reports to the European Parliament </w:t>
            </w:r>
            <w:r w:rsidRPr="007047B5">
              <w:rPr>
                <w:lang w:val="en-IE"/>
              </w:rPr>
              <w:lastRenderedPageBreak/>
              <w:t>and to the Council assessing the need and proportionality of:</w:t>
            </w:r>
          </w:p>
        </w:tc>
        <w:tc>
          <w:tcPr>
            <w:tcW w:w="4876" w:type="dxa"/>
            <w:hideMark/>
          </w:tcPr>
          <w:p w14:paraId="523722FC" w14:textId="77777777" w:rsidR="00CB2077" w:rsidRPr="007047B5" w:rsidRDefault="00CB2077">
            <w:pPr>
              <w:pStyle w:val="Normal6"/>
              <w:rPr>
                <w:szCs w:val="24"/>
                <w:lang w:val="en-IE"/>
              </w:rPr>
            </w:pPr>
            <w:r w:rsidRPr="007047B5">
              <w:rPr>
                <w:lang w:val="en-IE"/>
              </w:rPr>
              <w:lastRenderedPageBreak/>
              <w:t xml:space="preserve">By </w:t>
            </w:r>
            <w:r w:rsidR="00B03342" w:rsidRPr="007047B5">
              <w:rPr>
                <w:lang w:val="en-IE"/>
              </w:rPr>
              <w:t>...</w:t>
            </w:r>
            <w:r w:rsidRPr="007047B5">
              <w:rPr>
                <w:lang w:val="en-IE"/>
              </w:rPr>
              <w:t>[</w:t>
            </w:r>
            <w:r w:rsidRPr="007047B5">
              <w:rPr>
                <w:b/>
                <w:i/>
                <w:lang w:val="en-IE"/>
              </w:rPr>
              <w:t>2</w:t>
            </w:r>
            <w:r w:rsidRPr="007047B5">
              <w:rPr>
                <w:lang w:val="en-IE"/>
              </w:rPr>
              <w:t xml:space="preserve"> years from the date of application of this Regulation], the Commission shall present reports to the European Parliament </w:t>
            </w:r>
            <w:r w:rsidRPr="007047B5">
              <w:rPr>
                <w:lang w:val="en-IE"/>
              </w:rPr>
              <w:lastRenderedPageBreak/>
              <w:t>and to the Council assessing the need and proportionality of:</w:t>
            </w:r>
          </w:p>
        </w:tc>
      </w:tr>
    </w:tbl>
    <w:p w14:paraId="22BF99A4" w14:textId="77777777" w:rsidR="00CB2077" w:rsidRPr="007047B5" w:rsidRDefault="00CB2077" w:rsidP="00CB2077">
      <w:pPr>
        <w:pStyle w:val="Olang"/>
        <w:rPr>
          <w:noProof w:val="0"/>
          <w:lang w:val="en-IE"/>
        </w:rPr>
      </w:pPr>
      <w:r w:rsidRPr="007047B5">
        <w:rPr>
          <w:noProof w:val="0"/>
          <w:lang w:val="en-IE"/>
        </w:rPr>
        <w:lastRenderedPageBreak/>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2B75FFF2" w14:textId="77777777" w:rsidR="00CB2077" w:rsidRPr="007047B5" w:rsidRDefault="00CB2077" w:rsidP="00CB2077">
      <w:pPr>
        <w:rPr>
          <w:lang w:val="en-IE"/>
        </w:rPr>
      </w:pPr>
      <w:r w:rsidRPr="007047B5">
        <w:rPr>
          <w:rStyle w:val="HideTWBExt"/>
          <w:noProof w:val="0"/>
          <w:lang w:val="en-IE"/>
        </w:rPr>
        <w:t>&lt;/Amend&gt;</w:t>
      </w:r>
    </w:p>
    <w:p w14:paraId="68E8B8CF"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117</w:t>
      </w:r>
      <w:r w:rsidRPr="007047B5">
        <w:rPr>
          <w:rStyle w:val="HideTWBExt"/>
          <w:b w:val="0"/>
          <w:noProof w:val="0"/>
          <w:lang w:val="en-IE"/>
        </w:rPr>
        <w:t>&lt;/NumAm&gt;</w:t>
      </w:r>
    </w:p>
    <w:p w14:paraId="4306CB7E"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76B988FF"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Article 65 – paragraph 2</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3DEE264D" w14:textId="77777777" w:rsidTr="00CB2077">
        <w:trPr>
          <w:jc w:val="center"/>
        </w:trPr>
        <w:tc>
          <w:tcPr>
            <w:tcW w:w="9752" w:type="dxa"/>
            <w:gridSpan w:val="2"/>
          </w:tcPr>
          <w:p w14:paraId="46C991E0" w14:textId="77777777" w:rsidR="00CB2077" w:rsidRPr="007047B5" w:rsidRDefault="00CB2077">
            <w:pPr>
              <w:keepNext/>
              <w:rPr>
                <w:lang w:val="en-IE"/>
              </w:rPr>
            </w:pPr>
          </w:p>
        </w:tc>
      </w:tr>
      <w:tr w:rsidR="00CB2077" w:rsidRPr="007047B5" w14:paraId="041E92E0" w14:textId="77777777" w:rsidTr="00CB2077">
        <w:trPr>
          <w:jc w:val="center"/>
        </w:trPr>
        <w:tc>
          <w:tcPr>
            <w:tcW w:w="4876" w:type="dxa"/>
            <w:hideMark/>
          </w:tcPr>
          <w:p w14:paraId="74402F56"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5D64EE80" w14:textId="77777777" w:rsidR="00CB2077" w:rsidRPr="007047B5" w:rsidRDefault="00CB2077">
            <w:pPr>
              <w:pStyle w:val="ColumnHeading"/>
              <w:keepNext/>
              <w:rPr>
                <w:lang w:val="en-IE"/>
              </w:rPr>
            </w:pPr>
            <w:r w:rsidRPr="007047B5">
              <w:rPr>
                <w:lang w:val="en-IE"/>
              </w:rPr>
              <w:t>Amendment</w:t>
            </w:r>
          </w:p>
        </w:tc>
      </w:tr>
      <w:tr w:rsidR="00CB2077" w:rsidRPr="007047B5" w14:paraId="7ADC82DB" w14:textId="77777777" w:rsidTr="00CB2077">
        <w:trPr>
          <w:jc w:val="center"/>
        </w:trPr>
        <w:tc>
          <w:tcPr>
            <w:tcW w:w="4876" w:type="dxa"/>
            <w:hideMark/>
          </w:tcPr>
          <w:p w14:paraId="23F53DD8" w14:textId="77777777" w:rsidR="00CB2077" w:rsidRPr="007047B5" w:rsidRDefault="00CB2077">
            <w:pPr>
              <w:pStyle w:val="Normal6"/>
              <w:rPr>
                <w:lang w:val="en-IE"/>
              </w:rPr>
            </w:pPr>
            <w:r w:rsidRPr="007047B5">
              <w:rPr>
                <w:lang w:val="en-IE"/>
              </w:rPr>
              <w:t>It shall apply from [</w:t>
            </w:r>
            <w:r w:rsidRPr="007047B5">
              <w:rPr>
                <w:b/>
                <w:i/>
                <w:lang w:val="en-IE"/>
              </w:rPr>
              <w:t>3</w:t>
            </w:r>
            <w:r w:rsidRPr="007047B5">
              <w:rPr>
                <w:lang w:val="en-IE"/>
              </w:rPr>
              <w:t xml:space="preserve"> years from its date of entry into force].</w:t>
            </w:r>
          </w:p>
        </w:tc>
        <w:tc>
          <w:tcPr>
            <w:tcW w:w="4876" w:type="dxa"/>
            <w:hideMark/>
          </w:tcPr>
          <w:p w14:paraId="1252503A" w14:textId="0365B0F9" w:rsidR="00CB2077" w:rsidRPr="007047B5" w:rsidRDefault="00CB2077">
            <w:pPr>
              <w:pStyle w:val="Normal6"/>
              <w:rPr>
                <w:szCs w:val="24"/>
                <w:lang w:val="en-IE"/>
              </w:rPr>
            </w:pPr>
            <w:r w:rsidRPr="007047B5">
              <w:rPr>
                <w:lang w:val="en-IE"/>
              </w:rPr>
              <w:t xml:space="preserve">It shall apply from </w:t>
            </w:r>
            <w:r w:rsidR="00B03342" w:rsidRPr="007047B5">
              <w:rPr>
                <w:lang w:val="en-IE"/>
              </w:rPr>
              <w:t>...</w:t>
            </w:r>
            <w:r w:rsidR="00B03342" w:rsidRPr="007047B5">
              <w:rPr>
                <w:lang w:val="en-GB"/>
              </w:rPr>
              <w:t xml:space="preserve"> </w:t>
            </w:r>
            <w:r w:rsidR="00B03342" w:rsidRPr="007047B5">
              <w:rPr>
                <w:lang w:val="en-IE"/>
              </w:rPr>
              <w:t>[</w:t>
            </w:r>
            <w:r w:rsidRPr="007047B5">
              <w:rPr>
                <w:b/>
                <w:i/>
                <w:lang w:val="en-IE"/>
              </w:rPr>
              <w:t>2</w:t>
            </w:r>
            <w:r w:rsidRPr="007047B5">
              <w:rPr>
                <w:lang w:val="en-IE"/>
              </w:rPr>
              <w:t xml:space="preserve"> years from its date of entry into force</w:t>
            </w:r>
            <w:r w:rsidR="00B03342" w:rsidRPr="007047B5">
              <w:rPr>
                <w:lang w:val="en-IE"/>
              </w:rPr>
              <w:t>]</w:t>
            </w:r>
            <w:r w:rsidRPr="007047B5">
              <w:rPr>
                <w:lang w:val="en-IE"/>
              </w:rPr>
              <w:t>.</w:t>
            </w:r>
          </w:p>
        </w:tc>
      </w:tr>
    </w:tbl>
    <w:p w14:paraId="7894F7D4"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5F46BFE" w14:textId="77777777" w:rsidR="00CB2077" w:rsidRPr="007047B5" w:rsidRDefault="00CB2077" w:rsidP="00CB2077">
      <w:pPr>
        <w:rPr>
          <w:lang w:val="en-IE"/>
        </w:rPr>
      </w:pPr>
      <w:r w:rsidRPr="007047B5">
        <w:rPr>
          <w:rStyle w:val="HideTWBExt"/>
          <w:noProof w:val="0"/>
          <w:lang w:val="en-IE"/>
        </w:rPr>
        <w:t>&lt;/Amend&gt;</w:t>
      </w:r>
    </w:p>
    <w:p w14:paraId="0CDF9903"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118</w:t>
      </w:r>
      <w:r w:rsidRPr="007047B5">
        <w:rPr>
          <w:rStyle w:val="HideTWBExt"/>
          <w:b w:val="0"/>
          <w:noProof w:val="0"/>
          <w:lang w:val="en-IE"/>
        </w:rPr>
        <w:t>&lt;/NumAm&gt;</w:t>
      </w:r>
    </w:p>
    <w:p w14:paraId="78FDC23B"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A114FD7"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Annex II – paragraph 1 – point 1 – point b</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77B8EF59" w14:textId="77777777" w:rsidTr="00CB2077">
        <w:trPr>
          <w:jc w:val="center"/>
        </w:trPr>
        <w:tc>
          <w:tcPr>
            <w:tcW w:w="9752" w:type="dxa"/>
            <w:gridSpan w:val="2"/>
          </w:tcPr>
          <w:p w14:paraId="4530AF11" w14:textId="77777777" w:rsidR="00CB2077" w:rsidRPr="007047B5" w:rsidRDefault="00CB2077">
            <w:pPr>
              <w:keepNext/>
              <w:rPr>
                <w:lang w:val="fr-FR"/>
              </w:rPr>
            </w:pPr>
          </w:p>
        </w:tc>
      </w:tr>
      <w:tr w:rsidR="00CB2077" w:rsidRPr="007047B5" w14:paraId="742FAE64" w14:textId="77777777" w:rsidTr="00CB2077">
        <w:trPr>
          <w:jc w:val="center"/>
        </w:trPr>
        <w:tc>
          <w:tcPr>
            <w:tcW w:w="4876" w:type="dxa"/>
            <w:hideMark/>
          </w:tcPr>
          <w:p w14:paraId="0CC310D0"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268A932" w14:textId="77777777" w:rsidR="00CB2077" w:rsidRPr="007047B5" w:rsidRDefault="00CB2077">
            <w:pPr>
              <w:pStyle w:val="ColumnHeading"/>
              <w:keepNext/>
              <w:rPr>
                <w:lang w:val="en-IE"/>
              </w:rPr>
            </w:pPr>
            <w:r w:rsidRPr="007047B5">
              <w:rPr>
                <w:lang w:val="en-IE"/>
              </w:rPr>
              <w:t>Amendment</w:t>
            </w:r>
          </w:p>
        </w:tc>
      </w:tr>
      <w:tr w:rsidR="00CB2077" w:rsidRPr="007047B5" w14:paraId="37797CF4" w14:textId="77777777" w:rsidTr="00CB2077">
        <w:trPr>
          <w:jc w:val="center"/>
        </w:trPr>
        <w:tc>
          <w:tcPr>
            <w:tcW w:w="4876" w:type="dxa"/>
            <w:hideMark/>
          </w:tcPr>
          <w:p w14:paraId="64421A40" w14:textId="77777777" w:rsidR="00CB2077" w:rsidRPr="007047B5" w:rsidRDefault="00CB2077">
            <w:pPr>
              <w:pStyle w:val="Normal6"/>
              <w:rPr>
                <w:lang w:val="en-IE"/>
              </w:rPr>
            </w:pPr>
            <w:r w:rsidRPr="007047B5">
              <w:rPr>
                <w:lang w:val="en-IE"/>
              </w:rPr>
              <w:t>(b)</w:t>
            </w:r>
            <w:r w:rsidRPr="007047B5">
              <w:rPr>
                <w:lang w:val="en-IE"/>
              </w:rPr>
              <w:tab/>
              <w:t>public administrations or enterprises;</w:t>
            </w:r>
          </w:p>
        </w:tc>
        <w:tc>
          <w:tcPr>
            <w:tcW w:w="4876" w:type="dxa"/>
            <w:hideMark/>
          </w:tcPr>
          <w:p w14:paraId="56F6070E" w14:textId="77777777" w:rsidR="00CB2077" w:rsidRPr="007047B5" w:rsidRDefault="00CB2077">
            <w:pPr>
              <w:pStyle w:val="Normal6"/>
              <w:rPr>
                <w:szCs w:val="24"/>
                <w:lang w:val="en-IE"/>
              </w:rPr>
            </w:pPr>
            <w:r w:rsidRPr="007047B5">
              <w:rPr>
                <w:lang w:val="en-IE"/>
              </w:rPr>
              <w:t>(b)</w:t>
            </w:r>
            <w:r w:rsidRPr="007047B5">
              <w:rPr>
                <w:lang w:val="en-IE"/>
              </w:rPr>
              <w:tab/>
            </w:r>
            <w:r w:rsidRPr="007047B5">
              <w:rPr>
                <w:b/>
                <w:i/>
                <w:lang w:val="en-IE"/>
              </w:rPr>
              <w:t>public enterprises and</w:t>
            </w:r>
            <w:r w:rsidRPr="007047B5">
              <w:rPr>
                <w:lang w:val="en-IE"/>
              </w:rPr>
              <w:t xml:space="preserve"> public administrations</w:t>
            </w:r>
            <w:r w:rsidRPr="007047B5">
              <w:rPr>
                <w:b/>
                <w:i/>
                <w:lang w:val="en-IE"/>
              </w:rPr>
              <w:t>,</w:t>
            </w:r>
            <w:r w:rsidRPr="007047B5">
              <w:rPr>
                <w:lang w:val="en-IE"/>
              </w:rPr>
              <w:t xml:space="preserve"> or enterprises </w:t>
            </w:r>
            <w:r w:rsidRPr="007047B5">
              <w:rPr>
                <w:b/>
                <w:i/>
                <w:lang w:val="en-IE"/>
              </w:rPr>
              <w:t>including central banks and other public authorities or bodies</w:t>
            </w:r>
            <w:r w:rsidRPr="007047B5">
              <w:rPr>
                <w:lang w:val="en-IE"/>
              </w:rPr>
              <w:t>;</w:t>
            </w:r>
          </w:p>
        </w:tc>
      </w:tr>
    </w:tbl>
    <w:p w14:paraId="4ABB6073"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11700461" w14:textId="77777777" w:rsidR="00CB2077" w:rsidRPr="007047B5" w:rsidRDefault="00CB2077" w:rsidP="00CB2077">
      <w:pPr>
        <w:rPr>
          <w:lang w:val="en-IE"/>
        </w:rPr>
      </w:pPr>
      <w:r w:rsidRPr="007047B5">
        <w:rPr>
          <w:rStyle w:val="HideTWBExt"/>
          <w:noProof w:val="0"/>
          <w:lang w:val="en-IE"/>
        </w:rPr>
        <w:t>&lt;/Amend&gt;</w:t>
      </w:r>
    </w:p>
    <w:p w14:paraId="1164C699"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119</w:t>
      </w:r>
      <w:r w:rsidRPr="007047B5">
        <w:rPr>
          <w:rStyle w:val="HideTWBExt"/>
          <w:b w:val="0"/>
          <w:noProof w:val="0"/>
          <w:lang w:val="en-IE"/>
        </w:rPr>
        <w:t>&lt;/NumAm&gt;</w:t>
      </w:r>
    </w:p>
    <w:p w14:paraId="62238863"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08342FA3"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Annex III – paragraph 1 – point 1 – point b</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077DCDA" w14:textId="77777777" w:rsidTr="00CB2077">
        <w:trPr>
          <w:jc w:val="center"/>
        </w:trPr>
        <w:tc>
          <w:tcPr>
            <w:tcW w:w="9752" w:type="dxa"/>
            <w:gridSpan w:val="2"/>
          </w:tcPr>
          <w:p w14:paraId="55142262" w14:textId="77777777" w:rsidR="00CB2077" w:rsidRPr="007047B5" w:rsidRDefault="00CB2077">
            <w:pPr>
              <w:keepNext/>
              <w:rPr>
                <w:lang w:val="fr-FR"/>
              </w:rPr>
            </w:pPr>
          </w:p>
        </w:tc>
      </w:tr>
      <w:tr w:rsidR="00CB2077" w:rsidRPr="007047B5" w14:paraId="221C6E78" w14:textId="77777777" w:rsidTr="00CB2077">
        <w:trPr>
          <w:jc w:val="center"/>
        </w:trPr>
        <w:tc>
          <w:tcPr>
            <w:tcW w:w="4876" w:type="dxa"/>
            <w:hideMark/>
          </w:tcPr>
          <w:p w14:paraId="1160431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34FB2738" w14:textId="77777777" w:rsidR="00CB2077" w:rsidRPr="007047B5" w:rsidRDefault="00CB2077">
            <w:pPr>
              <w:pStyle w:val="ColumnHeading"/>
              <w:keepNext/>
              <w:rPr>
                <w:lang w:val="en-IE"/>
              </w:rPr>
            </w:pPr>
            <w:r w:rsidRPr="007047B5">
              <w:rPr>
                <w:lang w:val="en-IE"/>
              </w:rPr>
              <w:t>Amendment</w:t>
            </w:r>
          </w:p>
        </w:tc>
      </w:tr>
      <w:tr w:rsidR="00CB2077" w:rsidRPr="007047B5" w14:paraId="412917C7" w14:textId="77777777" w:rsidTr="00CB2077">
        <w:trPr>
          <w:jc w:val="center"/>
        </w:trPr>
        <w:tc>
          <w:tcPr>
            <w:tcW w:w="4876" w:type="dxa"/>
            <w:hideMark/>
          </w:tcPr>
          <w:p w14:paraId="37C6A8A1" w14:textId="77777777" w:rsidR="00CB2077" w:rsidRPr="007047B5" w:rsidRDefault="00CB2077">
            <w:pPr>
              <w:pStyle w:val="Normal6"/>
              <w:rPr>
                <w:lang w:val="en-IE"/>
              </w:rPr>
            </w:pPr>
            <w:r w:rsidRPr="007047B5">
              <w:rPr>
                <w:lang w:val="en-IE"/>
              </w:rPr>
              <w:t>(b)</w:t>
            </w:r>
            <w:r w:rsidRPr="007047B5">
              <w:rPr>
                <w:lang w:val="en-IE"/>
              </w:rPr>
              <w:tab/>
              <w:t>customers that are resident in geographical areas of higher risk as set out in point (3);</w:t>
            </w:r>
          </w:p>
        </w:tc>
        <w:tc>
          <w:tcPr>
            <w:tcW w:w="4876" w:type="dxa"/>
            <w:hideMark/>
          </w:tcPr>
          <w:p w14:paraId="5B3FFF11" w14:textId="77777777" w:rsidR="00CB2077" w:rsidRPr="007047B5" w:rsidRDefault="00CB2077">
            <w:pPr>
              <w:pStyle w:val="Normal6"/>
              <w:rPr>
                <w:szCs w:val="24"/>
                <w:lang w:val="en-IE"/>
              </w:rPr>
            </w:pPr>
            <w:r w:rsidRPr="007047B5">
              <w:rPr>
                <w:lang w:val="en-IE"/>
              </w:rPr>
              <w:t>(b)</w:t>
            </w:r>
            <w:r w:rsidRPr="007047B5">
              <w:rPr>
                <w:lang w:val="en-IE"/>
              </w:rPr>
              <w:tab/>
              <w:t xml:space="preserve">customers that are resident </w:t>
            </w:r>
            <w:r w:rsidRPr="007047B5">
              <w:rPr>
                <w:b/>
                <w:i/>
                <w:lang w:val="en-IE"/>
              </w:rPr>
              <w:t>in or nationals of countries</w:t>
            </w:r>
            <w:r w:rsidRPr="007047B5">
              <w:rPr>
                <w:lang w:val="en-IE"/>
              </w:rPr>
              <w:t xml:space="preserve"> in geographical areas of higher risk as set out in point (3);</w:t>
            </w:r>
          </w:p>
        </w:tc>
      </w:tr>
    </w:tbl>
    <w:p w14:paraId="6081F6A5"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4E01179" w14:textId="77777777" w:rsidR="00CB2077" w:rsidRPr="007047B5" w:rsidRDefault="00CB2077" w:rsidP="00CB2077">
      <w:pPr>
        <w:rPr>
          <w:lang w:val="en-IE"/>
        </w:rPr>
      </w:pPr>
      <w:r w:rsidRPr="007047B5">
        <w:rPr>
          <w:rStyle w:val="HideTWBExt"/>
          <w:noProof w:val="0"/>
          <w:lang w:val="en-IE"/>
        </w:rPr>
        <w:lastRenderedPageBreak/>
        <w:t>&lt;/Amend&gt;</w:t>
      </w:r>
    </w:p>
    <w:p w14:paraId="530B409F"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120</w:t>
      </w:r>
      <w:r w:rsidRPr="007047B5">
        <w:rPr>
          <w:rStyle w:val="HideTWBExt"/>
          <w:b w:val="0"/>
          <w:noProof w:val="0"/>
          <w:lang w:val="en-IE"/>
        </w:rPr>
        <w:t>&lt;/NumAm&gt;</w:t>
      </w:r>
    </w:p>
    <w:p w14:paraId="71BB02BA"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2E649A26"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Annex III – paragraph 1 – point 1 – point b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487288CA" w14:textId="77777777" w:rsidTr="00CB2077">
        <w:trPr>
          <w:jc w:val="center"/>
        </w:trPr>
        <w:tc>
          <w:tcPr>
            <w:tcW w:w="9752" w:type="dxa"/>
            <w:gridSpan w:val="2"/>
          </w:tcPr>
          <w:p w14:paraId="647A71F4" w14:textId="77777777" w:rsidR="00CB2077" w:rsidRPr="007047B5" w:rsidRDefault="00CB2077">
            <w:pPr>
              <w:keepNext/>
              <w:rPr>
                <w:lang w:val="en-IE"/>
              </w:rPr>
            </w:pPr>
          </w:p>
        </w:tc>
      </w:tr>
      <w:tr w:rsidR="00CB2077" w:rsidRPr="007047B5" w14:paraId="65FF07D7" w14:textId="77777777" w:rsidTr="00CB2077">
        <w:trPr>
          <w:jc w:val="center"/>
        </w:trPr>
        <w:tc>
          <w:tcPr>
            <w:tcW w:w="4876" w:type="dxa"/>
            <w:hideMark/>
          </w:tcPr>
          <w:p w14:paraId="6CF67D7B"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4738B831" w14:textId="77777777" w:rsidR="00CB2077" w:rsidRPr="007047B5" w:rsidRDefault="00CB2077">
            <w:pPr>
              <w:pStyle w:val="ColumnHeading"/>
              <w:keepNext/>
              <w:rPr>
                <w:lang w:val="en-IE"/>
              </w:rPr>
            </w:pPr>
            <w:r w:rsidRPr="007047B5">
              <w:rPr>
                <w:lang w:val="en-IE"/>
              </w:rPr>
              <w:t>Amendment</w:t>
            </w:r>
          </w:p>
        </w:tc>
      </w:tr>
      <w:tr w:rsidR="00CB2077" w:rsidRPr="007047B5" w14:paraId="66B506EF" w14:textId="77777777" w:rsidTr="00CB2077">
        <w:trPr>
          <w:jc w:val="center"/>
        </w:trPr>
        <w:tc>
          <w:tcPr>
            <w:tcW w:w="4876" w:type="dxa"/>
          </w:tcPr>
          <w:p w14:paraId="03DCAD5C" w14:textId="77777777" w:rsidR="00CB2077" w:rsidRPr="007047B5" w:rsidRDefault="00CB2077">
            <w:pPr>
              <w:pStyle w:val="Normal6"/>
              <w:rPr>
                <w:lang w:val="en-IE"/>
              </w:rPr>
            </w:pPr>
          </w:p>
        </w:tc>
        <w:tc>
          <w:tcPr>
            <w:tcW w:w="4876" w:type="dxa"/>
            <w:hideMark/>
          </w:tcPr>
          <w:p w14:paraId="43F34543" w14:textId="48672B7D" w:rsidR="00CB2077" w:rsidRPr="007047B5" w:rsidRDefault="00CB2077" w:rsidP="006F5456">
            <w:pPr>
              <w:pStyle w:val="Normal6"/>
              <w:rPr>
                <w:szCs w:val="24"/>
                <w:lang w:val="en-IE"/>
              </w:rPr>
            </w:pPr>
            <w:r w:rsidRPr="007047B5">
              <w:rPr>
                <w:b/>
                <w:i/>
                <w:lang w:val="en-IE"/>
              </w:rPr>
              <w:t>(ba)</w:t>
            </w:r>
            <w:r w:rsidRPr="007047B5">
              <w:rPr>
                <w:b/>
                <w:i/>
                <w:lang w:val="en-IE"/>
              </w:rPr>
              <w:tab/>
            </w:r>
            <w:r w:rsidR="00E43941" w:rsidRPr="007047B5">
              <w:rPr>
                <w:b/>
                <w:i/>
                <w:lang w:val="en-IE"/>
              </w:rPr>
              <w:t xml:space="preserve">customers who are </w:t>
            </w:r>
            <w:r w:rsidRPr="007047B5">
              <w:rPr>
                <w:b/>
                <w:i/>
                <w:lang w:val="en-IE"/>
              </w:rPr>
              <w:t>high</w:t>
            </w:r>
            <w:r w:rsidR="005127A2" w:rsidRPr="007047B5">
              <w:rPr>
                <w:b/>
                <w:i/>
                <w:lang w:val="en-IE"/>
              </w:rPr>
              <w:t>-</w:t>
            </w:r>
            <w:r w:rsidRPr="007047B5">
              <w:rPr>
                <w:b/>
                <w:i/>
                <w:lang w:val="en-IE"/>
              </w:rPr>
              <w:t>net</w:t>
            </w:r>
            <w:r w:rsidR="005127A2" w:rsidRPr="007047B5">
              <w:rPr>
                <w:b/>
                <w:i/>
                <w:lang w:val="en-IE"/>
              </w:rPr>
              <w:t>-</w:t>
            </w:r>
            <w:r w:rsidRPr="007047B5">
              <w:rPr>
                <w:b/>
                <w:i/>
                <w:lang w:val="en-IE"/>
              </w:rPr>
              <w:t xml:space="preserve">worth </w:t>
            </w:r>
            <w:r w:rsidR="006F5456" w:rsidRPr="007047B5">
              <w:rPr>
                <w:b/>
                <w:i/>
                <w:lang w:val="en-IE"/>
              </w:rPr>
              <w:t>individuals</w:t>
            </w:r>
            <w:r w:rsidR="00E43941" w:rsidRPr="007047B5">
              <w:rPr>
                <w:b/>
                <w:i/>
                <w:lang w:val="en-IE"/>
              </w:rPr>
              <w:t xml:space="preserve"> or whose beneficial owner is a high</w:t>
            </w:r>
            <w:r w:rsidR="00023B8F" w:rsidRPr="007047B5">
              <w:rPr>
                <w:b/>
                <w:i/>
                <w:lang w:val="en-IE"/>
              </w:rPr>
              <w:t>-</w:t>
            </w:r>
            <w:r w:rsidR="00E43941" w:rsidRPr="007047B5">
              <w:rPr>
                <w:b/>
                <w:i/>
                <w:lang w:val="en-IE"/>
              </w:rPr>
              <w:t>net</w:t>
            </w:r>
            <w:r w:rsidR="00023B8F" w:rsidRPr="007047B5">
              <w:rPr>
                <w:b/>
                <w:i/>
                <w:lang w:val="en-IE"/>
              </w:rPr>
              <w:t>-</w:t>
            </w:r>
            <w:r w:rsidR="00E43941" w:rsidRPr="007047B5">
              <w:rPr>
                <w:b/>
                <w:i/>
                <w:lang w:val="en-IE"/>
              </w:rPr>
              <w:t>worth individual</w:t>
            </w:r>
            <w:r w:rsidRPr="007047B5">
              <w:rPr>
                <w:b/>
                <w:i/>
                <w:lang w:val="en-IE"/>
              </w:rPr>
              <w:t xml:space="preserve"> whose wealth derives prominently from </w:t>
            </w:r>
            <w:r w:rsidR="006F5456" w:rsidRPr="007047B5">
              <w:rPr>
                <w:b/>
                <w:i/>
                <w:lang w:val="en-IE"/>
              </w:rPr>
              <w:t xml:space="preserve">the </w:t>
            </w:r>
            <w:r w:rsidRPr="007047B5">
              <w:rPr>
                <w:b/>
                <w:i/>
                <w:lang w:val="en-IE"/>
              </w:rPr>
              <w:t xml:space="preserve">extraction of natural resources, </w:t>
            </w:r>
            <w:r w:rsidR="006F5456" w:rsidRPr="007047B5">
              <w:rPr>
                <w:b/>
                <w:i/>
                <w:lang w:val="en-IE"/>
              </w:rPr>
              <w:t xml:space="preserve">from </w:t>
            </w:r>
            <w:r w:rsidRPr="007047B5">
              <w:rPr>
                <w:b/>
                <w:i/>
                <w:lang w:val="en-IE"/>
              </w:rPr>
              <w:t xml:space="preserve">links with politically exposed persons or </w:t>
            </w:r>
            <w:r w:rsidR="006F5456" w:rsidRPr="007047B5">
              <w:rPr>
                <w:b/>
                <w:i/>
                <w:lang w:val="en-IE"/>
              </w:rPr>
              <w:t xml:space="preserve">from the </w:t>
            </w:r>
            <w:r w:rsidRPr="007047B5">
              <w:rPr>
                <w:b/>
                <w:i/>
                <w:lang w:val="en-IE"/>
              </w:rPr>
              <w:t>exploitation of monopolies;</w:t>
            </w:r>
          </w:p>
        </w:tc>
      </w:tr>
    </w:tbl>
    <w:p w14:paraId="49D7F8BB"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7D6E0C13" w14:textId="77777777" w:rsidR="00CB2077" w:rsidRPr="007047B5" w:rsidRDefault="00CB2077" w:rsidP="00CB2077">
      <w:pPr>
        <w:rPr>
          <w:lang w:val="en-IE"/>
        </w:rPr>
      </w:pPr>
      <w:r w:rsidRPr="007047B5">
        <w:rPr>
          <w:rStyle w:val="HideTWBExt"/>
          <w:noProof w:val="0"/>
          <w:lang w:val="en-IE"/>
        </w:rPr>
        <w:t>&lt;/Amend&gt;</w:t>
      </w:r>
    </w:p>
    <w:p w14:paraId="01D2358F"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121</w:t>
      </w:r>
      <w:r w:rsidRPr="007047B5">
        <w:rPr>
          <w:rStyle w:val="HideTWBExt"/>
          <w:b w:val="0"/>
          <w:noProof w:val="0"/>
          <w:lang w:val="en-IE"/>
        </w:rPr>
        <w:t>&lt;/NumAm&gt;</w:t>
      </w:r>
    </w:p>
    <w:p w14:paraId="785D5DC7"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0E3894B" w14:textId="77777777" w:rsidR="00CB2077" w:rsidRPr="007047B5" w:rsidRDefault="00CB2077" w:rsidP="00CB2077">
      <w:pPr>
        <w:pStyle w:val="NormalBold"/>
        <w:rPr>
          <w:lang w:val="fr-FR"/>
        </w:rPr>
      </w:pPr>
      <w:r w:rsidRPr="007047B5">
        <w:rPr>
          <w:rStyle w:val="HideTWBExt"/>
          <w:b w:val="0"/>
          <w:noProof w:val="0"/>
          <w:lang w:val="fr-FR"/>
        </w:rPr>
        <w:t>&lt;Article&gt;</w:t>
      </w:r>
      <w:r w:rsidRPr="007047B5">
        <w:rPr>
          <w:lang w:val="fr-FR"/>
        </w:rPr>
        <w:t>Annex III – paragraph 1 – point 1 – point g</w:t>
      </w:r>
      <w:r w:rsidRPr="007047B5">
        <w:rPr>
          <w:rStyle w:val="HideTWBExt"/>
          <w:b w:val="0"/>
          <w:noProof w:val="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17B63B54" w14:textId="77777777" w:rsidTr="00CB2077">
        <w:trPr>
          <w:jc w:val="center"/>
        </w:trPr>
        <w:tc>
          <w:tcPr>
            <w:tcW w:w="9752" w:type="dxa"/>
            <w:gridSpan w:val="2"/>
          </w:tcPr>
          <w:p w14:paraId="2416BF51" w14:textId="77777777" w:rsidR="00CB2077" w:rsidRPr="007047B5" w:rsidRDefault="00CB2077">
            <w:pPr>
              <w:keepNext/>
              <w:rPr>
                <w:lang w:val="fr-FR"/>
              </w:rPr>
            </w:pPr>
          </w:p>
        </w:tc>
      </w:tr>
      <w:tr w:rsidR="00CB2077" w:rsidRPr="007047B5" w14:paraId="7607C8F6" w14:textId="77777777" w:rsidTr="00CB2077">
        <w:trPr>
          <w:jc w:val="center"/>
        </w:trPr>
        <w:tc>
          <w:tcPr>
            <w:tcW w:w="4876" w:type="dxa"/>
            <w:hideMark/>
          </w:tcPr>
          <w:p w14:paraId="450EC222"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623A6A2A" w14:textId="77777777" w:rsidR="00CB2077" w:rsidRPr="007047B5" w:rsidRDefault="00CB2077">
            <w:pPr>
              <w:pStyle w:val="ColumnHeading"/>
              <w:keepNext/>
              <w:rPr>
                <w:lang w:val="en-IE"/>
              </w:rPr>
            </w:pPr>
            <w:r w:rsidRPr="007047B5">
              <w:rPr>
                <w:lang w:val="en-IE"/>
              </w:rPr>
              <w:t>Amendment</w:t>
            </w:r>
          </w:p>
        </w:tc>
      </w:tr>
      <w:tr w:rsidR="00CB2077" w:rsidRPr="007047B5" w14:paraId="573D627B" w14:textId="77777777" w:rsidTr="00CB2077">
        <w:trPr>
          <w:jc w:val="center"/>
        </w:trPr>
        <w:tc>
          <w:tcPr>
            <w:tcW w:w="4876" w:type="dxa"/>
            <w:hideMark/>
          </w:tcPr>
          <w:p w14:paraId="23B5814D" w14:textId="77777777" w:rsidR="00CB2077" w:rsidRPr="007047B5" w:rsidRDefault="00CB2077">
            <w:pPr>
              <w:pStyle w:val="Normal6"/>
              <w:rPr>
                <w:lang w:val="en-IE"/>
              </w:rPr>
            </w:pPr>
            <w:r w:rsidRPr="007047B5">
              <w:rPr>
                <w:lang w:val="en-IE"/>
              </w:rPr>
              <w:t>(g)</w:t>
            </w:r>
            <w:r w:rsidRPr="007047B5">
              <w:rPr>
                <w:lang w:val="en-IE"/>
              </w:rPr>
              <w:tab/>
              <w:t>customer is a third country national who applies for residence rights in a Member State in exchange of any kind of investment, including capital transfers, purchase or renting of property, investment in government bonds, investment in corporate entities, donation or endowment of an activity contributing to the public good and contributions to the state budget;</w:t>
            </w:r>
          </w:p>
        </w:tc>
        <w:tc>
          <w:tcPr>
            <w:tcW w:w="4876" w:type="dxa"/>
            <w:hideMark/>
          </w:tcPr>
          <w:p w14:paraId="052E2B3C" w14:textId="77777777" w:rsidR="00CB2077" w:rsidRPr="007047B5" w:rsidRDefault="00CB2077">
            <w:pPr>
              <w:pStyle w:val="Normal6"/>
              <w:rPr>
                <w:szCs w:val="24"/>
                <w:lang w:val="en-IE"/>
              </w:rPr>
            </w:pPr>
            <w:r w:rsidRPr="007047B5">
              <w:rPr>
                <w:lang w:val="en-IE"/>
              </w:rPr>
              <w:t>(g)</w:t>
            </w:r>
            <w:r w:rsidRPr="007047B5">
              <w:rPr>
                <w:lang w:val="en-IE"/>
              </w:rPr>
              <w:tab/>
              <w:t xml:space="preserve">customer is a third country national who applies for </w:t>
            </w:r>
            <w:r w:rsidRPr="007047B5">
              <w:rPr>
                <w:b/>
                <w:i/>
                <w:lang w:val="en-IE"/>
              </w:rPr>
              <w:t xml:space="preserve">citizenship </w:t>
            </w:r>
            <w:r w:rsidR="006F5456" w:rsidRPr="007047B5">
              <w:rPr>
                <w:b/>
                <w:i/>
                <w:lang w:val="en-IE"/>
              </w:rPr>
              <w:t xml:space="preserve">of </w:t>
            </w:r>
            <w:r w:rsidRPr="007047B5">
              <w:rPr>
                <w:b/>
                <w:i/>
                <w:lang w:val="en-IE"/>
              </w:rPr>
              <w:t>or</w:t>
            </w:r>
            <w:r w:rsidRPr="007047B5">
              <w:rPr>
                <w:lang w:val="en-IE"/>
              </w:rPr>
              <w:t xml:space="preserve"> residence rights in a Member State in exchange of any kind of investment, including capital transfers, purchase or renting of property, investment in government bonds, investment in corporate entities, donation or endowment of an activity contributing to the public good and contributions to the state budget;</w:t>
            </w:r>
          </w:p>
        </w:tc>
      </w:tr>
    </w:tbl>
    <w:p w14:paraId="68F7DFA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84CC545" w14:textId="77777777" w:rsidR="00CB2077" w:rsidRPr="007047B5" w:rsidRDefault="00CB2077" w:rsidP="00CB2077">
      <w:pPr>
        <w:rPr>
          <w:lang w:val="en-IE"/>
        </w:rPr>
      </w:pPr>
      <w:r w:rsidRPr="007047B5">
        <w:rPr>
          <w:rStyle w:val="HideTWBExt"/>
          <w:noProof w:val="0"/>
          <w:lang w:val="en-IE"/>
        </w:rPr>
        <w:t>&lt;/Amend&gt;</w:t>
      </w:r>
    </w:p>
    <w:p w14:paraId="04389E3E" w14:textId="77777777" w:rsidR="00CB2077" w:rsidRPr="007047B5" w:rsidRDefault="00CB2077" w:rsidP="00CB2077">
      <w:pPr>
        <w:pStyle w:val="AMNumberTabs0"/>
        <w:keepNext/>
        <w:rPr>
          <w:lang w:val="en-IE"/>
        </w:rPr>
      </w:pPr>
      <w:r w:rsidRPr="007047B5">
        <w:rPr>
          <w:rStyle w:val="HideTWBExt"/>
          <w:b w:val="0"/>
          <w:noProof w:val="0"/>
          <w:lang w:val="en-IE"/>
        </w:rPr>
        <w:t>&lt;Amend&gt;</w:t>
      </w:r>
      <w:r w:rsidRPr="007047B5">
        <w:rPr>
          <w:lang w:val="en-IE"/>
        </w:rPr>
        <w:t>Amendment</w:t>
      </w:r>
      <w:r w:rsidRPr="007047B5">
        <w:rPr>
          <w:lang w:val="en-IE"/>
        </w:rPr>
        <w:tab/>
      </w:r>
      <w:r w:rsidRPr="007047B5">
        <w:rPr>
          <w:lang w:val="en-IE"/>
        </w:rPr>
        <w:tab/>
      </w:r>
      <w:r w:rsidRPr="007047B5">
        <w:rPr>
          <w:rStyle w:val="HideTWBExt"/>
          <w:b w:val="0"/>
          <w:noProof w:val="0"/>
          <w:lang w:val="en-IE"/>
        </w:rPr>
        <w:t>&lt;NumAm&gt;</w:t>
      </w:r>
      <w:r w:rsidRPr="007047B5">
        <w:rPr>
          <w:color w:val="000000"/>
          <w:lang w:val="en-IE"/>
        </w:rPr>
        <w:t>122</w:t>
      </w:r>
      <w:r w:rsidRPr="007047B5">
        <w:rPr>
          <w:rStyle w:val="HideTWBExt"/>
          <w:b w:val="0"/>
          <w:noProof w:val="0"/>
          <w:lang w:val="en-IE"/>
        </w:rPr>
        <w:t>&lt;/NumAm&gt;</w:t>
      </w:r>
    </w:p>
    <w:p w14:paraId="0B1B7084" w14:textId="77777777" w:rsidR="00CB2077" w:rsidRPr="007047B5" w:rsidRDefault="00CB2077" w:rsidP="00CB2077">
      <w:pPr>
        <w:pStyle w:val="NormalBold12b"/>
        <w:keepNext/>
        <w:rPr>
          <w:lang w:val="en-IE"/>
        </w:rPr>
      </w:pPr>
      <w:r w:rsidRPr="007047B5">
        <w:rPr>
          <w:rStyle w:val="HideTWBExt"/>
          <w:b w:val="0"/>
          <w:noProof w:val="0"/>
          <w:lang w:val="en-IE"/>
        </w:rPr>
        <w:t>&lt;DocAmend&gt;</w:t>
      </w:r>
      <w:r w:rsidRPr="007047B5">
        <w:rPr>
          <w:lang w:val="en-IE"/>
        </w:rPr>
        <w:t>Proposal for a regulation</w:t>
      </w:r>
      <w:r w:rsidRPr="007047B5">
        <w:rPr>
          <w:rStyle w:val="HideTWBExt"/>
          <w:b w:val="0"/>
          <w:noProof w:val="0"/>
          <w:lang w:val="en-IE"/>
        </w:rPr>
        <w:t>&lt;/DocAmend&gt;</w:t>
      </w:r>
    </w:p>
    <w:p w14:paraId="36B83013" w14:textId="77777777" w:rsidR="00CB2077" w:rsidRPr="007047B5" w:rsidRDefault="00CB2077" w:rsidP="00CB2077">
      <w:pPr>
        <w:pStyle w:val="NormalBold"/>
        <w:rPr>
          <w:lang w:val="en-IE"/>
        </w:rPr>
      </w:pPr>
      <w:r w:rsidRPr="007047B5">
        <w:rPr>
          <w:rStyle w:val="HideTWBExt"/>
          <w:b w:val="0"/>
          <w:noProof w:val="0"/>
          <w:lang w:val="en-IE"/>
        </w:rPr>
        <w:t>&lt;Article&gt;</w:t>
      </w:r>
      <w:r w:rsidRPr="007047B5">
        <w:rPr>
          <w:lang w:val="en-IE"/>
        </w:rPr>
        <w:t>Annex III – paragraph 1 – point 3 – point c a (new)</w:t>
      </w:r>
      <w:r w:rsidRPr="007047B5">
        <w:rPr>
          <w:rStyle w:val="HideTWBExt"/>
          <w:b w:val="0"/>
          <w:noProof w:val="0"/>
          <w:lang w:val="en-I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B2077" w:rsidRPr="007047B5" w14:paraId="069E8177" w14:textId="77777777" w:rsidTr="00CB2077">
        <w:trPr>
          <w:jc w:val="center"/>
        </w:trPr>
        <w:tc>
          <w:tcPr>
            <w:tcW w:w="9752" w:type="dxa"/>
            <w:gridSpan w:val="2"/>
          </w:tcPr>
          <w:p w14:paraId="5319249D" w14:textId="77777777" w:rsidR="00CB2077" w:rsidRPr="007047B5" w:rsidRDefault="00CB2077">
            <w:pPr>
              <w:keepNext/>
              <w:rPr>
                <w:lang w:val="en-IE"/>
              </w:rPr>
            </w:pPr>
          </w:p>
        </w:tc>
      </w:tr>
      <w:tr w:rsidR="00CB2077" w:rsidRPr="007047B5" w14:paraId="4149260A" w14:textId="77777777" w:rsidTr="00CB2077">
        <w:trPr>
          <w:jc w:val="center"/>
        </w:trPr>
        <w:tc>
          <w:tcPr>
            <w:tcW w:w="4876" w:type="dxa"/>
            <w:hideMark/>
          </w:tcPr>
          <w:p w14:paraId="09D97153" w14:textId="77777777" w:rsidR="00CB2077" w:rsidRPr="007047B5" w:rsidRDefault="00CB2077">
            <w:pPr>
              <w:pStyle w:val="ColumnHeading"/>
              <w:keepNext/>
              <w:rPr>
                <w:lang w:val="en-IE"/>
              </w:rPr>
            </w:pPr>
            <w:r w:rsidRPr="007047B5">
              <w:rPr>
                <w:lang w:val="en-IE"/>
              </w:rPr>
              <w:t>Text proposed by the Commission</w:t>
            </w:r>
          </w:p>
        </w:tc>
        <w:tc>
          <w:tcPr>
            <w:tcW w:w="4876" w:type="dxa"/>
            <w:hideMark/>
          </w:tcPr>
          <w:p w14:paraId="75DD2E61" w14:textId="77777777" w:rsidR="00CB2077" w:rsidRPr="007047B5" w:rsidRDefault="00CB2077">
            <w:pPr>
              <w:pStyle w:val="ColumnHeading"/>
              <w:keepNext/>
              <w:rPr>
                <w:lang w:val="en-IE"/>
              </w:rPr>
            </w:pPr>
            <w:r w:rsidRPr="007047B5">
              <w:rPr>
                <w:lang w:val="en-IE"/>
              </w:rPr>
              <w:t>Amendment</w:t>
            </w:r>
          </w:p>
        </w:tc>
      </w:tr>
      <w:tr w:rsidR="00CB2077" w:rsidRPr="007047B5" w14:paraId="0E408C13" w14:textId="77777777" w:rsidTr="00CB2077">
        <w:trPr>
          <w:jc w:val="center"/>
        </w:trPr>
        <w:tc>
          <w:tcPr>
            <w:tcW w:w="4876" w:type="dxa"/>
          </w:tcPr>
          <w:p w14:paraId="2E452F91" w14:textId="77777777" w:rsidR="00CB2077" w:rsidRPr="007047B5" w:rsidRDefault="00CB2077">
            <w:pPr>
              <w:pStyle w:val="Normal6"/>
              <w:rPr>
                <w:lang w:val="en-IE"/>
              </w:rPr>
            </w:pPr>
          </w:p>
        </w:tc>
        <w:tc>
          <w:tcPr>
            <w:tcW w:w="4876" w:type="dxa"/>
            <w:hideMark/>
          </w:tcPr>
          <w:p w14:paraId="2F3E90AA" w14:textId="68B88FA6" w:rsidR="00CB2077" w:rsidRPr="007047B5" w:rsidRDefault="00CB2077" w:rsidP="006F5456">
            <w:pPr>
              <w:pStyle w:val="Normal6"/>
              <w:rPr>
                <w:szCs w:val="24"/>
                <w:lang w:val="en-IE"/>
              </w:rPr>
            </w:pPr>
            <w:r w:rsidRPr="007047B5">
              <w:rPr>
                <w:b/>
                <w:i/>
                <w:lang w:val="en-IE"/>
              </w:rPr>
              <w:t>(ca)</w:t>
            </w:r>
            <w:r w:rsidRPr="007047B5">
              <w:rPr>
                <w:b/>
                <w:i/>
                <w:lang w:val="en-IE"/>
              </w:rPr>
              <w:tab/>
              <w:t>third countries identified by credible sources</w:t>
            </w:r>
            <w:r w:rsidR="006F5456" w:rsidRPr="007047B5">
              <w:rPr>
                <w:b/>
                <w:i/>
                <w:lang w:val="en-IE"/>
              </w:rPr>
              <w:t xml:space="preserve"> or</w:t>
            </w:r>
            <w:r w:rsidRPr="007047B5">
              <w:rPr>
                <w:b/>
                <w:i/>
                <w:lang w:val="en-IE"/>
              </w:rPr>
              <w:t xml:space="preserve"> acknowledged processes as being governed under authoritarian regimes or under political systems with weak democratic institutions or where effective standards of protection of the rule of law and human rights are weak.</w:t>
            </w:r>
          </w:p>
        </w:tc>
      </w:tr>
    </w:tbl>
    <w:p w14:paraId="5D4A5EDC" w14:textId="77777777" w:rsidR="00CB2077" w:rsidRPr="007047B5" w:rsidRDefault="00CB2077" w:rsidP="00CB2077">
      <w:pPr>
        <w:pStyle w:val="Olang"/>
        <w:rPr>
          <w:noProof w:val="0"/>
          <w:lang w:val="en-IE"/>
        </w:rPr>
      </w:pPr>
      <w:r w:rsidRPr="007047B5">
        <w:rPr>
          <w:noProof w:val="0"/>
          <w:lang w:val="en-IE"/>
        </w:rPr>
        <w:t xml:space="preserve">Or. </w:t>
      </w:r>
      <w:r w:rsidRPr="007047B5">
        <w:rPr>
          <w:rStyle w:val="HideTWBExt"/>
          <w:noProof w:val="0"/>
          <w:lang w:val="en-IE"/>
        </w:rPr>
        <w:t>&lt;Original&gt;</w:t>
      </w:r>
      <w:r w:rsidRPr="007047B5">
        <w:rPr>
          <w:rStyle w:val="HideTWBInt"/>
          <w:noProof w:val="0"/>
          <w:lang w:val="en-IE"/>
        </w:rPr>
        <w:t>{EN}</w:t>
      </w:r>
      <w:r w:rsidRPr="007047B5">
        <w:rPr>
          <w:noProof w:val="0"/>
          <w:lang w:val="en-IE"/>
        </w:rPr>
        <w:t>en</w:t>
      </w:r>
      <w:r w:rsidRPr="007047B5">
        <w:rPr>
          <w:rStyle w:val="HideTWBExt"/>
          <w:noProof w:val="0"/>
          <w:lang w:val="en-IE"/>
        </w:rPr>
        <w:t>&lt;/Original&gt;</w:t>
      </w:r>
    </w:p>
    <w:p w14:paraId="09261357" w14:textId="77777777" w:rsidR="00CB2077" w:rsidRPr="007047B5" w:rsidRDefault="00CB2077" w:rsidP="00CB2077">
      <w:pPr>
        <w:rPr>
          <w:lang w:val="en-IE"/>
        </w:rPr>
      </w:pPr>
      <w:r w:rsidRPr="007047B5">
        <w:rPr>
          <w:rStyle w:val="HideTWBExt"/>
          <w:noProof w:val="0"/>
          <w:lang w:val="en-IE"/>
        </w:rPr>
        <w:t>&lt;/Amend&gt;&lt;/RepeatBlock-Amend&gt;</w:t>
      </w:r>
    </w:p>
    <w:p w14:paraId="14C095EC" w14:textId="77777777" w:rsidR="00155724" w:rsidRPr="007047B5" w:rsidRDefault="00155724" w:rsidP="00155724">
      <w:pPr>
        <w:rPr>
          <w:lang w:val="en-IE"/>
        </w:rPr>
      </w:pPr>
    </w:p>
    <w:p w14:paraId="3B4443BE" w14:textId="77777777" w:rsidR="00155724" w:rsidRPr="007047B5" w:rsidRDefault="00155724" w:rsidP="00155724">
      <w:pPr>
        <w:rPr>
          <w:lang w:val="en-IE"/>
        </w:rPr>
        <w:sectPr w:rsidR="00155724" w:rsidRPr="007047B5" w:rsidSect="007047B5">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titlePg/>
        </w:sectPr>
      </w:pPr>
    </w:p>
    <w:p w14:paraId="44E7B507" w14:textId="77777777" w:rsidR="00155724" w:rsidRPr="007047B5" w:rsidRDefault="00155724" w:rsidP="00155724">
      <w:pPr>
        <w:pStyle w:val="PageHeading"/>
        <w:rPr>
          <w:lang w:val="en-IE"/>
        </w:rPr>
      </w:pPr>
      <w:bookmarkStart w:id="4" w:name="_Toc98500890"/>
      <w:r w:rsidRPr="007047B5">
        <w:rPr>
          <w:lang w:val="en-IE"/>
        </w:rPr>
        <w:lastRenderedPageBreak/>
        <w:t>EXPLANATORY STATEMENT</w:t>
      </w:r>
      <w:bookmarkEnd w:id="4"/>
    </w:p>
    <w:p w14:paraId="0818A1B1" w14:textId="77777777" w:rsidR="00155724" w:rsidRPr="007047B5" w:rsidRDefault="00155724" w:rsidP="00E7623C">
      <w:pPr>
        <w:spacing w:line="276" w:lineRule="auto"/>
        <w:jc w:val="both"/>
        <w:rPr>
          <w:lang w:val="en-IE"/>
        </w:rPr>
      </w:pPr>
      <w:r w:rsidRPr="007047B5">
        <w:rPr>
          <w:lang w:val="en-IE"/>
        </w:rPr>
        <w:t xml:space="preserve">Since the EU institutions adopted the 5th Anti-Money Laundering Directive, several consecutive scandals have laid bare severe vulnerabilities of the Union’s financial system. The unfathomable invasion of Ukraine by Russia and subsequent targeted sanctions imposed by governments on Russian oligarchs has made us question how such lenience towards suspicious flows of money has even been possible, for so long. The reform of the EU’s AML framework is, therefore, more topical than ever. The Union must take a much stronger stance towards stopping suspicious flows of money, reflected in our ability to ensure that financial institutions and all kinds of intermediaries duly comply with due diligence and reporting rules, but also that authorities and supervisors have the sufficient tools to make these firms firmly accountable. </w:t>
      </w:r>
    </w:p>
    <w:p w14:paraId="33FFB61A" w14:textId="77777777" w:rsidR="00155724" w:rsidRPr="007047B5" w:rsidRDefault="00155724" w:rsidP="00E7623C">
      <w:pPr>
        <w:spacing w:line="276" w:lineRule="auto"/>
        <w:jc w:val="both"/>
        <w:rPr>
          <w:iCs/>
          <w:color w:val="000000"/>
          <w:lang w:val="en-IE"/>
        </w:rPr>
      </w:pPr>
    </w:p>
    <w:p w14:paraId="73F9E320" w14:textId="77777777" w:rsidR="00155724" w:rsidRPr="007047B5" w:rsidRDefault="00155724" w:rsidP="00E7623C">
      <w:pPr>
        <w:spacing w:line="276" w:lineRule="auto"/>
        <w:jc w:val="both"/>
        <w:rPr>
          <w:shd w:val="clear" w:color="auto" w:fill="FFFFFF"/>
          <w:lang w:val="en-IE"/>
        </w:rPr>
      </w:pPr>
      <w:r w:rsidRPr="007047B5">
        <w:rPr>
          <w:shd w:val="clear" w:color="auto" w:fill="FFFFFF"/>
          <w:lang w:val="en-IE"/>
        </w:rPr>
        <w:t xml:space="preserve">Your co-rapporteurs welcome the AML package, which the EP called for several times, and in particular the proposal for a single rulebook, which is an essential step forward. The choice for an Anti-money Laundering Regulation (AMLR) instead of a Directive is the right response to the fragmented and ineffective regulatory landscape following the adoption of five AML Directives with minimum standards over the last 30 years. </w:t>
      </w:r>
    </w:p>
    <w:p w14:paraId="548B411A" w14:textId="77777777" w:rsidR="00155724" w:rsidRPr="007047B5" w:rsidRDefault="00155724" w:rsidP="00E7623C">
      <w:pPr>
        <w:spacing w:line="276" w:lineRule="auto"/>
        <w:jc w:val="both"/>
        <w:rPr>
          <w:shd w:val="clear" w:color="auto" w:fill="FFFFFF"/>
          <w:lang w:val="en-IE"/>
        </w:rPr>
      </w:pPr>
    </w:p>
    <w:p w14:paraId="7D4D73A9" w14:textId="77777777" w:rsidR="00155724" w:rsidRPr="007047B5" w:rsidRDefault="00155724" w:rsidP="00E7623C">
      <w:pPr>
        <w:spacing w:line="276" w:lineRule="auto"/>
        <w:jc w:val="both"/>
        <w:rPr>
          <w:lang w:val="en-IE"/>
        </w:rPr>
      </w:pPr>
      <w:r w:rsidRPr="007047B5">
        <w:rPr>
          <w:shd w:val="clear" w:color="auto" w:fill="FFFFFF"/>
          <w:lang w:val="en-IE"/>
        </w:rPr>
        <w:t>Your co-rapporteurs welcome the extension of the scope of obliged entities towards a</w:t>
      </w:r>
      <w:r w:rsidRPr="007047B5">
        <w:rPr>
          <w:lang w:val="en-IE"/>
        </w:rPr>
        <w:t xml:space="preserve">ll types and categories of crypto-asset service providers. The current discussion about whether persons targeted by recent financial sanctions may be able to circumvent the measures through the crypto-asset industry makes this inclusion all the more relevant. </w:t>
      </w:r>
    </w:p>
    <w:p w14:paraId="1F5B05D8" w14:textId="77777777" w:rsidR="00155724" w:rsidRPr="007047B5" w:rsidRDefault="00155724" w:rsidP="00E7623C">
      <w:pPr>
        <w:spacing w:line="276" w:lineRule="auto"/>
        <w:jc w:val="both"/>
        <w:rPr>
          <w:lang w:val="en-IE"/>
        </w:rPr>
      </w:pPr>
    </w:p>
    <w:p w14:paraId="01FBF53B" w14:textId="77777777" w:rsidR="00155724" w:rsidRPr="007047B5" w:rsidRDefault="00155724" w:rsidP="00E7623C">
      <w:pPr>
        <w:spacing w:line="276" w:lineRule="auto"/>
        <w:jc w:val="both"/>
        <w:rPr>
          <w:lang w:val="en-IE"/>
        </w:rPr>
      </w:pPr>
      <w:r w:rsidRPr="007047B5">
        <w:rPr>
          <w:lang w:val="en-IE"/>
        </w:rPr>
        <w:t xml:space="preserve">Also the inclusion of crowdfunding service providers as obliged entities is a step forward, however this should concern all crowdfunding service providers operating in Europe, including those regulated by EU rules. </w:t>
      </w:r>
    </w:p>
    <w:p w14:paraId="39FB9008" w14:textId="77777777" w:rsidR="00155724" w:rsidRPr="007047B5" w:rsidRDefault="00155724" w:rsidP="00E7623C">
      <w:pPr>
        <w:spacing w:line="276" w:lineRule="auto"/>
        <w:jc w:val="both"/>
        <w:rPr>
          <w:color w:val="404040"/>
          <w:shd w:val="clear" w:color="auto" w:fill="FFFFFF"/>
          <w:lang w:val="en-IE"/>
        </w:rPr>
      </w:pPr>
    </w:p>
    <w:p w14:paraId="02D15436" w14:textId="77777777" w:rsidR="00155724" w:rsidRPr="007047B5" w:rsidRDefault="00155724" w:rsidP="00E7623C">
      <w:pPr>
        <w:spacing w:line="276" w:lineRule="auto"/>
        <w:jc w:val="both"/>
        <w:rPr>
          <w:shd w:val="clear" w:color="auto" w:fill="FFFFFF"/>
          <w:lang w:val="en-IE"/>
        </w:rPr>
      </w:pPr>
      <w:r w:rsidRPr="007047B5">
        <w:rPr>
          <w:shd w:val="clear" w:color="auto" w:fill="FFFFFF"/>
          <w:lang w:val="en-IE"/>
        </w:rPr>
        <w:t>Your co-rapporteurs further add wealth managers to the list of entities subject to AML/CFT rules, as well as high-level football clubs, agents in the football sector and Member States’ football associations. In 2021, Europol qualified professional sport, and professional football in particular, as prone to the risks of criminal money and money laundering transactions</w:t>
      </w:r>
      <w:r w:rsidRPr="007047B5">
        <w:rPr>
          <w:rStyle w:val="FootnoteReference"/>
          <w:shd w:val="clear" w:color="auto" w:fill="FFFFFF"/>
          <w:lang w:val="en-IE"/>
        </w:rPr>
        <w:footnoteReference w:id="3"/>
      </w:r>
      <w:r w:rsidRPr="007047B5">
        <w:rPr>
          <w:shd w:val="clear" w:color="auto" w:fill="FFFFFF"/>
          <w:lang w:val="en-IE"/>
        </w:rPr>
        <w:t xml:space="preserve">. The Commission has included professional football in its 2019 supra national risk assessment </w:t>
      </w:r>
      <w:r w:rsidRPr="007047B5">
        <w:rPr>
          <w:rStyle w:val="FootnoteReference"/>
          <w:shd w:val="clear" w:color="auto" w:fill="FFFFFF"/>
          <w:lang w:val="en-IE"/>
        </w:rPr>
        <w:footnoteReference w:id="4"/>
      </w:r>
      <w:r w:rsidRPr="007047B5">
        <w:rPr>
          <w:shd w:val="clear" w:color="auto" w:fill="FFFFFF"/>
          <w:lang w:val="en-IE"/>
        </w:rPr>
        <w:t xml:space="preserve">, since whilst it remains a popular sport it is also a global industry with significant economic impact. Questionable sums of money with no apparent or explicable financial return or gain are being invested in the sport. High-level professional football clubs and football associations, as well as sport agents in the football sector, are therefore entities posing high risks and should </w:t>
      </w:r>
      <w:r w:rsidRPr="007047B5">
        <w:rPr>
          <w:shd w:val="clear" w:color="auto" w:fill="FFFFFF"/>
          <w:lang w:val="en-IE"/>
        </w:rPr>
        <w:lastRenderedPageBreak/>
        <w:t>therefore be added to the list of obliged entities.</w:t>
      </w:r>
    </w:p>
    <w:p w14:paraId="339842CE" w14:textId="77777777" w:rsidR="00155724" w:rsidRPr="007047B5" w:rsidRDefault="00155724" w:rsidP="00E7623C">
      <w:pPr>
        <w:spacing w:line="276" w:lineRule="auto"/>
        <w:jc w:val="both"/>
        <w:rPr>
          <w:shd w:val="clear" w:color="auto" w:fill="FFFFFF"/>
          <w:lang w:val="en-IE"/>
        </w:rPr>
      </w:pPr>
    </w:p>
    <w:p w14:paraId="7347B299" w14:textId="77777777" w:rsidR="00155724" w:rsidRPr="007047B5" w:rsidRDefault="00155724" w:rsidP="00E7623C">
      <w:pPr>
        <w:spacing w:line="276" w:lineRule="auto"/>
        <w:jc w:val="both"/>
        <w:rPr>
          <w:shd w:val="clear" w:color="auto" w:fill="FFFFFF"/>
          <w:lang w:val="en-IE"/>
        </w:rPr>
      </w:pPr>
      <w:r w:rsidRPr="007047B5">
        <w:rPr>
          <w:shd w:val="clear" w:color="auto" w:fill="FFFFFF"/>
          <w:lang w:val="en-IE"/>
        </w:rPr>
        <w:t xml:space="preserve">The risks of ML/FT involving works of art and other high value goods are well known. This is why your co-rapporteurs propose to reduce the value of goods from which due diligence obligations apply from EUR 10 000 to EUR 5 000. </w:t>
      </w:r>
    </w:p>
    <w:p w14:paraId="209B9FA7" w14:textId="77777777" w:rsidR="00155724" w:rsidRPr="007047B5" w:rsidRDefault="00155724" w:rsidP="00E7623C">
      <w:pPr>
        <w:spacing w:line="276" w:lineRule="auto"/>
        <w:jc w:val="both"/>
        <w:rPr>
          <w:color w:val="3C4043"/>
          <w:spacing w:val="3"/>
          <w:shd w:val="clear" w:color="auto" w:fill="FFFFFF"/>
          <w:lang w:val="en-IE"/>
        </w:rPr>
      </w:pPr>
    </w:p>
    <w:p w14:paraId="0D489E1E" w14:textId="77777777" w:rsidR="00155724" w:rsidRPr="007047B5" w:rsidRDefault="00155724" w:rsidP="00E7623C">
      <w:pPr>
        <w:spacing w:line="276" w:lineRule="auto"/>
        <w:jc w:val="both"/>
        <w:rPr>
          <w:shd w:val="clear" w:color="auto" w:fill="FFFFFF"/>
          <w:lang w:val="en-IE"/>
        </w:rPr>
      </w:pPr>
      <w:r w:rsidRPr="007047B5">
        <w:rPr>
          <w:shd w:val="clear" w:color="auto" w:fill="FFFFFF"/>
          <w:lang w:val="en-IE"/>
        </w:rPr>
        <w:t xml:space="preserve">The EP considers schemes granting nationality on the basis of a financial investment (CBI schemes), also known as ‘golden passports’, as objectionable from an ethical, legal and economic point of view and pose serious security risks for Union citizens, such as money-laundering and corruption. The co-rapporteurs agree that CBI schemes should be completely banned, and not regulated. However, given the legal uncertainty on this issue, which will only be settled by the European Court, they decided to include CBI schemes in the scope of the regulatory measures. They welcome that the Commission enlisted agents involved in these schemes as obliged entities. However, your co-rapporteurs believe we must go much further to address concerns. Notably, amongst other measures, Member States granting these schemes must ensure that public authorities processing applications carry out specific measures to ensure that such transactions are not misused for AML/TF purposes. </w:t>
      </w:r>
    </w:p>
    <w:p w14:paraId="35E68D36" w14:textId="77777777" w:rsidR="00155724" w:rsidRPr="007047B5" w:rsidRDefault="00155724" w:rsidP="00E7623C">
      <w:pPr>
        <w:spacing w:line="276" w:lineRule="auto"/>
        <w:jc w:val="both"/>
        <w:rPr>
          <w:color w:val="000000"/>
          <w:lang w:val="en-IE"/>
        </w:rPr>
      </w:pPr>
    </w:p>
    <w:p w14:paraId="68C41FD0" w14:textId="77777777" w:rsidR="00155724" w:rsidRPr="007047B5" w:rsidRDefault="00155724" w:rsidP="00E7623C">
      <w:pPr>
        <w:spacing w:line="276" w:lineRule="auto"/>
        <w:jc w:val="both"/>
        <w:rPr>
          <w:color w:val="000000"/>
          <w:lang w:val="en-IE"/>
        </w:rPr>
      </w:pPr>
      <w:r w:rsidRPr="007047B5">
        <w:rPr>
          <w:color w:val="000000"/>
          <w:lang w:val="en-IE"/>
        </w:rPr>
        <w:t xml:space="preserve">Internal policies, controls and procedures by obliged entities to mitigate and manage the risks of non-implementation and evasion of targeted financial sanctions are crucial to ensure that they are effective. At the same time, these procedures need to be more proportional. This proportionality principle should therefore be further elaborated by AMLA and the Commission through the adoption of a delegated act, which would be useful for obliged entities which are sole traders, single operators or microenterprises. </w:t>
      </w:r>
    </w:p>
    <w:p w14:paraId="47056E8A" w14:textId="77777777" w:rsidR="00155724" w:rsidRPr="007047B5" w:rsidRDefault="00155724" w:rsidP="00E7623C">
      <w:pPr>
        <w:spacing w:line="276" w:lineRule="auto"/>
        <w:jc w:val="both"/>
        <w:rPr>
          <w:color w:val="000000"/>
          <w:lang w:val="en-IE"/>
        </w:rPr>
      </w:pPr>
    </w:p>
    <w:p w14:paraId="366E8744" w14:textId="77777777" w:rsidR="00155724" w:rsidRPr="007047B5" w:rsidRDefault="00155724" w:rsidP="00E7623C">
      <w:pPr>
        <w:spacing w:line="276" w:lineRule="auto"/>
        <w:jc w:val="both"/>
        <w:rPr>
          <w:color w:val="000000"/>
          <w:lang w:val="en-IE"/>
        </w:rPr>
      </w:pPr>
      <w:r w:rsidRPr="007047B5">
        <w:rPr>
          <w:color w:val="000000"/>
          <w:lang w:val="en-IE"/>
        </w:rPr>
        <w:t>Customer due diligence (CDD) is a key instrument to detect suspicious activity and prevent ML/TF through a risk-based approach. Your co-rapporteurs believe it is crucial to extend more clearly CDD obligations to crypto-asset occasional transactions and provide specific proposals on this. Furthermore, abilities to bypass the requirements to apply customer due diligence measures and submit suspicious transaction reports should be more clearly specified in the law to prevent abuse. Your co-rapporteurs highlight that legal privilege or professional secrecy play a fundamental role in democratic societies, not just so that lawyers and other legal professionals to defend their clients in court, but also to ensure that citizens and legal entities can seek advice on their position in view of the applicable laws. At the same time, the concept of legal privilege has its limits, as elaborated in the report.</w:t>
      </w:r>
    </w:p>
    <w:p w14:paraId="4947FB18" w14:textId="77777777" w:rsidR="00155724" w:rsidRPr="007047B5" w:rsidRDefault="00155724" w:rsidP="00E7623C">
      <w:pPr>
        <w:spacing w:line="276" w:lineRule="auto"/>
        <w:jc w:val="both"/>
        <w:rPr>
          <w:color w:val="000000"/>
          <w:lang w:val="en-IE"/>
        </w:rPr>
      </w:pPr>
    </w:p>
    <w:p w14:paraId="697894D1" w14:textId="761D2D85" w:rsidR="00155724" w:rsidRPr="007047B5" w:rsidRDefault="00155724" w:rsidP="00E7623C">
      <w:pPr>
        <w:spacing w:line="276" w:lineRule="auto"/>
        <w:jc w:val="both"/>
        <w:rPr>
          <w:b/>
          <w:color w:val="000000"/>
          <w:lang w:val="en-IE"/>
        </w:rPr>
      </w:pPr>
      <w:r w:rsidRPr="007047B5">
        <w:rPr>
          <w:color w:val="000000"/>
          <w:lang w:val="en-IE"/>
        </w:rPr>
        <w:t xml:space="preserve">The EC proposal on a robust Third Country Policy is appreciated. Further in line with the EPs wish to have an autonomous list and in line with recent developments, your co-rapporteurs propose adding a number of criteria in the assessment of third countries, including alignment with targeted sanctions policy, and also provide for the possibility for the Parliament and the Council to request the Commission an analysis of a specific third country. Furthermore, certain credit or financial institutions established in third countries or crypto asset service providers not </w:t>
      </w:r>
      <w:r w:rsidRPr="007047B5">
        <w:rPr>
          <w:color w:val="000000"/>
          <w:lang w:val="en-IE"/>
        </w:rPr>
        <w:lastRenderedPageBreak/>
        <w:t>established in the EU may also pose a specific and serious threat to the financial system of the Union. Its the co-rapporteurs whish that the Commission is allowed to take action against such institutions and can require the application of concrete enhanced due diligence measures and specific countermeasures against such institutions.</w:t>
      </w:r>
    </w:p>
    <w:p w14:paraId="51F2129B" w14:textId="77777777" w:rsidR="00155724" w:rsidRPr="007047B5" w:rsidRDefault="00155724" w:rsidP="00E7623C">
      <w:pPr>
        <w:spacing w:line="276" w:lineRule="auto"/>
        <w:jc w:val="both"/>
        <w:rPr>
          <w:color w:val="000000"/>
          <w:lang w:val="en-IE"/>
        </w:rPr>
      </w:pPr>
    </w:p>
    <w:p w14:paraId="4EC0A7BD" w14:textId="77777777" w:rsidR="00155724" w:rsidRPr="007047B5" w:rsidRDefault="00155724" w:rsidP="00E7623C">
      <w:pPr>
        <w:spacing w:line="276" w:lineRule="auto"/>
        <w:jc w:val="both"/>
        <w:rPr>
          <w:color w:val="000000"/>
          <w:lang w:val="en-IE"/>
        </w:rPr>
      </w:pPr>
      <w:r w:rsidRPr="007047B5">
        <w:rPr>
          <w:color w:val="000000"/>
          <w:lang w:val="en-IE"/>
        </w:rPr>
        <w:t xml:space="preserve">Your co-rapporteurs extend specific enhanced due diligence measures to crypto-asset transactions, service providers and accounts, and insert a specific prohibition of correspondent relationships with non-compliant crypto-asset service providers. To help obliged entities identify shell banks and non-compliant crypto-asset service providers, your co-rapporteurs introduce a mandate for AMLA to create an indicative and non-exhaustive public register, fed with information provided by other bodies. </w:t>
      </w:r>
    </w:p>
    <w:p w14:paraId="4FEFD8EC" w14:textId="77777777" w:rsidR="00155724" w:rsidRPr="007047B5" w:rsidRDefault="00155724" w:rsidP="00E7623C">
      <w:pPr>
        <w:spacing w:line="276" w:lineRule="auto"/>
        <w:jc w:val="both"/>
        <w:rPr>
          <w:color w:val="000000"/>
          <w:lang w:val="en-IE"/>
        </w:rPr>
      </w:pPr>
    </w:p>
    <w:p w14:paraId="3F61B8B7" w14:textId="77777777" w:rsidR="00155724" w:rsidRPr="007047B5" w:rsidRDefault="00155724" w:rsidP="00E7623C">
      <w:pPr>
        <w:spacing w:line="276" w:lineRule="auto"/>
        <w:jc w:val="both"/>
        <w:rPr>
          <w:color w:val="000000"/>
          <w:lang w:val="en-IE"/>
        </w:rPr>
      </w:pPr>
      <w:r w:rsidRPr="007047B5">
        <w:rPr>
          <w:color w:val="000000"/>
          <w:lang w:val="en-IE"/>
        </w:rPr>
        <w:t xml:space="preserve">Your co-rapporteurs believe that the list of persons that qualify as PEPs should integrate heads of regional and local authorities, including groupings of municipalities and metropolitan regions, given the large budget that these officials are sometimes responsible for in an executive role, including in public procurement processes. Given the clear proximity with PEPs, siblings should also be added to the definition of family members. </w:t>
      </w:r>
    </w:p>
    <w:p w14:paraId="22F81C4C" w14:textId="77777777" w:rsidR="00155724" w:rsidRPr="007047B5" w:rsidRDefault="00155724" w:rsidP="00E7623C">
      <w:pPr>
        <w:spacing w:line="276" w:lineRule="auto"/>
        <w:jc w:val="both"/>
        <w:rPr>
          <w:color w:val="000000"/>
          <w:lang w:val="en-IE"/>
        </w:rPr>
      </w:pPr>
    </w:p>
    <w:p w14:paraId="236264F4" w14:textId="77777777" w:rsidR="00155724" w:rsidRPr="007047B5" w:rsidRDefault="00155724" w:rsidP="00E7623C">
      <w:pPr>
        <w:spacing w:line="276" w:lineRule="auto"/>
        <w:jc w:val="both"/>
        <w:rPr>
          <w:color w:val="000000"/>
          <w:lang w:val="en-IE"/>
        </w:rPr>
      </w:pPr>
      <w:r w:rsidRPr="007047B5">
        <w:rPr>
          <w:color w:val="000000"/>
          <w:lang w:val="en-IE"/>
        </w:rPr>
        <w:t>Business relationships and transactions involving high net worth individuals who present one or several factors of higher risk may seriously compromise the integrity of the Union’s financial system and cause serious vulnerabilities to the internal market. The recent revelations on the Pandora Papers and Swiss Secrets</w:t>
      </w:r>
      <w:r w:rsidRPr="007047B5">
        <w:rPr>
          <w:rStyle w:val="FootnoteReference"/>
          <w:color w:val="000000"/>
          <w:lang w:val="en-IE"/>
        </w:rPr>
        <w:footnoteReference w:id="5"/>
      </w:r>
      <w:r w:rsidRPr="007047B5">
        <w:rPr>
          <w:color w:val="000000"/>
          <w:lang w:val="en-IE"/>
        </w:rPr>
        <w:t xml:space="preserve"> have shown that financial institutions are still willing to side-line CDD obligations towards high net worth customers, even when the source of funds and wealth of clients should have raised many red flags. Your co-rapporteurs find this unacceptable, especially when customers deemed high risk, but with lower net wealth, are being subject to de-risking and denied basic financial services due to AML/CFT compliance costs. The co-rapporteurs propose, therefore, mandatory enhanced customer due diligence measures in addition to other measures with respect to high net worth customers, as well as guidelines on de-risking and access to basic financial services, which should be granted to all.</w:t>
      </w:r>
    </w:p>
    <w:p w14:paraId="10C7BA36" w14:textId="77777777" w:rsidR="00155724" w:rsidRPr="007047B5" w:rsidRDefault="00155724" w:rsidP="00E7623C">
      <w:pPr>
        <w:spacing w:line="276" w:lineRule="auto"/>
        <w:jc w:val="both"/>
        <w:rPr>
          <w:color w:val="000000"/>
          <w:lang w:val="en-IE"/>
        </w:rPr>
      </w:pPr>
    </w:p>
    <w:p w14:paraId="593F6DBA" w14:textId="77777777" w:rsidR="00155724" w:rsidRPr="007047B5" w:rsidRDefault="00155724" w:rsidP="00E7623C">
      <w:pPr>
        <w:spacing w:line="276" w:lineRule="auto"/>
        <w:jc w:val="both"/>
        <w:rPr>
          <w:color w:val="000000"/>
          <w:lang w:val="en-IE"/>
        </w:rPr>
      </w:pPr>
      <w:r w:rsidRPr="007047B5">
        <w:rPr>
          <w:color w:val="000000"/>
          <w:lang w:val="en-IE"/>
        </w:rPr>
        <w:t xml:space="preserve">The concept of beneficial ownership is crucial to increase transparency of complex corporate structures and ease compliance with AML/CFT rules. In this regard, the beneficial ownership (BO) register is a key instrument to grant sufficient transparency and assist obliged entities in their CDD obligations as well as competent authorities in their tasks. However, to reduce the chances to circumvent this tool, it is important to reduce the percentage threshold that serves as indication of ownership of a legal entity from 25% to 5%. </w:t>
      </w:r>
    </w:p>
    <w:p w14:paraId="716156AD" w14:textId="77777777" w:rsidR="00155724" w:rsidRPr="007047B5" w:rsidRDefault="00155724" w:rsidP="00E7623C">
      <w:pPr>
        <w:spacing w:line="276" w:lineRule="auto"/>
        <w:jc w:val="both"/>
        <w:rPr>
          <w:color w:val="000000"/>
          <w:lang w:val="en-IE"/>
        </w:rPr>
      </w:pPr>
    </w:p>
    <w:p w14:paraId="3E473072" w14:textId="77777777" w:rsidR="00155724" w:rsidRPr="007047B5" w:rsidRDefault="00155724" w:rsidP="00E7623C">
      <w:pPr>
        <w:spacing w:line="276" w:lineRule="auto"/>
        <w:jc w:val="both"/>
        <w:rPr>
          <w:color w:val="000000"/>
          <w:lang w:val="en-IE"/>
        </w:rPr>
      </w:pPr>
      <w:r w:rsidRPr="007047B5">
        <w:rPr>
          <w:color w:val="000000"/>
          <w:lang w:val="en-IE"/>
        </w:rPr>
        <w:t xml:space="preserve">As stressed by the Parliament in the past, business relationships with foreign entities with significant presence in the internal market should trigger an obligation to register the beneficial owner of these entities in the Union. Your co-rapporteurs welcome that the Commission made </w:t>
      </w:r>
      <w:r w:rsidRPr="007047B5">
        <w:rPr>
          <w:color w:val="000000"/>
          <w:lang w:val="en-IE"/>
        </w:rPr>
        <w:lastRenderedPageBreak/>
        <w:t xml:space="preserve">this proposal, which is particularly relevant for the purchase of real estate. We should no longer allow the purchase of property in the EU by shell companies in tax havens, without any information on their beneficial owner. Your co-rapporteurs propose to extend the obligation to register to already existing business relationships and property owned by foreign entities at the date of application of this Regulation. </w:t>
      </w:r>
    </w:p>
    <w:p w14:paraId="4C1A5A28" w14:textId="77777777" w:rsidR="00155724" w:rsidRPr="007047B5" w:rsidRDefault="00155724" w:rsidP="00E7623C">
      <w:pPr>
        <w:pStyle w:val="ListParagraph"/>
        <w:spacing w:line="276" w:lineRule="auto"/>
        <w:rPr>
          <w:color w:val="000000"/>
          <w:lang w:val="en-IE"/>
        </w:rPr>
      </w:pPr>
    </w:p>
    <w:p w14:paraId="2A019B15" w14:textId="77777777" w:rsidR="00155724" w:rsidRPr="007047B5" w:rsidRDefault="00155724" w:rsidP="00E7623C">
      <w:pPr>
        <w:spacing w:line="276" w:lineRule="auto"/>
        <w:jc w:val="both"/>
        <w:rPr>
          <w:color w:val="000000"/>
          <w:lang w:val="en-IE"/>
        </w:rPr>
      </w:pPr>
      <w:r w:rsidRPr="007047B5">
        <w:rPr>
          <w:color w:val="000000"/>
          <w:lang w:val="en-IE"/>
        </w:rPr>
        <w:t>Certain aspects of the implementation of the AML/CFT framework involve the collection, analysis, storage and sharing of data. Your co-rapporteurs fully agree that processing of personal data for the purposes of ML/TF should be done in accordance with fundamental rights as guaranteed by the Charter and, in particular, with the GDPR, on the grounds of public interest. Still, the processing of special categories of data should be subject to stricter rules. Given the risks posed by the processing of such data.</w:t>
      </w:r>
    </w:p>
    <w:p w14:paraId="1AA73359" w14:textId="77777777" w:rsidR="00155724" w:rsidRPr="007047B5" w:rsidRDefault="00155724" w:rsidP="00E7623C">
      <w:pPr>
        <w:spacing w:line="276" w:lineRule="auto"/>
        <w:jc w:val="both"/>
        <w:rPr>
          <w:color w:val="000000"/>
          <w:lang w:val="en-IE"/>
        </w:rPr>
      </w:pPr>
    </w:p>
    <w:p w14:paraId="1B699216" w14:textId="77777777" w:rsidR="00155724" w:rsidRPr="007047B5" w:rsidRDefault="00155724" w:rsidP="00E7623C">
      <w:pPr>
        <w:spacing w:line="276" w:lineRule="auto"/>
        <w:jc w:val="both"/>
        <w:rPr>
          <w:color w:val="000000"/>
          <w:lang w:val="en-IE"/>
        </w:rPr>
      </w:pPr>
      <w:r w:rsidRPr="007047B5">
        <w:rPr>
          <w:color w:val="000000"/>
          <w:lang w:val="en-IE"/>
        </w:rPr>
        <w:t xml:space="preserve">Whilst fully recognising the importance of the ability to pay in cash, your co-rapporteurs agree with the Commission that large cash payments are an easy way for criminals to launder money, since it is very difficult to detect these transactions. However, in order to be truly effective, your co-rapporteurs believe that the proposed threshold needs to be reduced from EUR 10 000 to EUR 5 000. Moreover, in order to tackle all forms of anonymous ownership instruments, or those which provide for certain degrees of obfuscated ownership, your co-rapporteurs propose the ban of all forms of bearer shares. </w:t>
      </w:r>
    </w:p>
    <w:p w14:paraId="3C1604AC" w14:textId="77777777" w:rsidR="00155724" w:rsidRPr="007047B5" w:rsidRDefault="00155724" w:rsidP="00E7623C">
      <w:pPr>
        <w:jc w:val="both"/>
        <w:rPr>
          <w:lang w:val="en-IE"/>
        </w:rPr>
      </w:pPr>
    </w:p>
    <w:p w14:paraId="33BE1A8B" w14:textId="77777777" w:rsidR="00155724" w:rsidRPr="005A0D9F" w:rsidRDefault="00155724" w:rsidP="00155724">
      <w:pPr>
        <w:rPr>
          <w:lang w:val="en-IE"/>
        </w:rPr>
      </w:pPr>
    </w:p>
    <w:sectPr w:rsidR="00155724" w:rsidRPr="005A0D9F" w:rsidSect="0015572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71794" w14:textId="77777777" w:rsidR="00C86AF9" w:rsidRPr="00E27EA8" w:rsidRDefault="00C86AF9">
      <w:r w:rsidRPr="00E27EA8">
        <w:separator/>
      </w:r>
    </w:p>
  </w:endnote>
  <w:endnote w:type="continuationSeparator" w:id="0">
    <w:p w14:paraId="049E6EED" w14:textId="77777777" w:rsidR="00C86AF9" w:rsidRPr="00E27EA8" w:rsidRDefault="00C86AF9">
      <w:r w:rsidRPr="00E27E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Leelawadee UI"/>
    <w:charset w:val="00"/>
    <w:family w:val="swiss"/>
    <w:pitch w:val="variable"/>
    <w:sig w:usb0="00000000" w:usb1="00000000" w:usb2="00000000" w:usb3="00000000" w:csb0="00010001" w:csb1="00000000"/>
  </w:font>
  <w:font w:name="Times New Roman Bold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E56F" w14:textId="439D09FC" w:rsidR="007047B5" w:rsidRPr="005A0D9F" w:rsidRDefault="007047B5" w:rsidP="007047B5">
    <w:pPr>
      <w:pStyle w:val="EPFooter"/>
      <w:rPr>
        <w:lang w:val="fr-BE"/>
      </w:rPr>
    </w:pPr>
    <w:r w:rsidRPr="005A0D9F">
      <w:rPr>
        <w:lang w:val="fr-BE"/>
      </w:rPr>
      <w:t>PE</w:t>
    </w:r>
    <w:r w:rsidRPr="005A0D9F">
      <w:rPr>
        <w:rStyle w:val="HideTWBExt"/>
        <w:lang w:val="fr-BE"/>
      </w:rPr>
      <w:t>&lt;NoPE&gt;</w:t>
    </w:r>
    <w:r w:rsidRPr="005A0D9F">
      <w:rPr>
        <w:lang w:val="fr-BE"/>
      </w:rPr>
      <w:t>719.945</w:t>
    </w:r>
    <w:r w:rsidRPr="005A0D9F">
      <w:rPr>
        <w:rStyle w:val="HideTWBExt"/>
        <w:lang w:val="fr-BE"/>
      </w:rPr>
      <w:t>&lt;/NoPE&gt;&lt;Version&gt;</w:t>
    </w:r>
    <w:r w:rsidRPr="005A0D9F">
      <w:rPr>
        <w:lang w:val="fr-BE"/>
      </w:rPr>
      <w:t>v01-00</w:t>
    </w:r>
    <w:r w:rsidRPr="005A0D9F">
      <w:rPr>
        <w:rStyle w:val="HideTWBExt"/>
        <w:lang w:val="fr-BE"/>
      </w:rPr>
      <w:t>&lt;/Version&gt;</w:t>
    </w:r>
    <w:r w:rsidRPr="005A0D9F">
      <w:rPr>
        <w:lang w:val="fr-BE"/>
      </w:rPr>
      <w:tab/>
    </w:r>
    <w:r>
      <w:fldChar w:fldCharType="begin"/>
    </w:r>
    <w:r w:rsidRPr="005A0D9F">
      <w:rPr>
        <w:lang w:val="fr-BE"/>
      </w:rPr>
      <w:instrText xml:space="preserve"> PAGE  \* MERGEFORMAT </w:instrText>
    </w:r>
    <w:r>
      <w:fldChar w:fldCharType="separate"/>
    </w:r>
    <w:r w:rsidR="004D0132">
      <w:rPr>
        <w:noProof/>
        <w:lang w:val="fr-BE"/>
      </w:rPr>
      <w:t>72</w:t>
    </w:r>
    <w:r>
      <w:fldChar w:fldCharType="end"/>
    </w:r>
    <w:r w:rsidRPr="005A0D9F">
      <w:rPr>
        <w:lang w:val="fr-BE"/>
      </w:rPr>
      <w:t>/</w:t>
    </w:r>
    <w:r>
      <w:fldChar w:fldCharType="begin"/>
    </w:r>
    <w:r w:rsidRPr="005A0D9F">
      <w:rPr>
        <w:lang w:val="fr-BE"/>
      </w:rPr>
      <w:instrText xml:space="preserve"> NUMPAGES  \* MERGEFORMAT </w:instrText>
    </w:r>
    <w:r>
      <w:fldChar w:fldCharType="separate"/>
    </w:r>
    <w:r w:rsidR="004D0132">
      <w:rPr>
        <w:noProof/>
        <w:lang w:val="fr-BE"/>
      </w:rPr>
      <w:t>72</w:t>
    </w:r>
    <w:r>
      <w:fldChar w:fldCharType="end"/>
    </w:r>
    <w:r w:rsidRPr="005A0D9F">
      <w:rPr>
        <w:lang w:val="fr-BE"/>
      </w:rPr>
      <w:tab/>
    </w:r>
    <w:r w:rsidRPr="005A0D9F">
      <w:rPr>
        <w:rStyle w:val="HideTWBExt"/>
        <w:lang w:val="fr-BE"/>
      </w:rPr>
      <w:t>&lt;PathFdR&gt;</w:t>
    </w:r>
    <w:r w:rsidRPr="005A0D9F">
      <w:rPr>
        <w:lang w:val="fr-BE"/>
      </w:rPr>
      <w:t>PR\1251357EN.docx</w:t>
    </w:r>
    <w:r w:rsidRPr="005A0D9F">
      <w:rPr>
        <w:rStyle w:val="HideTWBExt"/>
        <w:lang w:val="fr-BE"/>
      </w:rPr>
      <w:t>&lt;/PathFdR&gt;</w:t>
    </w:r>
  </w:p>
  <w:p w14:paraId="017D233E" w14:textId="5CBCE444" w:rsidR="00C86AF9" w:rsidRPr="00E27EA8" w:rsidRDefault="007047B5" w:rsidP="007047B5">
    <w:pPr>
      <w:pStyle w:val="EPFooter2"/>
    </w:pPr>
    <w: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15AA8" w14:textId="66012607" w:rsidR="007047B5" w:rsidRDefault="007047B5" w:rsidP="007047B5">
    <w:pPr>
      <w:pStyle w:val="EPFooter"/>
    </w:pPr>
    <w:r w:rsidRPr="007047B5">
      <w:rPr>
        <w:rStyle w:val="HideTWBExt"/>
      </w:rPr>
      <w:t>&lt;PathFdR&gt;</w:t>
    </w:r>
    <w:r>
      <w:t>PR\1251357EN.docx</w:t>
    </w:r>
    <w:r w:rsidRPr="007047B5">
      <w:rPr>
        <w:rStyle w:val="HideTWBExt"/>
      </w:rPr>
      <w:t>&lt;/PathFdR&gt;</w:t>
    </w:r>
    <w:r>
      <w:tab/>
    </w:r>
    <w:r>
      <w:fldChar w:fldCharType="begin"/>
    </w:r>
    <w:r>
      <w:instrText xml:space="preserve"> PAGE  \* MERGEFORMAT </w:instrText>
    </w:r>
    <w:r>
      <w:fldChar w:fldCharType="separate"/>
    </w:r>
    <w:r w:rsidR="004D0132">
      <w:rPr>
        <w:noProof/>
      </w:rPr>
      <w:t>73</w:t>
    </w:r>
    <w:r>
      <w:fldChar w:fldCharType="end"/>
    </w:r>
    <w:r>
      <w:t>/</w:t>
    </w:r>
    <w:r w:rsidR="004D0132">
      <w:fldChar w:fldCharType="begin"/>
    </w:r>
    <w:r w:rsidR="004D0132">
      <w:instrText xml:space="preserve"> NUMPAGES  \* MERGEFORMAT </w:instrText>
    </w:r>
    <w:r w:rsidR="004D0132">
      <w:fldChar w:fldCharType="separate"/>
    </w:r>
    <w:r w:rsidR="004D0132">
      <w:rPr>
        <w:noProof/>
      </w:rPr>
      <w:t>73</w:t>
    </w:r>
    <w:r w:rsidR="004D0132">
      <w:rPr>
        <w:noProof/>
      </w:rPr>
      <w:fldChar w:fldCharType="end"/>
    </w:r>
    <w:r>
      <w:tab/>
      <w:t>PE</w:t>
    </w:r>
    <w:r w:rsidRPr="007047B5">
      <w:rPr>
        <w:rStyle w:val="HideTWBExt"/>
      </w:rPr>
      <w:t>&lt;NoPE&gt;</w:t>
    </w:r>
    <w:r>
      <w:t>719.945</w:t>
    </w:r>
    <w:r w:rsidRPr="007047B5">
      <w:rPr>
        <w:rStyle w:val="HideTWBExt"/>
      </w:rPr>
      <w:t>&lt;/NoPE&gt;&lt;Version&gt;</w:t>
    </w:r>
    <w:r>
      <w:t>v01-00</w:t>
    </w:r>
    <w:r w:rsidRPr="007047B5">
      <w:rPr>
        <w:rStyle w:val="HideTWBExt"/>
      </w:rPr>
      <w:t>&lt;/Version&gt;</w:t>
    </w:r>
  </w:p>
  <w:p w14:paraId="396F4223" w14:textId="4D874E57" w:rsidR="00C86AF9" w:rsidRPr="00E27EA8" w:rsidRDefault="007047B5" w:rsidP="007047B5">
    <w:pPr>
      <w:pStyle w:val="EPFooter2"/>
    </w:pPr>
    <w:r>
      <w:tab/>
    </w:r>
    <w:r>
      <w:tab/>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298F6" w14:textId="77777777" w:rsidR="007047B5" w:rsidRDefault="007047B5" w:rsidP="007047B5">
    <w:pPr>
      <w:pStyle w:val="EPFooter"/>
    </w:pPr>
    <w:r w:rsidRPr="007047B5">
      <w:rPr>
        <w:rStyle w:val="HideTWBExt"/>
      </w:rPr>
      <w:t>&lt;PathFdR&gt;</w:t>
    </w:r>
    <w:r>
      <w:t>PR\1251357EN.docx</w:t>
    </w:r>
    <w:r w:rsidRPr="007047B5">
      <w:rPr>
        <w:rStyle w:val="HideTWBExt"/>
      </w:rPr>
      <w:t>&lt;/PathFdR&gt;</w:t>
    </w:r>
    <w:r>
      <w:tab/>
    </w:r>
    <w:r>
      <w:tab/>
      <w:t>PE</w:t>
    </w:r>
    <w:r w:rsidRPr="007047B5">
      <w:rPr>
        <w:rStyle w:val="HideTWBExt"/>
      </w:rPr>
      <w:t>&lt;NoPE&gt;</w:t>
    </w:r>
    <w:r>
      <w:t>719.945</w:t>
    </w:r>
    <w:r w:rsidRPr="007047B5">
      <w:rPr>
        <w:rStyle w:val="HideTWBExt"/>
      </w:rPr>
      <w:t>&lt;/NoPE&gt;&lt;Version&gt;</w:t>
    </w:r>
    <w:r>
      <w:t>v01-00</w:t>
    </w:r>
    <w:r w:rsidRPr="007047B5">
      <w:rPr>
        <w:rStyle w:val="HideTWBExt"/>
      </w:rPr>
      <w:t>&lt;/Version&gt;</w:t>
    </w:r>
  </w:p>
  <w:p w14:paraId="796BDB22" w14:textId="197F0692" w:rsidR="00C86AF9" w:rsidRPr="00E27EA8" w:rsidRDefault="007047B5" w:rsidP="007047B5">
    <w:pPr>
      <w:pStyle w:val="EPFooter2"/>
    </w:pPr>
    <w:r>
      <w:t>EN</w:t>
    </w:r>
    <w:r>
      <w:tab/>
    </w:r>
    <w:r w:rsidRPr="007047B5">
      <w:rPr>
        <w:b w:val="0"/>
        <w:i/>
        <w:color w:val="C0C0C0"/>
        <w:sz w:val="22"/>
      </w:rPr>
      <w:t>United in diversity</w:t>
    </w:r>
    <w:r>
      <w:tab/>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A2DCF" w14:textId="77777777" w:rsidR="00C86AF9" w:rsidRPr="00E27EA8" w:rsidRDefault="00C86AF9">
      <w:r w:rsidRPr="00E27EA8">
        <w:separator/>
      </w:r>
    </w:p>
  </w:footnote>
  <w:footnote w:type="continuationSeparator" w:id="0">
    <w:p w14:paraId="2B18EFB7" w14:textId="77777777" w:rsidR="00C86AF9" w:rsidRPr="00E27EA8" w:rsidRDefault="00C86AF9">
      <w:r w:rsidRPr="00E27EA8">
        <w:continuationSeparator/>
      </w:r>
    </w:p>
  </w:footnote>
  <w:footnote w:id="1">
    <w:p w14:paraId="3461F4E1" w14:textId="77777777" w:rsidR="00C86AF9" w:rsidRPr="007047B5" w:rsidRDefault="00C86AF9">
      <w:pPr>
        <w:pStyle w:val="FootnoteText"/>
      </w:pPr>
      <w:r>
        <w:rPr>
          <w:rStyle w:val="FootnoteReference"/>
        </w:rPr>
        <w:footnoteRef/>
      </w:r>
      <w:r>
        <w:t xml:space="preserve"> </w:t>
      </w:r>
      <w:r w:rsidRPr="007047B5">
        <w:t>Not yet published in the Official Journal.</w:t>
      </w:r>
    </w:p>
  </w:footnote>
  <w:footnote w:id="2">
    <w:p w14:paraId="2CFC2FE2" w14:textId="77777777" w:rsidR="00C86AF9" w:rsidRPr="007047B5" w:rsidRDefault="00C86AF9">
      <w:pPr>
        <w:pStyle w:val="FootnoteText"/>
      </w:pPr>
      <w:r>
        <w:rPr>
          <w:rStyle w:val="FootnoteReference"/>
        </w:rPr>
        <w:footnoteRef/>
      </w:r>
      <w:r>
        <w:t xml:space="preserve"> OJ C ... / Not yet published in the Official Journal.</w:t>
      </w:r>
    </w:p>
  </w:footnote>
  <w:footnote w:id="3">
    <w:p w14:paraId="61C5CA44" w14:textId="77777777" w:rsidR="00C86AF9" w:rsidRDefault="00C86AF9" w:rsidP="00155724">
      <w:pPr>
        <w:pStyle w:val="FootnoteText"/>
      </w:pPr>
      <w:r>
        <w:rPr>
          <w:rStyle w:val="FootnoteReference"/>
        </w:rPr>
        <w:footnoteRef/>
      </w:r>
      <w:r>
        <w:t xml:space="preserve"> https://www.europol.europa.eu/sites/default/files/documents/the_involvement_of_organised_crime_groups_in_sports_corruption.pdf</w:t>
      </w:r>
    </w:p>
  </w:footnote>
  <w:footnote w:id="4">
    <w:p w14:paraId="7BED7262" w14:textId="77777777" w:rsidR="00C86AF9" w:rsidRDefault="00C86AF9" w:rsidP="00155724">
      <w:pPr>
        <w:pStyle w:val="FootnoteText"/>
      </w:pPr>
      <w:r>
        <w:rPr>
          <w:rStyle w:val="FootnoteReference"/>
        </w:rPr>
        <w:footnoteRef/>
      </w:r>
      <w:r>
        <w:t xml:space="preserve"> https://ec.europa.eu/info/sites/default/files/supranational_risk_assessment_of_the_money_laundering_and_terrorist_financing_risks_affecting_the_union.pdf</w:t>
      </w:r>
    </w:p>
  </w:footnote>
  <w:footnote w:id="5">
    <w:p w14:paraId="5F4A1814" w14:textId="77777777" w:rsidR="00C86AF9" w:rsidRDefault="00C86AF9" w:rsidP="00155724">
      <w:pPr>
        <w:pStyle w:val="FootnoteText"/>
      </w:pPr>
      <w:r>
        <w:rPr>
          <w:rStyle w:val="FootnoteReference"/>
        </w:rPr>
        <w:footnoteRef/>
      </w:r>
      <w:r>
        <w:t xml:space="preserve"> https://www.occrp.org/en/suisse-secrets/historic-leak-of-swiss-banking-records-reveals-unsavory-clients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FD4F2" w14:textId="77777777" w:rsidR="007047B5" w:rsidRDefault="00704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17FD" w14:textId="77777777" w:rsidR="007047B5" w:rsidRDefault="00704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9D71" w14:textId="77777777" w:rsidR="007047B5" w:rsidRDefault="00704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JMNU" w:val="2"/>
    <w:docVar w:name="COMKEY" w:val="CJ12"/>
    <w:docVar w:name="CopyToNetwork" w:val="-1"/>
    <w:docVar w:name="DOCMNU" w:val=" 1"/>
    <w:docVar w:name="EPSTATMNU" w:val=" 5"/>
    <w:docVar w:name="INSTITUTIONSMNU" w:val=" 1"/>
    <w:docVar w:name="JURI1MNU" w:val=" 2"/>
    <w:docVar w:name="JURI2MNU" w:val=" 2"/>
    <w:docVar w:name="LastEditedSection" w:val=" 1"/>
    <w:docVar w:name="OTHERSTATMNU" w:val=" 4"/>
    <w:docVar w:name="PARLIAMENTSMNU" w:val=" 2"/>
    <w:docVar w:name="RECONSULTMNU" w:val=" 1"/>
    <w:docVar w:name="RepeatBlock-AmendEN"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298\fbidi \froman\fcharset238\fprq2 Times New Roman CE;}{\f299\fbidi \froman\fcharset204\fprq2 Times New Roman Cyr;}_x000d__x000a_{\f301\fbidi \froman\fcharset161\fprq2 Times New Roman Greek;}{\f302\fbidi \froman\fcharset162\fprq2 Times New Roman Tur;}{\f303\fbidi \froman\fcharset177\fprq2 Times New Roman (Hebrew);}{\f304\fbidi \froman\fcharset178\fprq2 Times New Roman (Arabic);}_x000d__x000a_{\f305\fbidi \froman\fcharset186\fprq2 Times New Roman Baltic;}{\f306\fbidi \froman\fcharset163\fprq2 Times New Roman (Vietnamese);}{\f308\fbidi \fswiss\fcharset238\fprq2 Arial CE;}{\f309\fbidi \fswiss\fcharset204\fprq2 Arial Cyr;}_x000d__x000a_{\f311\fbidi \fswiss\fcharset161\fprq2 Arial Greek;}{\f312\fbidi \fswiss\fcharset162\fprq2 Arial Tur;}{\f313\fbidi \fswiss\fcharset177\fprq2 Arial (Hebrew);}{\f314\fbidi \fswiss\fcharset178\fprq2 Arial (Arabic);}_x000d__x000a_{\f315\fbidi \fswiss\fcharset186\fprq2 Arial Baltic;}{\f316\fbidi \fswiss\fcharset163\fprq2 Arial (Vietnamese);}{\f638\fbidi \froman\fcharset238\fprq2 Cambria Math CE;}{\f639\fbidi \froman\fcharset204\fprq2 Cambria Math Cyr;}_x000d__x000a_{\f641\fbidi \froman\fcharset161\fprq2 Cambria Math Greek;}{\f642\fbidi \froman\fcharset162\fprq2 Cambria Math Tur;}{\f645\fbidi \froman\fcharset186\fprq2 Cambria Math Baltic;}{\f646\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10109698 HideTWBExt;}{\*\cs18 \additive \v\f1\fs20\cf15 _x000d__x000a_\spriority0 \styrsid10109698 HideTWBInt;}{\s19\ql \li0\ri0\sa120\nowidctlpar\wrapdefault\aspalpha\aspnum\faauto\adjustright\rin0\lin0\itap0 \rtlch\fcs1 \af0\afs20\alang1025 \ltrch\fcs0 \fs24\lang2057\langfe2057\cgrid\langnp2057\langfenp2057 _x000d__x000a_\sbasedon0 \snext19 \spriority0 \styrsid10109698 Normal6a;}{\s20\ql \li0\ri0\nowidctlpar\wrapdefault\aspalpha\aspnum\faauto\adjustright\rin0\lin0\itap0 \rtlch\fcs1 \af0\afs20\alang1025 \ltrch\fcs0 \b\fs24\lang2057\langfe2057\cgrid\langnp2057\langfenp2057 _x000d__x000a_\sbasedon0 \snext20 \spriority0 \styrsid10109698 NormalBold;}{\s21\ql \li0\ri0\sa240\nowidctlpar\wrapdefault\aspalpha\aspnum\faauto\adjustright\rin0\lin0\itap0 \rtlch\fcs1 \af0\afs20\alang1025 \ltrch\fcs0 _x000d__x000a_\i\fs24\lang2057\langfe2057\cgrid\langnp2057\langfenp2057 \sbasedon0 \snext21 \spriority0 \styrsid10109698 AmJustText;}{\s22\qc \li0\ri0\sb240\sa240\nowidctlpar\wrapdefault\aspalpha\aspnum\faauto\adjustright\rin0\lin0\itap0 \rtlch\fcs1 _x000d__x000a_\af0\afs20\alang1025 \ltrch\fcs0 \i\fs24\lang2057\langfe2057\cgrid\langnp2057\langfenp2057 \sbasedon0 \snext22 \spriority0 \styrsid10109698 AmCrossRef;}{_x000d__x000a_\s23\qc \li0\ri0\sb240\sa240\keepn\nowidctlpar\wrapdefault\aspalpha\aspnum\faauto\adjustright\rin0\lin0\itap0 \rtlch\fcs1 \af0\afs20\alang1025 \ltrch\fcs0 \i\fs24\lang2057\langfe2057\cgrid\langnp2057\langfenp2057 _x000d__x000a_\sbasedon0 \snext21 \spriority0 \styrsid10109698 AmJustTitle;}{\s24\qr \li0\ri0\sb240\sa240\nowidctlpar\wrapdefault\aspalpha\aspnum\faauto\adjustright\rin0\lin0\itap0 \rtlch\fcs1 \af0\afs20\alang1025 \ltrch\fcs0 _x000d__x000a_\fs24\lang2057\langfe2057\cgrid\langnp2057\langfenp2057 \sbasedon0 \snext24 \spriority0 \styrsid10109698 AmOrLang;}{\s25\qc \li0\ri0\sa240\nowidctlpar\wrapdefault\aspalpha\aspnum\faauto\adjustright\rin0\lin0\itap0 \rtlch\fcs1 \af0\afs20\alang1025 _x000d__x000a_\ltrch\fcs0 \i\fs24\lang2057\langfe2057\cgrid\langnp2057\langfenp2057 \sbasedon0 \snext25 \spriority0 \styrsid10109698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10109698 AmNumberTabs;}{\s27\ql \li0\ri0\sb240\nowidctlpar\wrapdefault\aspalpha\aspnum\faauto\adjustright\rin0\lin0\itap0 \rtlch\fcs1 _x000d__x000a_\af0\afs20\alang1025 \ltrch\fcs0 \b\fs24\lang2057\langfe2057\cgrid\langnp2057\langfenp2057 \sbasedon0 \snext27 \spriority0 \styrsid10109698 NormalBold12b;}}{\*\rsidtbl \rsid24658\rsid223860\rsid735077\rsid1718133\rsid2892074\rsid3565327\rsid4666813_x000d__x000a_\rsid6641733\rsid7823322\rsid9636012\rsid10109698\rsid10377208\rsid11215221\rsid11549030\rsid12154954\rsid12910913\rsid14382809\rsid14424199\rsid15204470\rsid15285974\rsid15950462\rsid16324206\rsid16662270}{\mmathPr\mmathFont34\mbrkBin0\mbrkBinSub0_x000d__x000a_\msmallFrac0\mdispDef1\mlMargin0\mrMargin0\mdefJc1\mwrapIndent1440\mintLim0\mnaryLim1}{\info{\author KOUMAKIS Theodore}{\operator KOUMAKIS Theodore}{\creatim\yr2022\mo3\dy9\hr15\min26}{\revtim\yr2022\mo3\dy9\hr15\min26}{\version1}{\edmins0}{\nofpages1}_x000d__x000a_{\nofwords104}{\nofchars596}{\nofcharsws699}{\vern105}}{\*\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splytwnine\ftnlytwnine\htmautsp\nolnhtadjtbl\useltbaln\alntblind\lytcalctblwd\lyttblrtgr\lnbrkrule\nobrkwrptbl\snaptogridincell\allowfieldendsel\wrppunct_x000d__x000a_\asianbrkrule\nojkernpunct\rsidroot10109698\newtblstyruls\nogrowautofit\usenormstyforlist\noindnmbrts\felnbrelev\nocxsptable\indrlsweleven\noafcnsttbl\afelev\utinl\hwelev\spltpgpar\notcvasp\notbrkcnstfrctbl\notvatxbx\krnprsnet\cachedcolbal _x000d__x000a_\nouicompat \fet0{\*\wgrffmtfilter 013f}\nofeaturethrottle1\ilfomacatclnup0{\*\template C:\\Users\\TKOUMA~1\\AppData\\Local\\Temp\\Blank1.dotx}{\*\ftnsep \ltrpar \pard\plain \ltrpar_x000d__x000a_\ql \li0\ri0\widctlpar\wrapdefault\aspalpha\aspnum\faauto\adjustright\rin0\lin0\itap0 \rtlch\fcs1 \af0\afs20\alang1025 \ltrch\fcs0 \fs24\lang2057\langfe2057\cgrid\langnp2057\langfenp2057 {\rtlch\fcs1 \af0 \ltrch\fcs0 \insrsid12910913 \chftnsep _x000d__x000a_\par }}{\*\ftnsepc \ltrpar \pard\plain \ltrpar\ql \li0\ri0\widctlpar\wrapdefault\aspalpha\aspnum\faauto\adjustright\rin0\lin0\itap0 \rtlch\fcs1 \af0\afs20\alang1025 \ltrch\fcs0 \fs24\lang2057\langfe2057\cgrid\langnp2057\langfenp2057 {\rtlch\fcs1 \af0 _x000d__x000a_\ltrch\fcs0 \insrsid12910913 \chftnsepc _x000d__x000a_\par }}{\*\aftnsep \ltrpar \pard\plain \ltrpar\ql \li0\ri0\widctlpar\wrapdefault\aspalpha\aspnum\faauto\adjustright\rin0\lin0\itap0 \rtlch\fcs1 \af0\afs20\alang1025 \ltrch\fcs0 \fs24\lang2057\langfe2057\cgrid\langnp2057\langfenp2057 {\rtlch\fcs1 \af0 _x000d__x000a_\ltrch\fcs0 \insrsid12910913 \chftnsep _x000d__x000a_\par }}{\*\aftnsepc \ltrpar \pard\plain \ltrpar\ql \li0\ri0\widctlpar\wrapdefault\aspalpha\aspnum\faauto\adjustright\rin0\lin0\itap0 \rtlch\fcs1 \af0\afs20\alang1025 \ltrch\fcs0 \fs24\lang2057\langfe2057\cgrid\langnp2057\langfenp2057 {\rtlch\fcs1 \af0 _x000d__x000a_\ltrch\fcs0 \insrsid12910913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10109698 \rtlch\fcs1 _x000d__x000a_\af0\afs20\alang1025 \ltrch\fcs0 \b\fs24\lang2057\langfe2057\cgrid\langnp2057\langfenp2057 {\rtlch\fcs1 \af0 \ltrch\fcs0 \cs17\b0\v\fs20\cf9\loch\af1\hich\af1\dbch\af31501\insrsid10109698\charrsid14843560 {\*\bkmkstart restart}_x000d__x000a_\hich\af1\dbch\af31501\loch\f1 &lt;Amend&gt;}{\rtlch\fcs1 \af0 \ltrch\fcs0 \insrsid10109698\charrsid14843560 Amendment\tab \tab }{\rtlch\fcs1 \af0 \ltrch\fcs0 \cs17\b0\v\fs20\cf9\loch\af1\hich\af1\dbch\af31501\insrsid10109698\charrsid14843560 _x000d__x000a_\hich\af1\dbch\af31501\loch\f1 &lt;NumAm&gt;}{\rtlch\fcs1 \af0 \ltrch\fcs0 \insrsid10109698\charrsid14843560 #}{\rtlch\fcs1 \af1 \ltrch\fcs0 \cs18\v\f1\fs20\cf15\insrsid10109698\charrsid14843560 ENMIENDA@NRAM@}{\rtlch\fcs1 \af0 \ltrch\fcs0 _x000d__x000a_\insrsid10109698\charrsid14843560 #}{\rtlch\fcs1 \af0 \ltrch\fcs0 \cs17\b0\v\fs20\cf9\loch\af1\hich\af1\dbch\af31501\insrsid10109698\charrsid14843560 \hich\af1\dbch\af31501\loch\f1 &lt;/NumAm&gt;}{\rtlch\fcs1 \af0 \ltrch\fcs0 \insrsid10109698\charrsid14843560 _x000d__x000a__x000d__x000a_\par }\pard\plain \ltrpar\s27\ql \li0\ri0\sb240\keepn\nowidctlpar\wrapdefault\aspalpha\aspnum\faauto\adjustright\rin0\lin0\itap0\pararsid10109698 \rtlch\fcs1 \af0\afs20\alang1025 \ltrch\fcs0 \b\fs24\lang2057\langfe2057\cgrid\langnp2057\langfenp2057 {_x000d__x000a_\rtlch\fcs1 \af0 \ltrch\fcs0 \cs17\b0\v\fs20\cf9\loch\af1\hich\af1\dbch\af31501\insrsid10109698\charrsid14843560 \hich\af1\dbch\af31501\loch\f1 &lt;DocAmend&gt;}{\rtlch\fcs1 \af0 \ltrch\fcs0 \insrsid10109698\charrsid14843560 Proposal for a #}{\rtlch\fcs1 \af1 _x000d__x000a_\ltrch\fcs0 \cs18\v\f1\fs20\cf15\insrsid10109698\charrsid14843560 MNU[DOC1][DOC2][DOC3]@DOCMSG@DOCMNU}{\rtlch\fcs1 \af0 \ltrch\fcs0 \insrsid10109698\charrsid14843560 ##}{\rtlch\fcs1 \af1 \ltrch\fcs0 \cs18\v\f1\fs20\cf15\insrsid10109698\charrsid14843560 _x000d__x000a_MNU[AMACTYES][NOTAPP]@CHOICE@AMACTMNU}{\rtlch\fcs1 \af0 \ltrch\fcs0 \insrsid10109698\charrsid14843560 #}{\rtlch\fcs1 \af0 \ltrch\fcs0 \cs17\b0\v\fs20\cf9\loch\af1\hich\af1\dbch\af31501\insrsid10109698\charrsid14843560 \hich\af1\dbch\af31501\loch\f1 _x000d__x000a_&lt;/DocAmend&gt;}{\rtlch\fcs1 \af0 \ltrch\fcs0 \insrsid10109698\charrsid14843560 _x000d__x000a_\par }\pard\plain \ltrpar\s20\ql \li0\ri0\keepn\nowidctlpar\wrapdefault\aspalpha\aspnum\faauto\adjustright\rin0\lin0\itap0\pararsid10109698 \rtlch\fcs1 \af0\afs20\alang1025 \ltrch\fcs0 \b\fs24\lang2057\langfe2057\cgrid\langnp2057\langfenp2057 {\rtlch\fcs1 _x000d__x000a_\af0 \ltrch\fcs0 \cs17\b0\v\fs20\cf9\loch\af1\hich\af1\dbch\af31501\insrsid10109698\charrsid14843560 \hich\af1\dbch\af31501\loch\f1 &lt;Article&gt;}{\rtlch\fcs1 \af0 \ltrch\fcs0 \insrsid10109698\charrsid14843560 #}{\rtlch\fcs1 \af1 \ltrch\fcs0 _x000d__x000a_\cs18\v\f1\fs20\cf15\insrsid10109698\charrsid14843560 MNU[AMACTPARTYES][AMACTPARTNO]@CHOICE@AMACTMNU}{\rtlch\fcs1 \af0 \ltrch\fcs0 \insrsid10109698\charrsid14843560 #}{\rtlch\fcs1 \af0 \ltrch\fcs0 _x000d__x000a_\cs17\b0\v\fs20\cf9\loch\af1\hich\af1\dbch\af31501\insrsid10109698\charrsid14843560 \hich\af1\dbch\af31501\loch\f1 &lt;/Article&gt;}{\rtlch\fcs1 \af0 \ltrch\fcs0 \insrsid10109698\charrsid14843560 _x000d__x000a_\par }\pard\plain \ltrpar\ql \li0\ri0\keepn\widctlpar\wrapdefault\aspalpha\aspnum\faauto\adjustright\rin0\lin0\itap0\pararsid10109698 \rtlch\fcs1 \af0\afs20\alang1025 \ltrch\fcs0 \fs24\lang2057\langfe2057\cgrid\langnp2057\langfenp2057 {\rtlch\fcs1 \af0 _x000d__x000a_\ltrch\fcs0 \cs17\v\fs20\cf9\loch\af1\hich\af1\dbch\af31501\insrsid10109698\charrsid14843560 \hich\af1\dbch\af31501\loch\f1 &lt;DocAmend2&gt;&lt;OptDel&gt;}{\rtlch\fcs1 \af0 \ltrch\fcs0 \insrsid10109698\charrsid14843560 #}{\rtlch\fcs1 \af1 \ltrch\fcs0 _x000d__x000a_\cs18\v\f1\fs20\cf15\insrsid10109698\charrsid14843560 MNU[OPTNRACTYES][NOTAPP]@CHOICE@AMACTMNU}{\rtlch\fcs1 \af0 \ltrch\fcs0 \insrsid10109698\charrsid14843560 #}{\rtlch\fcs1 \af0 \ltrch\fcs0 _x000d__x000a_\cs17\v\fs20\cf9\loch\af1\hich\af1\dbch\af31501\insrsid10109698\charrsid14843560 \hich\af1\dbch\af31501\loch\f1 &lt;/OptDel&gt;&lt;/DocAmend2&gt;}{\rtlch\fcs1 \af0 \ltrch\fcs0 \insrsid10109698\charrsid14843560 _x000d__x000a_\par }\pard \ltrpar\ql \li0\ri0\widctlpar\wrapdefault\aspalpha\aspnum\faauto\adjustright\rin0\lin0\itap0\pararsid10109698 {\rtlch\fcs1 \af0 \ltrch\fcs0 \cs17\v\fs20\cf9\loch\af1\hich\af1\dbch\af31501\insrsid10109698\charrsid14843560 _x000d__x000a_\hich\af1\dbch\af31501\loch\f1 &lt;Article2&gt;&lt;OptDel&gt;}{\rtlch\fcs1 \af0 \ltrch\fcs0 \insrsid10109698\charrsid14843560 #}{\rtlch\fcs1 \af1 \ltrch\fcs0 \cs18\v\f1\fs20\cf15\insrsid10109698\charrsid14843560 MNU[OPTACTPARTYES][NOTAPP]@CHOICE@AMACTMNU}{_x000d__x000a_\rtlch\fcs1 \af0 \ltrch\fcs0 \insrsid10109698\charrsid14843560 #}{\rtlch\fcs1 \af0 \ltrch\fcs0 \cs17\v\fs20\cf9\loch\af1\hich\af1\dbch\af31501\insrsid10109698\charrsid14843560 \hich\af1\dbch\af31501\loch\f1 &lt;/OptDel&gt;&lt;/Article2&gt;}{\rtlch\fcs1 \af0 _x000d__x000a_\ltrch\fcs0 \insrsid10109698\charrsid14843560 _x000d__x000a_\par \ltrrow}\trowd \irow0\irowband0\ltrrow\ts11\trqc\trgaph340\trleft-340\trftsWidth3\trwWidth9752\trftsWidthB3\trpaddl340\trpaddr340\trpaddfl3\trpaddft3\trpaddfb3\trpaddfr3\tblrsid2517430\tblind0\tblindtype3 \clvertalt\clbrdrt\brdrtbl \clbrdrl\brdrtbl _x000d__x000a_\clbrdrb\brdrtbl \clbrdrr\brdrtbl \cltxlrtb\clftsWidth3\clwWidth9752\clshdrawnil \cellx9412\pard\plain \ltrpar\ql \li0\ri0\keepn\widctlpar\intbl\wrapdefault\aspalpha\aspnum\faauto\adjustright\rin0\lin0\pararsid14315216 \rtlch\fcs1 \af0\afs20\alang1025 _x000d__x000a_\ltrch\fcs0 \fs24\lang2057\langfe2057\cgrid\langnp2057\langfenp2057 {\rtlch\fcs1 \af0 \ltrch\fcs0 \insrsid10109698\charrsid14843560 \cell }\pard\plain \ltrpar\ql \li0\ri0\widctlpar\intbl\wrapdefault\aspalpha\aspnum\faauto\adjustright\rin0\lin0 _x000d__x000a_\rtlch\fcs1 \af0\afs20\alang1025 \ltrch\fcs0 \fs24\lang2057\langfe2057\cgrid\langnp2057\langfenp2057 {\rtlch\fcs1 \af0 \ltrch\fcs0 \insrsid10109698\charrsid14843560 \trowd \irow0\irowband0\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9752\clshdrawnil \cellx9412\row \ltrrow}\trowd \irow1\irowband1\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5\qc \li0\ri0\sa240\keepn\nowidctlpar\intbl\wrapdefault\aspalpha\aspnum\faauto\adjustright\rin0\lin0\pararsid14315216 \rtlch\fcs1 \af0\afs20\alang1025 \ltrch\fcs0 \i\fs24\lang2057\langfe2057\cgrid\langnp2057\langfenp2057 {\rtlch\fcs1 \af0 \ltrch\fcs0 _x000d__x000a_\insrsid10109698\charrsid14843560 #}{\rtlch\fcs1 \af1 \ltrch\fcs0 \cs18\v\f1\fs20\cf15\insrsid10109698\charrsid14843560 MNU[OPTLEFTAMACT][LEFTPROP]@CHOICE@AMACTMNU}{\rtlch\fcs1 \af0 \ltrch\fcs0 \insrsid10109698\charrsid14843560 #\cell Amendment\cell _x000d__x000a_}\pard\plain \ltrpar\ql \li0\ri0\widctlpar\intbl\wrapdefault\aspalpha\aspnum\faauto\adjustright\rin0\lin0 \rtlch\fcs1 \af0\afs20\alang1025 \ltrch\fcs0 \fs24\lang2057\langfe2057\cgrid\langnp2057\langfenp2057 {\rtlch\fcs1 \af0 \ltrch\fcs0 _x000d__x000a_\insrsid10109698\charrsid14843560 \trowd \irow1\irowband1\ltrrow\ts11\trqc\trgaph340\trleft-340\trftsWidth3\trwWidth9752\trftsWidthB3\trpaddl340\trpaddr340\trpaddfl3\trpaddft3\trpaddfb3\trpaddfr3\tblrsid2517430\tblind0\tblindtype3 \clvertalt\clbrdrt_x000d__x000a_\brdrtbl \clbrdrl\brdrtbl \clbrdrb\brdrtbl \clbrdrr\brdrtbl \cltxlrtb\clftsWidth3\clwWidth4876\clshdrawnil \cellx4536\clvertalt\clbrdrt\brdrtbl \clbrdrl\brdrtbl \clbrdrb\brdrtbl \clbrdrr\brdrtbl \cltxlrtb\clftsWidth3\clwWidth4876\clshdrawnil \cellx9412_x000d__x000a_\row \ltrrow}\pard\plain \ltrpar\s19\ql \li0\ri0\sa120\nowidctlpar\intbl\wrapdefault\aspalpha\aspnum\faauto\adjustright\rin0\lin0\pararsid2517430 \rtlch\fcs1 \af0\afs20\alang1025 \ltrch\fcs0 \fs24\lang2057\langfe2057\cgrid\langnp2057\langfenp2057 {_x000d__x000a_\rtlch\fcs1 \af0 \ltrch\fcs0 \insrsid10109698\charrsid14843560 ##\cell ##}{\rtlch\fcs1 \af0\afs24 \ltrch\fcs0 \insrsid10109698\charrsid14843560 \cell }\pard\plain \ltrpar_x000d__x000a_\ql \li0\ri0\widctlpar\intbl\wrapdefault\aspalpha\aspnum\faauto\adjustright\rin0\lin0 \rtlch\fcs1 \af0\afs20\alang1025 \ltrch\fcs0 \fs24\lang2057\langfe2057\cgrid\langnp2057\langfenp2057 {\rtlch\fcs1 \af0 \ltrch\fcs0 \insrsid10109698\charrsid14843560 _x000d__x000a_\trowd \irow2\irowband2\lastrow \ltrrow\ts11\trqc\trgaph340\trleft-340\trftsWidth3\trwWidth9752\trftsWidthB3\trpaddl340\trpaddr340\trpaddfl3\trpaddft3\trpaddfb3\trpaddfr3\tblrsid2517430\tblind0\tblindtype3 \clvertalt\clbrdrt\brdrtbl \clbrdrl\brdrtbl _x000d__x000a_\clbrdrb\brdrtbl \clbrdrr\brdrtbl \cltxlrtb\clftsWidth3\clwWidth4876\clshdrawnil \cellx4536\clvertalt\clbrdrt\brdrtbl \clbrdrl\brdrtbl \clbrdrb\brdrtbl \clbrdrr\brdrtbl \cltxlrtb\clftsWidth3\clwWidth4876\clshdrawnil \cellx9412\row }\pard\plain \ltrpar_x000d__x000a_\s24\qr \li0\ri0\sb240\sa240\nowidctlpar\wrapdefault\aspalpha\aspnum\faauto\adjustright\rin0\lin0\itap0\pararsid10109698 \rtlch\fcs1 \af0\afs20\alang1025 \ltrch\fcs0 \fs24\lang2057\langfe2057\cgrid\langnp2057\langfenp2057 {\rtlch\fcs1 \af0 \ltrch\fcs0 _x000d__x000a_\insrsid10109698\charrsid14843560 Or. }{\rtlch\fcs1 \af0 \ltrch\fcs0 \cs17\v\fs20\cf9\loch\af1\hich\af1\dbch\af31501\insrsid10109698\charrsid14843560 \hich\af1\dbch\af31501\loch\f1 &lt;Original&gt;}{\rtlch\fcs1 \af0 \ltrch\fcs0 _x000d__x000a_\insrsid10109698\charrsid14843560 #}{\rtlch\fcs1 \af1 \ltrch\fcs0 \cs18\v\f1\fs20\cf15\insrsid10109698\charrsid14843560 MNU[ORLANGONE][ORLANGMORE]@CHOICE@ORLANGMNU}{\rtlch\fcs1 \af0 \ltrch\fcs0 \insrsid10109698\charrsid14843560 #}{\rtlch\fcs1 \af0 _x000d__x000a_\ltrch\fcs0 \cs17\v\fs20\cf9\loch\af1\hich\af1\dbch\af31501\insrsid10109698\charrsid14843560 \hich\af1\dbch\af31501\loch\f1 &lt;/Original&gt;}{\rtlch\fcs1 \af0 \ltrch\fcs0 \insrsid10109698\charrsid14843560 _x000d__x000a_\par }\pard\plain \ltrpar\s22\qc \li0\ri0\sb240\sa240\nowidctlpar\wrapdefault\aspalpha\aspnum\faauto\adjustright\rin0\lin0\itap0\pararsid10109698 \rtlch\fcs1 \af0\afs20\alang1025 \ltrch\fcs0 \i\fs24\lang2057\langfe2057\cgrid\langnp2057\langfenp2057 {_x000d__x000a_\rtlch\fcs1 \af0 \ltrch\fcs0 \cs17\i0\v\fs20\cf9\loch\af1\hich\af1\dbch\af31501\insrsid10109698\charrsid14843560 \hich\af1\dbch\af31501\loch\f1 &lt;OptDel&gt;}{\rtlch\fcs1 \af0 \ltrch\fcs0 \insrsid10109698\charrsid14843560 #}{\rtlch\fcs1 \af1 \ltrch\fcs0 _x000d__x000a_\cs18\v\f1\fs20\cf15\insrsid10109698\charrsid14843560 MNU[CROSSREFNO][CROSSREFYES]@CHOICE@}{\rtlch\fcs1 \af0 \ltrch\fcs0 \insrsid10109698\charrsid14843560 #}{\rtlch\fcs1 \af0 \ltrch\fcs0 _x000d__x000a_\cs17\i0\v\fs20\cf9\loch\af1\hich\af1\dbch\af31501\insrsid10109698\charrsid14843560 \hich\af1\dbch\af31501\loch\f1 &lt;/OptDel&gt;}{\rtlch\fcs1 \af0 \ltrch\fcs0 \insrsid10109698\charrsid14843560 _x000d__x000a_\par }\pard\plain \ltrpar\s23\qc \li0\ri0\sb240\sa240\keepn\nowidctlpar\wrapdefault\aspalpha\aspnum\faauto\adjustright\rin0\lin0\itap0\pararsid10109698 \rtlch\fcs1 \af0\afs20\alang1025 \ltrch\fcs0 \i\fs24\lang2057\langfe2057\cgrid\langnp2057\langfenp2057 {_x000d__x000a_\rtlch\fcs1 \af0 \ltrch\fcs0 \cs17\i0\v\fs20\cf9\loch\af1\hich\af1\dbch\af31501\insrsid10109698\charrsid14843560 \hich\af1\dbch\af31501\loch\f1 &lt;TitreJust&gt;}{\rtlch\fcs1 \af0 \ltrch\fcs0 \insrsid10109698\charrsid14843560 Justification}{\rtlch\fcs1 \af0 _x000d__x000a_\ltrch\fcs0 \cs17\i0\v\fs20\cf9\loch\af1\hich\af1\dbch\af31501\insrsid10109698\charrsid14843560 \hich\af1\dbch\af31501\loch\f1 &lt;/TitreJust&gt;}{\rtlch\fcs1 \af0 \ltrch\fcs0 \insrsid10109698\charrsid14843560 _x000d__x000a_\par }\pard\plain \ltrpar\s21\ql \li0\ri0\sa240\nowidctlpar\wrapdefault\aspalpha\aspnum\faauto\adjustright\rin0\lin0\itap0\pararsid10109698 \rtlch\fcs1 \af0\afs20\alang1025 \ltrch\fcs0 \i\fs24\lang2057\langfe2057\cgrid\langnp2057\langfenp2057 {\rtlch\fcs1 _x000d__x000a_\af0 \ltrch\fcs0 \cs17\i0\v\fs20\cf9\loch\af1\hich\af1\dbch\af31501\insrsid10109698\charrsid14843560 \hich\af1\dbch\af31501\loch\f1 &lt;OptDelPrev&gt;}{\rtlch\fcs1 \af0 \ltrch\fcs0 \insrsid10109698\charrsid14843560 #}{\rtlch\fcs1 \af1 \ltrch\fcs0 _x000d__x000a_\cs18\v\f1\fs20\cf15\insrsid10109698\charrsid14843560 MNU[TEXTJUSTYES][TEXTJUSTNO]@CHOICE@}{\rtlch\fcs1 \af0 \ltrch\fcs0 \insrsid10109698\charrsid14843560 #}{\rtlch\fcs1 \af0 \ltrch\fcs0 _x000d__x000a_\cs17\i0\v\fs20\cf9\loch\af1\hich\af1\dbch\af31501\insrsid10109698\charrsid14843560 \hich\af1\dbch\af31501\loch\f1 &lt;/OptDelPrev&gt;}{\rtlch\fcs1 \af0 \ltrch\fcs0 \insrsid10109698\charrsid14843560 _x000d__x000a_\par }\pard\plain \ltrpar\ql \li0\ri0\widctlpar\wrapdefault\aspalpha\aspnum\faauto\adjustright\rin0\lin0\itap0\pararsid10109698 \rtlch\fcs1 \af0\afs20\alang1025 \ltrch\fcs0 \fs24\lang2057\langfe2057\cgrid\langnp2057\langfenp2057 {\rtlch\fcs1 \af0 \ltrch\fcs0 _x000d__x000a_\cs17\v\fs20\cf9\loch\af1\hich\af1\dbch\af31501\insrsid10109698\charrsid14843560 \hich\af1\dbch\af31501\loch\f1 &lt;/Amend&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204f_x000d__x000a_afbcc133d8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1615661 HideTWBExt;}{\s16\ql \li0\ri0\sa120\nowidctlpar\wrapdefault\aspalpha\aspnum\faauto\adjustright\rin0\lin0\itap0 \rtlch\fcs1 \af0\afs20\alang1025 \ltrch\fcs0 _x000d__x000a_\fs24\lang2057\langfe2057\cgrid\langnp2057\langfenp2057 \sbasedon0 \snext16 \spriority0 \styrsid11615661 Normal6a;}{\s17\ql \li0\ri0\nowidctlpar\wrapdefault\aspalpha\aspnum\faauto\adjustright\rin0\lin0\itap0 \rtlch\fcs1 \af0\afs20\alang1025 \ltrch\fcs0 _x000d__x000a_\b\fs24\lang2057\langfe2057\cgrid\langnp2057\langfenp2057 \sbasedon0 \snext17 \spriority0 \styrsid11615661 NormalBold;}{\s18\ql \li0\ri0\sa240\nowidctlpar\wrapdefault\aspalpha\aspnum\faauto\adjustright\rin0\lin0\itap0 \rtlch\fcs1 \af0\afs20\alang1025 _x000d__x000a_\ltrch\fcs0 \i\fs24\lang2057\langfe2057\cgrid\langnp2057\langfenp2057 \sbasedon0 \snext18 \spriority0 \styrsid11615661 AmJustText;}{\s19\qc \li0\ri0\sb240\sa240\nowidctlpar\wrapdefault\aspalpha\aspnum\faauto\adjustright\rin0\lin0\itap0 \rtlch\fcs1 _x000d__x000a_\af0\afs20\alang1025 \ltrch\fcs0 \i\fs24\lang2057\langfe2057\cgrid\langnp2057\langfenp2057 \sbasedon0 \snext19 \spriority0 \styrsid11615661 AmCrossRef;}{_x000d__x000a_\s20\qc \li0\ri0\sb240\sa240\keepn\nowidctlpar\wrapdefault\aspalpha\aspnum\faauto\adjustright\rin0\lin0\itap0 \rtlch\fcs1 \af0\afs20\alang1025 \ltrch\fcs0 \i\fs24\lang2057\langfe2057\cgrid\langnp2057\langfenp2057 _x000d__x000a_\sbasedon0 \snext18 \spriority0 \styrsid11615661 AmJustTitle;}{\s21\qr \li0\ri0\sb240\sa240\nowidctlpar\wrapdefault\aspalpha\aspnum\faauto\adjustright\rin0\lin0\itap0 \rtlch\fcs1 \af0\afs20\alang1025 \ltrch\fcs0 _x000d__x000a_\fs24\lang2057\langfe2057\cgrid\langnp2057\langfenp2057 \sbasedon0 \snext21 \spriority0 \styrsid11615661 AmOrLang;}{\s22\qc \li0\ri0\sa240\nowidctlpar\wrapdefault\aspalpha\aspnum\faauto\adjustright\rin0\lin0\itap0 \rtlch\fcs1 \af0\afs20\alang1025 _x000d__x000a_\ltrch\fcs0 \i\fs24\lang2057\langfe2057\cgrid\langnp2057\langfenp2057 \sbasedon0 \snext22 \spriority0 \styrsid11615661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1615661 AmNumberTabs;}{\s24\ql \li0\ri0\sb240\nowidctlpar\wrapdefault\aspalpha\aspnum\faauto\adjustright\rin0\lin0\itap0 \rtlch\fcs1 _x000d__x000a_\af0\afs20\alang1025 \ltrch\fcs0 \b\fs24\lang2057\langfe2057\cgrid\langnp2057\langfenp2057 \sbasedon0 \snext24 \spriority0 \styrsid11615661 NormalBold12b;}}{\*\rsidtbl \rsid24658\rsid358857\rsid735077\rsid787282\rsid2101837\rsid2892074\rsid3622648_x000d__x000a_\rsid4666813\rsid5708216\rsid6641733\rsid7553164\rsid8465581\rsid8681905\rsid8724649\rsid9636012\rsid9862312\rsid11215221\rsid11370291\rsid11434737\rsid11607138\rsid11615661\rsid11824949\rsid12154954\rsid14424199\rsid15204470\rsid15285974\rsid15535219_x000d__x000a_\rsid15950462\rsid16324206\rsid16662270}{\mmathPr\mmathFont34\mbrkBin0\mbrkBinSub0\msmallFrac0\mdispDef1\mlMargin0\mrMargin0\mdefJc1\mwrapIndent1440\mintLim0\mnaryLim1}{\info{\author FELIX Karina}{\operator FELIX Karina}_x000d__x000a_{\creatim\yr2019\mo7\dy3\hr20\min19}{\revtim\yr2019\mo7\dy3\hr20\min19}{\version1}{\edmins0}{\nofpages1}{\nofwords32}{\nofchars369}{\*\company European Parliament}{\nofcharsws373}{\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1615661\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2101837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2101837 \chftnsepc _x000d__x000a_\par }}{\*\aftnsep \ltrpar \pard\plain \ltrpar\ql \li0\ri0\widctlpar\wrapdefault\aspalpha\aspnum\faauto\adjustright\rin0\lin0\itap0 \rtlch\fcs1 \af0\afs20\alang1025 \ltrch\fcs0 \fs24\lang2057\langfe2057\cgrid\langnp2057\langfenp2057 {\rtlch\fcs1 \af0 _x000d__x000a_\ltrch\fcs0 \insrsid2101837 \chftnsep _x000d__x000a_\par }}{\*\aftnsepc \ltrpar \pard\plain \ltrpar\ql \li0\ri0\widctlpar\wrapdefault\aspalpha\aspnum\faauto\adjustright\rin0\lin0\itap0 \rtlch\fcs1 \af0\afs20\alang1025 \ltrch\fcs0 \fs24\lang2057\langfe2057\cgrid\langnp2057\langfenp2057 {\rtlch\fcs1 \af0 _x000d__x000a_\ltrch\fcs0 \insrsid2101837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1615661 \rtlch\fcs1 \af0\afs20\alang1025 \ltrch\fcs0 \b\fs24\lang2057\langfe2057\cgrid\langnp2057\langfenp2057 {\rtlch\fcs1 \af0 \ltrch\fcs0 \cs15\b0\v\f1\fs20\cf9\lang1030\langfe2057\langnp1030\insrsid11615661\charrsid5141309 _x000d__x000a_{\*\bkmkstart restart}&lt;Amend&gt;}{\rtlch\fcs1 \af0 \ltrch\fcs0 \lang1030\langfe2057\langnp1030\insrsid11615661\charrsid5141309 [ZAMENDMENT]\tab \tab }{\rtlch\fcs1 \af0 \ltrch\fcs0 _x000d__x000a_\cs15\b0\v\f1\fs20\cf9\lang1030\langfe2057\langnp1030\insrsid11615661\charrsid5141309 &lt;NumAm&gt;}{\rtlch\fcs1 \af0 \ltrch\fcs0 \lang1030\langfe2057\langnp1030\insrsid11615661\charrsid5141309 [ZNRAM]}{\rtlch\fcs1 \af0 \ltrch\fcs0 _x000d__x000a_\cs15\b0\v\f1\fs20\cf9\lang1030\langfe2057\langnp1030\insrsid11615661\charrsid5141309 &lt;/NumAm&gt;}{\rtlch\fcs1 \af0 \ltrch\fcs0 \lang1030\langfe2057\langnp1030\insrsid11615661\charrsid5141309 _x000d__x000a_\par }\pard\plain \ltrpar\s24\ql \li0\ri0\sb240\keepn\nowidctlpar\wrapdefault\aspalpha\aspnum\faauto\adjustright\rin0\lin0\itap0\pararsid11615661 \rtlch\fcs1 \af0\afs20\alang1025 \ltrch\fcs0 \b\fs24\lang2057\langfe2057\cgrid\langnp2057\langfenp2057 {_x000d__x000a_\rtlch\fcs1 \af0 \ltrch\fcs0 \cs15\b0\v\f1\fs20\cf9\lang1030\langfe2057\langnp1030\insrsid11615661\charrsid5141309 &lt;DocAmend&gt;}{\rtlch\fcs1 \af0 \ltrch\fcs0 \lang1030\langfe2057\langnp1030\insrsid11615661\charrsid5141309 [ZPROPOSAL][ZAMACT]}{\rtlch\fcs1 _x000d__x000a_\af0 \ltrch\fcs0 \cs15\b0\v\f1\fs20\cf9\lang1030\langfe2057\langnp1030\insrsid11615661\charrsid5141309 &lt;/DocAmend&gt;}{\rtlch\fcs1 \af0 \ltrch\fcs0 \lang1030\langfe2057\langnp1030\insrsid11615661\charrsid5141309 _x000d__x000a_\par }\pard\plain \ltrpar\s17\ql \li0\ri0\keepn\nowidctlpar\wrapdefault\aspalpha\aspnum\faauto\adjustright\rin0\lin0\itap0\pararsid11615661 \rtlch\fcs1 \af0\afs20\alang1025 \ltrch\fcs0 \b\fs24\lang2057\langfe2057\cgrid\langnp2057\langfenp2057 {\rtlch\fcs1 _x000d__x000a_\af0 \ltrch\fcs0 \cs15\b0\v\f1\fs20\cf9\lang1030\langfe2057\langnp1030\insrsid11615661\charrsid5141309 &lt;Article&gt;}{\rtlch\fcs1 \af0 \ltrch\fcs0 \lang1030\langfe2057\langnp1030\insrsid11615661\charrsid5141309 [ZAMPART]}{\rtlch\fcs1 \af0 \ltrch\fcs0 _x000d__x000a_\cs15\b0\v\f1\fs20\cf9\lang1030\langfe2057\langnp1030\insrsid11615661\charrsid5141309 &lt;/Article&gt;}{\rtlch\fcs1 \af0 \ltrch\fcs0 \lang1030\langfe2057\langnp1030\insrsid11615661\charrsid5141309 _x000d__x000a_\par }\pard\plain \ltrpar\ql \li0\ri0\keepn\widctlpar\wrapdefault\aspalpha\aspnum\faauto\adjustright\rin0\lin0\itap0\pararsid11615661 \rtlch\fcs1 \af0\afs20\alang1025 \ltrch\fcs0 \fs24\lang2057\langfe2057\cgrid\langnp2057\langfenp2057 {\rtlch\fcs1 \af0 _x000d__x000a_\ltrch\fcs0 \cs15\v\f1\fs20\cf9\lang1043\langfe2057\langnp1043\insrsid11615661\charrsid5141309 &lt;DocAmend2&gt;&lt;OptDel&gt;}{\rtlch\fcs1 \af0 \ltrch\fcs0 \lang1043\langfe2057\langnp1043\insrsid11615661\charrsid5141309 [ZNRACT]}{\rtlch\fcs1 \af0 \ltrch\fcs0 _x000d__x000a_\cs15\v\f1\fs20\cf9\lang1043\langfe2057\langnp1043\insrsid11615661\charrsid5141309 &lt;/OptDel&gt;&lt;/DocAmend2&gt;}{\rtlch\fcs1 \af0 \ltrch\fcs0 \lang1043\langfe2057\langnp1043\insrsid11615661\charrsid5141309 _x000d__x000a_\par }\pard \ltrpar\ql \li0\ri0\widctlpar\wrapdefault\aspalpha\aspnum\faauto\adjustright\rin0\lin0\itap0\pararsid11615661 {\rtlch\fcs1 \af0 \ltrch\fcs0 \cs15\v\f1\fs20\cf9\lang1036\langfe2057\langnp1036\insrsid11615661\charrsid5141309 &lt;Article2&gt;&lt;OptDel&gt;}{_x000d__x000a_\rtlch\fcs1 \af0 \ltrch\fcs0 \lang1036\langfe2057\langnp1036\insrsid11615661\charrsid5141309 [ZACTPART]}{\rtlch\fcs1 \af0 \ltrch\fcs0 \cs15\v\f1\fs20\cf9\lang1036\langfe2057\langnp1036\insrsid11615661\charrsid5141309 &lt;/OptDel&gt;&lt;/Article2&gt;}{\rtlch\fcs1 _x000d__x000a_\af0 \ltrch\fcs0 \lang1036\langfe2057\langnp1036\insrsid11615661\charrsid5141309 _x000d__x000a_\par \ltrrow}\trowd \irow0\irowband0\ltrrow\ts11\trqc\trgaph340\trleft-340\trftsWidth3\trwWidth9752\trftsWidthB3\trpaddl340\trpaddr340\trpaddfl3\trpaddft3\trpaddfb3\trpaddfr3\tblrsid2517430\tblind0\tblindtype3 \clvertalt\clbrdrt\brdrtbl \clbrdrl\brdrtbl _x000d__x000a_\clbrdrb\brdrtbl \clbrdrr\brdrtbl \cltxlrtb\clftsWidth3\clwWidth9752\clshdrawnil \cellx9412\pard\plain \ltrpar\ql \li0\ri0\keepn\widctlpar\intbl\wrapdefault\aspalpha\aspnum\faauto\adjustright\rin0\lin0\pararsid14315216 \rtlch\fcs1 \af0\afs20\alang1025 _x000d__x000a_\ltrch\fcs0 \fs24\lang2057\langfe2057\cgrid\langnp2057\langfenp2057 {\rtlch\fcs1 \af0 \ltrch\fcs0 \lang1036\langfe2057\langnp1036\insrsid11615661\charrsid5141309 \cell }\pard\plain \ltrpar_x000d__x000a_\ql \li0\ri0\widctlpar\intbl\wrapdefault\aspalpha\aspnum\faauto\adjustright\rin0\lin0 \rtlch\fcs1 \af0\afs20\alang1025 \ltrch\fcs0 \fs24\lang2057\langfe2057\cgrid\langnp2057\langfenp2057 {\rtlch\fcs1 \af0 \ltrch\fcs0 \insrsid11615661\charrsid6040559 _x000d__x000a_\trowd \irow0\irowband0\ltrrow\ts11\trqc\trgaph340\trleft-340\trftsWidth3\trwWidth9752\trftsWidthB3\trpaddl340\trpaddr340\trpaddfl3\trpaddft3\trpaddfb3\trpaddfr3\tblrsid2517430\tblind0\tblindtype3 \clvertalt\clbrdrt\brdrtbl \clbrdrl\brdrtbl \clbrdrb_x000d__x000a_\brdrtbl \clbrdrr\brdrtbl \cltxlrtb\clftsWidth3\clwWidth9752\clshdrawnil \cellx9412\row \ltrrow}\trowd \irow1\irowband1\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4315216 \rtlch\fcs1 \af0\afs20\alang1025 \ltrch\fcs0 \i\fs24\lang2057\langfe2057\cgrid\langnp2057\langfenp2057 {\rtlch\fcs1 \af0 \ltrch\fcs0 _x000d__x000a_\insrsid11615661\charrsid4593153 [ZLEFT]\cell [ZRIGHT]\cell }\pard\plain \ltrpar\ql \li0\ri0\widctlpar\intbl\wrapdefault\aspalpha\aspnum\faauto\adjustright\rin0\lin0 \rtlch\fcs1 \af0\afs20\alang1025 \ltrch\fcs0 _x000d__x000a_\fs24\lang2057\langfe2057\cgrid\langnp2057\langfenp2057 {\rtlch\fcs1 \af0 \ltrch\fcs0 \insrsid11615661\charrsid4593153 \trowd \irow1\irowband1\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2517430 \rtlch\fcs1 \af0\afs20\alang1025 \ltrch\fcs0 \fs24\lang2057\langfe2057\cgrid\langnp2057\langfenp2057 {\rtlch\fcs1 \af0 \ltrch\fcs0 _x000d__x000a_\insrsid11615661\charrsid4593153 [ZTEXTL]\cell [ZTEXTR]}{\rtlch\fcs1 \af0\afs24 \ltrch\fcs0 \insrsid11615661\charrsid4593153 \cell }\pard\plain \ltrpar\ql \li0\ri0\widctlpar\intbl\wrapdefault\aspalpha\aspnum\faauto\adjustright\rin0\lin0 \rtlch\fcs1 _x000d__x000a_\af0\afs20\alang1025 \ltrch\fcs0 \fs24\lang2057\langfe2057\cgrid\langnp2057\langfenp2057 {\rtlch\fcs1 \af0 \ltrch\fcs0 \insrsid11615661\charrsid4593153 \trowd \irow2\irowband2\lastrow \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1615661 \rtlch\fcs1 \af0\afs20\alang1025 \ltrch\fcs0 \fs24\lang2057\langfe2057\cgrid\langnp2057\langfenp2057 {\rtlch\fcs1 \af0 \ltrch\fcs0 _x000d__x000a_\insrsid11615661\charrsid4593153 Or. }{\rtlch\fcs1 \af0 \ltrch\fcs0 \cs15\v\f1\fs20\cf9\insrsid11615661\charrsid4593153 &lt;Original&gt;}{\rtlch\fcs1 \af0 \ltrch\fcs0 \insrsid11615661\charrsid4593153 [ZORLANG]}{\rtlch\fcs1 \af0 \ltrch\fcs0 _x000d__x000a_\cs15\v\f1\fs20\cf9\insrsid11615661\charrsid4593153 &lt;/Original&gt;}{\rtlch\fcs1 \af0 \ltrch\fcs0 \insrsid11615661\charrsid4593153 _x000d__x000a_\par }\pard\plain \ltrpar\s19\qc \li0\ri0\sb240\sa240\nowidctlpar\wrapdefault\aspalpha\aspnum\faauto\adjustright\rin0\lin0\itap0\pararsid11615661 \rtlch\fcs1 \af0\afs20\alang1025 \ltrch\fcs0 \i\fs24\lang2057\langfe2057\cgrid\langnp2057\langfenp2057 {_x000d__x000a_\rtlch\fcs1 \af0 \ltrch\fcs0 \cs15\i0\v\f1\fs20\cf9\insrsid11615661\charrsid4593153 &lt;OptDel&gt;}{\rtlch\fcs1 \af0 \ltrch\fcs0 \insrsid11615661\charrsid4593153 [ZCROSSREF]}{\rtlch\fcs1 \af0 \ltrch\fcs0 \cs15\i0\v\f1\fs20\cf9\insrsid11615661\charrsid4593153 _x000d__x000a_&lt;/OptDel&gt;}{\rtlch\fcs1 \af0 \ltrch\fcs0 \insrsid11615661\charrsid4593153 _x000d__x000a_\par }\pard\plain \ltrpar\s20\qc \li0\ri0\sb240\sa240\keepn\nowidctlpar\wrapdefault\aspalpha\aspnum\faauto\adjustright\rin0\lin0\itap0\pararsid11615661 \rtlch\fcs1 \af0\afs20\alang1025 \ltrch\fcs0 \i\fs24\lang2057\langfe2057\cgrid\langnp2057\langfenp2057 {_x000d__x000a_\rtlch\fcs1 \af0 \ltrch\fcs0 \cs15\i0\v\f1\fs20\cf9\insrsid11615661\charrsid4593153 &lt;TitreJust&gt;}{\rtlch\fcs1 \af0 \ltrch\fcs0 \insrsid11615661\charrsid4593153 [ZJUSTIFICATION]}{\rtlch\fcs1 \af0 \ltrch\fcs0 _x000d__x000a_\cs15\i0\v\f1\fs20\cf9\insrsid11615661\charrsid4593153 &lt;/TitreJust&gt;}{\rtlch\fcs1 \af0 \ltrch\fcs0 \insrsid11615661\charrsid4593153 _x000d__x000a_\par }\pard\plain \ltrpar\s18\ql \li0\ri0\sa240\nowidctlpar\wrapdefault\aspalpha\aspnum\faauto\adjustright\rin0\lin0\itap0\pararsid11615661 \rtlch\fcs1 \af0\afs20\alang1025 \ltrch\fcs0 \i\fs24\lang2057\langfe2057\cgrid\langnp2057\langfenp2057 {\rtlch\fcs1 _x000d__x000a_\af0 \ltrch\fcs0 \cs15\i0\v\f1\fs20\cf9\insrsid11615661\charrsid4593153 &lt;OptDelPrev&gt;}{\rtlch\fcs1 \af0 \ltrch\fcs0 \insrsid11615661\charrsid4593153 [ZTEXTJUST]}{\rtlch\fcs1 \af0 \ltrch\fcs0 \cs15\i0\v\f1\fs20\cf9\insrsid11615661\charrsid4593153 _x000d__x000a_&lt;/OptDelPrev&gt;}{\rtlch\fcs1 \af0 \ltrch\fcs0 \insrsid11615661\charrsid4593153 _x000d__x000a_\par }\pard\plain \ltrpar\ql \li0\ri0\widctlpar\wrapdefault\aspalpha\aspnum\faauto\adjustright\rin0\lin0\itap0\pararsid11615661 \rtlch\fcs1 \af0\afs20\alang1025 \ltrch\fcs0 \fs24\lang2057\langfe2057\cgrid\langnp2057\langfenp2057 {\rtlch\fcs1 \af0 \ltrch\fcs0 _x000d__x000a_\cs15\v\f1\fs20\cf9\insrsid11615661\charrsid4593153 &lt;/Amend&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e070_x000d__x000a_25cecb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PR_COD_1amCom"/>
    <w:docVar w:name="strSubDir" w:val="1251"/>
    <w:docVar w:name="TXTAUTHOR" w:val="Eero Heinäluoma, Damien Carême"/>
    <w:docVar w:name="TXTLANGUE" w:val="EN"/>
    <w:docVar w:name="TXTLANGUEMIN" w:val="en"/>
    <w:docVar w:name="TXTNRC" w:val="0339/2021"/>
    <w:docVar w:name="TXTNRCOD" w:val="2021/0239"/>
    <w:docVar w:name="TXTNRCOM" w:val="(2021)420"/>
    <w:docVar w:name="TXTNRPE" w:val="719.945"/>
    <w:docVar w:name="TXTPEorAP" w:val="PE"/>
    <w:docVar w:name="TXTROUTE" w:val="PR\1251357EN.docx"/>
    <w:docVar w:name="TXTTITLE" w:val="on the prevention of the use of the financial system for the purposes of money laundering or terrorist financing"/>
    <w:docVar w:name="TXTVERSION" w:val="01-00"/>
  </w:docVars>
  <w:rsids>
    <w:rsidRoot w:val="00E27EA8"/>
    <w:rsid w:val="000107CF"/>
    <w:rsid w:val="00011AAB"/>
    <w:rsid w:val="00012351"/>
    <w:rsid w:val="000139E5"/>
    <w:rsid w:val="00014FBD"/>
    <w:rsid w:val="00023B8F"/>
    <w:rsid w:val="00042793"/>
    <w:rsid w:val="0004335D"/>
    <w:rsid w:val="00047885"/>
    <w:rsid w:val="00084DD2"/>
    <w:rsid w:val="00084E89"/>
    <w:rsid w:val="000B7489"/>
    <w:rsid w:val="000C25CB"/>
    <w:rsid w:val="000E029B"/>
    <w:rsid w:val="000E38BB"/>
    <w:rsid w:val="000F1096"/>
    <w:rsid w:val="00111A6C"/>
    <w:rsid w:val="00120948"/>
    <w:rsid w:val="00123DD5"/>
    <w:rsid w:val="001277AE"/>
    <w:rsid w:val="00142215"/>
    <w:rsid w:val="00155724"/>
    <w:rsid w:val="001767E2"/>
    <w:rsid w:val="00183B83"/>
    <w:rsid w:val="00187008"/>
    <w:rsid w:val="001B3829"/>
    <w:rsid w:val="001C5592"/>
    <w:rsid w:val="001C5B44"/>
    <w:rsid w:val="001C6FFC"/>
    <w:rsid w:val="001F7C7C"/>
    <w:rsid w:val="00212B84"/>
    <w:rsid w:val="00217624"/>
    <w:rsid w:val="00223F06"/>
    <w:rsid w:val="002346B0"/>
    <w:rsid w:val="002667C3"/>
    <w:rsid w:val="002669B6"/>
    <w:rsid w:val="00290BED"/>
    <w:rsid w:val="002A185F"/>
    <w:rsid w:val="002B54B7"/>
    <w:rsid w:val="002C3726"/>
    <w:rsid w:val="002D13EE"/>
    <w:rsid w:val="002D7FE0"/>
    <w:rsid w:val="002E0E60"/>
    <w:rsid w:val="002E33EE"/>
    <w:rsid w:val="002F40BB"/>
    <w:rsid w:val="002F4B02"/>
    <w:rsid w:val="00323EF8"/>
    <w:rsid w:val="0032651E"/>
    <w:rsid w:val="003316DD"/>
    <w:rsid w:val="00343761"/>
    <w:rsid w:val="00365A5A"/>
    <w:rsid w:val="00366A46"/>
    <w:rsid w:val="00370AC3"/>
    <w:rsid w:val="003824EE"/>
    <w:rsid w:val="003A09AD"/>
    <w:rsid w:val="003B4689"/>
    <w:rsid w:val="003C2068"/>
    <w:rsid w:val="003C25B3"/>
    <w:rsid w:val="003C37CF"/>
    <w:rsid w:val="004100B1"/>
    <w:rsid w:val="00426E47"/>
    <w:rsid w:val="00455743"/>
    <w:rsid w:val="00460867"/>
    <w:rsid w:val="00461601"/>
    <w:rsid w:val="004A0648"/>
    <w:rsid w:val="004B579D"/>
    <w:rsid w:val="004C0915"/>
    <w:rsid w:val="004C2963"/>
    <w:rsid w:val="004D0132"/>
    <w:rsid w:val="004D424E"/>
    <w:rsid w:val="004E42C8"/>
    <w:rsid w:val="004E733D"/>
    <w:rsid w:val="004F3FA5"/>
    <w:rsid w:val="0051058E"/>
    <w:rsid w:val="0051271F"/>
    <w:rsid w:val="005127A2"/>
    <w:rsid w:val="00521F46"/>
    <w:rsid w:val="00551111"/>
    <w:rsid w:val="00551123"/>
    <w:rsid w:val="00570A6A"/>
    <w:rsid w:val="00575BDC"/>
    <w:rsid w:val="00586E50"/>
    <w:rsid w:val="0059583D"/>
    <w:rsid w:val="005A0D9F"/>
    <w:rsid w:val="005A42D9"/>
    <w:rsid w:val="005B367A"/>
    <w:rsid w:val="005B5F8D"/>
    <w:rsid w:val="005C2BEF"/>
    <w:rsid w:val="005D1A99"/>
    <w:rsid w:val="005D7609"/>
    <w:rsid w:val="005D7EE8"/>
    <w:rsid w:val="00610012"/>
    <w:rsid w:val="00627907"/>
    <w:rsid w:val="00640582"/>
    <w:rsid w:val="00642325"/>
    <w:rsid w:val="00643565"/>
    <w:rsid w:val="00681703"/>
    <w:rsid w:val="006A2F5D"/>
    <w:rsid w:val="006F5456"/>
    <w:rsid w:val="006F7907"/>
    <w:rsid w:val="007047B5"/>
    <w:rsid w:val="007351E9"/>
    <w:rsid w:val="00737FA5"/>
    <w:rsid w:val="00740098"/>
    <w:rsid w:val="00743189"/>
    <w:rsid w:val="00743D33"/>
    <w:rsid w:val="00755D9B"/>
    <w:rsid w:val="007618B5"/>
    <w:rsid w:val="007932B3"/>
    <w:rsid w:val="00793EA9"/>
    <w:rsid w:val="007B07DE"/>
    <w:rsid w:val="007D6F68"/>
    <w:rsid w:val="007E2ACF"/>
    <w:rsid w:val="007F27F6"/>
    <w:rsid w:val="00800FA6"/>
    <w:rsid w:val="00823E6B"/>
    <w:rsid w:val="00826780"/>
    <w:rsid w:val="00837CCD"/>
    <w:rsid w:val="008633CC"/>
    <w:rsid w:val="00865190"/>
    <w:rsid w:val="00871272"/>
    <w:rsid w:val="008719B9"/>
    <w:rsid w:val="00872C20"/>
    <w:rsid w:val="00894ECE"/>
    <w:rsid w:val="00896BB4"/>
    <w:rsid w:val="008A7FB8"/>
    <w:rsid w:val="008C307E"/>
    <w:rsid w:val="008C6F5E"/>
    <w:rsid w:val="008D168E"/>
    <w:rsid w:val="008D2C39"/>
    <w:rsid w:val="008E6BAB"/>
    <w:rsid w:val="009022B8"/>
    <w:rsid w:val="00914537"/>
    <w:rsid w:val="00917CC4"/>
    <w:rsid w:val="00926F3D"/>
    <w:rsid w:val="009763DA"/>
    <w:rsid w:val="00983609"/>
    <w:rsid w:val="009975B3"/>
    <w:rsid w:val="009A216D"/>
    <w:rsid w:val="009A47DA"/>
    <w:rsid w:val="009B4B93"/>
    <w:rsid w:val="009F24BE"/>
    <w:rsid w:val="009F6C2F"/>
    <w:rsid w:val="009F7444"/>
    <w:rsid w:val="009F767A"/>
    <w:rsid w:val="00A058E3"/>
    <w:rsid w:val="00A22533"/>
    <w:rsid w:val="00A26F46"/>
    <w:rsid w:val="00A34FD3"/>
    <w:rsid w:val="00A36929"/>
    <w:rsid w:val="00A50548"/>
    <w:rsid w:val="00A60EE7"/>
    <w:rsid w:val="00A910C9"/>
    <w:rsid w:val="00AA35B0"/>
    <w:rsid w:val="00AA69C0"/>
    <w:rsid w:val="00AC40C6"/>
    <w:rsid w:val="00AD18C8"/>
    <w:rsid w:val="00AD7FA6"/>
    <w:rsid w:val="00AE4643"/>
    <w:rsid w:val="00AF0416"/>
    <w:rsid w:val="00B03342"/>
    <w:rsid w:val="00B10CB4"/>
    <w:rsid w:val="00B13D6F"/>
    <w:rsid w:val="00B15DFF"/>
    <w:rsid w:val="00B23B72"/>
    <w:rsid w:val="00B31717"/>
    <w:rsid w:val="00B42702"/>
    <w:rsid w:val="00B57B8B"/>
    <w:rsid w:val="00B85407"/>
    <w:rsid w:val="00B95702"/>
    <w:rsid w:val="00BA12DF"/>
    <w:rsid w:val="00BC6489"/>
    <w:rsid w:val="00BD480C"/>
    <w:rsid w:val="00BD6C15"/>
    <w:rsid w:val="00BE0E57"/>
    <w:rsid w:val="00BF4160"/>
    <w:rsid w:val="00C05327"/>
    <w:rsid w:val="00C20954"/>
    <w:rsid w:val="00C23324"/>
    <w:rsid w:val="00C42A41"/>
    <w:rsid w:val="00C47E6B"/>
    <w:rsid w:val="00C47E74"/>
    <w:rsid w:val="00C57A72"/>
    <w:rsid w:val="00C73602"/>
    <w:rsid w:val="00C86AF9"/>
    <w:rsid w:val="00CB2077"/>
    <w:rsid w:val="00CC124A"/>
    <w:rsid w:val="00CD15EB"/>
    <w:rsid w:val="00CF60C8"/>
    <w:rsid w:val="00D0620A"/>
    <w:rsid w:val="00D30DE2"/>
    <w:rsid w:val="00D32924"/>
    <w:rsid w:val="00D503A3"/>
    <w:rsid w:val="00D524E8"/>
    <w:rsid w:val="00D75AC5"/>
    <w:rsid w:val="00DA0BA1"/>
    <w:rsid w:val="00DA6ED0"/>
    <w:rsid w:val="00DC5011"/>
    <w:rsid w:val="00DD0FCA"/>
    <w:rsid w:val="00DD29FC"/>
    <w:rsid w:val="00DE018A"/>
    <w:rsid w:val="00DE1E93"/>
    <w:rsid w:val="00E171B6"/>
    <w:rsid w:val="00E22E21"/>
    <w:rsid w:val="00E27EA8"/>
    <w:rsid w:val="00E43941"/>
    <w:rsid w:val="00E44E8A"/>
    <w:rsid w:val="00E713CE"/>
    <w:rsid w:val="00E72695"/>
    <w:rsid w:val="00E7623C"/>
    <w:rsid w:val="00EA5AD7"/>
    <w:rsid w:val="00EB1753"/>
    <w:rsid w:val="00EB6CFF"/>
    <w:rsid w:val="00EE3996"/>
    <w:rsid w:val="00F03062"/>
    <w:rsid w:val="00F07062"/>
    <w:rsid w:val="00F101B6"/>
    <w:rsid w:val="00F23CFC"/>
    <w:rsid w:val="00F24BAE"/>
    <w:rsid w:val="00F433E2"/>
    <w:rsid w:val="00F55DF7"/>
    <w:rsid w:val="00F85DCC"/>
    <w:rsid w:val="00F904AE"/>
    <w:rsid w:val="00F934F8"/>
    <w:rsid w:val="00FA4CFA"/>
    <w:rsid w:val="00FB08C9"/>
    <w:rsid w:val="00FB52FE"/>
    <w:rsid w:val="00FC0A34"/>
    <w:rsid w:val="00FC2057"/>
    <w:rsid w:val="00FC46AF"/>
    <w:rsid w:val="00FD1DEF"/>
    <w:rsid w:val="00FE3B3F"/>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7B990"/>
  <w15:chartTrackingRefBased/>
  <w15:docId w15:val="{CB7F5A8C-2832-4770-A1F9-1172ED23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semiHidden="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FA5"/>
    <w:pPr>
      <w:widowControl w:val="0"/>
    </w:pPr>
    <w:rPr>
      <w:sz w:val="24"/>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basedOn w:val="DefaultParagraphFont"/>
    <w:rPr>
      <w:rFonts w:ascii="Arial" w:hAnsi="Arial" w:cs="Arial"/>
      <w:b w:val="0"/>
      <w:i w:val="0"/>
      <w:strike w:val="0"/>
      <w:noProof/>
      <w:vanish/>
      <w:color w:val="000080"/>
      <w:sz w:val="20"/>
    </w:rPr>
  </w:style>
  <w:style w:type="paragraph" w:customStyle="1" w:styleId="EPFooter2">
    <w:name w:val="EPFooter2"/>
    <w:basedOn w:val="Normal"/>
    <w:next w:val="Normal"/>
    <w:pPr>
      <w:widowControl/>
      <w:tabs>
        <w:tab w:val="center" w:pos="4535"/>
        <w:tab w:val="right" w:pos="9921"/>
      </w:tabs>
      <w:ind w:left="-850" w:right="-850"/>
    </w:pPr>
    <w:rPr>
      <w:rFonts w:ascii="Arial" w:hAnsi="Arial" w:cs="Arial"/>
      <w:b/>
      <w:sz w:val="48"/>
    </w:rPr>
  </w:style>
  <w:style w:type="paragraph" w:styleId="TOC1">
    <w:name w:val="toc 1"/>
    <w:basedOn w:val="Normal"/>
    <w:next w:val="Normal"/>
    <w:autoRedefine/>
    <w:uiPriority w:val="39"/>
    <w:rsid w:val="00C23324"/>
    <w:pPr>
      <w:spacing w:after="240"/>
    </w:pPr>
  </w:style>
  <w:style w:type="paragraph" w:styleId="TOCHeading">
    <w:name w:val="TOC Heading"/>
    <w:basedOn w:val="Normal"/>
    <w:next w:val="TOCPage"/>
    <w:qFormat/>
    <w:pPr>
      <w:keepNext/>
      <w:spacing w:before="240" w:after="240"/>
      <w:jc w:val="center"/>
    </w:pPr>
    <w:rPr>
      <w:rFonts w:ascii="Arial" w:hAnsi="Arial"/>
      <w:b/>
    </w:rPr>
  </w:style>
  <w:style w:type="paragraph" w:customStyle="1" w:styleId="TOCPage">
    <w:name w:val="TOC Page"/>
    <w:basedOn w:val="Normal"/>
    <w:next w:val="TOC1"/>
    <w:pPr>
      <w:keepNext/>
      <w:spacing w:after="240"/>
      <w:jc w:val="right"/>
    </w:pPr>
    <w:rPr>
      <w:rFonts w:ascii="Arial" w:hAnsi="Arial"/>
      <w:b/>
    </w:rPr>
  </w:style>
  <w:style w:type="character" w:customStyle="1" w:styleId="HideTWBInt">
    <w:name w:val="HideTWBInt"/>
    <w:rPr>
      <w:rFonts w:ascii="Arial" w:hAnsi="Arial" w:cs="Arial"/>
      <w:vanish/>
      <w:color w:val="808080"/>
      <w:sz w:val="20"/>
    </w:rPr>
  </w:style>
  <w:style w:type="paragraph" w:customStyle="1" w:styleId="Normal6a">
    <w:name w:val="Normal6a"/>
    <w:basedOn w:val="Normal"/>
    <w:pPr>
      <w:spacing w:after="120"/>
    </w:pPr>
  </w:style>
  <w:style w:type="paragraph" w:customStyle="1" w:styleId="PageHeading">
    <w:name w:val="PageHeading"/>
    <w:basedOn w:val="Normal"/>
    <w:pPr>
      <w:keepNext/>
      <w:spacing w:after="480"/>
      <w:jc w:val="center"/>
    </w:pPr>
    <w:rPr>
      <w:rFonts w:ascii="Arial" w:hAnsi="Arial" w:cs="Arial"/>
      <w:b/>
    </w:rPr>
  </w:style>
  <w:style w:type="paragraph" w:customStyle="1" w:styleId="NormalBold">
    <w:name w:val="NormalBold"/>
    <w:basedOn w:val="Normal"/>
    <w:link w:val="NormalBoldChar"/>
    <w:rPr>
      <w:b/>
    </w:rPr>
  </w:style>
  <w:style w:type="paragraph" w:customStyle="1" w:styleId="NormalBold12a">
    <w:name w:val="NormalBold12a"/>
    <w:basedOn w:val="Normal"/>
    <w:pPr>
      <w:spacing w:after="240"/>
    </w:pPr>
    <w:rPr>
      <w:b/>
    </w:rPr>
  </w:style>
  <w:style w:type="paragraph" w:customStyle="1" w:styleId="AmJustText">
    <w:name w:val="AmJustText"/>
    <w:basedOn w:val="Normal"/>
    <w:pPr>
      <w:spacing w:after="240"/>
    </w:pPr>
    <w:rPr>
      <w:i/>
    </w:rPr>
  </w:style>
  <w:style w:type="paragraph" w:customStyle="1" w:styleId="NormalHanging12a">
    <w:name w:val="NormalHanging12a"/>
    <w:basedOn w:val="Normal"/>
    <w:pPr>
      <w:spacing w:after="240"/>
      <w:ind w:left="567" w:hanging="567"/>
    </w:pPr>
  </w:style>
  <w:style w:type="paragraph" w:customStyle="1" w:styleId="EPName">
    <w:name w:val="EPName"/>
    <w:basedOn w:val="Normal"/>
    <w:rsid w:val="006F7907"/>
    <w:pPr>
      <w:spacing w:before="80" w:after="80"/>
    </w:pPr>
    <w:rPr>
      <w:rFonts w:ascii="Arial Narrow" w:hAnsi="Arial Narrow" w:cs="Arial"/>
      <w:b/>
      <w:sz w:val="32"/>
      <w:szCs w:val="22"/>
    </w:rPr>
  </w:style>
  <w:style w:type="paragraph" w:customStyle="1" w:styleId="CoverNormal24a">
    <w:name w:val="CoverNormal24a"/>
    <w:basedOn w:val="Normal"/>
    <w:rsid w:val="00F07062"/>
    <w:pPr>
      <w:spacing w:after="480"/>
      <w:ind w:left="1417"/>
    </w:pPr>
  </w:style>
  <w:style w:type="paragraph" w:customStyle="1" w:styleId="CoverNormal">
    <w:name w:val="CoverNormal"/>
    <w:basedOn w:val="Normal"/>
    <w:pPr>
      <w:ind w:left="1418"/>
    </w:pPr>
  </w:style>
  <w:style w:type="paragraph" w:customStyle="1" w:styleId="AmCrossRef">
    <w:name w:val="AmCrossRef"/>
    <w:basedOn w:val="Normal"/>
    <w:rsid w:val="00DA6ED0"/>
    <w:pPr>
      <w:spacing w:before="240" w:after="240"/>
      <w:jc w:val="center"/>
    </w:pPr>
    <w:rPr>
      <w:i/>
    </w:rPr>
  </w:style>
  <w:style w:type="paragraph" w:customStyle="1" w:styleId="AmJustTitle">
    <w:name w:val="AmJustTitle"/>
    <w:basedOn w:val="Normal"/>
    <w:next w:val="AmJustText"/>
    <w:pPr>
      <w:keepNext/>
      <w:spacing w:before="240" w:after="240"/>
      <w:jc w:val="center"/>
    </w:pPr>
    <w:rPr>
      <w:i/>
    </w:rPr>
  </w:style>
  <w:style w:type="paragraph" w:customStyle="1" w:styleId="CoverReference">
    <w:name w:val="CoverReference"/>
    <w:basedOn w:val="Normal"/>
    <w:rsid w:val="004E733D"/>
    <w:pPr>
      <w:spacing w:before="1080"/>
      <w:jc w:val="right"/>
    </w:pPr>
    <w:rPr>
      <w:rFonts w:ascii="Arial" w:hAnsi="Arial" w:cs="Arial"/>
      <w:b/>
    </w:rPr>
  </w:style>
  <w:style w:type="paragraph" w:customStyle="1" w:styleId="CoverDocType">
    <w:name w:val="CoverDocType"/>
    <w:basedOn w:val="Normal"/>
    <w:pPr>
      <w:ind w:left="1418"/>
    </w:pPr>
    <w:rPr>
      <w:rFonts w:ascii="Arial" w:hAnsi="Arial"/>
      <w:b/>
      <w:sz w:val="48"/>
    </w:rPr>
  </w:style>
  <w:style w:type="paragraph" w:customStyle="1" w:styleId="CoverDocType24a">
    <w:name w:val="CoverDocType24a"/>
    <w:basedOn w:val="Normal"/>
    <w:rsid w:val="00F07062"/>
    <w:pPr>
      <w:spacing w:after="480"/>
      <w:ind w:left="1418"/>
    </w:pPr>
    <w:rPr>
      <w:rFonts w:ascii="Arial" w:hAnsi="Arial"/>
      <w:b/>
      <w:sz w:val="48"/>
    </w:rPr>
  </w:style>
  <w:style w:type="paragraph" w:customStyle="1" w:styleId="CoverDate">
    <w:name w:val="CoverDate"/>
    <w:basedOn w:val="Normal"/>
    <w:pPr>
      <w:spacing w:before="240" w:after="1200"/>
    </w:pPr>
  </w:style>
  <w:style w:type="paragraph" w:styleId="Header">
    <w:name w:val="header"/>
    <w:basedOn w:val="Normal"/>
    <w:link w:val="HeaderChar"/>
    <w:semiHidden/>
    <w:rsid w:val="00F23CFC"/>
    <w:pPr>
      <w:tabs>
        <w:tab w:val="center" w:pos="4513"/>
        <w:tab w:val="right" w:pos="9026"/>
      </w:tabs>
    </w:pPr>
  </w:style>
  <w:style w:type="paragraph" w:customStyle="1" w:styleId="AmOrLang">
    <w:name w:val="AmOrLang"/>
    <w:basedOn w:val="Normal"/>
    <w:rsid w:val="002669B6"/>
    <w:pPr>
      <w:spacing w:before="240" w:after="240"/>
      <w:jc w:val="right"/>
    </w:pPr>
  </w:style>
  <w:style w:type="paragraph" w:customStyle="1" w:styleId="AmColumnHeading">
    <w:name w:val="AmColumnHeading"/>
    <w:basedOn w:val="Normal"/>
    <w:rsid w:val="002669B6"/>
    <w:pPr>
      <w:spacing w:after="240"/>
      <w:jc w:val="center"/>
    </w:pPr>
    <w:rPr>
      <w:i/>
    </w:rPr>
  </w:style>
  <w:style w:type="table" w:styleId="TableGrid">
    <w:name w:val="Table Grid"/>
    <w:basedOn w:val="TableNormal"/>
    <w:rsid w:val="0046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NumberTabs">
    <w:name w:val="AmNumberTabs"/>
    <w:basedOn w:val="Normal"/>
    <w:rsid w:val="004C0915"/>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NormalBold12b">
    <w:name w:val="NormalBold12b"/>
    <w:basedOn w:val="Normal"/>
    <w:rsid w:val="004C0915"/>
    <w:pPr>
      <w:spacing w:before="240"/>
    </w:pPr>
    <w:rPr>
      <w:b/>
    </w:rPr>
  </w:style>
  <w:style w:type="paragraph" w:customStyle="1" w:styleId="EPBody">
    <w:name w:val="EPBody"/>
    <w:basedOn w:val="Normal"/>
    <w:rsid w:val="00461601"/>
    <w:pPr>
      <w:jc w:val="center"/>
    </w:pPr>
    <w:rPr>
      <w:rFonts w:ascii="Arial" w:hAnsi="Arial" w:cs="Arial"/>
      <w:i/>
      <w:sz w:val="22"/>
      <w:szCs w:val="22"/>
    </w:rPr>
  </w:style>
  <w:style w:type="paragraph" w:customStyle="1" w:styleId="LineTop">
    <w:name w:val="LineTop"/>
    <w:basedOn w:val="Normal"/>
    <w:next w:val="Normal"/>
    <w:rsid w:val="0046160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461601"/>
    <w:pPr>
      <w:pBdr>
        <w:bottom w:val="single" w:sz="4" w:space="1" w:color="auto"/>
      </w:pBdr>
      <w:spacing w:after="240"/>
      <w:jc w:val="center"/>
    </w:pPr>
    <w:rPr>
      <w:rFonts w:ascii="Arial" w:hAnsi="Arial" w:cs="Arial"/>
      <w:sz w:val="16"/>
      <w:szCs w:val="16"/>
    </w:rPr>
  </w:style>
  <w:style w:type="paragraph" w:customStyle="1" w:styleId="EPTerm">
    <w:name w:val="EPTerm"/>
    <w:basedOn w:val="Normal"/>
    <w:next w:val="Normal"/>
    <w:rsid w:val="006F7907"/>
    <w:pPr>
      <w:spacing w:after="80"/>
    </w:pPr>
    <w:rPr>
      <w:rFonts w:ascii="Arial" w:hAnsi="Arial" w:cs="Arial"/>
      <w:sz w:val="20"/>
      <w:szCs w:val="22"/>
    </w:rPr>
  </w:style>
  <w:style w:type="paragraph" w:customStyle="1" w:styleId="EPLogo">
    <w:name w:val="EPLogo"/>
    <w:basedOn w:val="Normal"/>
    <w:qFormat/>
    <w:rsid w:val="006F7907"/>
    <w:pPr>
      <w:jc w:val="right"/>
    </w:pPr>
  </w:style>
  <w:style w:type="paragraph" w:customStyle="1" w:styleId="EPFooter">
    <w:name w:val="EPFooter"/>
    <w:basedOn w:val="Normal"/>
    <w:rsid w:val="00F07062"/>
    <w:pPr>
      <w:tabs>
        <w:tab w:val="center" w:pos="4535"/>
        <w:tab w:val="right" w:pos="9071"/>
      </w:tabs>
      <w:spacing w:before="240" w:after="240"/>
    </w:pPr>
    <w:rPr>
      <w:color w:val="010000"/>
      <w:sz w:val="22"/>
    </w:rPr>
  </w:style>
  <w:style w:type="character" w:styleId="PageNumber">
    <w:name w:val="page number"/>
    <w:basedOn w:val="DefaultParagraphFont"/>
    <w:semiHidden/>
    <w:rsid w:val="00914537"/>
  </w:style>
  <w:style w:type="character" w:customStyle="1" w:styleId="HeaderChar">
    <w:name w:val="Header Char"/>
    <w:basedOn w:val="DefaultParagraphFont"/>
    <w:link w:val="Header"/>
    <w:semiHidden/>
    <w:rsid w:val="00F23CFC"/>
    <w:rPr>
      <w:sz w:val="24"/>
    </w:rPr>
  </w:style>
  <w:style w:type="paragraph" w:customStyle="1" w:styleId="EPComma">
    <w:name w:val="EPComma"/>
    <w:basedOn w:val="Normal"/>
    <w:rsid w:val="00A910C9"/>
    <w:pPr>
      <w:spacing w:before="480" w:after="240"/>
    </w:pPr>
  </w:style>
  <w:style w:type="paragraph" w:customStyle="1" w:styleId="Lgendesigne">
    <w:name w:val="Légende signe"/>
    <w:basedOn w:val="Normal"/>
    <w:rsid w:val="00F24BAE"/>
    <w:pPr>
      <w:tabs>
        <w:tab w:val="right" w:pos="454"/>
        <w:tab w:val="left" w:pos="737"/>
      </w:tabs>
      <w:ind w:left="737" w:hanging="737"/>
    </w:pPr>
    <w:rPr>
      <w:snapToGrid w:val="0"/>
      <w:sz w:val="18"/>
      <w:lang w:eastAsia="en-US"/>
    </w:rPr>
  </w:style>
  <w:style w:type="paragraph" w:customStyle="1" w:styleId="Lgendetitre">
    <w:name w:val="Légende titre"/>
    <w:basedOn w:val="Normal"/>
    <w:rsid w:val="00F24BAE"/>
    <w:pPr>
      <w:spacing w:before="240" w:after="240"/>
    </w:pPr>
    <w:rPr>
      <w:b/>
      <w:i/>
      <w:snapToGrid w:val="0"/>
      <w:lang w:eastAsia="en-US"/>
    </w:rPr>
  </w:style>
  <w:style w:type="paragraph" w:customStyle="1" w:styleId="Lgendestandard">
    <w:name w:val="Légende standard"/>
    <w:basedOn w:val="Normal"/>
    <w:rsid w:val="00F24BAE"/>
    <w:rPr>
      <w:sz w:val="18"/>
    </w:rPr>
  </w:style>
  <w:style w:type="paragraph" w:styleId="FootnoteText">
    <w:name w:val="footnote text"/>
    <w:basedOn w:val="Normal"/>
    <w:link w:val="FootnoteTextChar"/>
    <w:uiPriority w:val="99"/>
    <w:rsid w:val="00BF4160"/>
    <w:rPr>
      <w:sz w:val="20"/>
    </w:rPr>
  </w:style>
  <w:style w:type="character" w:customStyle="1" w:styleId="FootnoteTextChar">
    <w:name w:val="Footnote Text Char"/>
    <w:basedOn w:val="DefaultParagraphFont"/>
    <w:link w:val="FootnoteText"/>
    <w:uiPriority w:val="99"/>
    <w:rsid w:val="00BF4160"/>
  </w:style>
  <w:style w:type="character" w:styleId="FootnoteReference">
    <w:name w:val="footnote reference"/>
    <w:basedOn w:val="DefaultParagraphFont"/>
    <w:uiPriority w:val="99"/>
    <w:rsid w:val="00BF4160"/>
    <w:rPr>
      <w:vertAlign w:val="superscript"/>
    </w:rPr>
  </w:style>
  <w:style w:type="paragraph" w:customStyle="1" w:styleId="msonormal0">
    <w:name w:val="msonormal"/>
    <w:basedOn w:val="Normal"/>
    <w:rsid w:val="00155724"/>
    <w:pPr>
      <w:widowControl/>
      <w:spacing w:before="100" w:beforeAutospacing="1" w:after="100" w:afterAutospacing="1"/>
    </w:pPr>
    <w:rPr>
      <w:szCs w:val="24"/>
    </w:rPr>
  </w:style>
  <w:style w:type="paragraph" w:styleId="Footer">
    <w:name w:val="footer"/>
    <w:link w:val="FooterChar"/>
    <w:semiHidden/>
    <w:unhideWhenUsed/>
    <w:rsid w:val="00155724"/>
    <w:pPr>
      <w:tabs>
        <w:tab w:val="center" w:pos="4536"/>
        <w:tab w:val="right" w:pos="9072"/>
      </w:tabs>
      <w:spacing w:before="240" w:after="240" w:line="220" w:lineRule="auto"/>
    </w:pPr>
    <w:rPr>
      <w:sz w:val="22"/>
    </w:rPr>
  </w:style>
  <w:style w:type="character" w:customStyle="1" w:styleId="FooterChar">
    <w:name w:val="Footer Char"/>
    <w:basedOn w:val="DefaultParagraphFont"/>
    <w:link w:val="Footer"/>
    <w:semiHidden/>
    <w:rsid w:val="00155724"/>
    <w:rPr>
      <w:sz w:val="22"/>
    </w:rPr>
  </w:style>
  <w:style w:type="character" w:customStyle="1" w:styleId="Normal12Char">
    <w:name w:val="Normal12 Char"/>
    <w:basedOn w:val="DefaultParagraphFont"/>
    <w:link w:val="Normal12"/>
    <w:locked/>
    <w:rsid w:val="00155724"/>
    <w:rPr>
      <w:noProof/>
      <w:sz w:val="24"/>
    </w:rPr>
  </w:style>
  <w:style w:type="paragraph" w:customStyle="1" w:styleId="Normal12">
    <w:name w:val="Normal12"/>
    <w:basedOn w:val="Normal"/>
    <w:link w:val="Normal12Char"/>
    <w:rsid w:val="00155724"/>
    <w:pPr>
      <w:spacing w:after="240"/>
    </w:pPr>
    <w:rPr>
      <w:noProof/>
    </w:rPr>
  </w:style>
  <w:style w:type="paragraph" w:customStyle="1" w:styleId="CommitteeAM">
    <w:name w:val="CommitteeAM"/>
    <w:basedOn w:val="Normal"/>
    <w:rsid w:val="00155724"/>
    <w:pPr>
      <w:spacing w:before="240" w:after="600"/>
      <w:jc w:val="center"/>
    </w:pPr>
    <w:rPr>
      <w:i/>
    </w:rPr>
  </w:style>
  <w:style w:type="paragraph" w:customStyle="1" w:styleId="ZDateAM">
    <w:name w:val="ZDateAM"/>
    <w:basedOn w:val="Normal"/>
    <w:rsid w:val="00155724"/>
    <w:pPr>
      <w:tabs>
        <w:tab w:val="right" w:pos="9356"/>
      </w:tabs>
      <w:spacing w:after="480"/>
    </w:pPr>
    <w:rPr>
      <w:noProof/>
    </w:rPr>
  </w:style>
  <w:style w:type="paragraph" w:customStyle="1" w:styleId="ProjRap">
    <w:name w:val="ProjRap"/>
    <w:basedOn w:val="Normal"/>
    <w:rsid w:val="00155724"/>
    <w:pPr>
      <w:tabs>
        <w:tab w:val="right" w:pos="9356"/>
      </w:tabs>
    </w:pPr>
    <w:rPr>
      <w:b/>
      <w:noProof/>
    </w:rPr>
  </w:style>
  <w:style w:type="paragraph" w:customStyle="1" w:styleId="PELeft">
    <w:name w:val="PELeft"/>
    <w:basedOn w:val="Normal"/>
    <w:rsid w:val="00155724"/>
    <w:pPr>
      <w:spacing w:before="40" w:after="40"/>
    </w:pPr>
    <w:rPr>
      <w:rFonts w:ascii="Arial" w:hAnsi="Arial" w:cs="Arial"/>
      <w:sz w:val="22"/>
      <w:szCs w:val="22"/>
      <w:lang w:val="fr-FR"/>
    </w:rPr>
  </w:style>
  <w:style w:type="paragraph" w:customStyle="1" w:styleId="PERight">
    <w:name w:val="PERight"/>
    <w:basedOn w:val="Normal"/>
    <w:next w:val="Normal"/>
    <w:rsid w:val="00155724"/>
    <w:pPr>
      <w:jc w:val="right"/>
    </w:pPr>
    <w:rPr>
      <w:rFonts w:ascii="Arial" w:hAnsi="Arial" w:cs="Arial"/>
      <w:sz w:val="22"/>
      <w:szCs w:val="22"/>
      <w:lang w:val="fr-FR"/>
    </w:rPr>
  </w:style>
  <w:style w:type="character" w:customStyle="1" w:styleId="Normal6Char">
    <w:name w:val="Normal6 Char"/>
    <w:basedOn w:val="DefaultParagraphFont"/>
    <w:link w:val="Normal6"/>
    <w:locked/>
    <w:rsid w:val="00155724"/>
    <w:rPr>
      <w:sz w:val="24"/>
      <w:lang w:val="fr-FR"/>
    </w:rPr>
  </w:style>
  <w:style w:type="paragraph" w:customStyle="1" w:styleId="Normal6">
    <w:name w:val="Normal6"/>
    <w:basedOn w:val="Normal"/>
    <w:link w:val="Normal6Char"/>
    <w:rsid w:val="00155724"/>
    <w:pPr>
      <w:spacing w:after="120"/>
    </w:pPr>
    <w:rPr>
      <w:lang w:val="fr-FR"/>
    </w:rPr>
  </w:style>
  <w:style w:type="character" w:customStyle="1" w:styleId="NormalBoldChar">
    <w:name w:val="NormalBold Char"/>
    <w:basedOn w:val="DefaultParagraphFont"/>
    <w:link w:val="NormalBold"/>
    <w:locked/>
    <w:rsid w:val="00155724"/>
    <w:rPr>
      <w:b/>
      <w:sz w:val="24"/>
    </w:rPr>
  </w:style>
  <w:style w:type="paragraph" w:customStyle="1" w:styleId="Normal12Italic">
    <w:name w:val="Normal12Italic"/>
    <w:basedOn w:val="Normal12"/>
    <w:rsid w:val="00155724"/>
    <w:rPr>
      <w:i/>
      <w:lang w:val="fr-FR"/>
    </w:rPr>
  </w:style>
  <w:style w:type="paragraph" w:customStyle="1" w:styleId="JustificationTitle">
    <w:name w:val="JustificationTitle"/>
    <w:basedOn w:val="Normal"/>
    <w:next w:val="Normal12"/>
    <w:rsid w:val="00155724"/>
    <w:pPr>
      <w:keepNext/>
      <w:spacing w:before="240" w:after="240"/>
      <w:jc w:val="center"/>
    </w:pPr>
    <w:rPr>
      <w:i/>
      <w:noProof/>
      <w:lang w:val="fr-FR"/>
    </w:rPr>
  </w:style>
  <w:style w:type="paragraph" w:customStyle="1" w:styleId="Olang">
    <w:name w:val="Olang"/>
    <w:basedOn w:val="Normal"/>
    <w:rsid w:val="00155724"/>
    <w:pPr>
      <w:spacing w:before="240" w:after="240"/>
      <w:jc w:val="right"/>
    </w:pPr>
    <w:rPr>
      <w:noProof/>
      <w:szCs w:val="24"/>
      <w:lang w:val="fr-FR"/>
    </w:rPr>
  </w:style>
  <w:style w:type="paragraph" w:customStyle="1" w:styleId="ColumnHeading">
    <w:name w:val="ColumnHeading"/>
    <w:basedOn w:val="Normal"/>
    <w:rsid w:val="00155724"/>
    <w:pPr>
      <w:spacing w:after="240"/>
      <w:jc w:val="center"/>
    </w:pPr>
    <w:rPr>
      <w:i/>
      <w:lang w:val="fr-FR"/>
    </w:rPr>
  </w:style>
  <w:style w:type="paragraph" w:customStyle="1" w:styleId="AMNumberTabs0">
    <w:name w:val="AMNumberTabs"/>
    <w:basedOn w:val="Normal"/>
    <w:rsid w:val="00155724"/>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lang w:val="fr-FR"/>
    </w:rPr>
  </w:style>
  <w:style w:type="paragraph" w:customStyle="1" w:styleId="CrossRef">
    <w:name w:val="CrossRef"/>
    <w:basedOn w:val="Normal"/>
    <w:rsid w:val="00155724"/>
    <w:pPr>
      <w:spacing w:before="240"/>
      <w:jc w:val="center"/>
    </w:pPr>
    <w:rPr>
      <w:i/>
      <w:lang w:val="fr-FR"/>
    </w:rPr>
  </w:style>
  <w:style w:type="paragraph" w:customStyle="1" w:styleId="Footer2">
    <w:name w:val="Footer2"/>
    <w:basedOn w:val="Normal12"/>
    <w:rsid w:val="00155724"/>
    <w:pPr>
      <w:tabs>
        <w:tab w:val="center" w:pos="4535"/>
        <w:tab w:val="right" w:pos="9923"/>
      </w:tabs>
      <w:spacing w:line="480" w:lineRule="auto"/>
      <w:ind w:left="-851"/>
    </w:pPr>
    <w:rPr>
      <w:rFonts w:ascii="Arial" w:cs="Arial"/>
      <w:b/>
      <w:sz w:val="48"/>
    </w:rPr>
  </w:style>
  <w:style w:type="character" w:customStyle="1" w:styleId="Footer2Middle">
    <w:name w:val="Footer2Middle"/>
    <w:rsid w:val="00155724"/>
    <w:rPr>
      <w:rFonts w:ascii="Arial" w:hAnsi="Arial" w:cs="Arial" w:hint="default"/>
      <w:b w:val="0"/>
      <w:bCs w:val="0"/>
      <w:i/>
      <w:iCs w:val="0"/>
      <w:color w:val="C0C0C0"/>
      <w:sz w:val="22"/>
    </w:rPr>
  </w:style>
  <w:style w:type="paragraph" w:customStyle="1" w:styleId="EntPE">
    <w:name w:val="EntPE"/>
    <w:basedOn w:val="Normal12"/>
    <w:rsid w:val="00155724"/>
    <w:pPr>
      <w:jc w:val="center"/>
    </w:pPr>
    <w:rPr>
      <w:noProof w:val="0"/>
      <w:sz w:val="56"/>
    </w:rPr>
  </w:style>
  <w:style w:type="paragraph" w:styleId="ListParagraph">
    <w:name w:val="List Paragraph"/>
    <w:basedOn w:val="Normal"/>
    <w:uiPriority w:val="34"/>
    <w:qFormat/>
    <w:rsid w:val="00155724"/>
    <w:pPr>
      <w:widowControl/>
      <w:ind w:left="720"/>
      <w:contextualSpacing/>
      <w:jc w:val="both"/>
    </w:pPr>
    <w:rPr>
      <w:rFonts w:eastAsiaTheme="minorHAnsi"/>
      <w:szCs w:val="24"/>
      <w:lang w:eastAsia="en-US"/>
    </w:rPr>
  </w:style>
  <w:style w:type="character" w:styleId="CommentReference">
    <w:name w:val="annotation reference"/>
    <w:basedOn w:val="DefaultParagraphFont"/>
    <w:rsid w:val="00E7623C"/>
    <w:rPr>
      <w:sz w:val="16"/>
      <w:szCs w:val="16"/>
    </w:rPr>
  </w:style>
  <w:style w:type="paragraph" w:styleId="CommentText">
    <w:name w:val="annotation text"/>
    <w:basedOn w:val="Normal"/>
    <w:link w:val="CommentTextChar"/>
    <w:rsid w:val="00E7623C"/>
    <w:rPr>
      <w:sz w:val="20"/>
    </w:rPr>
  </w:style>
  <w:style w:type="character" w:customStyle="1" w:styleId="CommentTextChar">
    <w:name w:val="Comment Text Char"/>
    <w:basedOn w:val="DefaultParagraphFont"/>
    <w:link w:val="CommentText"/>
    <w:rsid w:val="00E7623C"/>
  </w:style>
  <w:style w:type="paragraph" w:styleId="CommentSubject">
    <w:name w:val="annotation subject"/>
    <w:basedOn w:val="CommentText"/>
    <w:next w:val="CommentText"/>
    <w:link w:val="CommentSubjectChar"/>
    <w:semiHidden/>
    <w:unhideWhenUsed/>
    <w:rsid w:val="00E7623C"/>
    <w:rPr>
      <w:b/>
      <w:bCs/>
    </w:rPr>
  </w:style>
  <w:style w:type="character" w:customStyle="1" w:styleId="CommentSubjectChar">
    <w:name w:val="Comment Subject Char"/>
    <w:basedOn w:val="CommentTextChar"/>
    <w:link w:val="CommentSubject"/>
    <w:semiHidden/>
    <w:rsid w:val="00E7623C"/>
    <w:rPr>
      <w:b/>
      <w:bCs/>
    </w:rPr>
  </w:style>
  <w:style w:type="paragraph" w:styleId="BalloonText">
    <w:name w:val="Balloon Text"/>
    <w:basedOn w:val="Normal"/>
    <w:link w:val="BalloonTextChar"/>
    <w:semiHidden/>
    <w:unhideWhenUsed/>
    <w:rsid w:val="00111A6C"/>
    <w:rPr>
      <w:rFonts w:ascii="Segoe UI" w:hAnsi="Segoe UI" w:cs="Segoe UI"/>
      <w:sz w:val="18"/>
      <w:szCs w:val="18"/>
    </w:rPr>
  </w:style>
  <w:style w:type="character" w:customStyle="1" w:styleId="BalloonTextChar">
    <w:name w:val="Balloon Text Char"/>
    <w:basedOn w:val="DefaultParagraphFont"/>
    <w:link w:val="BalloonText"/>
    <w:semiHidden/>
    <w:rsid w:val="00111A6C"/>
    <w:rPr>
      <w:rFonts w:ascii="Segoe UI" w:hAnsi="Segoe UI" w:cs="Segoe UI"/>
      <w:sz w:val="18"/>
      <w:szCs w:val="18"/>
    </w:rPr>
  </w:style>
  <w:style w:type="character" w:customStyle="1" w:styleId="markedcontent">
    <w:name w:val="markedcontent"/>
    <w:basedOn w:val="DefaultParagraphFont"/>
    <w:rsid w:val="002E0E60"/>
  </w:style>
  <w:style w:type="character" w:styleId="Emphasis">
    <w:name w:val="Emphasis"/>
    <w:basedOn w:val="DefaultParagraphFont"/>
    <w:uiPriority w:val="20"/>
    <w:qFormat/>
    <w:rsid w:val="00223F06"/>
    <w:rPr>
      <w:i/>
      <w:iCs/>
    </w:rPr>
  </w:style>
  <w:style w:type="character" w:styleId="Hyperlink">
    <w:name w:val="Hyperlink"/>
    <w:basedOn w:val="DefaultParagraphFont"/>
    <w:rsid w:val="0032651E"/>
    <w:rPr>
      <w:color w:val="0563C1" w:themeColor="hyperlink"/>
      <w:u w:val="single"/>
    </w:rPr>
  </w:style>
  <w:style w:type="paragraph" w:styleId="Revision">
    <w:name w:val="Revision"/>
    <w:hidden/>
    <w:uiPriority w:val="99"/>
    <w:semiHidden/>
    <w:rsid w:val="00BE0E57"/>
    <w:rPr>
      <w:sz w:val="24"/>
    </w:rPr>
  </w:style>
  <w:style w:type="character" w:styleId="FollowedHyperlink">
    <w:name w:val="FollowedHyperlink"/>
    <w:basedOn w:val="DefaultParagraphFont"/>
    <w:rsid w:val="00AA6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53707">
      <w:bodyDiv w:val="1"/>
      <w:marLeft w:val="0"/>
      <w:marRight w:val="0"/>
      <w:marTop w:val="0"/>
      <w:marBottom w:val="0"/>
      <w:divBdr>
        <w:top w:val="none" w:sz="0" w:space="0" w:color="auto"/>
        <w:left w:val="none" w:sz="0" w:space="0" w:color="auto"/>
        <w:bottom w:val="none" w:sz="0" w:space="0" w:color="auto"/>
        <w:right w:val="none" w:sz="0" w:space="0" w:color="auto"/>
      </w:divBdr>
    </w:div>
    <w:div w:id="569001019">
      <w:bodyDiv w:val="1"/>
      <w:marLeft w:val="0"/>
      <w:marRight w:val="0"/>
      <w:marTop w:val="0"/>
      <w:marBottom w:val="0"/>
      <w:divBdr>
        <w:top w:val="none" w:sz="0" w:space="0" w:color="auto"/>
        <w:left w:val="none" w:sz="0" w:space="0" w:color="auto"/>
        <w:bottom w:val="none" w:sz="0" w:space="0" w:color="auto"/>
        <w:right w:val="none" w:sz="0" w:space="0" w:color="auto"/>
      </w:divBdr>
    </w:div>
    <w:div w:id="770593203">
      <w:bodyDiv w:val="1"/>
      <w:marLeft w:val="0"/>
      <w:marRight w:val="0"/>
      <w:marTop w:val="0"/>
      <w:marBottom w:val="0"/>
      <w:divBdr>
        <w:top w:val="none" w:sz="0" w:space="0" w:color="auto"/>
        <w:left w:val="none" w:sz="0" w:space="0" w:color="auto"/>
        <w:bottom w:val="none" w:sz="0" w:space="0" w:color="auto"/>
        <w:right w:val="none" w:sz="0" w:space="0" w:color="auto"/>
      </w:divBdr>
    </w:div>
    <w:div w:id="15631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OUMA~1\AppData\Local\Temp\PR_COD_1amC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915A-3D53-4EFF-A07E-C0758946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PR_COD_1amCom.dotx</Template>
  <TotalTime>1</TotalTime>
  <Pages>73</Pages>
  <Words>17752</Words>
  <Characters>111246</Characters>
  <Application>Microsoft Office Word</Application>
  <DocSecurity>0</DocSecurity>
  <Lines>927</Lines>
  <Paragraphs>257</Paragraphs>
  <ScaleCrop>false</ScaleCrop>
  <HeadingPairs>
    <vt:vector size="2" baseType="variant">
      <vt:variant>
        <vt:lpstr>Title</vt:lpstr>
      </vt:variant>
      <vt:variant>
        <vt:i4>1</vt:i4>
      </vt:variant>
    </vt:vector>
  </HeadingPairs>
  <TitlesOfParts>
    <vt:vector size="1" baseType="lpstr">
      <vt:lpstr>PR_COD_1amCom</vt:lpstr>
    </vt:vector>
  </TitlesOfParts>
  <Company/>
  <LinksUpToDate>false</LinksUpToDate>
  <CharactersWithSpaces>128741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PR_COD_1amCom</dc:title>
  <dc:subject/>
  <dc:creator>KOUMAKIS Theodore</dc:creator>
  <cp:keywords/>
  <dc:description/>
  <cp:lastModifiedBy>HANSSON Lena</cp:lastModifiedBy>
  <cp:revision>2</cp:revision>
  <cp:lastPrinted>2004-11-04T09:41:00Z</cp:lastPrinted>
  <dcterms:created xsi:type="dcterms:W3CDTF">2022-03-18T13:25:00Z</dcterms:created>
  <dcterms:modified xsi:type="dcterms:W3CDTF">2022-03-18T13:25:00Z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9.12.0 Build [20211204]</vt:lpwstr>
  </property>
  <property fmtid="{D5CDD505-2E9C-101B-9397-08002B2CF9AE}" pid="4" name="LastEdited with">
    <vt:lpwstr>9.12.0 Build [20211204]</vt:lpwstr>
  </property>
  <property fmtid="{D5CDD505-2E9C-101B-9397-08002B2CF9AE}" pid="5" name="&lt;FdR&gt;">
    <vt:lpwstr>1251357</vt:lpwstr>
  </property>
  <property fmtid="{D5CDD505-2E9C-101B-9397-08002B2CF9AE}" pid="6" name="&lt;Type&gt;">
    <vt:lpwstr>PR</vt:lpwstr>
  </property>
  <property fmtid="{D5CDD505-2E9C-101B-9397-08002B2CF9AE}" pid="7" name="&lt;ModelCod&gt;">
    <vt:lpwstr>\\eiciBRUpr1\pdocep$\DocEP\DOCS\General\PR\PR_Leg\COD\COD_1st\PR_COD_1amCom.dotx(17/04/2020 18:27:09)</vt:lpwstr>
  </property>
  <property fmtid="{D5CDD505-2E9C-101B-9397-08002B2CF9AE}" pid="8" name="&lt;ModelTra&gt;">
    <vt:lpwstr>\\eiciBRUpr1\pdocep$\DocEP\TRANSFIL\EN\PR_COD_1amCom.EN(07/09/2020 18:06:27)</vt:lpwstr>
  </property>
  <property fmtid="{D5CDD505-2E9C-101B-9397-08002B2CF9AE}" pid="9" name="&lt;Model&gt;">
    <vt:lpwstr>PR_COD_1amCom</vt:lpwstr>
  </property>
  <property fmtid="{D5CDD505-2E9C-101B-9397-08002B2CF9AE}" pid="10" name="FooterPath">
    <vt:lpwstr>PR\1251357EN.docx</vt:lpwstr>
  </property>
  <property fmtid="{D5CDD505-2E9C-101B-9397-08002B2CF9AE}" pid="11" name="PE number">
    <vt:lpwstr>719.945</vt:lpwstr>
  </property>
  <property fmtid="{D5CDD505-2E9C-101B-9397-08002B2CF9AE}" pid="12" name="SendToEpades">
    <vt:lpwstr>OK - 2022/03/15 14:55</vt:lpwstr>
  </property>
</Properties>
</file>